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210820</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217805</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January 31,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600" w:right="1920" w:hanging="2944"/>
        <w:spacing w:after="0" w:line="495" w:lineRule="auto"/>
        <w:tabs>
          <w:tab w:leader="none" w:pos="85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567"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9" w:lineRule="exact"/>
        <w:rPr>
          <w:sz w:val="24"/>
          <w:szCs w:val="24"/>
          <w:color w:val="auto"/>
        </w:rPr>
      </w:pPr>
    </w:p>
    <w:p>
      <w:pPr>
        <w:sectPr>
          <w:pgSz w:w="11900" w:h="16838" w:orient="portrait"/>
          <w:cols w:equalWidth="0" w:num="2">
            <w:col w:w="5660" w:space="720"/>
            <w:col w:w="5040"/>
          </w:cols>
          <w:pgMar w:left="240" w:top="567" w:right="239" w:bottom="1440" w:gutter="0" w:footer="0" w:header="0"/>
          <w:type w:val="continuous"/>
        </w:sectPr>
      </w:pPr>
    </w:p>
    <w:p>
      <w:pPr>
        <w:spacing w:after="0" w:line="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March 12, 2018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gridSpan w:val="7"/>
          </w:tcPr>
          <w:p>
            <w:pPr>
              <w:jc w:val="center"/>
              <w:ind w:right="210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78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gridSpan w:val="7"/>
          </w:tcPr>
          <w:p>
            <w:pPr>
              <w:jc w:val="center"/>
              <w:ind w:right="20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r>
      <w:tr>
        <w:trPr>
          <w:trHeight w:val="439"/>
        </w:trPr>
        <w:tc>
          <w:tcPr>
            <w:tcW w:w="10640" w:type="dxa"/>
            <w:vAlign w:val="bottom"/>
            <w:gridSpan w:val="15"/>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Page No.</w:t>
            </w:r>
          </w:p>
        </w:tc>
      </w:tr>
      <w:tr>
        <w:trPr>
          <w:trHeight w:val="392"/>
        </w:trPr>
        <w:tc>
          <w:tcPr>
            <w:tcW w:w="500" w:type="dxa"/>
            <w:vAlign w:val="bottom"/>
          </w:tcPr>
          <w:p>
            <w:pPr>
              <w:spacing w:after="0"/>
              <w:rPr>
                <w:sz w:val="24"/>
                <w:szCs w:val="24"/>
                <w:color w:val="auto"/>
              </w:rPr>
            </w:pPr>
          </w:p>
        </w:tc>
        <w:tc>
          <w:tcPr>
            <w:tcW w:w="101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January 31, 2018 (unaudited) and April 30, 2017</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(unaudited) Nine Months Ended January 31, 2018 and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3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Operations and Comprehensive (Loss) Income (unaudited) Three Months Ended January 31,</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2018 and 2017</w:t>
              </w:r>
            </w:hyperlink>
          </w:p>
        </w:tc>
        <w:tc>
          <w:tcPr>
            <w:tcW w:w="8460" w:type="dxa"/>
            <w:vAlign w:val="bottom"/>
            <w:tcBorders>
              <w:top w:val="single" w:sz="8" w:color="0000EE"/>
            </w:tcBorders>
            <w:gridSpan w:val="8"/>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Nine Months Ended January 31, 2018 and 2017</w:t>
              </w:r>
            </w:hyperlink>
          </w:p>
        </w:tc>
        <w:tc>
          <w:tcPr>
            <w:tcW w:w="158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4"/>
              </w:rPr>
              <w:t>7-14</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Item 2</w:t>
              </w:r>
            </w:hyperlink>
          </w:p>
        </w:tc>
        <w:tc>
          <w:tcPr>
            <w:tcW w:w="9660" w:type="dxa"/>
            <w:vAlign w:val="bottom"/>
            <w:gridSpan w:val="13"/>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15-21</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3</w:t>
              </w:r>
            </w:hyperlink>
          </w:p>
        </w:tc>
        <w:tc>
          <w:tcPr>
            <w:tcW w:w="6620" w:type="dxa"/>
            <w:vAlign w:val="bottom"/>
            <w:tcBorders>
              <w:top w:val="single" w:sz="8" w:color="0000EE"/>
            </w:tcBorders>
            <w:gridSpan w:val="9"/>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 Quantitative and Qualitative Disclosures About Market Risk</w:t>
              </w:r>
            </w:hyperlink>
          </w:p>
        </w:tc>
        <w:tc>
          <w:tcPr>
            <w:tcW w:w="304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4</w:t>
              </w:r>
            </w:hyperlink>
          </w:p>
        </w:tc>
        <w:tc>
          <w:tcPr>
            <w:tcW w:w="190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 Controls and Procedures</w:t>
              </w:r>
            </w:hyperlink>
          </w:p>
        </w:tc>
        <w:tc>
          <w:tcPr>
            <w:tcW w:w="2580" w:type="dxa"/>
            <w:vAlign w:val="bottom"/>
            <w:tcBorders>
              <w:top w:val="single" w:sz="8" w:color="0000EE"/>
            </w:tcBorders>
          </w:tcPr>
          <w:p>
            <w:pPr>
              <w:spacing w:after="0"/>
              <w:rPr>
                <w:sz w:val="24"/>
                <w:szCs w:val="24"/>
                <w:color w:val="auto"/>
              </w:rPr>
            </w:pPr>
          </w:p>
        </w:tc>
        <w:tc>
          <w:tcPr>
            <w:tcW w:w="518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53"/>
        </w:trPr>
        <w:tc>
          <w:tcPr>
            <w:tcW w:w="1064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6</w:t>
              </w:r>
            </w:hyperlink>
          </w:p>
        </w:tc>
        <w:tc>
          <w:tcPr>
            <w:tcW w:w="9660" w:type="dxa"/>
            <w:vAlign w:val="bottom"/>
            <w:gridSpan w:val="13"/>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 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412"/>
        </w:trPr>
        <w:tc>
          <w:tcPr>
            <w:tcW w:w="500" w:type="dxa"/>
            <w:vAlign w:val="bottom"/>
          </w:tcPr>
          <w:p>
            <w:pPr>
              <w:spacing w:after="0"/>
              <w:rPr>
                <w:sz w:val="24"/>
                <w:szCs w:val="24"/>
                <w:color w:val="auto"/>
              </w:rPr>
            </w:pPr>
          </w:p>
        </w:tc>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894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1500"/>
        </w:trPr>
        <w:tc>
          <w:tcPr>
            <w:tcW w:w="5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920" w:type="dxa"/>
            <w:vAlign w:val="bottom"/>
          </w:tcPr>
          <w:p>
            <w:pPr>
              <w:ind w:left="188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8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592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20" w:type="dxa"/>
            <w:vAlign w:val="bottom"/>
          </w:tcPr>
          <w:p>
            <w:pPr>
              <w:jc w:val="center"/>
              <w:ind w:left="890"/>
              <w:spacing w:after="0"/>
              <w:rPr>
                <w:sz w:val="20"/>
                <w:szCs w:val="20"/>
                <w:color w:val="auto"/>
              </w:rPr>
            </w:pPr>
            <w:r>
              <w:rPr>
                <w:rFonts w:ascii="Arial" w:cs="Arial" w:eastAsia="Arial" w:hAnsi="Arial"/>
                <w:sz w:val="18"/>
                <w:szCs w:val="18"/>
                <w:color w:val="auto"/>
                <w:w w:val="88"/>
              </w:rPr>
              <w:t>Condensed Consolidated Balance Sheets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920" w:type="dxa"/>
            <w:vAlign w:val="bottom"/>
          </w:tcPr>
          <w:p>
            <w:pPr>
              <w:jc w:val="center"/>
              <w:ind w:left="890"/>
              <w:spacing w:after="0"/>
              <w:rPr>
                <w:sz w:val="20"/>
                <w:szCs w:val="20"/>
                <w:color w:val="auto"/>
              </w:rPr>
            </w:pPr>
            <w:r>
              <w:rPr>
                <w:rFonts w:ascii="Arial" w:cs="Arial" w:eastAsia="Arial" w:hAnsi="Arial"/>
                <w:sz w:val="18"/>
                <w:szCs w:val="18"/>
                <w:color w:val="auto"/>
                <w:w w:val="89"/>
              </w:rPr>
              <w:t>(In thousands except par value)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January 31,</w:t>
            </w: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920" w:type="dxa"/>
            <w:vAlign w:val="bottom"/>
            <w:vMerge w:val="restart"/>
          </w:tcPr>
          <w:p>
            <w:pPr>
              <w:jc w:val="center"/>
              <w:ind w:right="2110"/>
              <w:spacing w:after="0"/>
              <w:rPr>
                <w:sz w:val="20"/>
                <w:szCs w:val="20"/>
                <w:color w:val="auto"/>
              </w:rPr>
            </w:pPr>
            <w:r>
              <w:rPr>
                <w:rFonts w:ascii="Arial" w:cs="Arial" w:eastAsia="Arial" w:hAnsi="Arial"/>
                <w:sz w:val="18"/>
                <w:szCs w:val="18"/>
                <w:b w:val="1"/>
                <w:bCs w:val="1"/>
                <w:color w:val="auto"/>
                <w:w w:val="92"/>
              </w:rPr>
              <w:t>ASSETS: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8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$187 at January 31, 2018 and at April 30, 2017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Costs and estimated earnings in excess of billings,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3"/>
          </w:tcPr>
          <w:p>
            <w:pPr>
              <w:spacing w:after="0" w:line="201" w:lineRule="exact"/>
              <w:rPr>
                <w:sz w:val="20"/>
                <w:szCs w:val="20"/>
                <w:color w:val="auto"/>
              </w:rPr>
            </w:pPr>
            <w:r>
              <w:rPr>
                <w:rFonts w:ascii="Arial" w:cs="Arial" w:eastAsia="Arial" w:hAnsi="Arial"/>
                <w:sz w:val="18"/>
                <w:szCs w:val="18"/>
                <w:color w:val="auto"/>
              </w:rPr>
              <w:t>Property, plant and equipment, at cost, net of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3"/>
          </w:tcPr>
          <w:p>
            <w:pPr>
              <w:ind w:left="16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13,868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Goodwill and other intangible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ind w:left="3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104,341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113,319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Deferred rent and other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2"/>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25,690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Common stock - $1.00 par value; authorized 20,000 shares, 9,164 shares issued,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8,853 shares outstanding at January 31, 2018; 8,817 shares outstanding at April 30, 2017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12,449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77,902</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at cost (311 shares at January 31, 2018 and 347 shares at April 30, 2017)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(1,425)</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78,651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89,332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104,341</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7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Condensed Consolidated Statements of Operations</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31,932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28,060</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1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6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Operating loss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(8,995)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16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Loss before provision (benefit) for income taxes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(7,816)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Net loss from continuing operations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(10,566)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(11,263)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
        </w:trPr>
        <w:tc>
          <w:tcPr>
            <w:tcW w:w="3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Net loss per common share:</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Basic loss from continued operations</w:t>
            </w:r>
          </w:p>
        </w:tc>
        <w:tc>
          <w:tcPr>
            <w:tcW w:w="19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Basic loss from discontinued operations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Basic loss per share</w:t>
            </w: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Diluted loss from continued operations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Diluted loss from discontinued operations</w:t>
            </w: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Diluted loss per share</w:t>
            </w:r>
          </w:p>
        </w:tc>
        <w:tc>
          <w:tcPr>
            <w:tcW w:w="19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
        </w:trPr>
        <w:tc>
          <w:tcPr>
            <w:tcW w:w="3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Diluted</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1"/>
        </w:trPr>
        <w:tc>
          <w:tcPr>
            <w:tcW w:w="3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shd w:val="clear" w:color="auto" w:fill="CCEEFF"/>
              </w:rPr>
              <w:t>Condensed Consolidated Statements of Comprehensive Loss</w:t>
            </w:r>
          </w:p>
        </w:tc>
        <w:tc>
          <w:tcPr>
            <w:tcW w:w="2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top w:val="single" w:sz="8" w:color="CCEEFF"/>
            </w:tcBorders>
            <w:gridSpan w:val="3"/>
          </w:tcPr>
          <w:p>
            <w:pPr>
              <w:ind w:left="640"/>
              <w:spacing w:after="0"/>
              <w:rPr>
                <w:sz w:val="20"/>
                <w:szCs w:val="20"/>
                <w:color w:val="auto"/>
              </w:rPr>
            </w:pPr>
            <w:r>
              <w:rPr>
                <w:rFonts w:ascii="Arial" w:cs="Arial" w:eastAsia="Arial" w:hAnsi="Arial"/>
                <w:sz w:val="18"/>
                <w:szCs w:val="18"/>
                <w:color w:val="auto"/>
              </w:rPr>
              <w:t>Net loss</w:t>
            </w:r>
          </w:p>
        </w:tc>
        <w:tc>
          <w:tcPr>
            <w:tcW w:w="190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(11,263)</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Other comprehensive loss:</w:t>
            </w:r>
          </w:p>
        </w:tc>
        <w:tc>
          <w:tcPr>
            <w:tcW w:w="1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Unrealized (loss) gain on marketable securities:</w:t>
            </w:r>
          </w:p>
        </w:tc>
        <w:tc>
          <w:tcPr>
            <w:tcW w:w="1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3"/>
          </w:tcPr>
          <w:p>
            <w:pPr>
              <w:ind w:left="80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3"/>
          </w:tcPr>
          <w:p>
            <w:pPr>
              <w:ind w:left="1000"/>
              <w:spacing w:after="0"/>
              <w:rPr>
                <w:sz w:val="20"/>
                <w:szCs w:val="20"/>
                <w:color w:val="auto"/>
              </w:rPr>
            </w:pPr>
            <w:r>
              <w:rPr>
                <w:rFonts w:ascii="Arial" w:cs="Arial" w:eastAsia="Arial" w:hAnsi="Arial"/>
                <w:sz w:val="18"/>
                <w:szCs w:val="18"/>
                <w:color w:val="auto"/>
              </w:rPr>
              <w:t>reclassification, net of tax of $8 and ($112)</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net income, net of tax of $355 and $5</w:t>
            </w:r>
          </w:p>
        </w:tc>
        <w:tc>
          <w:tcPr>
            <w:tcW w:w="1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Total unrealized (loss) gain on marketable securities, net of tax</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Total other comprehensive (loss) income</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Comprehensive loss</w:t>
            </w:r>
          </w:p>
        </w:tc>
        <w:tc>
          <w:tcPr>
            <w:tcW w:w="1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7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Condensed Consolidated Statements of Operations</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9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13,424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1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6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Operating loss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(7,309)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Other expense:</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16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Loss before provision (benefit) for income taxes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(7,259)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Net loss from continuing operations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(10,107)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Net (loss) income</w:t>
            </w:r>
          </w:p>
        </w:tc>
        <w:tc>
          <w:tcPr>
            <w:tcW w:w="19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
        </w:trPr>
        <w:tc>
          <w:tcPr>
            <w:tcW w:w="3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Net loss per common share:</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Basic (loss) income from continued operations</w:t>
            </w:r>
          </w:p>
        </w:tc>
        <w:tc>
          <w:tcPr>
            <w:tcW w:w="19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Basic loss from discontinued operations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Basic (loss) income per share</w:t>
            </w: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Diluted (loss) income from continued operations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Diluted (loss) income from discontinued operations</w:t>
            </w: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Diluted (loss) income per share</w:t>
            </w:r>
          </w:p>
        </w:tc>
        <w:tc>
          <w:tcPr>
            <w:tcW w:w="19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3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Diluted</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1"/>
        </w:trPr>
        <w:tc>
          <w:tcPr>
            <w:tcW w:w="3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shd w:val="clear" w:color="auto" w:fill="CCEEFF"/>
              </w:rPr>
              <w:t>Condensed Consolidated Statements of Comprehensive Loss</w:t>
            </w:r>
          </w:p>
        </w:tc>
        <w:tc>
          <w:tcPr>
            <w:tcW w:w="2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top w:val="single" w:sz="8" w:color="CCEEFF"/>
            </w:tcBorders>
            <w:gridSpan w:val="3"/>
          </w:tcPr>
          <w:p>
            <w:pPr>
              <w:ind w:left="640"/>
              <w:spacing w:after="0"/>
              <w:rPr>
                <w:sz w:val="20"/>
                <w:szCs w:val="20"/>
                <w:color w:val="auto"/>
              </w:rPr>
            </w:pPr>
            <w:r>
              <w:rPr>
                <w:rFonts w:ascii="Arial" w:cs="Arial" w:eastAsia="Arial" w:hAnsi="Arial"/>
                <w:sz w:val="18"/>
                <w:szCs w:val="18"/>
                <w:color w:val="auto"/>
              </w:rPr>
              <w:t>Net (loss) income</w:t>
            </w:r>
          </w:p>
        </w:tc>
        <w:tc>
          <w:tcPr>
            <w:tcW w:w="190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(10,396)</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Other comprehensive income:</w:t>
            </w:r>
          </w:p>
        </w:tc>
        <w:tc>
          <w:tcPr>
            <w:tcW w:w="1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Unrealized (loss) gain on marketable securities:</w:t>
            </w:r>
          </w:p>
        </w:tc>
        <w:tc>
          <w:tcPr>
            <w:tcW w:w="1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3"/>
          </w:tcPr>
          <w:p>
            <w:pPr>
              <w:ind w:left="80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3"/>
          </w:tcPr>
          <w:p>
            <w:pPr>
              <w:ind w:left="1000"/>
              <w:spacing w:after="0"/>
              <w:rPr>
                <w:sz w:val="20"/>
                <w:szCs w:val="20"/>
                <w:color w:val="auto"/>
              </w:rPr>
            </w:pPr>
            <w:r>
              <w:rPr>
                <w:rFonts w:ascii="Arial" w:cs="Arial" w:eastAsia="Arial" w:hAnsi="Arial"/>
                <w:sz w:val="18"/>
                <w:szCs w:val="18"/>
                <w:color w:val="auto"/>
              </w:rPr>
              <w:t>reclassification, net of tax of $27 and ($161)</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net income, net of tax of $5 in 2017</w:t>
            </w:r>
          </w:p>
        </w:tc>
        <w:tc>
          <w:tcPr>
            <w:tcW w:w="1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Total unrealized (loss) gain on marketable securities, net of tax</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640"/>
              <w:spacing w:after="0"/>
              <w:rPr>
                <w:sz w:val="20"/>
                <w:szCs w:val="20"/>
                <w:color w:val="auto"/>
              </w:rPr>
            </w:pPr>
            <w:r>
              <w:rPr>
                <w:rFonts w:ascii="Arial" w:cs="Arial" w:eastAsia="Arial" w:hAnsi="Arial"/>
                <w:sz w:val="18"/>
                <w:szCs w:val="18"/>
                <w:color w:val="auto"/>
              </w:rPr>
              <w:t>Total other comprehensive loss</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Comprehensive (loss) income</w:t>
            </w:r>
          </w:p>
        </w:tc>
        <w:tc>
          <w:tcPr>
            <w:tcW w:w="1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 from continuing operations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Net loss from discontinued operations</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Non-cash charges to earnings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changes in operating assets and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provided by operating activities – continuing operations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 –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on redemption of marketable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(4,961)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 of fixed assets and other assets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provided by investing activities – continuing operations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 – discontinued operations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 benefit from exercise of 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Proceeds from credit line borrowings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Payment of credit line borrowings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provided by financing activities – continuing operations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financing activities –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Less cash and equivalents of discontinued operations at end of period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6,984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
        </w:trPr>
        <w:tc>
          <w:tcPr>
            <w:tcW w:w="83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Cash paid during the period for: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2018 and the results of its operations and cash flows for the nine and three months ended January 31, 2018 and January 31, 2017. The April 30, 2017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Company’s Annual Report on Form 10-K for the year ended April 30, 2017, filed on July 31, 2017, and the financial statements and notes thereto. The results of operations for such interim periods are not necessarily indicative of the operating results for the full fiscal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B – DISCONTINUED OPERATIONS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December 2016, the Company entered into a share purchase agreement with certain foreign counterparties with respect to a potential sale of Gillam-FEI (“Gillam”), the Company’s Belgian subsidiary. However, these counterparties have not yet performed their obligations under that agreement. Because the counterparties have failed to perform their obligations under the share purchase agreement the Company has a right to terminate that share purchase agreement. The Company continues to negotiate with these counterparties to effectuate a closing of the transaction contemplated by the share purchase agreement, but the Company is also discussing a sale of the Gillam business with other potential buyers. In April 2017, the Company decided to sell its Gillam business as soon as practicable, and began contacting potential buyers other than the counterparty to the stock purchase agreement. The Company believes that the divestment should be completed by the end of fiscal year 2018. Accordingly, the Company determined that the assets and liabilities of this reportable segment met the discontinued operations criteria in Accounting Standards Codification 205-20-45 for the year ended April 30, 2017, and Gillam’s results have been classified as discontinued operations in the accompanying Condensed Consolidated Statements of Operations and Comprehensive Loss.</w:t>
      </w:r>
    </w:p>
    <w:p>
      <w:pPr>
        <w:spacing w:after="0" w:line="1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Summarized operating results for the Gillam discontinued operations, for the three and nine months ended January 31, 2018 and 2017 respectively,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Nine months</w:t>
            </w: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rPr>
              <w:t>Periods ended January 31,</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1580" w:type="dxa"/>
            <w:vAlign w:val="bottom"/>
            <w:gridSpan w:val="3"/>
          </w:tcPr>
          <w:p>
            <w:pPr>
              <w:jc w:val="right"/>
              <w:ind w:right="290"/>
              <w:spacing w:after="0"/>
              <w:rPr>
                <w:sz w:val="20"/>
                <w:szCs w:val="20"/>
                <w:color w:val="auto"/>
              </w:rPr>
            </w:pPr>
            <w:r>
              <w:rPr>
                <w:rFonts w:ascii="Arial" w:cs="Arial" w:eastAsia="Arial" w:hAnsi="Arial"/>
                <w:sz w:val="18"/>
                <w:szCs w:val="18"/>
                <w:color w:val="auto"/>
                <w:w w:val="85"/>
              </w:rPr>
              <w:t>except par value)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3,707</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1,063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2,577</w:t>
            </w:r>
          </w:p>
        </w:tc>
        <w:tc>
          <w:tcPr>
            <w:tcW w:w="8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Margin</w:t>
            </w: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1,411</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(596)</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Investment (loss) income</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(599)</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(599)</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660"/>
              <w:spacing w:after="0"/>
              <w:rPr>
                <w:sz w:val="20"/>
                <w:szCs w:val="20"/>
                <w:color w:val="auto"/>
              </w:rPr>
            </w:pPr>
            <w:r>
              <w:rPr>
                <w:rFonts w:ascii="Arial" w:cs="Arial" w:eastAsia="Arial" w:hAnsi="Arial"/>
                <w:sz w:val="18"/>
                <w:szCs w:val="18"/>
                <w:color w:val="auto"/>
                <w:w w:val="97"/>
              </w:rPr>
              <w:t>The carrying amounts of assets and liabilities for the Gillam discontinued operations are as follows: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r>
      <w:tr>
        <w:trPr>
          <w:trHeight w:val="241"/>
        </w:trPr>
        <w:tc>
          <w:tcPr>
            <w:tcW w:w="8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6"/>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Accounts receivable, net of allowance for doubtful accounts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3,202</w:t>
            </w:r>
          </w:p>
        </w:tc>
      </w:tr>
      <w:tr>
        <w:trPr>
          <w:trHeight w:val="216"/>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w:t>
            </w:r>
          </w:p>
        </w:tc>
      </w:tr>
      <w:tr>
        <w:trPr>
          <w:trHeight w:val="223"/>
        </w:trPr>
        <w:tc>
          <w:tcPr>
            <w:tcW w:w="8360" w:type="dxa"/>
            <w:vAlign w:val="bottom"/>
          </w:tcPr>
          <w:p>
            <w:pPr>
              <w:ind w:left="24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23"/>
        </w:trPr>
        <w:tc>
          <w:tcPr>
            <w:tcW w:w="8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assets of discontinued operations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ind w:left="2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r>
      <w:tr>
        <w:trPr>
          <w:trHeight w:val="223"/>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360" w:type="dxa"/>
            <w:vAlign w:val="bottom"/>
          </w:tcPr>
          <w:p>
            <w:pPr>
              <w:ind w:left="460"/>
              <w:spacing w:after="0"/>
              <w:rPr>
                <w:sz w:val="20"/>
                <w:szCs w:val="20"/>
                <w:color w:val="auto"/>
              </w:rPr>
            </w:pPr>
            <w:r>
              <w:rPr>
                <w:rFonts w:ascii="Arial" w:cs="Arial" w:eastAsia="Arial" w:hAnsi="Arial"/>
                <w:sz w:val="18"/>
                <w:szCs w:val="18"/>
                <w:color w:val="auto"/>
              </w:rPr>
              <w:t>Total non-current assets of discontinued operations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r>
      <w:tr>
        <w:trPr>
          <w:trHeight w:val="22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360" w:type="dxa"/>
            <w:vAlign w:val="bottom"/>
          </w:tcPr>
          <w:p>
            <w:pPr>
              <w:ind w:left="460"/>
              <w:spacing w:after="0"/>
              <w:rPr>
                <w:sz w:val="20"/>
                <w:szCs w:val="20"/>
                <w:color w:val="auto"/>
              </w:rPr>
            </w:pPr>
            <w:r>
              <w:rPr>
                <w:rFonts w:ascii="Arial" w:cs="Arial" w:eastAsia="Arial" w:hAnsi="Arial"/>
                <w:sz w:val="18"/>
                <w:szCs w:val="18"/>
                <w:color w:val="auto"/>
              </w:rPr>
              <w:t>Total current liabilities of discontinued operations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r>
      <w:tr>
        <w:trPr>
          <w:trHeight w:val="223"/>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rent and other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360" w:type="dxa"/>
            <w:vAlign w:val="bottom"/>
          </w:tcPr>
          <w:p>
            <w:pPr>
              <w:ind w:left="460"/>
              <w:spacing w:after="0"/>
              <w:rPr>
                <w:sz w:val="20"/>
                <w:szCs w:val="20"/>
                <w:color w:val="auto"/>
              </w:rPr>
            </w:pPr>
            <w:r>
              <w:rPr>
                <w:rFonts w:ascii="Arial" w:cs="Arial" w:eastAsia="Arial" w:hAnsi="Arial"/>
                <w:sz w:val="18"/>
                <w:szCs w:val="18"/>
                <w:color w:val="auto"/>
              </w:rPr>
              <w:t>Total non-current liabilities of discontinued operations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C –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jc w:val="right"/>
              <w:ind w:right="1160"/>
              <w:spacing w:after="0" w:line="198" w:lineRule="exact"/>
              <w:rPr>
                <w:sz w:val="20"/>
                <w:szCs w:val="20"/>
                <w:color w:val="auto"/>
              </w:rPr>
            </w:pPr>
            <w:r>
              <w:rPr>
                <w:rFonts w:ascii="Arial" w:cs="Arial" w:eastAsia="Arial" w:hAnsi="Arial"/>
                <w:sz w:val="18"/>
                <w:szCs w:val="18"/>
                <w:b w:val="1"/>
                <w:bCs w:val="1"/>
                <w:color w:val="auto"/>
                <w:w w:val="90"/>
              </w:rPr>
              <w:t>Periods ended January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8,835,685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8,780,069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8,846,083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8,797,218</w:t>
            </w:r>
          </w:p>
        </w:tc>
      </w:tr>
      <w:tr>
        <w:trPr>
          <w:trHeight w:val="223"/>
        </w:trPr>
        <w:tc>
          <w:tcPr>
            <w:tcW w:w="5160" w:type="dxa"/>
            <w:vAlign w:val="bottom"/>
          </w:tcPr>
          <w:p>
            <w:pPr>
              <w:ind w:left="660"/>
              <w:spacing w:after="0"/>
              <w:rPr>
                <w:sz w:val="20"/>
                <w:szCs w:val="20"/>
                <w:color w:val="auto"/>
              </w:rPr>
            </w:pPr>
            <w:r>
              <w:rPr>
                <w:rFonts w:ascii="Arial" w:cs="Arial" w:eastAsia="Arial" w:hAnsi="Arial"/>
                <w:sz w:val="18"/>
                <w:szCs w:val="18"/>
                <w:color w:val="auto"/>
              </w:rPr>
              <w:t>Effect of dilutive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182,769</w:t>
            </w:r>
          </w:p>
        </w:tc>
      </w:tr>
      <w:tr>
        <w:trPr>
          <w:trHeight w:val="257"/>
        </w:trPr>
        <w:tc>
          <w:tcPr>
            <w:tcW w:w="5160" w:type="dxa"/>
            <w:vAlign w:val="bottom"/>
            <w:tcBorders>
              <w:bottom w:val="single" w:sz="8" w:color="CCEEFF"/>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Diluted</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8,835,685</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8,780,069</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8,846,083</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8,979,987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656"/>
        <w:spacing w:after="0" w:line="257" w:lineRule="auto"/>
        <w:tabs>
          <w:tab w:leader="none" w:pos="901"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nine and three month periods ended January 31, 2018, dilutive securities are excluded since the inclusion of such shares would be antidilutive due to the net loss for the periods. The exercisable shares excluded are 1,260,250. The effect of dilutive securities for the periods would have been 131,638 and 136,424, respectively. For the nine month period ended January 31, 2017, dilutive securities are excluded since the inclusion of such shares would be antidilutive due to the net loss for the period. The exercisable shares excluded are 1,261,875. The effect of dilutive securities for the period would have been 184,119.</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computation of diluted earnings per share in the three months ending January 31, 2017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1"/>
              </w:rPr>
              <w:t>Nine months</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gridSpan w:val="4"/>
          </w:tcPr>
          <w:p>
            <w:pPr>
              <w:jc w:val="right"/>
              <w:ind w:right="20"/>
              <w:spacing w:after="0" w:line="198" w:lineRule="exact"/>
              <w:rPr>
                <w:sz w:val="20"/>
                <w:szCs w:val="20"/>
                <w:color w:val="auto"/>
              </w:rPr>
            </w:pPr>
            <w:r>
              <w:rPr>
                <w:rFonts w:ascii="Arial" w:cs="Arial" w:eastAsia="Arial" w:hAnsi="Arial"/>
                <w:sz w:val="18"/>
                <w:szCs w:val="18"/>
                <w:b w:val="1"/>
                <w:bCs w:val="1"/>
                <w:color w:val="auto"/>
                <w:w w:val="90"/>
              </w:rPr>
              <w:t>Periods ended January 31,</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1380" w:type="dxa"/>
            <w:vAlign w:val="bottom"/>
          </w:tcPr>
          <w:p>
            <w:pPr>
              <w:ind w:left="50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812"/>
        </w:trPr>
        <w:tc>
          <w:tcPr>
            <w:tcW w:w="5160" w:type="dxa"/>
            <w:vAlign w:val="bottom"/>
          </w:tcPr>
          <w:p>
            <w:pPr>
              <w:spacing w:after="0"/>
              <w:rPr>
                <w:sz w:val="24"/>
                <w:szCs w:val="24"/>
                <w:color w:val="auto"/>
              </w:rPr>
            </w:pPr>
          </w:p>
        </w:tc>
        <w:tc>
          <w:tcPr>
            <w:tcW w:w="1380" w:type="dxa"/>
            <w:vAlign w:val="bottom"/>
          </w:tcPr>
          <w:p>
            <w:pPr>
              <w:ind w:left="520"/>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D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2018 and April 30, 2017, costs and estimated earnings in excess of billings, net,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January 31, 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2017</w:t>
            </w:r>
          </w:p>
        </w:tc>
        <w:tc>
          <w:tcPr>
            <w:tcW w:w="12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8,890</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nine and three months ended January 31, 2018, revenue recognized under percentage of completion contracts was approximately $13.7 million and $2.8 million, respectively. During the nine and three months ended January 31, 2017, such revenue was approximately $19.5 million and $7.1 million, respectively. If contract losses are anticipated, costs and estimated earnings in excess of billings are reduced for the full amount of such losses when they are determinable.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E – TREASURY STOCK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and three months period ended January 31, 2018, the Company made contributions of 32,757 shares and 7,487 shares, respectively, of its common stock held in treasury to the Company’s profit sharing plan and trust under Section 401(k) of the Internal Revenue Code. Such contributions are in accordance with the Company’s discretionary match of employee voluntary contributions to this plan. During the nine months ended January 31, 2018, the Company issued 3,711 shares from treasury upon the exercise of SARS by certain officers and employees of the Company and employee awards for service calculated at the Company’s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F –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31, 2018</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30, 2017</w:t>
            </w:r>
          </w:p>
        </w:tc>
      </w:tr>
      <w:tr>
        <w:trPr>
          <w:trHeight w:val="216"/>
        </w:trPr>
        <w:tc>
          <w:tcPr>
            <w:tcW w:w="5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7,340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4,009</w:t>
            </w:r>
          </w:p>
        </w:tc>
      </w:tr>
      <w:tr>
        <w:trPr>
          <w:trHeight w:val="27"/>
        </w:trPr>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25,899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29,051</w:t>
            </w:r>
          </w:p>
        </w:tc>
      </w:tr>
      <w:tr>
        <w:trPr>
          <w:trHeight w:val="21"/>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January 31, 2018 and April 30, 2017, approximately $24.8 million and $28.2 million, respectively, of total inventory is located in the United States and $1.1 million and $0.8 million, respectively, is located in China. The Company buys inventory in bulk quantities which may be used over significant time periods; due to its nature the inventory does not deteriorate.</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$5.0 million inventory write down recorded in the current fiscal quarter ending January 31, 2018 was taken in anticipation of the enforcement of recent mandates by European and U.S. space governing agencies restricting the use of older space qualified materials. In addition the Company anticipates the rate of use of other identified legacy space parts will decline due to obsolescence and evolution of current designs.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w:t>
      </w:r>
    </w:p>
    <w:p>
      <w:pPr>
        <w:spacing w:after="0" w:line="252" w:lineRule="exact"/>
        <w:rPr>
          <w:sz w:val="20"/>
          <w:szCs w:val="20"/>
          <w:color w:val="auto"/>
        </w:rPr>
      </w:pPr>
    </w:p>
    <w:p>
      <w:pPr>
        <w:jc w:val="both"/>
        <w:ind w:left="860" w:hanging="487"/>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208" w:lineRule="exact"/>
        <w:rPr>
          <w:rFonts w:ascii="Arial" w:cs="Arial" w:eastAsia="Arial" w:hAnsi="Arial"/>
          <w:sz w:val="18"/>
          <w:szCs w:val="18"/>
          <w:color w:val="auto"/>
        </w:rPr>
      </w:pPr>
    </w:p>
    <w:p>
      <w:pPr>
        <w:jc w:val="both"/>
        <w:ind w:left="860" w:hanging="487"/>
        <w:spacing w:after="0" w:line="286"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FEI-NY segment also includes the operations of the Company’s wholly-owned subsidiaries, FEI-Elcom and FEI-Asia. FEI-Asia functions as a manufacturing facility for the FEI-NY segment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Nine months</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2"/>
              </w:rPr>
              <w:t>Periods ended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7"/>
          </w:tcPr>
          <w:p>
            <w:pPr>
              <w:jc w:val="right"/>
              <w:ind w:right="780"/>
              <w:spacing w:after="0" w:line="198" w:lineRule="exact"/>
              <w:rPr>
                <w:sz w:val="20"/>
                <w:szCs w:val="20"/>
                <w:color w:val="auto"/>
              </w:rPr>
            </w:pPr>
            <w:r>
              <w:rPr>
                <w:rFonts w:ascii="Arial" w:cs="Arial" w:eastAsia="Arial" w:hAnsi="Arial"/>
                <w:sz w:val="18"/>
                <w:szCs w:val="18"/>
                <w:b w:val="1"/>
                <w:bCs w:val="1"/>
                <w:color w:val="auto"/>
                <w:w w:val="88"/>
              </w:rPr>
              <w:t>January 31,</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22,184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6,444</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12,378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31,932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34,411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11,383</w:t>
            </w:r>
          </w:p>
        </w:tc>
        <w:tc>
          <w:tcPr>
            <w:tcW w:w="0" w:type="dxa"/>
            <w:vAlign w:val="bottom"/>
          </w:tcPr>
          <w:p>
            <w:pPr>
              <w:spacing w:after="0"/>
              <w:rPr>
                <w:sz w:val="1"/>
                <w:szCs w:val="1"/>
                <w:color w:val="auto"/>
              </w:rPr>
            </w:pPr>
          </w:p>
        </w:tc>
      </w:tr>
      <w:tr>
        <w:trPr>
          <w:trHeight w:val="21"/>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(11,312)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(8,554)</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Consolidated operating loss</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(8,995)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(7,309)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1"/>
              </w:rPr>
              <w:t>January 31, 2018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4"/>
              </w:rPr>
              <w:t>April 30, 2017</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Identifiable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FEI-NY (approximately $1.9 and $1.7 million in China)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56,050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64,828</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10,427</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intersegment balances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(11,992)</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51,537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50,056</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Consolidated identifiable assets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104,341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113,319</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 During the nine months ended January 31, 2018 and 2017, the Company acquired product from Morion in the aggregate amount of approximately $279,000 and $249,000, respectively, and the Company sold product and training services to Morion in the aggregate amount of approximately $192,000 and $10,000, respectively. (See discussion of revenues recognized under the license agreement in the paragraph below.) During the three months ended January 31, 2018 and 2017, the Company acquired product from Morion in the aggregate amount of approximately $108,000 and $45,000, respectively, and the Company sold product and training services to Morion in the aggregate amount of approximately $9,000 for the same period in 2018. The Company did not have sales of product nor training services to Morion for the three months ended January 31, 2017. At January 31, 2018, approximately $38,000 was payable to Morion. At January 31, 2018 there was no receivable related to Morion. During the nine months ended January 31, 2018 and 2017, the Company received a dividend from Morion in the amount of approximately $85,000 and $100,000, respectively.</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fiscal year ended April 30, 2016, sales to Morion included $375,000 for product and training services under this agreement. Per the amended agreement, the balance of $1 million for the transfer of the license will be due once the United States Department of State (the “State Department”) approves the removal of certain provisions of the original agreement. The State Department has approved the technology transfer called for under the agreement.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29, 2016, the Company renegotiated the $1 million amendment under the original agreement dated October 22, 2012 to $602,000 due to the U.S. Government easing of export regulations. Of this amount $392,500 was billed and paid during fiscal year 2016 and the balance of $210,000 was billed during fiscal year 2017 and was subsequently collected. During the nine months ended January 31, 2018 and 2017, sales to Morion include $192,000 and $10,000, respectively, under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2018 and April 30, 2017, respectively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January 31, 2018</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7"/>
                <w:szCs w:val="17"/>
                <w:color w:val="auto"/>
              </w:rPr>
            </w:pPr>
          </w:p>
        </w:tc>
        <w:tc>
          <w:tcPr>
            <w:tcW w:w="12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1020" w:type="dxa"/>
            <w:vAlign w:val="bottom"/>
          </w:tcPr>
          <w:p>
            <w:pPr>
              <w:ind w:left="420"/>
              <w:spacing w:after="0"/>
              <w:rPr>
                <w:sz w:val="20"/>
                <w:szCs w:val="20"/>
                <w:color w:val="auto"/>
              </w:rPr>
            </w:pPr>
            <w:r>
              <w:rPr>
                <w:rFonts w:ascii="Arial" w:cs="Arial" w:eastAsia="Arial" w:hAnsi="Arial"/>
                <w:sz w:val="18"/>
                <w:szCs w:val="18"/>
                <w:b w:val="1"/>
                <w:bCs w:val="1"/>
                <w:color w:val="auto"/>
                <w:w w:val="93"/>
              </w:rPr>
              <w:t>Losses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tcBorders>
              <w:top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6,275</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6,275</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3"/>
              </w:rPr>
              <w:t>April 30, 2017</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7"/>
                <w:szCs w:val="17"/>
                <w:color w:val="auto"/>
              </w:rPr>
            </w:pPr>
          </w:p>
        </w:tc>
        <w:tc>
          <w:tcPr>
            <w:tcW w:w="12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1,516</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1,248</w:t>
            </w:r>
          </w:p>
        </w:tc>
        <w:tc>
          <w:tcPr>
            <w:tcW w:w="4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6,239</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6,746</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80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20" w:type="dxa"/>
            <w:vAlign w:val="bottom"/>
          </w:tcPr>
          <w:p>
            <w:pPr>
              <w:jc w:val="right"/>
              <w:ind w:right="222"/>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Unrealized</w:t>
            </w: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January 31, 2018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3"/>
              </w:rPr>
              <w:t>Fixed Income Securities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(81)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2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April 30, 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3"/>
              </w:rPr>
              <w:t>Fixed Income Securities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2018 are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January 31, 2018 the Company sold or redeemed available-for-sale securities in the amounts of $6.5 million, realizing gains of approximately $1 million. During the nine months ended January 31, 2017, the Company sold or redeemed available-for-sale securities in the amount $3.9 million, realizing gains of approximately $14,000.</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January 31, 2018 are as follows, at cost (in thousands):</w:t>
      </w:r>
    </w:p>
    <w:p>
      <w:pPr>
        <w:spacing w:after="0" w:line="24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1 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860" w:hanging="11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860" w:hanging="11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860" w:hanging="11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Inputs that are derived principally from or corroborated by observable market data by correlation or other  means.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(the “FASB”) issued Accounting Standards Update (“ASU”) 2017-04, </w:t>
      </w:r>
      <w:r>
        <w:rPr>
          <w:rFonts w:ascii="Arial" w:cs="Arial" w:eastAsia="Arial" w:hAnsi="Arial"/>
          <w:sz w:val="17"/>
          <w:szCs w:val="17"/>
          <w:i w:val="1"/>
          <w:iCs w:val="1"/>
          <w:color w:val="auto"/>
        </w:rPr>
        <w:t>Intangibles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and Other (Topic 350): Simplifying the Test for Goodwill Impairment </w:t>
      </w:r>
      <w:r>
        <w:rPr>
          <w:rFonts w:ascii="Arial" w:cs="Arial" w:eastAsia="Arial" w:hAnsi="Arial"/>
          <w:sz w:val="17"/>
          <w:szCs w:val="17"/>
          <w:color w:val="auto"/>
        </w:rPr>
        <w:t>(“ASU 2017-04”), which simplifies how an entity is required to test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which clarifies how certain cash receipts and payments should be presented in the statement of cash flows. The guidance is effective for fiscal years beginning after December 15, 2017 and early adoption is permitted. The update is not expected to have a material impact on the financial statements when it becomes effective in the first quarter of fiscal year 2019.</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generally accepted accounting principles (“GAAP”)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methodology that reflects expected credit 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year 2021.</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ASU 2016-02 are effective for fiscal years beginning after December 31, 2018 and early adoption is permitted. While the Company is currently evaluating the impact of this standard on its consolidated financial statements, the Company has minimal leases and expects that when adopted, beginning in fiscal year 2019, the new standard will have an immaterial effect on the Company’s financials.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May 2014, the FASB issued ASU No.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(“ASU 2014-09”)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ASU 2014-09. ASU 2014-09 is effective for public companies for annual reporting periods beginning on or after December 15, 2017, and the Company, must adopt the ASU on May 1, 2018, for fiscal year 2019. The Company is currently evaluating the impact that ASU 2014-09 may have on its financial statements when the statement is adopted for its fiscal year 2019. The Company has completed an evaluation based upon our various contract types. If ASU 2014-09 does require adjustments to be made to the Company’s revenue recognition, the Company expects that the initial prospective adjustments to retained earnings required to bring its financial statements into compliance may be material. While future differences, if any, between current GAAP accounting and under ASU 2014-09 are not expected to be material, the differences will depend on the timing of transactions in any single reporting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30, 2017, the Company repaid the principal balance due on its credit facility, dated June 6, 2013, with JPMorgan Chase Bank, N.A. Subsequently, the Company voluntarily terminated this credit facility with JPMorgan Chase Bank, N.A to reduce the fees and expenses associated with maintaining that facility. The Company did not incur any early termination fees associated with its voluntary termination of this credit facility. If, in the future, the Company determines that it would be beneficial to have a credit facility in place, the Company believes that alternative facilities are available. As at January 31, 2018, the Company had available credit at variable terms based on its securities holdings under an advisory arrangement, under which no borrowings have been made.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The carrying value of the Company’s net deferred tax assets, assumes that the Company will be able to generate sufficient future taxable income in certain jurisdictions, based on estimates and assumptions. If these estimates and assumptions change in the future, the Company may be required to record additional valuation allowances against its deferred tax assets resulting in additional income tax expense in the consolidated statement of operations, or conversely, to further reduce its existing valuation allowance resulting in less income tax expense. The Company evaluates the realizability of deferred tax assets and assesses the need for additional valuation allowance quarterly. The valuation allowance of approximately $6.8 million as of January 31, 2018 is intended to provide for uncertainty regarding the ultimate realization of U.S. state investment credits carryovers, and foreign net operating loss and tax credit carryovers.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22, 2017, the Tax Cuts and Jobs Act (the “TCJA” or the “Tax Act”) was enacted into law. The Tax Act makes comprehensive changes to the U.S. tax code, including, but not limited to: (1) reducing the U.S. federal corporate tax rate from 35% to 21%; (2) changing the rules related to uses and limitations of net operating loss (“NOLs”) carryforwards created in tax years beginning after December 31, 2017 as well as the repeal of the current carryback provisions for NOLs arising in tax years ending after December 31, 2017; (3) immediate full expensing of certain qualified property; (4) creation of a new limitation on deductible interest expense; (5) elimination of the corporate minimum tax and (6) repeal of the deduction for income attributable to domestic production activities.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ASC 740, “Income Taxes”, the Company is required to record the effects of tax law changes in the period enacted. During the three months ended January 31, 2018, we revalued our U.S. deferred tax assets at the lower federal corporate tax rate of 21%, which resulted in a noncash charge to income tax expense of approximately $4.8 million. For fiscal year taxpayers, the rate change is administratively effective at the beginning of the Company’s fiscal year, using a blended rate for the annual period. As such, the Company’s blended U.S. statutory tax rate for fiscal 2018 is approximately 29.7%. However, our U.S. deferred tax assets inclusive of the fiscal 2018 tax losses will be realized in future tax years at the lower corporate tax rate of 21%.</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 issued Staff Accounting Bulletin (“SAB”) 118, which provides guidance on accounting for the tax effects of the TCJA. SAB 118 provides a measurement period that should not extend beyond one year from the TCJA enactment date for companies to complete the accounting under ASC 740. To the extent that a company’s accounting for certain income tax effects of the TCJA is incomplete but is able to determine a reasonable estimate, it must record a provisional estimate in the financial statements. We have recorded a provisional reduction to our U.S. deferred tax assets to reflect the new U.S. federal corporate tax rate.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1933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its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after the date such statement was first made.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significant accounting policies are described in Note 1 to the consolidated financial statements included in the Company’s Annual Report on Form 10-K for the year ended April 30, 2017, filed on July 31, 2017.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the full amount of anticipated losses on contracts are made in the period in which they become determinable.</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expensed as incurred.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income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2018 and 2017 (which end on April 30, 2018 and 2017, respectively) the percentage of consolidated revenues represented by certain items in the Company’s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3"/>
              </w:rPr>
              <w:t>Nine months</w:t>
            </w: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4"/>
              </w:rPr>
              <w:t>Three months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Periods ended January 31,</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FEI-Zyfer</w:t>
            </w:r>
          </w:p>
        </w:tc>
        <w:tc>
          <w:tcPr>
            <w:tcW w:w="1320" w:type="dxa"/>
            <w:vAlign w:val="bottom"/>
          </w:tcPr>
          <w:p>
            <w:pPr>
              <w:jc w:val="right"/>
              <w:spacing w:after="0"/>
              <w:rPr>
                <w:sz w:val="20"/>
                <w:szCs w:val="20"/>
                <w:color w:val="auto"/>
              </w:rPr>
            </w:pPr>
            <w:r>
              <w:rPr>
                <w:rFonts w:ascii="Arial" w:cs="Arial" w:eastAsia="Arial" w:hAnsi="Arial"/>
                <w:sz w:val="18"/>
                <w:szCs w:val="18"/>
                <w:color w:val="auto"/>
              </w:rPr>
              <w:t>38.8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27.5</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42.7</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68.6</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Gross margin</w:t>
            </w: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loss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income, net</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from continued operations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(33.1)</w:t>
            </w:r>
          </w:p>
        </w:tc>
        <w:tc>
          <w:tcPr>
            <w:tcW w:w="4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(95.7)</w:t>
            </w:r>
          </w:p>
        </w:tc>
        <w:tc>
          <w:tcPr>
            <w:tcW w:w="4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assets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4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4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60"/>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w w:val="91"/>
              </w:rPr>
              <w:t>Periods ended January 31,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Segment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(4,992)</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(3,017)</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2,905</w:t>
            </w:r>
          </w:p>
        </w:tc>
        <w:tc>
          <w:tcPr>
            <w:tcW w:w="3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3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(2,238)</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r>
      <w:tr>
        <w:trPr>
          <w:trHeight w:val="27"/>
        </w:trPr>
        <w:tc>
          <w:tcPr>
            <w:tcW w:w="20" w:type="dxa"/>
            <w:vAlign w:val="bottom"/>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31,932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34,411</w:t>
            </w:r>
          </w:p>
        </w:tc>
        <w:tc>
          <w:tcPr>
            <w:tcW w:w="2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(2,479)</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11,383</w:t>
            </w:r>
          </w:p>
        </w:tc>
        <w:tc>
          <w:tcPr>
            <w:tcW w:w="140" w:type="dxa"/>
            <w:vAlign w:val="bottom"/>
          </w:tcPr>
          <w:p>
            <w:pPr>
              <w:spacing w:after="0"/>
              <w:rPr>
                <w:sz w:val="18"/>
                <w:szCs w:val="18"/>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(811)</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nine months ended January 31, 2018, revenues from commercial and U.S. Government satellite programs decreased approximately $5.4 million over the same period of fiscal year 2017, and accounted for approximately 36% of consolidated revenues compared to approximately 49% in fiscal 2017. Revenues on these contracts are recognized primarily under the percentage of completion method. Revenues from the satellite market are recorded in the FEI-NY segment. Revenues from non-space U.S. Government/Department of Defense (“DOD”) customers, which are recorded in both the FEI-NY and FEI-Zyfer segments, increased $1.0 million over the same period of fiscal 2017, and accounted for approximately 44% of consolidated revenues compared to approximately 37% in fiscal 2017. Other commercial and industrial revenues in the fiscal year 2018 period accounted for approximately 20% of consolidated revenues compared to 14% in the prior year. Intersegment revenues are eliminated in consolidation.</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months ended January 31, 2018 revenues from commercial and U.S. Government satellite programs decreased approximately $3.8 million over the same period of fiscal year 2017, and accounted for approximately 23% of consolidated revenues compared to approximately 55% in fiscal 2017. Revenues from non-space U.S. Government/DOD customers, which are recorded in both the FEI-NY and FEI-Zyfer segments, increased $2.3 million over the same period of fiscal 2017, and accounted for approximately 59% of consolidated revenues compared to approximately 34% in fiscal 2017. Other commercial and industrial revenues for the three months ended January 31, 2017 accounted for approximately 18% of consolidated revenues compared to 11% in the prior year.</w:t>
      </w:r>
    </w:p>
    <w:p>
      <w:pPr>
        <w:spacing w:after="0" w:line="193"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color w:val="auto"/>
        </w:rPr>
        <w:t>Based on current backlog, satellite payload revenue for FY2018 is expected to be lower when compared to FY2017, both in total revenue and as a percent of overall revenue. The Company anticipates a significant increase in satellite related bookings and accordingly, with increasing revenues to follow in the coming fiscal year. For the foreseeable future satellite payloads will continue to be a major business area for the Company and represent a significant portion of the company’s overall revenue. Revenues from non-space programs are also anticipated to increase in the coming fiscal year as a result of bids either in progress or from proposals previously submitted.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0"/>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rPr>
              <w:t>Periods ended January 31,</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8"/>
              </w:rPr>
              <w:t>(6,949)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(64.2)%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(6,119)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30"/>
        </w:trPr>
        <w:tc>
          <w:tcPr>
            <w:tcW w:w="20" w:type="dxa"/>
            <w:vAlign w:val="bottom"/>
          </w:tcPr>
          <w:p>
            <w:pPr>
              <w:spacing w:after="0"/>
              <w:rPr>
                <w:sz w:val="20"/>
                <w:szCs w:val="20"/>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nine and three month period ended January 31, 2017 gross margin and gross margin rate decreased over the same period in fiscal 2017. The gross margin and gross margin rate decrease is primarily due to a $5.0 million inventory write downs, lower revenues, increased repair costs and unabsorbed manufacturing overhead costs.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Three months</w:t>
            </w: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50"/>
        </w:trPr>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January 31, 2018 and 2017, selling and administrative (“SG&amp;A”) expenses were approximately 24% and 25%, respectively, of consolidated revenues. For the three months periods ended January 31, 2018 and 2017, SG&amp;A expenses were approximately 26% and 25% respectively, of consolidated revenues. The majority of the reduction occurred in corporate deferred compensation expense, professional fees, and stock option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Periods ended January 31,</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239</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371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(“R&amp;D”) expenditures represent investments intended to keep the Company’s products at the leading edge of time and frequency technology and enhance future competitiveness. The R&amp;D rate for the nine month period ending January 31, 2018 was 16% compared to 14% of sales for the same period of the previous fiscal year. The R&amp;D rate for the three month period ending January 31, 2018 was 16% compared to 12% of sales for the same period of the previous fiscal year. The Company expects the level of activity related to R&amp;D to continue through the current year and beyond to address new large opportunities in secure communications/command and control applications, next generation satellite payload product and additional DOD and commercial markets.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98"/>
              </w:rPr>
              <w:t>Periods ended January 31,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4"/>
              </w:rPr>
              <w:t>(6,501)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260.7%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(6,405)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708.5%</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reported approximately $8.3 million of non-cash charges to earnings compared to $3.8 million of non-cash charges, during the nine months ended January 31, 2018 and 2017 respectively. The nine and three month periods ending January 31, 2018 include a $5.0 million inventory write down. The Company recorded decreased revenue, gross margin, and gross margin rate in the three months ending January 31, 2018 leading to increased losses for the nine months ending January 31, 2018 compared to the same periods of the preceding fiscal year.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60"/>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Nine months</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Three months</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91"/>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(68.9)%</w:t>
            </w: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(47.9)%</w:t>
            </w: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these securities may vary based on fluctuating interest rates, dividend payout levels, and the timing of purchases or sales of securities. For the three months ending January 31, 2018 investment income was lower than in the same period of fiscal year 2017, mainly due to in the quarter ending July 31, 2017 the Company divested of all its holdings in equities securities in its investment account, which were converted to cash. The Company has re-invested approximately $4.9 million of the cash generated from the sale of equities into fixed income securities. As a result, the Company recorded gains of approximately $1.0 million during the three months ended July 31, 2017 as compared to no gain or loss in the same period of fiscal year 2017.</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interest expense for the nine months ended January 31, 2017 compared to the same period of fiscal year 2017 is the result of there being no credit line borrowings during the nine months ending January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4"/>
          </w:tcPr>
          <w:p>
            <w:pPr>
              <w:spacing w:after="0"/>
              <w:rPr>
                <w:sz w:val="20"/>
                <w:szCs w:val="20"/>
                <w:color w:val="auto"/>
              </w:rPr>
            </w:pPr>
            <w:r>
              <w:rPr>
                <w:rFonts w:ascii="Arial" w:cs="Arial" w:eastAsia="Arial" w:hAnsi="Arial"/>
                <w:sz w:val="18"/>
                <w:szCs w:val="18"/>
                <w:b w:val="1"/>
                <w:bCs w:val="1"/>
                <w:color w:val="auto"/>
              </w:rPr>
              <w:t>Income tax (benefit)</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Nine months</w:t>
            </w: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rPr>
              <w:t>Periods ended January 31,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2018</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4,142</w:t>
            </w:r>
          </w:p>
        </w:tc>
        <w:tc>
          <w:tcPr>
            <w:tcW w:w="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NM%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4,036</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NM%</w:t>
            </w:r>
          </w:p>
        </w:tc>
      </w:tr>
      <w:tr>
        <w:trPr>
          <w:trHeight w:val="202"/>
        </w:trPr>
        <w:tc>
          <w:tcPr>
            <w:tcW w:w="20" w:type="dxa"/>
            <w:vAlign w:val="bottom"/>
          </w:tcPr>
          <w:p>
            <w:pPr>
              <w:spacing w:after="0"/>
              <w:rPr>
                <w:sz w:val="17"/>
                <w:szCs w:val="17"/>
                <w:color w:val="auto"/>
              </w:rPr>
            </w:pPr>
          </w:p>
        </w:tc>
        <w:tc>
          <w:tcPr>
            <w:tcW w:w="2420" w:type="dxa"/>
            <w:vAlign w:val="bottom"/>
            <w:gridSpan w:val="3"/>
          </w:tcPr>
          <w:p>
            <w:pPr>
              <w:spacing w:after="0" w:line="201" w:lineRule="exact"/>
              <w:rPr>
                <w:sz w:val="20"/>
                <w:szCs w:val="20"/>
                <w:color w:val="auto"/>
              </w:rPr>
            </w:pPr>
            <w:r>
              <w:rPr>
                <w:rFonts w:ascii="Arial" w:cs="Arial" w:eastAsia="Arial" w:hAnsi="Arial"/>
                <w:sz w:val="18"/>
                <w:szCs w:val="18"/>
                <w:color w:val="auto"/>
              </w:rPr>
              <w:t>Effective tax rate on pre-tax</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40" w:type="dxa"/>
            <w:vAlign w:val="bottom"/>
            <w:gridSpan w:val="4"/>
          </w:tcPr>
          <w:p>
            <w:pPr>
              <w:spacing w:after="0"/>
              <w:rPr>
                <w:sz w:val="20"/>
                <w:szCs w:val="20"/>
                <w:color w:val="auto"/>
              </w:rPr>
            </w:pPr>
            <w:r>
              <w:rPr>
                <w:rFonts w:ascii="Arial" w:cs="Arial" w:eastAsia="Arial" w:hAnsi="Arial"/>
                <w:sz w:val="18"/>
                <w:szCs w:val="18"/>
                <w:color w:val="auto"/>
              </w:rPr>
              <w:t>book income:</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recorded a provisional reduction to our U.S. deferred tax assets to reflect the new U.S. federal corporate tax rate. As a result, income tax expense for the three months ended January 31, 2018 includes a discrete income tax expense of approximately $4.8 million for the reduction in our net deferred tax assets.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effective tax rate for the nine months ended January 31,2018 was (35.2) % compared to 63.7% in the nine months ended January 31, 2017. For the three months ended January 31, 2018 and 2017, the effective tax rates were (39.2) % and 147%, respectively. The current year effective tax rate primarily reflects the impact of the TCJA, deductible permanent differences and R&amp;D credits included in the computation of U.S. federal and state income taxes.</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change in the effective tax rates in the nine and three months ended January 31, 2018 compared to prior periods is primarily due to changes in the earnings mix between U.S. and non-domestic operations, and discrete deferred income tax provisions related to the enactment of the TCJA and stock compensation in connection with the adoption of ASU 2016-09 in the first quarter of fiscal 2018. The new guidance requires all of the tax effects related to stock compensation be recorded discretely through income tax expense. Consequently, for the nine months ended January 31, 2018, the Company recorded a continuing operations income tax provision of $2,750, which includes a current year tax benefit of $2,255 which is reduced by a discrete income tax provision of $5,005. For the three months ended January 31, 2018, the Company recorded an income tax provision of $2,848, which includes a current tax benefit of $2,085 which is reduced by a discrete income tax provision of $4,933.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Nine months</w:t>
            </w: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w w:val="99"/>
              </w:rPr>
              <w:t>Periods ended January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(247)</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NM%</w:t>
            </w: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above table represents the net loss for the Gillam segment accounted for as discontinued operations as presented in Note B to the financial statements. For the 9 months ended January 31, 2018, as compared to the same periods of fiscal year 2017, gross margin decreased approximately 18%. SG&amp;A expenses and R&amp;D expenses decreased by approximately $126,000 and $19,000 respectively, compared to the prior fiscal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$53.9 million at January 31, 2018 and $61.7 million at April 30, 2017. Included in working capital at January 31, 2018 and April 30 2017, is $13.2 million and $10.0 million, respectively, consisting of cash, cash equivalents, and marketable securities. The Company’s current ratio at January 31, 2018 is 7.1 to 1.</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provided by operations for the nine months ended January 31, 2018 were $2.8 million compared to $1.5 million in the comparable fiscal year 2017 period. The increase cash flow in the fiscal year 2018 period resulted primarily from an increase in accounts receivable collections, compared to the balances as of the end of the previous fiscal year. For the nine-month periods ended January 31, 2018 and 2017, the Company incurred approximately $8.3 million and $3.8 million, respectively, of non-cash operating expenses including depreciation and amortization, inventory reserve adjustments, accruals for employee benefit programs and gain on sale of marketable securities.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investing activities for the nine months ended January 31, 2018, was $0.5 million compared to $85,000 in the same period of fiscal year 2017. During the fiscal year 2018 period, marketable securities were sold or redeemed in the amount of $6.5 million compared to $3.9 million of such redemptions during the fiscal year 2017 period. For the fiscal year 2018, $5.0 million of marketable securities were purchased. There were no marketable securities purchased for the same period in 2017. In the nine months ended January 31, 2018 and 2017, the Company acquired property, plant and equipment in the amount of approximately $1.0 million and $3.7 million, respectively. The Company may continue to invest cash equivalents as dictated by its investment and acquisition strategies.</w:t>
      </w:r>
    </w:p>
    <w:p>
      <w:pPr>
        <w:spacing w:after="0" w:line="193" w:lineRule="exact"/>
        <w:rPr>
          <w:sz w:val="20"/>
          <w:szCs w:val="20"/>
          <w:color w:val="auto"/>
        </w:rPr>
      </w:pPr>
    </w:p>
    <w:p>
      <w:pPr>
        <w:jc w:val="both"/>
        <w:ind w:firstLine="646"/>
        <w:spacing w:after="0" w:line="264" w:lineRule="auto"/>
        <w:rPr>
          <w:sz w:val="20"/>
          <w:szCs w:val="20"/>
          <w:color w:val="auto"/>
        </w:rPr>
      </w:pPr>
      <w:r>
        <w:rPr>
          <w:rFonts w:ascii="Arial" w:cs="Arial" w:eastAsia="Arial" w:hAnsi="Arial"/>
          <w:sz w:val="18"/>
          <w:szCs w:val="18"/>
          <w:color w:val="auto"/>
        </w:rPr>
        <w:t>Net cash provided by financing activities for the nine months ended January 31, 2018 and 2017 was $1,000 compared to approximately $6.0 million used in financing activities. During the three months ended January 31, 2017, the Company repaid the Note payable of $6 million related to the Line of Credit with JPMorgan that has subsequently been terminated.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January 31, 2018, the Company has repurchased approximately $4 million of its common stock out of the $5 million authorization. For the nine months ended January 31, 2018 and 2017, there were no repurchase of shares.</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profitability. During fiscal year 2017, the Company secured partial customer funding for a portion of its R&amp;D efforts. The customer funds received in connection therewith appear in revenues and are not included in R&amp;D expenses. For fiscal year 2018, the Company anticipates securing additional customer funding for a portion of its research and development activities, and will allocate internal funds depending on market conditions and identification of new opportunities as in fiscal year 2017. The Company expects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January 31, 2018, the Company’s consolidated funded backlog is approximately $16 million compared to $28 million at April 30, 2017, the end of fiscal year 2017. Approximately 80% of this backlog is expected to be realized in the next twelve months. Included in the backlog at January 31, 2018 is approximately $7.6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believes that its liquidity is adequate to meet its operating and investment needs through at least March 19, 2019 and the foreseeable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the Company’s decision to sell its Gillam business and the associated presentation as Discontinued Operations, the Company believes that the effect on cash flow will be neutral. However, it is expected to have a positive cash effect when the intended sale is concluded. The Company is in active negotiation, with a potential foreign buyer, with a view toward completion of a transaction before April 30, 2018.</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international business is subject to changes in demand or pricing resulting from fluctuations in currency exchange rates, primarily in the Euro to U.S. Dollar exchange rate and in the Chinese Renminbi to U.S. Dollar exchange rate.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January 31, 2018,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three months ended January 31, 2018 to which this report relates that have materially affected, or are reasonably likely to materially affect, the Company’s internal control over financial reporting.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jc w:val="both"/>
        <w:ind w:left="1260" w:hanging="607"/>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4">
        <w:r>
          <w:rPr>
            <w:rFonts w:ascii="Arial" w:cs="Arial" w:eastAsia="Arial" w:hAnsi="Arial"/>
            <w:sz w:val="18"/>
            <w:szCs w:val="18"/>
            <w:u w:val="single" w:color="auto"/>
            <w:color w:val="0000EE"/>
          </w:rPr>
          <w:t>Certification by the Chief Executive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pursuant to Section 302 of the Sarbanes-Oxley Act of 2002.</w:t>
        </w:r>
      </w:hyperlink>
    </w:p>
    <w:p>
      <w:pPr>
        <w:spacing w:after="0" w:line="170" w:lineRule="exact"/>
        <w:rPr>
          <w:sz w:val="20"/>
          <w:szCs w:val="20"/>
          <w:color w:val="auto"/>
        </w:rPr>
      </w:pPr>
    </w:p>
    <w:p>
      <w:pPr>
        <w:jc w:val="both"/>
        <w:ind w:left="1260" w:hanging="607"/>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5">
        <w:r>
          <w:rPr>
            <w:rFonts w:ascii="Arial" w:cs="Arial" w:eastAsia="Arial" w:hAnsi="Arial"/>
            <w:sz w:val="18"/>
            <w:szCs w:val="18"/>
            <w:u w:val="single" w:color="auto"/>
            <w:color w:val="0000EE"/>
          </w:rPr>
          <w:t>Certification by the Chief Financial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pursuant to Section 302 of the Sarbanes-Oxley Act of 2002.</w:t>
        </w:r>
      </w:hyperlink>
    </w:p>
    <w:p>
      <w:pPr>
        <w:spacing w:after="0" w:line="170" w:lineRule="exact"/>
        <w:rPr>
          <w:sz w:val="20"/>
          <w:szCs w:val="20"/>
          <w:color w:val="auto"/>
        </w:rPr>
      </w:pPr>
    </w:p>
    <w:p>
      <w:pPr>
        <w:ind w:left="6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32 -</w:t>
      </w:r>
      <w:r>
        <w:rPr>
          <w:sz w:val="20"/>
          <w:szCs w:val="20"/>
          <w:color w:val="auto"/>
        </w:rPr>
        <w:tab/>
      </w:r>
      <w:hyperlink w:anchor="page26">
        <w:r>
          <w:rPr>
            <w:rFonts w:ascii="Arial" w:cs="Arial" w:eastAsia="Arial" w:hAnsi="Arial"/>
            <w:sz w:val="16"/>
            <w:szCs w:val="16"/>
            <w:u w:val="single" w:color="auto"/>
            <w:color w:val="0000EE"/>
          </w:rPr>
          <w:t>Certifications by the Chief Executive Officer and Chief Financial Officer pursuant to 18 U.S.C. Section 1350, as adopted pursuant to Section</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906 of the Sarbanes-Oxley Act of 2002.</w:t>
        </w:r>
      </w:hyperlink>
    </w:p>
    <w:p>
      <w:pPr>
        <w:spacing w:after="0" w:line="211" w:lineRule="exact"/>
        <w:rPr>
          <w:sz w:val="20"/>
          <w:szCs w:val="20"/>
          <w:color w:val="auto"/>
        </w:rPr>
      </w:pPr>
    </w:p>
    <w:p>
      <w:pPr>
        <w:jc w:val="both"/>
        <w:ind w:left="1260" w:hanging="607"/>
        <w:spacing w:after="0" w:line="259" w:lineRule="auto"/>
        <w:tabs>
          <w:tab w:leader="none" w:pos="1240" w:val="left"/>
        </w:tabs>
        <w:rPr>
          <w:sz w:val="20"/>
          <w:szCs w:val="20"/>
          <w:color w:val="auto"/>
        </w:rPr>
      </w:pPr>
      <w:r>
        <w:rPr>
          <w:rFonts w:ascii="Arial" w:cs="Arial" w:eastAsia="Arial" w:hAnsi="Arial"/>
          <w:sz w:val="18"/>
          <w:szCs w:val="18"/>
          <w:color w:val="auto"/>
        </w:rPr>
        <w:t>101-</w:t>
        <w:tab/>
        <w:t>The following materials from the Frequency Electronics, Inc. Quarterly Report on Form 10-Q for the quarter ended January 31, 2018 formatted in eXtensible Business Reporting Language (XBRL): (i) Condensed Consolidated Balance Sheets, (ii) Condensed Consolidated Statements of Operations and Comprehensive Loss,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tcPr>
          <w:p>
            <w:pPr>
              <w:spacing w:after="0"/>
              <w:rPr>
                <w:sz w:val="19"/>
                <w:szCs w:val="19"/>
                <w:color w:val="auto"/>
              </w:rPr>
            </w:pPr>
          </w:p>
        </w:tc>
        <w:tc>
          <w:tcPr>
            <w:tcW w:w="6740" w:type="dxa"/>
            <w:vAlign w:val="bottom"/>
            <w:gridSpan w:val="3"/>
          </w:tcPr>
          <w:p>
            <w:pPr>
              <w:ind w:left="124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2820" w:type="dxa"/>
            <w:vAlign w:val="bottom"/>
          </w:tcPr>
          <w:p>
            <w:pPr>
              <w:spacing w:after="0"/>
              <w:rPr>
                <w:sz w:val="20"/>
                <w:szCs w:val="20"/>
                <w:color w:val="auto"/>
              </w:rPr>
            </w:pPr>
          </w:p>
        </w:tc>
        <w:tc>
          <w:tcPr>
            <w:tcW w:w="6740" w:type="dxa"/>
            <w:vAlign w:val="bottom"/>
            <w:gridSpan w:val="3"/>
          </w:tcPr>
          <w:p>
            <w:pPr>
              <w:ind w:left="1240"/>
              <w:spacing w:after="0"/>
              <w:rPr>
                <w:sz w:val="20"/>
                <w:szCs w:val="20"/>
                <w:color w:val="auto"/>
              </w:rPr>
            </w:pPr>
            <w:r>
              <w:rPr>
                <w:rFonts w:ascii="Arial" w:cs="Arial" w:eastAsia="Arial" w:hAnsi="Arial"/>
                <w:sz w:val="18"/>
                <w:szCs w:val="18"/>
                <w:color w:val="auto"/>
              </w:rPr>
              <w:t>(Registrant)</w:t>
            </w:r>
          </w:p>
        </w:tc>
      </w:tr>
      <w:tr>
        <w:trPr>
          <w:trHeight w:val="392"/>
        </w:trPr>
        <w:tc>
          <w:tcPr>
            <w:tcW w:w="2820" w:type="dxa"/>
            <w:vAlign w:val="bottom"/>
          </w:tcPr>
          <w:p>
            <w:pPr>
              <w:spacing w:after="0"/>
              <w:rPr>
                <w:sz w:val="20"/>
                <w:szCs w:val="20"/>
                <w:color w:val="auto"/>
              </w:rPr>
            </w:pPr>
            <w:r>
              <w:rPr>
                <w:rFonts w:ascii="Arial" w:cs="Arial" w:eastAsia="Arial" w:hAnsi="Arial"/>
                <w:sz w:val="18"/>
                <w:szCs w:val="18"/>
                <w:color w:val="auto"/>
              </w:rPr>
              <w:t>Date: March 19, 2018</w:t>
            </w:r>
          </w:p>
        </w:tc>
        <w:tc>
          <w:tcPr>
            <w:tcW w:w="6740" w:type="dxa"/>
            <w:vAlign w:val="bottom"/>
            <w:gridSpan w:val="3"/>
          </w:tcPr>
          <w:p>
            <w:pPr>
              <w:ind w:left="1640"/>
              <w:spacing w:after="0"/>
              <w:rPr>
                <w:sz w:val="20"/>
                <w:szCs w:val="20"/>
                <w:color w:val="auto"/>
              </w:rPr>
            </w:pPr>
            <w:r>
              <w:rPr>
                <w:rFonts w:ascii="Arial" w:cs="Arial" w:eastAsia="Arial" w:hAnsi="Arial"/>
                <w:sz w:val="18"/>
                <w:szCs w:val="18"/>
                <w:color w:val="auto"/>
              </w:rPr>
              <w:t>BY  /s/  Steven L. Bernstein</w:t>
            </w:r>
          </w:p>
        </w:tc>
      </w:tr>
      <w:tr>
        <w:trPr>
          <w:trHeight w:val="20"/>
        </w:trPr>
        <w:tc>
          <w:tcPr>
            <w:tcW w:w="2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2"/>
        </w:trPr>
        <w:tc>
          <w:tcPr>
            <w:tcW w:w="2820" w:type="dxa"/>
            <w:vAlign w:val="bottom"/>
          </w:tcPr>
          <w:p>
            <w:pPr>
              <w:spacing w:after="0"/>
              <w:rPr>
                <w:sz w:val="19"/>
                <w:szCs w:val="19"/>
                <w:color w:val="auto"/>
              </w:rPr>
            </w:pPr>
          </w:p>
        </w:tc>
        <w:tc>
          <w:tcPr>
            <w:tcW w:w="6740" w:type="dxa"/>
            <w:vAlign w:val="bottom"/>
            <w:gridSpan w:val="3"/>
          </w:tcPr>
          <w:p>
            <w:pPr>
              <w:ind w:left="1880"/>
              <w:spacing w:after="0"/>
              <w:rPr>
                <w:sz w:val="20"/>
                <w:szCs w:val="20"/>
                <w:color w:val="auto"/>
              </w:rPr>
            </w:pPr>
            <w:r>
              <w:rPr>
                <w:rFonts w:ascii="Arial" w:cs="Arial" w:eastAsia="Arial" w:hAnsi="Arial"/>
                <w:sz w:val="18"/>
                <w:szCs w:val="18"/>
                <w:color w:val="auto"/>
              </w:rPr>
              <w:t>Steven L. Bernstein</w:t>
            </w:r>
          </w:p>
        </w:tc>
      </w:tr>
      <w:tr>
        <w:trPr>
          <w:trHeight w:val="216"/>
        </w:trPr>
        <w:tc>
          <w:tcPr>
            <w:tcW w:w="2820" w:type="dxa"/>
            <w:vAlign w:val="bottom"/>
          </w:tcPr>
          <w:p>
            <w:pPr>
              <w:spacing w:after="0"/>
              <w:rPr>
                <w:sz w:val="18"/>
                <w:szCs w:val="18"/>
                <w:color w:val="auto"/>
              </w:rPr>
            </w:pPr>
          </w:p>
        </w:tc>
        <w:tc>
          <w:tcPr>
            <w:tcW w:w="6740" w:type="dxa"/>
            <w:vAlign w:val="bottom"/>
            <w:gridSpan w:val="3"/>
          </w:tcPr>
          <w:p>
            <w:pPr>
              <w:ind w:left="1880"/>
              <w:spacing w:after="0"/>
              <w:rPr>
                <w:sz w:val="20"/>
                <w:szCs w:val="20"/>
                <w:color w:val="auto"/>
              </w:rPr>
            </w:pPr>
            <w:r>
              <w:rPr>
                <w:rFonts w:ascii="Arial" w:cs="Arial" w:eastAsia="Arial" w:hAnsi="Arial"/>
                <w:sz w:val="18"/>
                <w:szCs w:val="18"/>
                <w:color w:val="auto"/>
              </w:rPr>
              <w:t>Chief Financial Officer</w:t>
            </w:r>
          </w:p>
        </w:tc>
      </w:tr>
      <w:tr>
        <w:trPr>
          <w:trHeight w:val="230"/>
        </w:trPr>
        <w:tc>
          <w:tcPr>
            <w:tcW w:w="2820" w:type="dxa"/>
            <w:vAlign w:val="bottom"/>
          </w:tcPr>
          <w:p>
            <w:pPr>
              <w:spacing w:after="0"/>
              <w:rPr>
                <w:sz w:val="20"/>
                <w:szCs w:val="20"/>
                <w:color w:val="auto"/>
              </w:rPr>
            </w:pPr>
          </w:p>
        </w:tc>
        <w:tc>
          <w:tcPr>
            <w:tcW w:w="6740" w:type="dxa"/>
            <w:vAlign w:val="bottom"/>
            <w:gridSpan w:val="3"/>
          </w:tcPr>
          <w:p>
            <w:pPr>
              <w:ind w:left="1880"/>
              <w:spacing w:after="0"/>
              <w:rPr>
                <w:sz w:val="20"/>
                <w:szCs w:val="20"/>
                <w:color w:val="auto"/>
              </w:rPr>
            </w:pPr>
            <w:r>
              <w:rPr>
                <w:rFonts w:ascii="Arial" w:cs="Arial" w:eastAsia="Arial" w:hAnsi="Arial"/>
                <w:sz w:val="18"/>
                <w:szCs w:val="18"/>
                <w:color w:val="auto"/>
                <w:w w:val="92"/>
              </w:rPr>
              <w:t>Signing on behalf of the registrant and as principal financial officer</w:t>
            </w:r>
          </w:p>
        </w:tc>
      </w:tr>
      <w:tr>
        <w:trPr>
          <w:trHeight w:val="623"/>
        </w:trPr>
        <w:tc>
          <w:tcPr>
            <w:tcW w:w="2820" w:type="dxa"/>
            <w:vAlign w:val="bottom"/>
          </w:tcPr>
          <w:p>
            <w:pPr>
              <w:spacing w:after="0"/>
              <w:rPr>
                <w:sz w:val="24"/>
                <w:szCs w:val="24"/>
                <w:color w:val="auto"/>
              </w:rPr>
            </w:pPr>
          </w:p>
        </w:tc>
        <w:tc>
          <w:tcPr>
            <w:tcW w:w="5200" w:type="dxa"/>
            <w:vAlign w:val="bottom"/>
            <w:gridSpan w:val="2"/>
          </w:tcPr>
          <w:p>
            <w:pPr>
              <w:ind w:left="2820"/>
              <w:spacing w:after="0"/>
              <w:rPr>
                <w:sz w:val="20"/>
                <w:szCs w:val="20"/>
                <w:color w:val="auto"/>
              </w:rPr>
            </w:pPr>
            <w:r>
              <w:rPr>
                <w:rFonts w:ascii="Arial" w:cs="Arial" w:eastAsia="Arial" w:hAnsi="Arial"/>
                <w:sz w:val="14"/>
                <w:szCs w:val="14"/>
                <w:color w:val="auto"/>
              </w:rPr>
              <w:t>23</w:t>
            </w:r>
          </w:p>
        </w:tc>
        <w:tc>
          <w:tcPr>
            <w:tcW w:w="154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ind w:firstLine="8"/>
        <w:spacing w:after="0" w:line="264"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0" w:firstLine="8"/>
        <w:spacing w:after="0" w:line="308" w:lineRule="auto"/>
        <w:tabs>
          <w:tab w:leader="none" w:pos="25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firstLine="8"/>
        <w:spacing w:after="0" w:line="277"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4400" w:type="dxa"/>
            <w:vAlign w:val="bottom"/>
          </w:tcPr>
          <w:p>
            <w:pPr>
              <w:ind w:left="3240"/>
              <w:spacing w:after="0"/>
              <w:rPr>
                <w:sz w:val="20"/>
                <w:szCs w:val="20"/>
                <w:color w:val="auto"/>
              </w:rPr>
            </w:pPr>
            <w:r>
              <w:rPr>
                <w:rFonts w:ascii="Arial" w:cs="Arial" w:eastAsia="Arial" w:hAnsi="Arial"/>
                <w:sz w:val="18"/>
                <w:szCs w:val="18"/>
                <w:color w:val="auto"/>
                <w:w w:val="91"/>
              </w:rPr>
              <w:t>March 19, 2018</w:t>
            </w:r>
          </w:p>
        </w:tc>
      </w:tr>
      <w:tr>
        <w:trPr>
          <w:trHeight w:val="222"/>
        </w:trPr>
        <w:tc>
          <w:tcPr>
            <w:tcW w:w="2260" w:type="dxa"/>
            <w:vAlign w:val="bottom"/>
            <w:gridSpan w:val="2"/>
          </w:tcPr>
          <w:p>
            <w:pPr>
              <w:spacing w:after="0"/>
              <w:rPr>
                <w:sz w:val="20"/>
                <w:szCs w:val="20"/>
                <w:color w:val="auto"/>
              </w:rPr>
            </w:pPr>
            <w:r>
              <w:rPr>
                <w:rFonts w:ascii="Arial" w:cs="Arial" w:eastAsia="Arial" w:hAnsi="Arial"/>
                <w:sz w:val="18"/>
                <w:szCs w:val="18"/>
                <w:color w:val="auto"/>
              </w:rPr>
              <w:t>Martin Bloch</w:t>
            </w:r>
          </w:p>
        </w:tc>
        <w:tc>
          <w:tcPr>
            <w:tcW w:w="4400" w:type="dxa"/>
            <w:vAlign w:val="bottom"/>
          </w:tcPr>
          <w:p>
            <w:pPr>
              <w:spacing w:after="0"/>
              <w:rPr>
                <w:sz w:val="19"/>
                <w:szCs w:val="19"/>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40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52"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ind w:firstLine="8"/>
        <w:spacing w:after="0" w:line="264"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0" w:firstLine="8"/>
        <w:spacing w:after="0" w:line="308" w:lineRule="auto"/>
        <w:tabs>
          <w:tab w:leader="none" w:pos="2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firstLine="8"/>
        <w:spacing w:after="0" w:line="277"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160" w:type="dxa"/>
            <w:vAlign w:val="bottom"/>
          </w:tcPr>
          <w:p>
            <w:pPr>
              <w:ind w:left="3020"/>
              <w:spacing w:after="0"/>
              <w:rPr>
                <w:sz w:val="20"/>
                <w:szCs w:val="20"/>
                <w:color w:val="auto"/>
              </w:rPr>
            </w:pPr>
            <w:r>
              <w:rPr>
                <w:rFonts w:ascii="Arial" w:cs="Arial" w:eastAsia="Arial" w:hAnsi="Arial"/>
                <w:sz w:val="18"/>
                <w:szCs w:val="18"/>
                <w:color w:val="auto"/>
                <w:w w:val="89"/>
              </w:rPr>
              <w:t>March 19, 2018</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4160" w:type="dxa"/>
            <w:vAlign w:val="bottom"/>
          </w:tcPr>
          <w:p>
            <w:pPr>
              <w:spacing w:after="0"/>
              <w:rPr>
                <w:sz w:val="19"/>
                <w:szCs w:val="19"/>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16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2018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81" w:lineRule="exact"/>
        <w:rPr>
          <w:sz w:val="20"/>
          <w:szCs w:val="20"/>
          <w:color w:val="auto"/>
        </w:rPr>
      </w:pPr>
    </w:p>
    <w:p>
      <w:pPr>
        <w:ind w:left="960" w:hanging="30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Martin Bloch</w:t>
            </w:r>
          </w:p>
        </w:tc>
        <w:tc>
          <w:tcPr>
            <w:tcW w:w="3700" w:type="dxa"/>
            <w:vAlign w:val="bottom"/>
          </w:tcPr>
          <w:p>
            <w:pPr>
              <w:jc w:val="right"/>
              <w:spacing w:after="0"/>
              <w:rPr>
                <w:sz w:val="20"/>
                <w:szCs w:val="20"/>
                <w:color w:val="auto"/>
              </w:rPr>
            </w:pPr>
            <w:r>
              <w:rPr>
                <w:rFonts w:ascii="Arial" w:cs="Arial" w:eastAsia="Arial" w:hAnsi="Arial"/>
                <w:sz w:val="18"/>
                <w:szCs w:val="18"/>
                <w:color w:val="auto"/>
              </w:rPr>
              <w:t>March 19, 2018</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980" w:type="dxa"/>
            <w:vAlign w:val="bottom"/>
            <w:gridSpan w:val="2"/>
          </w:tcPr>
          <w:p>
            <w:pPr>
              <w:ind w:left="600"/>
              <w:spacing w:after="0"/>
              <w:rPr>
                <w:sz w:val="20"/>
                <w:szCs w:val="20"/>
                <w:color w:val="auto"/>
              </w:rPr>
            </w:pPr>
            <w:r>
              <w:rPr>
                <w:rFonts w:ascii="Arial" w:cs="Arial" w:eastAsia="Arial" w:hAnsi="Arial"/>
                <w:sz w:val="18"/>
                <w:szCs w:val="18"/>
                <w:color w:val="auto"/>
              </w:rPr>
              <w:t>Martin Bloch</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980" w:type="dxa"/>
            <w:vAlign w:val="bottom"/>
            <w:gridSpan w:val="2"/>
          </w:tcPr>
          <w:p>
            <w:pPr>
              <w:ind w:left="600"/>
              <w:spacing w:after="0"/>
              <w:rPr>
                <w:sz w:val="20"/>
                <w:szCs w:val="20"/>
                <w:color w:val="auto"/>
              </w:rPr>
            </w:pPr>
            <w:r>
              <w:rPr>
                <w:rFonts w:ascii="Arial" w:cs="Arial" w:eastAsia="Arial" w:hAnsi="Arial"/>
                <w:sz w:val="18"/>
                <w:szCs w:val="18"/>
                <w:color w:val="auto"/>
              </w:rPr>
              <w:t>Chief Executive Officer</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Certification of CFO</w:t>
            </w:r>
          </w:p>
        </w:tc>
        <w:tc>
          <w:tcPr>
            <w:tcW w:w="37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040" w:type="dxa"/>
            <w:vAlign w:val="bottom"/>
            <w:gridSpan w:val="3"/>
            <w:vMerge w:val="continue"/>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2018 as filed with the Securities and Exchange Commission on the date hereof (the “Report”), I, Steven L. Bernstein, Chief Financial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960" w:hanging="30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3700" w:type="dxa"/>
            <w:vAlign w:val="bottom"/>
          </w:tcPr>
          <w:p>
            <w:pPr>
              <w:ind w:left="2560"/>
              <w:spacing w:after="0"/>
              <w:rPr>
                <w:sz w:val="20"/>
                <w:szCs w:val="20"/>
                <w:color w:val="auto"/>
              </w:rPr>
            </w:pPr>
            <w:r>
              <w:rPr>
                <w:rFonts w:ascii="Arial" w:cs="Arial" w:eastAsia="Arial" w:hAnsi="Arial"/>
                <w:sz w:val="18"/>
                <w:szCs w:val="18"/>
                <w:color w:val="auto"/>
                <w:w w:val="89"/>
              </w:rPr>
              <w:t>March 19, 2018</w:t>
            </w:r>
          </w:p>
        </w:tc>
      </w:tr>
      <w:tr>
        <w:trPr>
          <w:trHeight w:val="222"/>
        </w:trPr>
        <w:tc>
          <w:tcPr>
            <w:tcW w:w="2900" w:type="dxa"/>
            <w:vAlign w:val="bottom"/>
          </w:tcPr>
          <w:p>
            <w:pPr>
              <w:ind w:left="600"/>
              <w:spacing w:after="0"/>
              <w:rPr>
                <w:sz w:val="20"/>
                <w:szCs w:val="20"/>
                <w:color w:val="auto"/>
              </w:rPr>
            </w:pPr>
            <w:r>
              <w:rPr>
                <w:rFonts w:ascii="Arial" w:cs="Arial" w:eastAsia="Arial" w:hAnsi="Arial"/>
                <w:sz w:val="18"/>
                <w:szCs w:val="18"/>
                <w:color w:val="auto"/>
              </w:rPr>
              <w:t>Steven L. Bernstein</w:t>
            </w:r>
          </w:p>
        </w:tc>
        <w:tc>
          <w:tcPr>
            <w:tcW w:w="3700" w:type="dxa"/>
            <w:vAlign w:val="bottom"/>
          </w:tcPr>
          <w:p>
            <w:pPr>
              <w:spacing w:after="0"/>
              <w:rPr>
                <w:sz w:val="19"/>
                <w:szCs w:val="19"/>
                <w:color w:val="auto"/>
              </w:rPr>
            </w:pPr>
          </w:p>
        </w:tc>
      </w:tr>
      <w:tr>
        <w:trPr>
          <w:trHeight w:val="230"/>
        </w:trPr>
        <w:tc>
          <w:tcPr>
            <w:tcW w:w="2900" w:type="dxa"/>
            <w:vAlign w:val="bottom"/>
          </w:tcPr>
          <w:p>
            <w:pPr>
              <w:ind w:left="600"/>
              <w:spacing w:after="0"/>
              <w:rPr>
                <w:sz w:val="20"/>
                <w:szCs w:val="20"/>
                <w:color w:val="auto"/>
              </w:rPr>
            </w:pPr>
            <w:r>
              <w:rPr>
                <w:rFonts w:ascii="Arial" w:cs="Arial" w:eastAsia="Arial" w:hAnsi="Arial"/>
                <w:sz w:val="18"/>
                <w:szCs w:val="18"/>
                <w:color w:val="auto"/>
              </w:rPr>
              <w:t>Chief Financial Officer</w:t>
            </w:r>
          </w:p>
        </w:tc>
        <w:tc>
          <w:tcPr>
            <w:tcW w:w="37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2019-12-28T23:47:11Z</dcterms:created>
  <dcterms:modified xsi:type="dcterms:W3CDTF">2019-12-28T23:47:11Z</dcterms:modified>
</cp:coreProperties>
</file>