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feim10k043026.htm"/>
      <w:bookmarkStart w:id="1" w:name="ksfeim10k043026"/>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transition period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1-8061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FREQUENCY ELECTRONICS,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6925" w:type="dxa"/>
        <w:jc w:val="left"/>
        <w:tblInd w:w="0" w:type="dxa"/>
        <w:tblLayout w:type="fixed"/>
        <w:tblCellMar>
          <w:top w:w="0" w:type="dxa"/>
          <w:left w:w="0" w:type="dxa"/>
          <w:bottom w:w="28" w:type="dxa"/>
          <w:right w:w="0" w:type="dxa"/>
        </w:tblCellMar>
      </w:tblPr>
      <w:tblGrid>
        <w:gridCol w:w="5240"/>
        <w:gridCol w:w="90"/>
        <w:gridCol w:w="1595"/>
      </w:tblGrid>
      <w:tr>
        <w:trPr/>
        <w:tc>
          <w:tcPr>
            <w:tcW w:w="52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11-1986657</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r>
        <w:trPr/>
        <w:tc>
          <w:tcPr>
            <w:tcW w:w="5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2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CHARLES LINDBERGH BLVD., MITCHEL FIELD, N.Y.</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11553</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516-794-4500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880" w:type="dxa"/>
        <w:jc w:val="left"/>
        <w:tblInd w:w="0" w:type="dxa"/>
        <w:tblLayout w:type="fixed"/>
        <w:tblCellMar>
          <w:top w:w="0" w:type="dxa"/>
          <w:left w:w="0" w:type="dxa"/>
          <w:bottom w:w="28" w:type="dxa"/>
          <w:right w:w="0" w:type="dxa"/>
        </w:tblCellMar>
      </w:tblPr>
      <w:tblGrid>
        <w:gridCol w:w="3680"/>
        <w:gridCol w:w="90"/>
        <w:gridCol w:w="1370"/>
        <w:gridCol w:w="90"/>
        <w:gridCol w:w="3650"/>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$1.00 per share)</w:t>
            </w:r>
          </w:p>
        </w:tc>
        <w:tc>
          <w:tcPr>
            <w:tcW w:w="9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FEIM</w:t>
            </w:r>
          </w:p>
        </w:tc>
        <w:tc>
          <w:tcPr>
            <w:tcW w:w="90" w:type="dxa"/>
            <w:tcBorders/>
            <w:tcMar>
              <w:bottom w:w="0" w:type="dxa"/>
            </w:tcMar>
            <w:vAlign w:val="center"/>
          </w:tcPr>
          <w:p>
            <w:pPr>
              <w:pStyle w:val="TableContents"/>
              <w:bidi w:val="0"/>
              <w:spacing w:before="0" w:after="283"/>
              <w:jc w:val="center"/>
              <w:rPr/>
            </w:pPr>
            <w:r>
              <w:rPr/>
              <w:t> </w:t>
            </w:r>
          </w:p>
        </w:tc>
        <w:tc>
          <w:tcPr>
            <w:tcW w:w="36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090"/>
        <w:gridCol w:w="2645"/>
      </w:tblGrid>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common equity held by non-affiliates of the registrant as of October 31, 2025 – $240,400,000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registrant’s Common Stock, par value $1.00 per share, as of July 15, 2026 – 9,870,077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PART III incorporates information by reference from the definitive proxy statement to be filed with the Securities and Exchange Commission with respect to the Annual Meeting of Stockholders to be held on or about 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8804"/>
        <w:gridCol w:w="90"/>
        <w:gridCol w:w="568"/>
      </w:tblGrid>
      <w:tr>
        <w:trPr/>
        <w:tc>
          <w:tcPr>
            <w:tcW w:w="10205"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04" w:type="dxa"/>
            <w:tcBorders/>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Business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04" w:type="dxa"/>
            <w:tcBorders/>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Risk Factors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804" w:type="dxa"/>
            <w:tcBorders/>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Unresolved Staff Comments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804" w:type="dxa"/>
            <w:tcBorders/>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Cybersecurity</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04" w:type="dxa"/>
            <w:tcBorders/>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Properties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04" w:type="dxa"/>
            <w:tcBorders/>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Legal Proceedings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04" w:type="dxa"/>
            <w:tcBorders/>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Mine Safety Disclosures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04" w:type="dxa"/>
            <w:tcBorders/>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04" w:type="dxa"/>
            <w:tcBorders/>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[Reserved]</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804" w:type="dxa"/>
            <w:tcBorders/>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804" w:type="dxa"/>
            <w:tcBorders/>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804" w:type="dxa"/>
            <w:tcBorders/>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Financial Statements and Supplementary Data</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804" w:type="dxa"/>
            <w:tcBorders/>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804" w:type="dxa"/>
            <w:tcBorders/>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Controls and Procedures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804" w:type="dxa"/>
            <w:tcBorders/>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Other Information</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804" w:type="dxa"/>
            <w:tcBorders/>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804" w:type="dxa"/>
            <w:tcBorders/>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804" w:type="dxa"/>
            <w:tcBorders/>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Executive Compensation</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804" w:type="dxa"/>
            <w:tcBorders/>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804" w:type="dxa"/>
            <w:tcBorders/>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804" w:type="dxa"/>
            <w:tcBorders/>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rPr>
                <w:t>Principal Accountant Fees and Services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804" w:type="dxa"/>
            <w:tcBorders/>
            <w:vAlign w:val="center"/>
          </w:tcPr>
          <w:p>
            <w:pPr>
              <w:pStyle w:val="TableContents"/>
              <w:bidi w:val="0"/>
              <w:spacing w:before="0" w:after="283"/>
              <w:jc w:val="both"/>
              <w:rPr/>
            </w:pPr>
            <w:hyperlink w:anchor="a_022">
              <w:r>
                <w:rPr>
                  <w:rStyle w:val="InternetLink"/>
                  <w:rFonts w:ascii="Times New Roman;Times;Serif" w:hAnsi="Times New Roman;Times;Serif"/>
                  <w:b w:val="false"/>
                  <w:i w:val="false"/>
                  <w:caps w:val="false"/>
                  <w:smallCaps w:val="false"/>
                  <w:sz w:val="20"/>
                </w:rPr>
                <w:t>Exhibits and Financial Statement Schedules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804" w:type="dxa"/>
            <w:tcBorders/>
            <w:vAlign w:val="center"/>
          </w:tcPr>
          <w:p>
            <w:pPr>
              <w:pStyle w:val="TableContents"/>
              <w:bidi w:val="0"/>
              <w:spacing w:before="0" w:after="283"/>
              <w:jc w:val="both"/>
              <w:rPr/>
            </w:pPr>
            <w:hyperlink w:anchor="a_023">
              <w:r>
                <w:rPr>
                  <w:rStyle w:val="InternetLink"/>
                  <w:rFonts w:ascii="Times New Roman;Times;Serif" w:hAnsi="Times New Roman;Times;Serif"/>
                  <w:b w:val="false"/>
                  <w:i w:val="false"/>
                  <w:caps w:val="false"/>
                  <w:smallCaps w:val="false"/>
                  <w:sz w:val="20"/>
                </w:rPr>
                <w:t>Form 10-K Summary</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880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47" w:type="dxa"/>
            <w:gridSpan w:val="2"/>
            <w:tcBorders/>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SIGNATURES</w:t>
              </w:r>
            </w:hyperlink>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 w:name="a_001"/>
      <w:bookmarkEnd w:id="3"/>
      <w:r>
        <w:rPr>
          <w:rFonts w:ascii="Times New Roman;Times;Serif" w:hAnsi="Times New Roman;Times;Serif"/>
          <w:b w:val="false"/>
          <w:i w:val="false"/>
          <w:caps w:val="false"/>
          <w:smallCaps w:val="false"/>
          <w:sz w:val="20"/>
          <w:u w:val="single"/>
        </w:rPr>
        <w:t>Item 1.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(sometimes referred to as “Registrant”, “Frequency Electronics” or the “Company”)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context indicates otherwise, references to the Registrant, Frequency Electronics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Times New Roman;Times;Serif" w:hAnsi="Times New Roman;Times;Serif"/>
          <w:b w:val="false"/>
          <w:i/>
          <w:caps w:val="false"/>
          <w:smallCaps w:val="false"/>
          <w:sz w:val="20"/>
        </w:rPr>
        <w:t>www.frequencyelectronics.com.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STRUCTURE AND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FEI-Elcom Tech, Inc. (“FEI-Elcom”) a wholly-owned subsidiary of the Company, was converted into a Delaware limited liability company. The ongoing business operations of FEI-Elcom will continue under the FEI-NY segment. This restructuring was a transaction between entities under common control and did not result in a change in the consolidated financial statements of the Company. For more information regarding the Company’s restructuring, see Note 1 to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end markets are time and frequency generation and distribution systems for use in satellite payloads and terrestrial secure command control and communications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satellite market, the Company has a unique legacy of providing master timing systems, power converters, and frequency generation, synthesis and distribution systems. These products are applicable for both commercial and U.S. Government end-use. Currently, it is estimated that there are over 14,000 U.S. satellites with varying remaining useful lives operating in Geostationary, Medium and Low Earth Orbits (“LEO”).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believes it is well positioned to compete for the onboard clock ensemble with its high-precision digital Rubidium atomic frequency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markets, the Company has several corporate entities that operate under two reportable segments primarily based on the geographic locations of its subsidiaries. The two reportable segments are (1) FEI-NY, which includes the subsidiaries FEI Government Systems, Inc. and FEI Communications, Inc., and, until April 30, 2026, included FEI-Elcom; and (2) FEI-Zyfer, Inc. (“FEI-Zyfer”).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made a strategic decision to focus on satellite payloads, C4ISR and EW market segments, because the Company believes these business areas represent significant opportunities for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FEI-NY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Government Systems, Inc. and FEI Communications, Inc. design and manufacture U.S. Government and commercial satellite electronics, as well as products for the U.S. military and commercial telecom customers. These products are designed and manufactured at the Company’s Long Island, New York headquarters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April 30, 2026, FEI-Elcom designed and manufactured Radio Frequency (“RF”) microwave modules, devices and subsystems up to 60 GHz including fast switching, ultra-low phase noise synthesizers, up-down converters, receivers, tuners, ceramic resonance oscillators and dielectric resonance oscillators.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FEI-Zyfer</w:t>
      </w:r>
      <w:r>
        <w:rPr>
          <w:rFonts w:ascii="Times New Roman;Times;Serif" w:hAnsi="Times New Roman;Times;Serif"/>
          <w:b w:val="false"/>
          <w:i w:val="false"/>
          <w:caps w:val="false"/>
          <w:smallCaps w:val="false"/>
          <w:sz w:val="20"/>
        </w:rPr>
        <w:t xml:space="preserve"> – Precision time references for terrestrial secure communications and command and control, and frequency products that incorporate GPS technology are manufactured by FEI-Zyfer. FEI-Zyfer’s GPS capability complements the Company’s existing technologies and permits the combined entities to provide a broader range of embedded systems for a variety of timing functions and anti-spoofing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these reportable segments, see Item 1. Business – Reportable Segments and Products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REPORTABLE SEGMENTS AND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Operating Decision Maker (“CODM”) measures segment performance based on total revenues, cost of revenues, and profits generated by each geographic center rather than on the specific types of customers or end-users. Consequently, the Company determined that the segments indicated above appropriately reflect the way the Company’s CODM views the business. The FEI-NY segment, which includes the parent company, FEI, operates out of the Company’s Long Island, New York headquarters facility. The FEI-NY segment also includes the operations of FEI-Elcom. FEI-Elcom, in addition to its own product line, provides design and technical support for FEI’s business. Effective as of April 30, 2026, FEI-Elcom converted into a Delaware limited liability company; however, the ongoing business operations of FEI-Elcom will continue under the FEI-NY segment. For more information regarding the Company’s restructuring, see Note 1 to the Consolidated Financial Statements. The products manufactured by the FEI-NY segment are precision time and frequency products, and more recently, quantum sensing products ,principally marketed to the commercial and U.S. Government satellite markets, to other U.S. Department of War (“DOW”) customers and to wireless communications network providers. Quantum sensors include magnetic sensors (magnetometers), and Rydberg sensors (compact receiving antennae), which utilize the same basic physics phenomena as atomic clocks. Because FEI-NY has manufactured atomic clocks for decades, the quantum sensor market represents a new growing market which utilizes the underlying technology behind atomic clocks, and is a natural arena for FEI to compete in. The FEI-Zyfer segment, which operates out of California, designs and manufactures products that incorporate GPS technologies and high-precision clocks designed and manufactured at FEI. FEI-Zyfer sells its products to both commercial and U.S. Government customers and collaborates with FEI on joint product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2026 and 2025, approximately 72% and 76%, respectively, of the Company’s consolidated revenues were from products sold by the FEI-NY segment. In fiscal years 2026 and 2025, sales for the FEI-Zyfer segment were 34% and 27%, respectively, of the Company’s consolidated revenues. (The sum of annual sales percentages exceeds 100% due to intersegment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revenues include sales to end-users in countries located outside of the U.S., primarily in Europe and Asia. During fiscal years 2026 and 2025, foreign sales comprised 9% and 6%, respectively, of the Company’s consolidated revenues. For segment information, see Note 13 to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sales on U.S. Government programs for both space and non-space applications are generally made under fixed price or cost-plus contracts either directly with U.S. Government agencies or indirectly through subcontracts intended for U.S. Government end-use.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many of the programs and platforms for which the Company supplies products and systems are used by the U.S. Government for maintaining secure communications world-wide, for obtaining vital intelligence and for enabling precision targeting capabilities. The Company’s products are also used in classified projects for the U.S. Government.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 If the U.S. Government canceled or delayed, even temporarily, programs and/or purchases involving Company products, the Company’s business could suffer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on U.S. Government contracts are sometimes based in part on Certificates of Current Costs. An inaccuracy in such certificates may entitle the U.S. Government to an appropriate recovery. The Company’s accounts with respect to these contracts are subject to audit by the Defense Contract Audit Agency (“DCAA”). The Company’s last full incurred cost audit was performed in 2008. Additionally, the Company had successfully completed an accounting system audit in 2018 and 2023. The Company is required to submit, for subsequent review, an Incurred Cost Report by October 31, for each year then ended. All such required reports have been filed with no adverse comments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a DCAA audited and approved accounting system, which enables the Company to enter into contracts directly with U.S. Government agencies that require government certified accounting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end-use contracts are subject to termination by the purchaser for convenience or default, as well as various other Federal Acquisition Regulations provisions. In the event of a termination for convenience, the Company is entitled to receive compensation as provided under the specific terms of such contracts. There were two government end-use contracts terminated during the fiscal year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FEI-NY Segment: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FEI-NY provides precision time, frequency generation and synchronization products and subsystems that are found on-board satellites, in ground-based communication systems and imbedded in mobile platforms operated by the U.S. military. FEI-NY has made a substantial investment in research and development (“R&amp;D”) to apply its core technologies to satellite payloads, non-space DOW programs and commercial and industrial markets. Revenues from satellite payloads, both for commercial and U.S. Government applications, have become FEI-NY’s largest business area while the portion of commercial network infrastructure sales has declined relatively. FEI-NY expects to continue to generate substantial revenues from deployment of new and replacement satellites and other U.S. Government/DOW applications including sales of ruggedized subsystems for mobile U.S. military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Satellite Payloads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that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Medium-Earth Orbits.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ahead, the Company expects that the DOW will require more secure communication capabilities, more assets in space and greater bandwidth. The Global Positioning Satellite System, the MILSTAR Satellite System and the AEHF Satellite System are examples of the programs in which the Company has participated or plans to participate and which management believes are important to the success of the U.S. Government’s communication, intelligence and Precision Navigation and Timing (“PNT”) needs. It is likely that the DOW will move to adopt smaller and less expensive satellites for LEO applications, which the Company anticipates will necessitate the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Government- Non-space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space-based programs, the Company’s proprietary products are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other devices. Products are built in accordance with DOW standards and are in use on many of the U.S. Government’s important military applications. The Company anticipates that the U.S. government will provide adequate funds to sustain these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April 30, 2026, FEI-Elcom addressed RF microwave modules and subsystems up to 60 GHz including fast switching, ultra-low phase noise synthesizers, up-down converters, receivers, tuners, ceramic resonance oscillators and dielectric resonance oscillators.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FEI-Zyfer Segment: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designs, develops and manufactures products that provide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95% of FEI-Zyfer’s revenues are derived from sales where the end user is the U.S.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BACKLOG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Company’s consolidated backlog amounted to approximately $111 million compared to $70 million, at the end of the prior fiscal year. Approximately 73% of the current backlog is expected to be filled during the Company’s fiscal year ending April 30, 2027. As of April 30, 2026, there were no amounts included in backlog under cost-plus or fixed-fee contracts that had not been funded. The Company excludes from backlog those contracts or awards for which it has not received authorization to proceed.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sold to both commercial and governmental customers. For the years ended April 30, 2026 and 2025, approximately 91% and 94%, respectively, of the Company’s sales were made under contracts to the U.S. Government or subcontracts for U.S. Government end-use.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Lockheed Martin Corporation (“Lockheed Martin”), L3Harris Technologies, Inc. (“L3Harris”), and The Boeing Company (“Boeing”) each accounted for more than 10% of the Company’s consolidated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Northrop Grumman Company (“Northrop Grumman”) accounted for more than 10% of the Company’s consolidated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 however, the cancellation or significant reduction of the Company’s commercial or existing U.S. Government contracts could have a material adverse effect on the 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to be generally reliable and price-competitive; however, recent quotes for various parts and materials reflect longer delivery schedules and price increases. Where supply chain issues have been encountered, the Company has responded by changing the source of supply or redesigning products and replacing unavailable parts and materials with alternates wherever possible. FEI-NY is dependent on a limited number of suppliers for space qualified parts. If these suppliers were unable to deliver in reasonable time frames, then the prompt qualification of alternate suppliers may not be feasible or cost effective. Consequently, the Company could experience delays in delivery of its end products or costs in excess of what was originally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focus a significant portion of its own resources and efforts on developing hardware for satellites (commercial and U.S. Government) and terrestrial commercial communications systems, including wireless and GPS-related systems. During fiscal years 2026 and 2025, the Company expended $6.1 million on such R&amp;D activity in both years. See Item 7, Management’s Discussion and Analysis of Financial Condition and Results of Operations. Additionally, the Company receives customer funding for specific R&amp;D projects and anticipates additional funding from customers for future R&amp;D initiatives. Although funding is obtained from customers, the Company retains the rights to any products developed. During fiscal years 2026 and 2025, some of the Company’s development resources were applied to the design-stage of fixed-price satellite payload sub-system programs. For fiscal year 2027, the resources to be allocated to R&amp;D will depend on market conditions and identification of new opportunities, as was the case in fiscal year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PATENTS AND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and rubidium-based timing references and specialized RF microwave technology. With respect to very high precision products, the Company encounters fewer competitors than it does for lower precision products for which there are a significant number of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competition for space products is the in-house capability of its major customers such as Boeing,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Incorporated and Mercury Systems,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its ability to obtain raw materials, manufacture finished products, integrate them into systems and sub-systems and interface these systems with highly sophisticated end-user applications provides a strong competitive 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broad-based recruiting process to select talented individuals and by offering competitive compensation and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employs 242 employees (232 full-time and 10 part-time), 99% based in the U.S. No employees are represented by labor unions. We believe our relationships with our employees are favorable as reflected in our high retention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for further discussion regarding risks related to our workforce and employee relations.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ASPECTS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not seasonal although it expects to experience some fluctuation in revenues during the second fiscal quarter as a result of summer holiday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INFORMATION ABOUT OUR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hold office until the annual meeting of the Board of Directors following the annual meeting of stockholders, subject to earlier removal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all executive officers of the Company and all positions and offices with the Company that they presently hold are as follows:</w:t>
      </w:r>
    </w:p>
    <w:p>
      <w:pPr>
        <w:pStyle w:val="TextBody"/>
        <w:bidi w:val="0"/>
        <w:spacing w:before="0" w:after="0"/>
        <w:ind w:left="0" w:right="0" w:firstLine="720"/>
        <w:jc w:val="both"/>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730"/>
        <w:gridCol w:w="110"/>
        <w:gridCol w:w="4235"/>
      </w:tblGrid>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Oleandro Mancini</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Business Development</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 and Treasurer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 age 71, joined the Company as an engineer in 1984 and was elected Vice President, Commercial Products in March 1999. In fiscal year 2011, Dr. McClelland’s title was modified to Vice President, Advanced Development to describe his expanded role in the Company. In January 2020, Dr. McClelland’s title was modified to Senior Vice President and Chief Scientist. In July 2022, Dr. McClelland was appointed the Company’s Interim President and Chief Executive Officer, in addition to his existing positions and responsibilities with the Company, following the resignation of the Company’s former President and Chief Executive Officer. On January 17, 2023, Dr. McClelland was appointed the Company’s President and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Oleandro Mancini, age 77,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 age 61, joined the Company in April 2010 as its Controller and was appointed to the position of Chief Financial Officer in April 2016. In January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 w:name="a_002"/>
      <w:bookmarkEnd w:id="4"/>
      <w:r>
        <w:rPr>
          <w:rFonts w:ascii="Times New Roman;Times;Serif" w:hAnsi="Times New Roman;Times;Serif"/>
          <w:b w:val="false"/>
          <w:i w:val="false"/>
          <w:caps w:val="false"/>
          <w:smallCaps w:val="false"/>
          <w:sz w:val="20"/>
          <w:u w:val="single"/>
        </w:rPr>
        <w:t>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Business Operations and Our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U.S. Government programs for a substantial portion of our business. Accordingly, changes in U.S. Government priorities or delays or reductions in spending by the U.S. Government on such programs could have a material adverse effect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as a prime contractor or as a subcontractor, we rely heavily on U.S. Government programs, from which we derived approximately 91% and 94% of our sales in fiscal year 2026 and fiscal year 2025, respectively. These U.S Government programs may be only partially or incrementally funded and are subject to potential termination. These programs may also be subject to funding reductions and/or delays due to changes in government priorities or other factors. Whether direct contracts with the U.S. Government or contracts with prime contractors to the U.S. Government, our contracts typically are funded at a level less than the full contract value and require periodic incremental additional funding in order to continue. Should circumstances change regarding funding and sufficient funding become unavailable, contracts may be terminated, delayed significantly or put on stop work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contracts are subject to Congressional funding, which may be unavailable due to changes in priorities or subject to continuing resolution, which may result in funding reductions, eliminations or other effects that could impact our business. Furthermore, budget uncertainty, the risk of future budget cuts, the potential for U.S. Government shutdowns, and the federal debt ceiling could also adversely affect our industry and the funding for our current and future contracts. If appropriations are delayed or a government shutdown was to occur and was to continue for an extended period of time, we could be at risk of program or contract cancellations and other disruptions and nonpayment. Finally, shifting funding priorities or federal budget changes, could also result in reductions in overall spending on our contracts and projects, which could adversely impact our business, financial condition, results of operations and/or cash flows. Changes in funding priorities could reduce opportunities in existing programs and in future programs where we intend to compete. While we would expect to compete and be well positioned as the incumbent on existing programs, we may not be successful and, even if we are successful, the replacement programs may be funded at lower levels, which could adversely affect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heavily on a small number of larger customers for a substantial portion of our business. The loss of one or more of our largest customers or programs could have a material adverse effect on our business, financial position, results of operations and/or cash flows.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subcontractor, the Company is reliant on a few large customers that generally hold the ultimate contract with the U.S. Government. During fiscal year 2026, Lockheed Martin, L3Harris, and Boeing each accounted for more than 10% of the Company’s consolidated revenues. These customers typically incorporate our products into larger programs. If these customers encounter technical, financial or other issues unrelated to our products that affect the larger program’s operations, the related program may be terminated or require expensive, unanticipated revisions. These issues, although unrelated to our products, could adversely impact us if our customers’ contracts with the U.S. Government become subject to re-competition or are ultimately cancelled. Additionally, our larger customers are sophisticated corporations with large research and development staffs and budgets. If one or more sought to design and manufacture replacements for our products, they could potentially discontinue their need for our products. Alternatively, our larger customers could look to replace our products with the products of one or more of our competitors. The loss of the U.S. Government or one or more of our other larger customers or programs could adversely affect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use estimates when accounting for contracts. Changes in estimated contract revenues and/or changes in costs can affect our profitability and our overall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accounting requires significant judgment by the Company’s management with respect to estimating contract revenues and costs and making assumptions for possible schedule and technical issues. These costs include planned costs for all phases of the contract and, if needed, costs for any technical issues that arise. Due to the nature and complexity of many of our contracts, the estimation of total revenues and costs at completion is subject to many variables and often difficult to predict accurately. As a result, it has, and could in the future, be possible that the Company’s estimates when accounting for contracts may prove to be materially incorrect.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and the unavailability or reduced productivity of qualified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other matters. We have filed, and may file, requests for equitable adjustment or claims to seek recovery in whole or in part for our increased costs and aim to protect against these risks through contract terms and conditions when practical, but the prime contractor or the U.S. Government may disagree with our requests or may not have funding to cover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nature, fixed price contracts inherently tend to have more financial risk than cost-type contracts, including as a result of inflationary pressures, labor shortages, and increased labor rates. In fiscal year 2026, 95% of our sales were derived from fixed-price contracts. While the Company’s management uses its best judgment to estimate costs associated with fixed-price contracts, future events may require adjustments, which could ultimately adversely affect the Company’s operating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cost-type contracts, allowable costs incurred by the contractor are generally subject to reimbursement plus a fee. These cost-type programs may have award or incentive fees that are uncertain and may be earned over extended periods or towards the end of the contract. In these cases, the associated financial risks are primarily in recognizing profit, which ultimately may not be earned, or program cancellation if cost, schedule, or technical performance issues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underlying assumptions, circumstances or estimates, and the failure to prevail on related claims for equitable adjustments could have a material adverse effect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substantial competition in our industry, and if we fail to win future business or experience undue pricing pressures as a result of such competition, our business, financial position, results of operations and/or cash flows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focused on very high-performance products. Many of our competitors are larger, have greater financial resources and have larger R&amp;D and marketing staffs. While we also maintain a robust internal R&amp;D program that is intended to maintain our technical edge, the Company is limited in its resources and ultimately may not be able to successfully compete. Technology is advancing rapidly, and if we are unable to respond effectively to competition, we may lose existing customers, fail to win future business or experience undue pricing pressures that could affect our financial performance. Certain of our current technologies may become subject to significant future advancements, which may make our products obsolete or non-competitive. Competitors may be able to develop new manufacturing technologies that afford them cost and/or schedule advantages compared to our products. Customers may elect a less expensive product, even where it offers lower performance, compared to our current products. Specifically, the emergence of numerous LEO commercial satellite systems that have significantly lower requirements for life in orbit may result in new products based on commercial parts and processes not required for the high performance and/or longer lived geo-synchronous orbit satellites for which the Company has typically developed products. This may result in a migration to less capable, but less expensive products compared to what the Company has traditionally produced. This may result in reduced market share, lower revenues and adversely impact our business operations and financial conditions. Additionally, competitors may have the benefit of other contracts that enable them to produce in volume with a concomitant cost advantage that affords them a price advantage. Many of our customers have in-house capability to develop products comparable to ours and may opt to do so. Accordingly, if we are unable to continue to compete successfully against our current or future competitors, we may experience declines in future revenues and market share, which could have a material adverse effect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products, which are often incorporated into larger systems, are technologically complex and require state-of-the-art technology and manufacturing expertise. Any defect in the design, materials or workmanship with respect to our product could result in system failure.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technologically complex and require state-of-the-art technology and manufacturing expertise. If a defect in design, materials or workmanship is not identified prior to delivery, the defect can result in product failure and potentially the loss of mission capability for the systems into which our products are integrated. All satellites cannot be recovered from orbit to repair failed sub-systems, therefore failure of a Company product incorporated into a satellite may result in the complete loss of the satellite with a significant impact to the Company’s reputation and future business prospects. Penalties and possible litigation may result from these types of problems, with potential significant impact to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dependent on numerous suppliers for various parts, materials, test services, facility operations and infrastructure. If these suppliers fail to perform or we are unable to procure or experience significant delays with respect to needed products, materials or services, our financial position, results of operations and/or cash flows could be materially adversely affected.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numerous suppliers for various parts, materials, test services, facility operations and infrastructure who may, in turn, be affected by factors such as raw material availability, skilled personnel shortages, pandemics, major weather events or natural disasters and other impacts that affect their ability to provide the goods and services we require. Disruptions or performance problems caused by our suppliers or failure to meet regulatory or contractual requirements, have had, and may continue to have, various adverse impacts on the Company, including our ability to meet our commitments to customers. The inability of our suppliers to perform adequately has resulted in and could in the future result in the need for us to transition to alternate suppliers if available, which could result in significant incremental cost and delay or the need for us to provide other resources to support our existing suppliers. The Company is reliant on suppliers who are space-qualified, limiting the ability to procure certain key materials, such as circuit boards, from other vendors. When these key suppliers experience quality issues, their products may have to be rejected, causing delays in our ability to complete projects on schedule and at projected costs. The time and cost associated with resolution of these issues may impact our financial performance. Consolidation of the industry can result in elimination of suppliers or discontinuation of certain product lines upon which we are reliant, necessitating lifetime buys of components or the need to redesign electronics to incorporate different components, having a negative effect on our financial position, results of operations and/or cash flows. Furthermore, latent supply chain quality issues may affect our product performance and reliability, which may damage our reputation and impact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and financial performance is dependent on our ability to identify, attract, train and retain a highly skilled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very unique skill sets in our employee population. Our average employee tenure is approximately 11 years and the median age is approximately 53. Our products rely on very experienced engineers, physicists and manufacturing personnel who are trained in-house and who acquire competence only after a lengthy period of time. Given the median age of our average employee, we anticipate that a number of our key personnel will retire in the coming years. If we are unable to attract, train and retain competent and skilled replacement employees, our ability to design, develop and manufacture our products will be adversely affected. Furthermore, our operating performance is also dependent upon personnel who hold security clearances and receive substantial training to work on certain programs or tasks. If we experience unanticipated attrition with respect to these employees, it will be difficult for us to replace them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global economic or geopolitical conditions may adversely affect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and geopolitical conditions may adversely affect our business operations and financial condition. Turmoil in world financial markets may impact our supply chain resulting in unavailability of key components and materials, increasing costs due to delays, need to redesign certain electronics in order to mitigate shortages or schedule impacts and increasing costs to establish alternate qualified suppliers. These impacts may adversely affect our business due to customer cancellations, reduced demand for our products and increased costs, which could impact our financial condition. We are also subject to inflation and recessionary pressures. The current inflationary environment has and may continue to increase our cost of labor as well as our other operating costs. Likewise, deteriorating economic conditions could reduce the demand for our products, which could adversely affect our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various risks related to health epidemics, pandemics and similar outbreaks, which may have material adverse effects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pandemics and similar outbreaks create substantial risk to the Company. Employees work in close proximity to one another. Therefore, if an employee is infected with a communicable disease or suspected of being infected, other employees he or she has come in contact with may also be infected, with a cascading effect on the workforce. In addition to the time off to recover, there is a need to clean and disinfect the areas where the employee was working and had frequented in the facility. The nature of the Company’s business requires mostly “hands-on” activities related to design, manufacturing and testing. Therefore, absenteeism resulting from infectious diseases and cleaning procedures to disinfect various areas of our facilities can have a significant impact on a contract’s schedule, with a corresponding impact to costs. The Company is not able to predict possible future health epidemics, pandemics, or similar outbreaks, but if they manifest, they could have significant adverse effects on our business,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impacted by various external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natural disaster, terrorism, insider threat, workplace violence, civil unrest, damaging weather, fire, act of war, or similar acts or events could limit our access to our facilities or cause interruption in the supply of electricity, natural gas, or water or preclude delivery of various supplies or limit the movement of our workforce, which may have a significant adverse impact to our operations and financial performance. The nature of our business requires mostly “hands-on” activities at our facilities to design and manufacture our products. Additionally, our products undergo lengthy testing, and interruption of these tests for any reason can cause damage to the product and/or necessitate the need to repeat test cycles, with adverse cost and schedule impacts. Catastrophic effects that result in intrusion of damaging water or other contaminants may cause damage to sensitive capital equipment, inventory or facilities that could be material. Our ability to recover from these catastrophes may be limited. As a result, such disruptions could adversely impact our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Noncompliance with any of the covenants in the Company’s $10 million senior secured revolving credit facility (the “Credit Agreement”), which matures on June 12, 2029, could result in any debt outstanding thereunder becoming due, which could have a material adverse effect on its financial position,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restrictive covenants and financial covenants, including those related to total leverage and minimum fixed charge coverage, that, if violated, could restrict the Company’s operational and financial flexibility. Failure to comply with these covenants could result in an event of default. If any such event of default is not cured or waived, the lender could elect to declare any outstanding debt under the Credit Agreement at such time to be due and payable and could cease making further loans and institute foreclosure proceedings against the Company’s assets, all of which could have a material adverse effect on the Company’s financial position, operations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Regulatory and Compliance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laws, regulations and/or terms we are subject to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regulated industry and are routinely audited and reviewed by the U.S. Government and its agencies. These agencies review performance under our contracts, our cost structure and accounting, and our compliance with applicable laws, regulations, terms and standards, as well as the adequacy of our systems in meeting government requirements. If an audit uncovers improper or illegal activities, we would be subject to possible civil and criminal penalties, sanctions, forfeiture of profits or suspension or debarment. Most of our contracts are subject to Federal Acquisition Regulations (FARs) or Defense Federal Acquisition Regulation Supplement (DFARS). Violation of any of these regulations can result in significant consequences, including fines, debarments or other punitive measures by the U.S. Government. Additionally, the Company has defense department security clearance that is required for performance on several contracts. Failure to maintain compliant security procedures may result in suspension of our security clearance and inability to perform on current contracts, as well as limit our ability to be awarded future contracts. The Company is also subject to export control requirements, anti-boycott regulations and Office of Foreign Assets Control (OFAC) sanctions against business dealings with certain persons and entities, including its investment in Morion, Inc., a less than wholly-owned subsidiary of state-owned Russian bank Gazprombank. For example,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 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 On October 30, 2024, OFAC designated Morion as a Specially Designated National, resulting in the blocking of all Morion property and property interests and the termination of all commercial relationships between the Company and Morion. Although the Company’s prior voluntary disclosure to OFAC discussed above did not lead to any civil monetary penalty or other enforcement action and although the Company has terminated all commercial relationships with Morion following Morion’s designation as a Specially Designated National, the Company continues to hold a minority equity interest in Morion, and there can be no assurance that the Company’s historical or continuing relationship with Morion will not result in additional regulatory scrutiny or liability. Any future violation of any of the requirements, governmental regulations discussed above, including OFAC sanctions, or other similar laws, regulations, terms or standards could have a material adverse effect on our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investigations, claims, disputes, enforcement actions, litigation, and other legal proceedings that could ultimately be resolved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may in the future become subject to investigations, claims, disputes, enforcement actions and administrative, civil or criminal litigation, arbitration or other legal proceedings across a broad array of matters, including government contracts, commercial transactions, false claims, false statements, compliance with government orders, mischarging, contract performance, fraud, procurement integrity, securities laws and requirements, products liability, warranties, hazardous materials, personal injury claims, environmental, stockholder derivative actions, acquisitions and divestitures, intellectual property, tax, corporate law and obligations, employment, export/import, anti-corruption, debt and equity, labor, health and safety, accidents, and employee benefits and plans, including plan administration, improper payments and issues related to privacy and security (cyber and physical).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new business. Certain allegations against us can lead to suspension or debarment from government contracts. A suspension or debarment could have a material adverse effect on the Company because of our reliance on U.S. Government contracts. Additionally, an investigation, claim, dispute, enforcement action or litigation, even if pending or not ultimately substantiated or if fully indemnified or insured, can also negatively impact our reputation among our customers, and make it substantially more difficult for us to compete effectively for business in the future. Accordingly, investigations, claims, disputes, enforcement actions, litigation or other legal proceedings could have a material adverse effect on our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Information Technology and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impacted by significant cybersecurity attacks.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Government defense industry contractor, the Company has experienced cybersecurity attacks in the past and may be subjected to significant cybersecurity attacks in the future in an effort to, among other things, steal intellectual property, disrupt operations, embed ransomware or initiate insider attacks. Although we implement various measures and controls to monitor and mitigate risks associated with these threats and to increase the cyber resiliency of our infrastructure and products, there can be no assurance that these processes will be sufficient. Our inability to defend effectively against cyberattacks may result in disruption of operations, loss of significant intellectual property, compromise of employee’s personal information or violation of government contractor requirements for information security. These could result in reputational damage, fines, litigation, operational impacts or significant costs for mitigation and/or recovery, all with adverse consequences to our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by third parties that our products infringe their intellectual property could result in costly disputes and/or require us to develop alternate designs.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claims for infringement of intellectual property, which could result in litigation costs or require us to incur costs for developing alternate designs that may require extensive testing and qualification to meet contract obligations. This could result in adverse consequences to our financial position, results of operations and/or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continue to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has been, and may continue to be volatile and subject to wide fluctuations in response to various factors, many of which we cannot control.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significant existing stockholders sell large numbers of shares of our common stock, our common stock price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38.5% of our outstanding common stock is held by 5 individuals or entities. The market price of our common stock could decline if a large number of our shares of outstanding common stock are sold in the public market by our existing stockholders or as a result of the perception that such sales could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5" w:name="a_003"/>
      <w:bookmarkEnd w:id="5"/>
      <w:r>
        <w:rPr>
          <w:rFonts w:ascii="Times New Roman;Times;Serif" w:hAnsi="Times New Roman;Times;Serif"/>
          <w:b w:val="false"/>
          <w:i w:val="false"/>
          <w:caps w:val="false"/>
          <w:smallCaps w:val="false"/>
          <w:sz w:val="20"/>
          <w:u w:val="single"/>
        </w:rPr>
        <w:t>Item 1B. Unresolved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6" w:name="a_004"/>
      <w:bookmarkEnd w:id="6"/>
      <w:r>
        <w:rPr>
          <w:rFonts w:ascii="Times New Roman;Times;Serif" w:hAnsi="Times New Roman;Times;Serif"/>
          <w:b w:val="false"/>
          <w:i w:val="false"/>
          <w:caps w:val="false"/>
          <w:smallCaps w:val="false"/>
          <w:sz w:val="20"/>
          <w:u w:val="single"/>
        </w:rPr>
        <w:t>Item 1C.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cybersecurity is critical to our mission to ensure uninterrupted business continuity and enables us to deliver superior services while safeguarding our customers’ sensitive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processes are integrated into our overall risk management strategy. As part of our risk management strategy, our cybersecurity framework encompasses the following key processes: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Risk-Based Controls for Information Systems: We maintain an Information Technology (IT) infrastructure with physical, administrative, and technical controls tailored to protect the confidentiality, integrity, and availability of our information and systems.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Incident Response Plan and Testing: We have an incident response plan supported by a dedicated team to address cybersecurity incidents. This incident response plan includes vulnerability identification, initial assessment, and engagement of external experts as needed.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Training Initiatives: We provide security awareness training to help our employees understand their information protection and cybersecurity responsibilities at the Company. We also provide additional role-based training to employees based on customer requirements, regulatory obligations and industry risks, as needed.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Third-Party Assessments: We engage cybersecurity firms to regularly evaluate our cybersecurity posture, helping identify and mitigate risks posed by evolving threats.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continually strengthen our cybersecurity defenses through significant investments in resources and maintaining comprehensive cybersecurity insurance coverage. We maintain an insider threat detection program to proactively identify and mitigate both external and internal threats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certain third-party service providers to assist us with the delivery of our products to our customers. A cybersecurity incident at a supplier or subcontractor could materially adversely impact us. Therefore, we evaluate third party providers from a cybersecurity risk perspective, which may include an assessment of that service provider’s cybersecurity posture through a questionnaire. However, we rely on the third parties we use to implement security programs commensurate with their risk, and we cannot ensure in all circumstances that their efforts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adherence to Defense Federal Acquisition Regulation Supplement (DFARS) and Cybersecurity Maturity Model Certification (CMMC) requirements seeks to ensure strict protection of Controlled Unclassified Information (CUI), as mandated by the U.S. Department of War. These efforts underscore our commitment to maintaining the highest cybersecurity resilience standards and regulatory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Government defense industry contractor, we have experienced cybersecurity attacks and may be subject to significant cybersecurity attacks in the future. To date, we are not aware of any cybersecurity threats that have materially affected or are reasonably likely to affect us, including our business strategy, results of operations or financial condition. For additional information, see “Our business could be adversely impacted by significant cybersecurity attacks” in Item 1A. Risk Factors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Board of Directors has overall responsibility for overseeing the cybersecurity processes of identifying and mitigating cybersecurity risks. The Board of Directors has not delegated this responsibility to any one Committee, as its structure and size allows for the entire Board of Directors to oversee this responsibility. Periodically, our management provides updates to the Board of Directors regarding our internal control program, including any significant changes to its IT infrastructure and/or cybersecurity program. Management also communicates directly with the Board of Directors to report any material risks from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Information Officer (CIO) leads our cybersecurity program and reports directly to our Chief Executive Officer. Our CIO is supported by our internal IT team that assists our CIO in the day-to-day management of the cybersecurity program, including the cybersecurity incident response plan, training initiatives and third-party assessments. Our CIO has over two decades of experience in various cybersecurity functions, including implementing stringent cybersecurity measures to protect sensitive information and meet established security standards, extensive work in IT governance and operations, network intrusion and critical systems protection, Enterprise Resource Planning (ERP) systems, and data analytics. He has a B.S. in Computer Information Systems, and additional training in Risk Management Framework 2, COMSEC, and APICS.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7" w:name="a_005"/>
      <w:bookmarkEnd w:id="7"/>
      <w:r>
        <w:rPr>
          <w:rFonts w:ascii="Times New Roman;Times;Serif" w:hAnsi="Times New Roman;Times;Serif"/>
          <w:b w:val="false"/>
          <w:i w:val="false"/>
          <w:caps w:val="false"/>
          <w:smallCaps w:val="false"/>
          <w:sz w:val="20"/>
          <w:u w:val="single"/>
        </w:rPr>
        <w:t>Item 2.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out of several facilities located around the U.S. Each facility is used for manufacturing its products and for administrative activities. The following table presents the location, size and terms of ownership/occupation:</w:t>
      </w:r>
    </w:p>
    <w:p>
      <w:pPr>
        <w:pStyle w:val="TextBody"/>
        <w:bidi w:val="0"/>
        <w:spacing w:before="0" w:after="0"/>
        <w:ind w:left="0" w:right="0" w:firstLine="720"/>
        <w:jc w:val="both"/>
        <w:rPr>
          <w:caps w:val="false"/>
          <w:smallCaps w:val="false"/>
        </w:rPr>
      </w:pPr>
      <w:r>
        <w:rPr>
          <w:caps w:val="false"/>
          <w:smallCaps w:val="false"/>
        </w:rPr>
        <w:t> </w:t>
      </w:r>
    </w:p>
    <w:tbl>
      <w:tblPr>
        <w:tblW w:w="4993" w:type="dxa"/>
        <w:jc w:val="left"/>
        <w:tblInd w:w="0" w:type="dxa"/>
        <w:tblLayout w:type="fixed"/>
        <w:tblCellMar>
          <w:top w:w="0" w:type="dxa"/>
          <w:left w:w="0" w:type="dxa"/>
          <w:bottom w:w="28" w:type="dxa"/>
          <w:right w:w="0" w:type="dxa"/>
        </w:tblCellMar>
      </w:tblPr>
      <w:tblGrid>
        <w:gridCol w:w="1895"/>
        <w:gridCol w:w="90"/>
        <w:gridCol w:w="137"/>
        <w:gridCol w:w="1082"/>
        <w:gridCol w:w="90"/>
        <w:gridCol w:w="90"/>
        <w:gridCol w:w="218"/>
        <w:gridCol w:w="1256"/>
        <w:gridCol w:w="135"/>
      </w:tblGrid>
      <w:tr>
        <w:trPr/>
        <w:tc>
          <w:tcPr>
            <w:tcW w:w="1895" w:type="dxa"/>
            <w:tcBorders>
              <w:bottom w:val="single" w:sz="8" w:space="0" w:color="000000"/>
            </w:tcBorders>
            <w:vAlign w:val="center"/>
          </w:tcPr>
          <w:p>
            <w:pPr>
              <w:pStyle w:val="TableContents"/>
              <w:bidi w:val="0"/>
              <w:spacing w:before="0" w:after="283"/>
              <w:jc w:val="left"/>
              <w:rPr>
                <w:b/>
              </w:rPr>
            </w:pPr>
            <w:r>
              <w:rPr>
                <w:b/>
              </w:rPr>
              <w:t>Location</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vAlign w:val="center"/>
          </w:tcPr>
          <w:p>
            <w:pPr>
              <w:pStyle w:val="TableContents"/>
              <w:bidi w:val="0"/>
              <w:spacing w:before="0" w:after="283"/>
              <w:jc w:val="center"/>
              <w:rPr>
                <w:b/>
              </w:rPr>
            </w:pPr>
            <w:r>
              <w:rPr>
                <w:b/>
              </w:rPr>
              <w:t>Size (sq. ft.)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Own or Lease</w:t>
            </w:r>
          </w:p>
        </w:tc>
        <w:tc>
          <w:tcPr>
            <w:tcW w:w="135"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Mitchel Field, 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93,000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Garden Grove, CA</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082" w:type="dxa"/>
            <w:tcBorders/>
            <w:tcMar>
              <w:bottom w:w="0" w:type="dxa"/>
            </w:tcMar>
            <w:vAlign w:val="center"/>
          </w:tcPr>
          <w:p>
            <w:pPr>
              <w:pStyle w:val="TableContents"/>
              <w:bidi w:val="0"/>
              <w:spacing w:before="0" w:after="283"/>
              <w:jc w:val="right"/>
              <w:rPr/>
            </w:pPr>
            <w:r>
              <w:rPr/>
              <w:t>37,463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125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c>
          <w:tcPr>
            <w:tcW w:w="135"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Northvale, NJ</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6,548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Boulder, CO</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082" w:type="dxa"/>
            <w:tcBorders/>
            <w:tcMar>
              <w:bottom w:w="0" w:type="dxa"/>
            </w:tcMar>
            <w:vAlign w:val="center"/>
          </w:tcPr>
          <w:p>
            <w:pPr>
              <w:pStyle w:val="TableContents"/>
              <w:bidi w:val="0"/>
              <w:spacing w:before="0" w:after="283"/>
              <w:jc w:val="right"/>
              <w:rPr/>
            </w:pPr>
            <w:r>
              <w:rPr/>
              <w:t>4,140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125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facility located in Mitchel Field, Long Island, New York, is part of the building that the Company constructed in 1981 and expanded in 1988 on land leased from Nassau County. In January 1998, the Company sold the building and the related land lease to Reckson Associates Realty Corp. (“Reckson”), leasing back the space that it presently occupies.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Garden Grove, California facility is leased by the Company’s subsidiary, FEI-Zyfer. The facility consists of a combination office and test/assembly areas. The Company signed a third amendment to the lease, which expanded the square footage rented, and extended the lease an additional 62 months, beginning February 1, 2025 and expiring March 30, 2030. The average annual rent over the period of the amendment is approximately $672,000. The Company believes the leased space is adequate to meet FEI-Zyfer’s operational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entered into a new lease agreement on January 12, 2022 regarding its Northvale, New Jersey facility. The facility consists of a combination office and manufacturing space. The Company signed a third amendment to the lease, which extended the lease an additional 36 months beginning February 1, 2022 and expiring January 31, 2025, and reduced the square footage rented. Until a new lease is signed, the Company will make monthly payments of $13,491; all other terms and conditions of the previous lease shall remain in full force and effect. As of April 30, 2026, the Company has not signed a fourth amendment to the lease with the landlord, however, the Company continues to utilize the space for FEI-Elcom’s operational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Boulder, Colorado facility is leased by the Company and is used as a satellite facility for the FEI-NY segment. The facility consists of a combination office and test/assembly areas. The Company signed the lease for a period of 62 months, beginning August 1, 2025 and expiring September 30, 2030. The average annual rent over the period of the lease is approximately $71,100. The Company believes the leased space is adequate to meet operational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8" w:name="a_006"/>
      <w:bookmarkEnd w:id="8"/>
      <w:r>
        <w:rPr>
          <w:rFonts w:ascii="Times New Roman;Times;Serif" w:hAnsi="Times New Roman;Times;Serif"/>
          <w:b w:val="false"/>
          <w:i w:val="false"/>
          <w:caps w:val="false"/>
          <w:smallCaps w:val="false"/>
          <w:sz w:val="20"/>
          <w:u w:val="single"/>
        </w:rPr>
        <w:t>Item 3.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defendant in litigation arising out of the ordinary course of business. As of July 16, 2026, the Company was not party to any material pending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9" w:name="a_007"/>
      <w:bookmarkEnd w:id="9"/>
      <w:r>
        <w:rPr>
          <w:rFonts w:ascii="Times New Roman;Times;Serif" w:hAnsi="Times New Roman;Times;Serif"/>
          <w:b w:val="false"/>
          <w:i w:val="false"/>
          <w:caps w:val="false"/>
          <w:smallCaps w:val="false"/>
          <w:sz w:val="20"/>
          <w:u w:val="single"/>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 w:name="a_008"/>
      <w:bookmarkEnd w:id="10"/>
      <w:r>
        <w:rPr>
          <w:rFonts w:ascii="Times New Roman;Times;Serif" w:hAnsi="Times New Roman;Times;Serif"/>
          <w:b w:val="false"/>
          <w:i w:val="false"/>
          <w:caps w:val="false"/>
          <w:smallCaps w:val="false"/>
          <w:sz w:val="20"/>
          <w:u w:val="single"/>
        </w:rPr>
        <w:t>Item 5. Market for Registrant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 Common Equity, Related Stockholder Matters and 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is listed on The Nasdaq Global Market (“NASDAQ”) under the ticker symbol “FEIM.” As of July 8, 2026, the approximate number of holders of record of common stock was 613.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 or paid during fiscal year 2026. In the past, we have declared special dividends from time to time; however, any future determinations as to the declaration of dividends on our common stock will be made at the discretion of the Board of Directors and will depend on our earnings, operating and financial conditions, capital requirements, Credit Agreement restrictions, and other factors deemed relevant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currently restricts our ability to declare and pay dividends on our common stock if certain total leverage and minimum fixed charge coverage covenants are not met, and our ability to declare and pay dividends on our common stock may further be restricted by the provisions of other financing documents that we may enter into in the future or the terms of securities that we may issue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of unregistered equity securities during the quarter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share-repurchase activity for the quarter ended April 30, 2026:</w:t>
      </w:r>
    </w:p>
    <w:p>
      <w:pPr>
        <w:pStyle w:val="TextBody"/>
        <w:bidi w:val="0"/>
        <w:spacing w:before="0" w:after="0"/>
        <w:ind w:left="0" w:right="0" w:firstLine="720"/>
        <w:jc w:val="both"/>
        <w:rPr>
          <w:caps w:val="false"/>
          <w:smallCaps w:val="false"/>
        </w:rPr>
      </w:pPr>
      <w:r>
        <w:rPr>
          <w:caps w:val="false"/>
          <w:smallCaps w:val="false"/>
        </w:rPr>
        <w:t> </w:t>
      </w:r>
    </w:p>
    <w:tbl>
      <w:tblPr>
        <w:tblW w:w="8931" w:type="dxa"/>
        <w:jc w:val="left"/>
        <w:tblInd w:w="0" w:type="dxa"/>
        <w:tblLayout w:type="fixed"/>
        <w:tblCellMar>
          <w:top w:w="0" w:type="dxa"/>
          <w:left w:w="0" w:type="dxa"/>
          <w:bottom w:w="28" w:type="dxa"/>
          <w:right w:w="0" w:type="dxa"/>
        </w:tblCellMar>
      </w:tblPr>
      <w:tblGrid>
        <w:gridCol w:w="2135"/>
        <w:gridCol w:w="90"/>
        <w:gridCol w:w="139"/>
        <w:gridCol w:w="1035"/>
        <w:gridCol w:w="90"/>
        <w:gridCol w:w="90"/>
        <w:gridCol w:w="298"/>
        <w:gridCol w:w="1221"/>
        <w:gridCol w:w="90"/>
        <w:gridCol w:w="90"/>
        <w:gridCol w:w="238"/>
        <w:gridCol w:w="1446"/>
        <w:gridCol w:w="90"/>
        <w:gridCol w:w="90"/>
        <w:gridCol w:w="216"/>
        <w:gridCol w:w="1438"/>
        <w:gridCol w:w="135"/>
      </w:tblGrid>
      <w:tr>
        <w:trPr/>
        <w:tc>
          <w:tcPr>
            <w:tcW w:w="2135" w:type="dxa"/>
            <w:tcBorders>
              <w:bottom w:val="single" w:sz="8" w:space="0" w:color="000000"/>
            </w:tcBorders>
            <w:vAlign w:val="center"/>
          </w:tcPr>
          <w:p>
            <w:pPr>
              <w:pStyle w:val="TableContents"/>
              <w:bidi w:val="0"/>
              <w:spacing w:before="0" w:after="283"/>
              <w:jc w:val="left"/>
              <w:rPr>
                <w:b/>
              </w:rPr>
            </w:pPr>
            <w:r>
              <w:rPr>
                <w:b/>
              </w:rPr>
              <w:t>Period</w:t>
            </w:r>
          </w:p>
        </w:tc>
        <w:tc>
          <w:tcPr>
            <w:tcW w:w="9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b/>
              </w:rPr>
            </w:pPr>
            <w:r>
              <w:rPr>
                <w:b/>
              </w:rPr>
              <w:t xml:space="preserve">Total </w:t>
              <w:br/>
              <w:t>number of</w:t>
              <w:br/>
              <w:t>shares</w:t>
              <w:br/>
              <w:t xml:space="preserve">purchased </w:t>
              <w:br/>
              <w:t>(1)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8" w:space="0" w:color="000000"/>
            </w:tcBorders>
            <w:vAlign w:val="center"/>
          </w:tcPr>
          <w:p>
            <w:pPr>
              <w:pStyle w:val="TableContents"/>
              <w:bidi w:val="0"/>
              <w:spacing w:before="0" w:after="283"/>
              <w:jc w:val="center"/>
              <w:rPr>
                <w:b/>
              </w:rPr>
            </w:pPr>
            <w:r>
              <w:rPr>
                <w:b/>
              </w:rPr>
              <w:t>Average price</w:t>
              <w:br/>
              <w:t>paid 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rPr>
            </w:pPr>
            <w:r>
              <w:rPr>
                <w:b/>
              </w:rPr>
              <w:t xml:space="preserve">Total </w:t>
              <w:br/>
              <w:t>number of</w:t>
              <w:br/>
              <w:t>shares</w:t>
              <w:br/>
              <w:t>purchased as</w:t>
              <w:br/>
              <w:t>part of the</w:t>
              <w:br/>
              <w:t>publicly</w:t>
              <w:br/>
              <w:t>announced plan</w:t>
              <w:br/>
              <w:t>or program</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283"/>
              <w:jc w:val="center"/>
              <w:rPr>
                <w:b/>
              </w:rPr>
            </w:pPr>
            <w:r>
              <w:rPr>
                <w:b/>
              </w:rPr>
              <w:t>Approximate</w:t>
              <w:br/>
              <w:t>dollar value of</w:t>
              <w:br/>
              <w:t>shares that may</w:t>
              <w:br/>
              <w:t>yet be</w:t>
              <w:br/>
              <w:t>purchased</w:t>
              <w:br/>
              <w:t>under the plan</w:t>
              <w:br/>
              <w:t>or program</w:t>
            </w:r>
          </w:p>
        </w:tc>
        <w:tc>
          <w:tcPr>
            <w:tcW w:w="13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pPr>
            <w:r>
              <w:rPr/>
              <w:t>February 1 - 28,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22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283"/>
              <w:jc w:val="right"/>
              <w:rPr/>
            </w:pPr>
            <w:r>
              <w:rPr/>
              <w:t>19,009,026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March 1 - 31, 2026</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8"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8"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6"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right"/>
              <w:rPr/>
            </w:pPr>
            <w:r>
              <w:rPr/>
              <w:t>19,009,026</w:t>
            </w:r>
          </w:p>
        </w:tc>
        <w:tc>
          <w:tcPr>
            <w:tcW w:w="13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pPr>
            <w:r>
              <w:rPr/>
              <w:t>April 1 - 30,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1035"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8" w:type="dxa"/>
            <w:tcBorders>
              <w:bottom w:val="single" w:sz="8" w:space="0" w:color="000000"/>
            </w:tcBorders>
            <w:shd w:fill="CCEEFF" w:val="clear"/>
            <w:vAlign w:val="center"/>
          </w:tcPr>
          <w:p>
            <w:pPr>
              <w:pStyle w:val="TableContents"/>
              <w:bidi w:val="0"/>
              <w:spacing w:before="0" w:after="283"/>
              <w:jc w:val="left"/>
              <w:rPr/>
            </w:pPr>
            <w:r>
              <w:rPr/>
              <w:t> </w:t>
            </w:r>
          </w:p>
        </w:tc>
        <w:tc>
          <w:tcPr>
            <w:tcW w:w="1221"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CCEEFF" w:val="clear"/>
            <w:vAlign w:val="center"/>
          </w:tcPr>
          <w:p>
            <w:pPr>
              <w:pStyle w:val="TableContents"/>
              <w:bidi w:val="0"/>
              <w:spacing w:before="0" w:after="283"/>
              <w:jc w:val="left"/>
              <w:rPr/>
            </w:pPr>
            <w:r>
              <w:rPr/>
              <w:t> </w:t>
            </w:r>
          </w:p>
        </w:tc>
        <w:tc>
          <w:tcPr>
            <w:tcW w:w="1446"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w:t>
            </w:r>
          </w:p>
        </w:tc>
        <w:tc>
          <w:tcPr>
            <w:tcW w:w="1438" w:type="dxa"/>
            <w:tcBorders>
              <w:bottom w:val="single" w:sz="8" w:space="0" w:color="000000"/>
            </w:tcBorders>
            <w:shd w:fill="CCEEFF" w:val="clear"/>
            <w:vAlign w:val="center"/>
          </w:tcPr>
          <w:p>
            <w:pPr>
              <w:pStyle w:val="TableContents"/>
              <w:bidi w:val="0"/>
              <w:spacing w:before="0" w:after="283"/>
              <w:jc w:val="right"/>
              <w:rPr/>
            </w:pPr>
            <w:r>
              <w:rPr/>
              <w:t>19,009,026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39" w:type="dxa"/>
            <w:tcBorders>
              <w:bottom w:val="double" w:sz="6" w:space="0" w:color="000000"/>
            </w:tcBorders>
            <w:vAlign w:val="center"/>
          </w:tcPr>
          <w:p>
            <w:pPr>
              <w:pStyle w:val="TableContents"/>
              <w:bidi w:val="0"/>
              <w:spacing w:before="0" w:after="283"/>
              <w:jc w:val="left"/>
              <w:rPr/>
            </w:pPr>
            <w:r>
              <w:rPr/>
              <w:t> </w:t>
            </w:r>
          </w:p>
        </w:tc>
        <w:tc>
          <w:tcPr>
            <w:tcW w:w="1035" w:type="dxa"/>
            <w:tcBorders>
              <w:bottom w:val="double" w:sz="6" w:space="0" w:color="000000"/>
            </w:tcBorders>
            <w:vAlign w:val="center"/>
          </w:tcPr>
          <w:p>
            <w:pPr>
              <w:pStyle w:val="TableContents"/>
              <w:bidi w:val="0"/>
              <w:spacing w:before="0" w:after="283"/>
              <w:jc w:val="right"/>
              <w:rPr/>
            </w:pPr>
            <w:r>
              <w:rPr/>
              <w:t>         </w:t>
            </w: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8" w:type="dxa"/>
            <w:tcBorders>
              <w:bottom w:val="double" w:sz="6" w:space="0" w:color="000000"/>
            </w:tcBorders>
            <w:vAlign w:val="center"/>
          </w:tcPr>
          <w:p>
            <w:pPr>
              <w:pStyle w:val="TableContents"/>
              <w:bidi w:val="0"/>
              <w:spacing w:before="0" w:after="283"/>
              <w:jc w:val="left"/>
              <w:rPr/>
            </w:pPr>
            <w:r>
              <w:rPr/>
              <w:t> </w:t>
            </w:r>
          </w:p>
        </w:tc>
        <w:tc>
          <w:tcPr>
            <w:tcW w:w="1221" w:type="dxa"/>
            <w:tcBorders>
              <w:bottom w:val="double" w:sz="6" w:space="0" w:color="000000"/>
            </w:tcBorders>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8" w:type="dxa"/>
            <w:tcBorders>
              <w:bottom w:val="double" w:sz="6" w:space="0" w:color="000000"/>
            </w:tcBorders>
            <w:vAlign w:val="center"/>
          </w:tcPr>
          <w:p>
            <w:pPr>
              <w:pStyle w:val="TableContents"/>
              <w:bidi w:val="0"/>
              <w:spacing w:before="0" w:after="283"/>
              <w:jc w:val="left"/>
              <w:rPr/>
            </w:pPr>
            <w:r>
              <w:rPr/>
              <w:t> </w:t>
            </w:r>
          </w:p>
        </w:tc>
        <w:tc>
          <w:tcPr>
            <w:tcW w:w="1446" w:type="dxa"/>
            <w:tcBorders>
              <w:bottom w:val="double" w:sz="6" w:space="0" w:color="000000"/>
            </w:tcBorders>
            <w:vAlign w:val="center"/>
          </w:tcPr>
          <w:p>
            <w:pPr>
              <w:pStyle w:val="TableContents"/>
              <w:bidi w:val="0"/>
              <w:spacing w:before="0" w:after="283"/>
              <w:jc w:val="right"/>
              <w:rPr/>
            </w:pPr>
            <w:r>
              <w:rPr/>
              <w:t>       </w:t>
            </w: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6" w:type="dxa"/>
            <w:tcBorders>
              <w:bottom w:val="double" w:sz="6" w:space="0" w:color="000000"/>
            </w:tcBorders>
            <w:vAlign w:val="center"/>
          </w:tcPr>
          <w:p>
            <w:pPr>
              <w:pStyle w:val="TableContents"/>
              <w:bidi w:val="0"/>
              <w:spacing w:before="0" w:after="283"/>
              <w:jc w:val="left"/>
              <w:rPr/>
            </w:pPr>
            <w:r>
              <w:rPr/>
              <w:t>$</w:t>
            </w:r>
          </w:p>
        </w:tc>
        <w:tc>
          <w:tcPr>
            <w:tcW w:w="1438" w:type="dxa"/>
            <w:tcBorders>
              <w:bottom w:val="double" w:sz="6" w:space="0" w:color="000000"/>
            </w:tcBorders>
            <w:vAlign w:val="center"/>
          </w:tcPr>
          <w:p>
            <w:pPr>
              <w:pStyle w:val="TableContents"/>
              <w:bidi w:val="0"/>
              <w:spacing w:before="0" w:after="283"/>
              <w:jc w:val="right"/>
              <w:rPr/>
            </w:pPr>
            <w:r>
              <w:rPr/>
              <w:t>19,009,026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March 2005, the Company’s Board of Directors authorized the repurchase of up to $5.0 million worth of shares of the Company’s common stock. On September 9, 2025, the Company’s Board of Directors approved a new share repurchase authorization in the amount of $20.0 million. Under this new share repurchase authorization, the Company’s shares of common stock may be purchased on a discretionary basis from time to time, subject to general business and market conditions, other investment opportunities, and compliance with the covenants under the Credit Agreement, through open market purchases, privately negotiated transactions or other means. This repurchase program may be suspended or discontinued at any time without notice. The new share repurchase authorization replaced the Company’s prior share repurchase authorization under which approximately $0.6 million remained. This new share repurchase authorization does not have an expiration date.</w:t>
            </w:r>
          </w:p>
        </w:tc>
      </w:tr>
    </w:tbl>
    <w:p>
      <w:pPr>
        <w:pStyle w:val="TextBody"/>
        <w:bidi w:val="0"/>
        <w:spacing w:before="0" w:after="0"/>
        <w:ind w:left="0" w:right="0" w:firstLine="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68"/>
        <w:gridCol w:w="275"/>
        <w:gridCol w:w="791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were no shares withheld or otherwise repurchased during the quarter ended April 30,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1" w:name="a_009"/>
      <w:bookmarkEnd w:id="11"/>
      <w:r>
        <w:rPr>
          <w:rFonts w:ascii="Times New Roman;Times;Serif" w:hAnsi="Times New Roman;Times;Serif"/>
          <w:b w:val="false"/>
          <w:i w:val="false"/>
          <w:caps w:val="false"/>
          <w:smallCaps w:val="false"/>
          <w:sz w:val="20"/>
          <w:u w:val="single"/>
        </w:rPr>
        <w:t>Item 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2" w:name="a_010"/>
      <w:bookmarkEnd w:id="12"/>
      <w:r>
        <w:rPr>
          <w:rFonts w:ascii="Times New Roman;Times;Serif" w:hAnsi="Times New Roman;Times;Serif"/>
          <w:b w:val="false"/>
          <w:i w:val="false"/>
          <w:caps w:val="false"/>
          <w:smallCaps w:val="false"/>
          <w:sz w:val="20"/>
          <w:u w:val="single"/>
        </w:rPr>
        <w:t>Item 7.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i w:val="false"/>
          <w:caps w:val="false"/>
          <w:smallCaps w:val="false"/>
          <w:sz w:val="20"/>
        </w:rPr>
        <w:t>Safe Harbor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Statement under the Private Securities Litigation Reform Act of 1995: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Credit Agreement, volatility in the Company’s stock price, including due to the relatively low trading volume of its common stock, and failure to maintain an effective system of internal controls over financial reporting.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inventories. Each of these areas requires the Company to make use of reasonable estimates, including estimating the cost to complete a contract, the realizable value of its inventories or the market value of its products. Changes in estimates can have a material impact on the Company’s financial position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most contracts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H.R.1, the One Big Beautiful Bill Act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 The enactment of the OBBBA did not have a material impact on our provision or effective tax rate as of April 30, 2026. We continue to evaluate the OBBBA and its requirements, as well as its application to our business and its impact on cash taxes and our effective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arise from temporary differences between the tax basis of assets and liabilities and their reported amounts in the financial statements, which will result in taxable or deductible amounts in the future. Accounting for income taxes requires that a valuation allowance be established when it is more likely than not that all or a portion of the deferred tax assets will not be realized.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In circumstances where there is sufficient negative evidence indicating that the deferred tax assets will not be realizable, we establish a valuation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valuation allowance of approximately $1.4 million against certain deferred tax assets including state tax credits and capital loss carryforwards because the realization of these tax attributes requires sufficient taxable income be sourced to the respective state jurisdiction and capital gain income is required to utilize capital losses. The Company will continue to evaluate the realizability of its deferred tax assets quarterly. Any further increases or decreases in the valuation allowance could have an unfavorable or favorable impact on the Company’s income tax provision and net income in the period in which such determination is made. As of April 30, 2026, the deferred tax asset is recorded at its more-likely-than-not realizable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for the fiscal years ended April 30, 2026 and 2025, the percentage of consolidated net sales represented by certain items in the Company’s consolidated statements of operations:</w:t>
      </w:r>
    </w:p>
    <w:p>
      <w:pPr>
        <w:pStyle w:val="TextBody"/>
        <w:bidi w:val="0"/>
        <w:spacing w:before="0" w:after="0"/>
        <w:ind w:left="0" w:right="0" w:firstLine="720"/>
        <w:jc w:val="both"/>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3530"/>
        <w:gridCol w:w="90"/>
        <w:gridCol w:w="152"/>
        <w:gridCol w:w="996"/>
        <w:gridCol w:w="540"/>
        <w:gridCol w:w="152"/>
        <w:gridCol w:w="152"/>
        <w:gridCol w:w="996"/>
        <w:gridCol w:w="29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Years Ended April 30,</w:t>
            </w:r>
          </w:p>
        </w:tc>
        <w:tc>
          <w:tcPr>
            <w:tcW w:w="29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148" w:type="dxa"/>
            <w:gridSpan w:val="2"/>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48"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72.2</w:t>
            </w:r>
          </w:p>
        </w:tc>
        <w:tc>
          <w:tcPr>
            <w:tcW w:w="540" w:type="dxa"/>
            <w:tcBorders/>
            <w:shd w:fill="CCEEFF" w:val="clear"/>
            <w:vAlign w:val="center"/>
          </w:tcPr>
          <w:p>
            <w:pPr>
              <w:pStyle w:val="TableContents"/>
              <w:bidi w:val="0"/>
              <w:spacing w:before="0" w:after="283"/>
              <w:jc w:val="lef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76.3</w:t>
            </w:r>
          </w:p>
        </w:tc>
        <w:tc>
          <w:tcPr>
            <w:tcW w:w="29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34.4</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26.7</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Less intersegment revenues</w:t>
            </w:r>
          </w:p>
        </w:tc>
        <w:tc>
          <w:tcPr>
            <w:tcW w:w="9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540" w:type="dxa"/>
            <w:tcBorders/>
            <w:shd w:fill="CCEEFF" w:val="clear"/>
            <w:vAlign w:val="center"/>
          </w:tcPr>
          <w:p>
            <w:pPr>
              <w:pStyle w:val="TableContents"/>
              <w:bidi w:val="0"/>
              <w:spacing w:before="0" w:after="283"/>
              <w:jc w:val="lef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29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100.0</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70.9</w:t>
            </w:r>
          </w:p>
        </w:tc>
        <w:tc>
          <w:tcPr>
            <w:tcW w:w="54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56.9</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Gross margin</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29.1</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43.1</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Selling and administrative expenses</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24.4</w:t>
            </w:r>
          </w:p>
        </w:tc>
        <w:tc>
          <w:tcPr>
            <w:tcW w:w="54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17.6</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tcMar>
              <w:bottom w:w="28" w:type="dxa"/>
            </w:tcMar>
            <w:vAlign w:val="center"/>
          </w:tcPr>
          <w:p>
            <w:pPr>
              <w:pStyle w:val="TableContents"/>
              <w:bidi w:val="0"/>
              <w:spacing w:before="0" w:after="283"/>
              <w:jc w:val="right"/>
              <w:rPr/>
            </w:pPr>
            <w:r>
              <w:rPr/>
              <w:t>9.5</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tcMar>
              <w:bottom w:w="28" w:type="dxa"/>
            </w:tcMar>
            <w:vAlign w:val="center"/>
          </w:tcPr>
          <w:p>
            <w:pPr>
              <w:pStyle w:val="TableContents"/>
              <w:bidi w:val="0"/>
              <w:spacing w:before="0" w:after="283"/>
              <w:jc w:val="right"/>
              <w:rPr/>
            </w:pPr>
            <w:r>
              <w:rPr/>
              <w:t>8.7</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Operating (loss)income</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w:t>
            </w:r>
          </w:p>
        </w:tc>
        <w:tc>
          <w:tcPr>
            <w:tcW w:w="540" w:type="dxa"/>
            <w:tcBorders/>
            <w:shd w:fill="CCEEFF" w:val="clear"/>
            <w:vAlign w:val="center"/>
          </w:tcPr>
          <w:p>
            <w:pPr>
              <w:pStyle w:val="TableContents"/>
              <w:bidi w:val="0"/>
              <w:spacing w:before="0" w:after="283"/>
              <w:jc w:val="lef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16.8</w:t>
            </w:r>
          </w:p>
        </w:tc>
        <w:tc>
          <w:tcPr>
            <w:tcW w:w="29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0.2</w:t>
            </w:r>
          </w:p>
        </w:tc>
        <w:tc>
          <w:tcPr>
            <w:tcW w:w="5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540" w:type="dxa"/>
            <w:tcBorders/>
            <w:shd w:fill="CCEEFF" w:val="clear"/>
            <w:vAlign w:val="center"/>
          </w:tcPr>
          <w:p>
            <w:pPr>
              <w:pStyle w:val="TableContents"/>
              <w:bidi w:val="0"/>
              <w:spacing w:before="0" w:after="283"/>
              <w:jc w:val="lef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(16.5</w:t>
            </w:r>
          </w:p>
        </w:tc>
        <w:tc>
          <w:tcPr>
            <w:tcW w:w="29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Net (loss) income</w:t>
            </w:r>
          </w:p>
        </w:tc>
        <w:tc>
          <w:tcPr>
            <w:tcW w:w="90" w:type="dxa"/>
            <w:tcBorders/>
            <w:vAlign w:val="center"/>
          </w:tcPr>
          <w:p>
            <w:pPr>
              <w:pStyle w:val="TableContents"/>
              <w:bidi w:val="0"/>
              <w:spacing w:before="0" w:after="283"/>
              <w:jc w:val="left"/>
              <w:rPr/>
            </w:pPr>
            <w:r>
              <w:rPr/>
              <w:t> </w:t>
            </w:r>
          </w:p>
        </w:tc>
        <w:tc>
          <w:tcPr>
            <w:tcW w:w="152" w:type="dxa"/>
            <w:tcBorders>
              <w:bottom w:val="double" w:sz="6" w:space="0" w:color="000000"/>
            </w:tcBorders>
            <w:tcMar>
              <w:bottom w:w="28" w:type="dxa"/>
            </w:tcMar>
            <w:vAlign w:val="center"/>
          </w:tcPr>
          <w:p>
            <w:pPr>
              <w:pStyle w:val="TableContents"/>
              <w:bidi w:val="0"/>
              <w:spacing w:before="0" w:after="283"/>
              <w:jc w:val="left"/>
              <w:rPr/>
            </w:pPr>
            <w:r>
              <w:rPr/>
              <w:t> </w:t>
            </w:r>
          </w:p>
        </w:tc>
        <w:tc>
          <w:tcPr>
            <w:tcW w:w="996" w:type="dxa"/>
            <w:tcBorders>
              <w:bottom w:val="double" w:sz="6" w:space="0" w:color="000000"/>
            </w:tcBorders>
            <w:tcMar>
              <w:bottom w:w="28" w:type="dxa"/>
            </w:tcMar>
            <w:vAlign w:val="center"/>
          </w:tcPr>
          <w:p>
            <w:pPr>
              <w:pStyle w:val="TableContents"/>
              <w:bidi w:val="0"/>
              <w:spacing w:before="0" w:after="283"/>
              <w:jc w:val="right"/>
              <w:rPr/>
            </w:pPr>
            <w:r>
              <w:rPr/>
              <w:t>(1.4</w:t>
            </w:r>
          </w:p>
        </w:tc>
        <w:tc>
          <w:tcPr>
            <w:tcW w:w="540"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152" w:type="dxa"/>
            <w:tcBorders>
              <w:bottom w:val="double" w:sz="6" w:space="0" w:color="000000"/>
            </w:tcBorders>
            <w:tcMar>
              <w:bottom w:w="28" w:type="dxa"/>
            </w:tcMar>
            <w:vAlign w:val="center"/>
          </w:tcPr>
          <w:p>
            <w:pPr>
              <w:pStyle w:val="TableContents"/>
              <w:bidi w:val="0"/>
              <w:spacing w:before="0" w:after="283"/>
              <w:jc w:val="left"/>
              <w:rPr/>
            </w:pPr>
            <w:r>
              <w:rPr/>
              <w:t> </w:t>
            </w:r>
          </w:p>
        </w:tc>
        <w:tc>
          <w:tcPr>
            <w:tcW w:w="996" w:type="dxa"/>
            <w:tcBorders>
              <w:bottom w:val="double" w:sz="6" w:space="0" w:color="000000"/>
            </w:tcBorders>
            <w:tcMar>
              <w:bottom w:w="28" w:type="dxa"/>
            </w:tcMar>
            <w:vAlign w:val="center"/>
          </w:tcPr>
          <w:p>
            <w:pPr>
              <w:pStyle w:val="TableContents"/>
              <w:bidi w:val="0"/>
              <w:spacing w:before="0" w:after="283"/>
              <w:jc w:val="right"/>
              <w:rPr/>
            </w:pPr>
            <w:r>
              <w:rPr/>
              <w:t>33.9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Revenues</w:t>
      </w:r>
    </w:p>
    <w:p>
      <w:pPr>
        <w:pStyle w:val="TextBody"/>
        <w:bidi w:val="0"/>
        <w:spacing w:before="0" w:after="0"/>
        <w:ind w:left="0" w:right="0" w:firstLine="720"/>
        <w:jc w:val="both"/>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2180"/>
        <w:gridCol w:w="90"/>
        <w:gridCol w:w="170"/>
        <w:gridCol w:w="710"/>
        <w:gridCol w:w="125"/>
        <w:gridCol w:w="90"/>
        <w:gridCol w:w="170"/>
        <w:gridCol w:w="710"/>
        <w:gridCol w:w="125"/>
        <w:gridCol w:w="90"/>
        <w:gridCol w:w="170"/>
        <w:gridCol w:w="665"/>
        <w:gridCol w:w="125"/>
        <w:gridCol w:w="90"/>
        <w:gridCol w:w="90"/>
        <w:gridCol w:w="545"/>
        <w:gridCol w:w="365"/>
      </w:tblGrid>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75"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2180" w:type="dxa"/>
            <w:tcBorders>
              <w:bottom w:val="single" w:sz="8" w:space="0" w:color="000000"/>
            </w:tcBorders>
            <w:tcMar>
              <w:bottom w:w="28" w:type="dxa"/>
            </w:tcMar>
            <w:vAlign w:val="center"/>
          </w:tcPr>
          <w:p>
            <w:pPr>
              <w:pStyle w:val="TableContents"/>
              <w:bidi w:val="0"/>
              <w:spacing w:before="0" w:after="283"/>
              <w:jc w:val="left"/>
              <w:rPr>
                <w:b/>
              </w:rPr>
            </w:pPr>
            <w:r>
              <w:rPr>
                <w:b/>
              </w:rPr>
              <w:t>Segment</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45,651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53,269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(7,618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(14.3</w:t>
            </w:r>
          </w:p>
        </w:tc>
        <w:tc>
          <w:tcPr>
            <w:tcW w:w="365" w:type="dxa"/>
            <w:tcBorders/>
            <w:shd w:fill="CCEEFF" w:val="clear"/>
            <w:vAlign w:val="center"/>
          </w:tcPr>
          <w:p>
            <w:pPr>
              <w:pStyle w:val="TableContents"/>
              <w:bidi w:val="0"/>
              <w:spacing w:before="0" w:after="283"/>
              <w:jc w:val="left"/>
              <w:rPr/>
            </w:pPr>
            <w:r>
              <w:rPr/>
              <w:t>)%</w:t>
            </w:r>
          </w:p>
        </w:tc>
      </w:tr>
      <w:tr>
        <w:trPr/>
        <w:tc>
          <w:tcPr>
            <w:tcW w:w="218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21,731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18,660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3,071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16.5</w:t>
            </w:r>
          </w:p>
        </w:tc>
        <w:tc>
          <w:tcPr>
            <w:tcW w:w="365" w:type="dxa"/>
            <w:tcBorders/>
            <w:vAlign w:val="center"/>
          </w:tcPr>
          <w:p>
            <w:pPr>
              <w:pStyle w:val="TableContents"/>
              <w:bidi w:val="0"/>
              <w:spacing w:before="0" w:after="283"/>
              <w:jc w:val="left"/>
              <w:rPr/>
            </w:pPr>
            <w:r>
              <w:rPr/>
              <w:t>%</w:t>
            </w:r>
          </w:p>
        </w:tc>
      </w:tr>
      <w:tr>
        <w:trPr/>
        <w:tc>
          <w:tcPr>
            <w:tcW w:w="2180" w:type="dxa"/>
            <w:tcBorders/>
            <w:shd w:fill="CCEEFF" w:val="clear"/>
            <w:vAlign w:val="center"/>
          </w:tcPr>
          <w:p>
            <w:pPr>
              <w:pStyle w:val="TableContents"/>
              <w:bidi w:val="0"/>
              <w:spacing w:before="0" w:after="283"/>
              <w:jc w:val="left"/>
              <w:rPr/>
            </w:pPr>
            <w:r>
              <w:rPr/>
              <w:t>Intersegment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(4,155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(2,118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(2,037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pPr>
            <w:r>
              <w:rPr/>
              <w:t>96.2</w:t>
            </w:r>
          </w:p>
        </w:tc>
        <w:tc>
          <w:tcPr>
            <w:tcW w:w="365" w:type="dxa"/>
            <w:tcBorders/>
            <w:shd w:fill="CCEEFF" w:val="clear"/>
            <w:vAlign w:val="center"/>
          </w:tcPr>
          <w:p>
            <w:pPr>
              <w:pStyle w:val="TableContents"/>
              <w:bidi w:val="0"/>
              <w:spacing w:before="0" w:after="283"/>
              <w:jc w:val="left"/>
              <w:rPr/>
            </w:pPr>
            <w:r>
              <w:rPr/>
              <w:t>%</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63,227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69,811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(6,584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tcMar>
              <w:bottom w:w="28" w:type="dxa"/>
            </w:tcMar>
            <w:vAlign w:val="center"/>
          </w:tcPr>
          <w:p>
            <w:pPr>
              <w:pStyle w:val="TableContents"/>
              <w:bidi w:val="0"/>
              <w:spacing w:before="0" w:after="283"/>
              <w:jc w:val="right"/>
              <w:rPr/>
            </w:pPr>
            <w:r>
              <w:rPr/>
              <w:t>(9.4</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2026 revenue decreased by approximately $6.6 million, or 9%, compared to the prior fiscal year. Fiscal 2026 was a year of digestion from a revenue standpoint, as the Company pulled forward some revenue into last year’s Fiscal 2025. As a result of the shutdown of the FEI-Elcom manufacturing business, the Company sacrificed some near-term revenue in the fourth quarter. By doing so, the Company believes it is the right long-term decision to better align its capital and growth potential as it focuses on the much larger addressable markets it is starting to sell into: alternative position, navigation and timing (ALT-PNT) solutions; quantum sensing, including magnetometers; space defense and exploration; and, proliferated satellite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Satellite program revenues for Government end-use were 31% and 53% of total revenues for fiscal years 2026 and 2025, respectively. Satellite program revenues for commercial end-use were 6% of total revenue for both fiscal years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on satellite program contracts are recorded in the FEI-NY segment and are recognized primarily under the percentage-of-completion (“POC”) method. Revenues from non-space U.S. Government/DOW customers increased by approximately $11.5 million, or 43.2%, in fiscal year 2026 compared to fiscal year 2025. These revenues are recorded in both the FEI-NY and FEI-Zyfer segments and accounted for approximately 60% and 38% of consolidated revenues for fiscal years 2026 and 2025, respectively. Other commercial and industrial sales accounted for approximately 3% of consolidated revenues for both fiscal years 2026 and 2025. Sales in the other commercial and industrial sales area were $2.1 million and $2.4 million for the fiscal year ended April 30, 2026 and the fiscal year ended April 30,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Profit</w:t>
      </w:r>
    </w:p>
    <w:p>
      <w:pPr>
        <w:pStyle w:val="TextBody"/>
        <w:bidi w:val="0"/>
        <w:spacing w:before="0" w:after="0"/>
        <w:ind w:left="0" w:right="0" w:firstLine="720"/>
        <w:jc w:val="both"/>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2300"/>
        <w:gridCol w:w="90"/>
        <w:gridCol w:w="170"/>
        <w:gridCol w:w="710"/>
        <w:gridCol w:w="245"/>
        <w:gridCol w:w="90"/>
        <w:gridCol w:w="170"/>
        <w:gridCol w:w="710"/>
        <w:gridCol w:w="245"/>
        <w:gridCol w:w="90"/>
        <w:gridCol w:w="170"/>
        <w:gridCol w:w="785"/>
        <w:gridCol w:w="125"/>
        <w:gridCol w:w="90"/>
        <w:gridCol w:w="90"/>
        <w:gridCol w:w="545"/>
        <w:gridCol w:w="365"/>
      </w:tblGrid>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18,396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30,097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(11,701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(38.9</w:t>
            </w:r>
          </w:p>
        </w:tc>
        <w:tc>
          <w:tcPr>
            <w:tcW w:w="365" w:type="dxa"/>
            <w:tcBorders/>
            <w:shd w:fill="CCEEFF" w:val="clear"/>
            <w:vAlign w:val="center"/>
          </w:tcPr>
          <w:p>
            <w:pPr>
              <w:pStyle w:val="TableContents"/>
              <w:bidi w:val="0"/>
              <w:spacing w:before="0" w:after="283"/>
              <w:jc w:val="left"/>
              <w:rPr/>
            </w:pPr>
            <w:r>
              <w:rPr/>
              <w:t>)%</w:t>
            </w:r>
          </w:p>
        </w:tc>
      </w:tr>
      <w:tr>
        <w:trPr/>
        <w:tc>
          <w:tcPr>
            <w:tcW w:w="2300" w:type="dxa"/>
            <w:tcBorders/>
            <w:vAlign w:val="center"/>
          </w:tcPr>
          <w:p>
            <w:pPr>
              <w:pStyle w:val="TableContents"/>
              <w:bidi w:val="0"/>
              <w:spacing w:before="0" w:after="283"/>
              <w:jc w:val="left"/>
              <w:rPr/>
            </w:pPr>
            <w:r>
              <w:rPr/>
              <w:t>Gross Profit Percentage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2026, the gross profit and gross profit percentage decreased as a result of several factors. The Company invested significantly in the business during Fiscal 2026 in order to better prepare for the anticipated strong growth ahead. The majority of this investment was focused on hiring engineering talent in advance of the large ramp-up in production and revenue that is expected, based in part on the historically high existing backlog. This had near-term dampening effects on gross margin, as engineering costs flowed through the manufacturing overhead portion of our cost of revenues, raising this expense before the generation of revenue. Another meaningful investment was a business process improvement investment, which should allow the Company to improve turnaround time; these expenses flowed through overhead and had a similar impact on gross margins. With the orders and demand coming in, the Company believes it is a prudent long-term decision to be ready for that business and to super-serve customers, who increasingly want more work done more quickly. Additionally, the Company has increased the internal focus on the largest and most profitable market opportunities, and de-emphasized or discontinued products with lower growth potential and lower margin profiles that have historically been part of the business. Specifically, the Company chose to restructure FEI-Elcom effective April 30, 2026. The Company believes FEI-Elcom did not have the growth or margin potential of the Company’s core space and defense markets, nor those of the much larger addressable markets the Company is starting to sell into: alternative position, navigation and timing (ALT-PNT) solutions; quantum sensing, including magnetometers and Rydberg sensors; space defense and exploration; and, proliferated satellite programs. The FEI-Elcom restructuring included a $3.8 million inventory write-down, a non-cash charge which flowed through cost of revenues further depressed gross margins for this reported period, but which, we believe is not reflective of ongoing business trends. The Company had several non-recurring charges that flowed through operating expenses this quarter, the majority of which was a non-cash charge for an accrual related to a one-time change in employee sick/paid-time-off policies. Most of this charge flowed through cost of revenues, impacting gross margins, and the balance flowed through selling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and Administrative Expenses</w:t>
      </w:r>
    </w:p>
    <w:p>
      <w:pPr>
        <w:pStyle w:val="TextBody"/>
        <w:bidi w:val="0"/>
        <w:spacing w:before="0" w:after="0"/>
        <w:ind w:left="0" w:right="0" w:firstLine="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85"/>
        <w:gridCol w:w="710"/>
        <w:gridCol w:w="90"/>
        <w:gridCol w:w="90"/>
        <w:gridCol w:w="170"/>
        <w:gridCol w:w="710"/>
        <w:gridCol w:w="90"/>
        <w:gridCol w:w="90"/>
        <w:gridCol w:w="170"/>
        <w:gridCol w:w="590"/>
        <w:gridCol w:w="90"/>
        <w:gridCol w:w="90"/>
        <w:gridCol w:w="90"/>
        <w:gridCol w:w="470"/>
        <w:gridCol w:w="290"/>
      </w:tblGrid>
      <w:tr>
        <w:trPr/>
        <w:tc>
          <w:tcPr>
            <w:tcW w:w="3635" w:type="dxa"/>
            <w:gridSpan w:val="14"/>
            <w:tcBorders/>
            <w:vAlign w:val="center"/>
          </w:tcPr>
          <w:p>
            <w:pPr>
              <w:pStyle w:val="TableContents"/>
              <w:bidi w:val="0"/>
              <w:spacing w:before="0" w:after="283"/>
              <w:jc w:val="center"/>
              <w:rPr>
                <w:b/>
              </w:rPr>
            </w:pPr>
            <w:r>
              <w:rPr>
                <w:b/>
              </w:rPr>
              <w:t>Fiscal Years Ended April 30,</w:t>
            </w:r>
          </w:p>
        </w:tc>
        <w:tc>
          <w:tcPr>
            <w:tcW w:w="290" w:type="dxa"/>
            <w:tcBorders/>
            <w:vAlign w:val="center"/>
          </w:tcPr>
          <w:p>
            <w:pPr>
              <w:pStyle w:val="TableContents"/>
              <w:bidi w:val="0"/>
              <w:spacing w:before="0" w:after="283"/>
              <w:jc w:val="left"/>
              <w:rPr/>
            </w:pPr>
            <w:r>
              <w:rPr/>
              <w:t> </w:t>
            </w:r>
          </w:p>
        </w:tc>
      </w:tr>
      <w:tr>
        <w:trPr/>
        <w:tc>
          <w:tcPr>
            <w:tcW w:w="36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15,403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25.3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ended April 30, 2026 and 2025, selling and administrative expenses (“SG&amp;A”) were 24% and 18% of consolidated revenues, respectively. Both SG&amp;A expenses in total and as a percentage of revenue increased in fiscal year 2026, as compared to the prior fiscal year. As mentioned above, there were also significant investments in the future and one-time charges that were included in SG&amp;A. The largest and most important is the opening of the Colorado facility and all the associated costs. The Company believes this facility will be a key contributor to the future growth of the Company. Additional expenses were recorded for the restructuring of FEI-Elcom. The majority of the remaining increase was non-recuring charges related to a change in sick/paid-time off policies and legal expenses related to the various items the Company has instituted for the future growth of the Company. Going forward, the Company expects to demonstrate operating leverage on its SG&amp;A expenses as revenue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and Development Expenses</w:t>
      </w:r>
    </w:p>
    <w:p>
      <w:pPr>
        <w:pStyle w:val="TextBody"/>
        <w:bidi w:val="0"/>
        <w:spacing w:before="0" w:after="0"/>
        <w:ind w:left="0" w:right="0" w:firstLine="720"/>
        <w:jc w:val="both"/>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185"/>
        <w:gridCol w:w="590"/>
        <w:gridCol w:w="90"/>
        <w:gridCol w:w="90"/>
        <w:gridCol w:w="170"/>
        <w:gridCol w:w="590"/>
        <w:gridCol w:w="90"/>
        <w:gridCol w:w="90"/>
        <w:gridCol w:w="170"/>
        <w:gridCol w:w="365"/>
        <w:gridCol w:w="125"/>
        <w:gridCol w:w="90"/>
        <w:gridCol w:w="90"/>
        <w:gridCol w:w="425"/>
        <w:gridCol w:w="365"/>
      </w:tblGrid>
      <w:tr>
        <w:trPr/>
        <w:tc>
          <w:tcPr>
            <w:tcW w:w="3160"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31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jc w:val="right"/>
              <w:rPr/>
            </w:pPr>
            <w:r>
              <w:rPr/>
              <w:t>(82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consolidated revenue, R&amp;D expense for the fiscal years ended April 30, 2026 and 2025 were 10% and 9%, respectively. The Company funded R&amp;D as a percentage of consolidated revenue was slightly higher in fiscal year 2026 as compared to the previous fiscal year, partially because the previous fiscal year R&amp;D expenditures were lower than planned and some of the expenses were subsequently captured in fiscal year 2026. The increase in R&amp;D expense as a percentage of consolidated revenue, also reflects the Company’s commitment to maintaining its technical excellence. The Company expects future R&amp;D investment to be in line with, or even potentially above, historical spending, but the Company expects to demonstrate operating leverage on its R&amp;D expenses as revenue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received in connection with customer funded R&amp;D appear in revenues and the associated expenses are included in cost of revenues and are not included in the table above. The Company believes that internally generated cash and cash reserves are adequate to fund its future R&amp;D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Operating (loss) income </w:t>
      </w:r>
    </w:p>
    <w:p>
      <w:pPr>
        <w:pStyle w:val="TextBody"/>
        <w:bidi w:val="0"/>
        <w:spacing w:before="0" w:after="0"/>
        <w:ind w:left="0" w:right="0" w:firstLine="72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185"/>
        <w:gridCol w:w="665"/>
        <w:gridCol w:w="125"/>
        <w:gridCol w:w="90"/>
        <w:gridCol w:w="170"/>
        <w:gridCol w:w="710"/>
        <w:gridCol w:w="90"/>
        <w:gridCol w:w="90"/>
        <w:gridCol w:w="170"/>
        <w:gridCol w:w="785"/>
        <w:gridCol w:w="125"/>
        <w:gridCol w:w="90"/>
        <w:gridCol w:w="90"/>
        <w:gridCol w:w="665"/>
        <w:gridCol w:w="365"/>
      </w:tblGrid>
      <w:tr>
        <w:trPr/>
        <w:tc>
          <w:tcPr>
            <w:tcW w:w="4050"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40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(14,733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(125.6</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2026, the Company recorded an operating loss of $3.0 million compared to an operating income of $11.7 million in the prior fiscal year. As mentioned in the revenue, gross profit, and SG&amp;A sections above, the Company’s fiscal 2026 was a critically important year for the future of the Company. Going forward the Company expects to demonstrate significant operating leverage as revenue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Other Income, net </w:t>
      </w:r>
    </w:p>
    <w:p>
      <w:pPr>
        <w:pStyle w:val="TextBody"/>
        <w:bidi w:val="0"/>
        <w:spacing w:before="0" w:after="0"/>
        <w:ind w:left="0" w:right="0" w:firstLine="72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240"/>
        <w:gridCol w:w="90"/>
        <w:gridCol w:w="170"/>
        <w:gridCol w:w="485"/>
        <w:gridCol w:w="125"/>
        <w:gridCol w:w="90"/>
        <w:gridCol w:w="170"/>
        <w:gridCol w:w="485"/>
        <w:gridCol w:w="125"/>
        <w:gridCol w:w="90"/>
        <w:gridCol w:w="170"/>
        <w:gridCol w:w="485"/>
        <w:gridCol w:w="125"/>
        <w:gridCol w:w="90"/>
        <w:gridCol w:w="90"/>
        <w:gridCol w:w="890"/>
        <w:gridCol w:w="365"/>
      </w:tblGrid>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0"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Income on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29.7</w:t>
            </w:r>
          </w:p>
        </w:tc>
        <w:tc>
          <w:tcPr>
            <w:tcW w:w="365" w:type="dxa"/>
            <w:tcBorders/>
            <w:shd w:fill="CCEEFF" w:val="cle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(16.3</w:t>
            </w:r>
          </w:p>
        </w:tc>
        <w:tc>
          <w:tcPr>
            <w:tcW w:w="365" w:type="dxa"/>
            <w:tcBorders/>
            <w:vAlign w:val="center"/>
          </w:tcPr>
          <w:p>
            <w:pPr>
              <w:pStyle w:val="TableContents"/>
              <w:bidi w:val="0"/>
              <w:spacing w:before="0" w:after="283"/>
              <w:jc w:val="left"/>
              <w:rPr/>
            </w:pPr>
            <w:r>
              <w:rPr/>
              <w:t>)%</w:t>
            </w:r>
          </w:p>
        </w:tc>
      </w:tr>
      <w:tr>
        <w:trPr/>
        <w:tc>
          <w:tcPr>
            <w:tcW w:w="2240"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(493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16,333.3</w:t>
            </w:r>
          </w:p>
        </w:tc>
        <w:tc>
          <w:tcPr>
            <w:tcW w:w="365" w:type="dxa"/>
            <w:tcBorders/>
            <w:shd w:fill="CCEEFF" w:val="cle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412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(319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90" w:type="dxa"/>
            <w:tcBorders>
              <w:bottom w:val="double" w:sz="6" w:space="0" w:color="000000"/>
            </w:tcBorders>
            <w:tcMar>
              <w:bottom w:w="28" w:type="dxa"/>
            </w:tcMar>
            <w:vAlign w:val="center"/>
          </w:tcPr>
          <w:p>
            <w:pPr>
              <w:pStyle w:val="TableContents"/>
              <w:bidi w:val="0"/>
              <w:spacing w:before="0" w:after="283"/>
              <w:jc w:val="right"/>
              <w:rPr/>
            </w:pPr>
            <w:r>
              <w:rPr/>
              <w:t>(77.4</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from the prior fiscal year was mainly caused by a gain on the sale of the Company’s available-for sale marketable securities and a loss on investment due to the restructuring of FEI-Elcom. Additionally, interest expense was approximately 16% lower in fiscal year 2026, as compared to the prior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Income Tax Benefit </w:t>
      </w:r>
    </w:p>
    <w:p>
      <w:pPr>
        <w:pStyle w:val="TextBody"/>
        <w:bidi w:val="0"/>
        <w:spacing w:before="0" w:after="0"/>
        <w:ind w:left="0" w:right="0" w:firstLine="720"/>
        <w:jc w:val="both"/>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185"/>
        <w:gridCol w:w="665"/>
        <w:gridCol w:w="125"/>
        <w:gridCol w:w="90"/>
        <w:gridCol w:w="170"/>
        <w:gridCol w:w="785"/>
        <w:gridCol w:w="125"/>
        <w:gridCol w:w="90"/>
        <w:gridCol w:w="170"/>
        <w:gridCol w:w="590"/>
        <w:gridCol w:w="90"/>
        <w:gridCol w:w="90"/>
        <w:gridCol w:w="90"/>
        <w:gridCol w:w="545"/>
        <w:gridCol w:w="365"/>
      </w:tblGrid>
      <w:tr>
        <w:trPr/>
        <w:tc>
          <w:tcPr>
            <w:tcW w:w="3810" w:type="dxa"/>
            <w:gridSpan w:val="14"/>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38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(2,005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(11,542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(82.6</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8051" w:type="dxa"/>
        <w:jc w:val="left"/>
        <w:tblInd w:w="0" w:type="dxa"/>
        <w:tblLayout w:type="fixed"/>
        <w:tblCellMar>
          <w:top w:w="0" w:type="dxa"/>
          <w:left w:w="0" w:type="dxa"/>
          <w:bottom w:w="0" w:type="dxa"/>
          <w:right w:w="0" w:type="dxa"/>
        </w:tblCellMar>
      </w:tblPr>
      <w:tblGrid>
        <w:gridCol w:w="4610"/>
        <w:gridCol w:w="90"/>
        <w:gridCol w:w="175"/>
        <w:gridCol w:w="918"/>
        <w:gridCol w:w="478"/>
        <w:gridCol w:w="175"/>
        <w:gridCol w:w="175"/>
        <w:gridCol w:w="1065"/>
        <w:gridCol w:w="365"/>
      </w:tblGrid>
      <w:tr>
        <w:trPr/>
        <w:tc>
          <w:tcPr>
            <w:tcW w:w="4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6" w:type="dxa"/>
            <w:gridSpan w:val="6"/>
            <w:tcBorders/>
            <w:vAlign w:val="center"/>
          </w:tcPr>
          <w:p>
            <w:pPr>
              <w:pStyle w:val="TableContents"/>
              <w:bidi w:val="0"/>
              <w:spacing w:before="0" w:after="283"/>
              <w:jc w:val="center"/>
              <w:rPr>
                <w:b/>
              </w:rPr>
            </w:pPr>
            <w:r>
              <w:rPr>
                <w:b/>
              </w:rPr>
              <w:t>Fiscal Years Ended April 30,</w:t>
            </w:r>
          </w:p>
        </w:tc>
        <w:tc>
          <w:tcPr>
            <w:tcW w:w="36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78"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6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Effective tax rate on pre-tax book (loss) income: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69.0</w:t>
            </w:r>
          </w:p>
        </w:tc>
        <w:tc>
          <w:tcPr>
            <w:tcW w:w="478" w:type="dxa"/>
            <w:tcBorders/>
            <w:shd w:fill="CCEEFF" w:val="clear"/>
            <w:vAlign w:val="center"/>
          </w:tcPr>
          <w:p>
            <w:pPr>
              <w:pStyle w:val="TableContents"/>
              <w:bidi w:val="0"/>
              <w:spacing w:before="0" w:after="283"/>
              <w:jc w:val="left"/>
              <w:rPr/>
            </w:pPr>
            <w:r>
              <w:rPr/>
              <w:t>%</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(95.0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2026, the Company recorded an income tax benefit of $2.0 million. For the fiscal year ended April 30, 2025, the Company recorded an income tax benefit of $11.5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of 69.0% for fiscal year 2026 differs from the statutory rate primarily due to state income taxes, tax credits and the tax effects of stock-based compensation windfall benefits recognized during the fiscal year partially offset by an Internal Revenue Code Section 162(m) limitation on compensation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 has U.S. federal net operating losses of $10.9 million of which $1.7 million begins to expire in fiscal year 2027 through fiscal year 2031. The U.S. federal net operating losses of $10.9 million includes $1.7 million which is subject to an annual limitation under Internal Revenue Code Section 382. The remaining U.S. federal net operating losses of $9.2 million have an indefinite carry-forward period. The U.S. federal capital loss carry-forward of $0.7 million expires in fiscal years 2028. U.S. federal R&amp;D credits of $0.8 million begin to expire in fiscal year 2038 through fiscal year 2046. The Company also has state net operating loss carryforwards, and state tax credits that expire in various years and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operations was $1.3 million in fiscal year 2026 compared to net cash used in operations of $1.4 million in fiscal year 2025. The Company’s balance sheet continues to reflect a highly liquid position with working capital of $27.0 million at April 30, 2026 as compared to $29.7 million at April 30, 2025.  Included in working capital at April 30, 2026 was $1.6 million consisting of cash and cash equivalents.  The Company’s current ratio was 2.3 to 1 at both April 30, 2026 and at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2026 and 2025, the Company incurred $9.3 million and $3.9 million, respectively, in non-cash charges to earnings, including adjustments relating to amortization of ROU assets, loss provision accrual, deferred tax assets, depreciation and amortization expense, inventory adjustments, warranty and accounts receivable reserves and certain employee benefit plan expenses, including accounting for stock-based compensation. During fiscal year 2026, cash provided by operations was mainly due to increases in deferred tax assets, accounts payable, accrued liabilities, and decreases in inventory, which were partially offset by a decrease in contract liabilities and an increase in the net loss. During fiscal year 2025, cash used in operations was mainly due to increases in net income, mainly in the U.S. Government/DOW Satellite market, and deferred tax assets primarily due to the reduction of the valuation allowance, partially offset by a decrease in contract liabilities and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fiscal year ended April 30, 2026 was $2.9 million compared to $1.8 million used in investing activities for the fiscal year ended April 30, 2025 all relating to purchases of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fiscal year ended April 30, 2026 was $1.6 million, all related to purchase of treasury stock. Net cash used in financing activities for the fiscal year ended April 30, 2025 was $9.9 million, of which $9.6 million was related to a special cash dividend payment of $1.00 per share of common stock paid on August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as in fiscal year 2025, the impact of inflation on the Company’s business was an increase in costs for materials and services. The Company believes inflation may continue to impact expenses in fiscal year 2027 and future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 had retained earnings of $2.8 million. The Company believes that its cash, as of April 30, 2026, cash flows from operations, and borrowings available under the Credit Agreement (as defined below) will provide sufficient liquidity to meet its operating needs in the normal course of business in both the short-term (next twelve months from the date of issuance of these consolidated financial statements) and in the long-term (beyond the next twelve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entered into a senior, secured revolving credit facility with JPMorgan Chase Bank, N.A., as the lender (the “Credit Agreement”). The Credit Agreement provides for a three-year revolving credit facility of $10.0 million, of which up to $5.0 million is available for the issuance of letters of credit. The Credit Agreement provides that the Company may, at its option, increase the aggregate amount of the revolving credit facility in an amount up to $10.0 million, subject to certain customary conditions and on the terms set forth in the Credit Agreement. There can be no assurance that additional funding will become available. Commitments under the revolving credit facility are subject to a commitment fee of 0.35% per annum on the daily amount of the undrawn portion of the revolving credit facility. The Company’s obligations under the Credit Agreement are guaranteed by FEI-Zyfer, Inc., a wholly-owned subsidiary of the Company. The revolving credit facility matures on June 12, 2029. For more information regarding the Credit Agreement, see Note 7 to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(the “FASB”) issued ASU No.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can apply the amendments in ASU 2023-09 prospectively or retrospectively to all annual periods beginning after December 15, 2024. The guidance was adopted by the Company prospectively for the year ended April 30, 2026, and the Company, accordingly, made the required changes in its income tax related disclosure (Refer to “Note 12. Income Taxes”). The adoption of ASU 2023-09 did not have any material impact on the Company’s audited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 – Reporting Comprehensive Income – Expense Disaggregation Disclosures (Subtopic 220-40): Disaggregation of Income Statement Expenses</w:t>
      </w:r>
      <w:r>
        <w:rPr>
          <w:rFonts w:ascii="Times New Roman;Times;Serif" w:hAnsi="Times New Roman;Times;Serif"/>
          <w:b w:val="false"/>
          <w:i w:val="false"/>
          <w:caps w:val="false"/>
          <w:smallCaps w:val="false"/>
          <w:sz w:val="20"/>
        </w:rPr>
        <w:t>. This ASU requires entities to disclose certain expenses, including purchases of inventory, employee compensation, depreciation, and intangible asset amortization, by caption. Additionally, entities must provide a qualitative description of the amounts remaining in relevant expense captions that are not separately disaggregated quantitatively. The amendments are effective for annual reporting periods beginning after December 15, 2026 and interim reporting periods beginning after December 15, 2027, with early adoption permitted. The Company is currently evaluating the impact this standard will have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 Scope Improvements, an amendment of the FASB Accounting Standards Codification. The amendments in this ASU primarily provide clarification on interim reporting requirements and enhanced disclosure requirements. The amendments also include a disclosure principle to disclose all events since the end of the last annual reporting period that have a material impact on the Company. The ASU is effective for fiscal years beginning after December 15, 2027, and all interim reporting periods within applicable annual periods, with early adoption permitted. The Company is currently evaluating the effect that this standard will have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reported herein is not necessarily indicative of future operating results or of the future financial condition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3" w:name="a_011"/>
      <w:bookmarkEnd w:id="13"/>
      <w:r>
        <w:rPr>
          <w:rFonts w:ascii="Times New Roman;Times;Serif" w:hAnsi="Times New Roman;Times;Serif"/>
          <w:b w:val="false"/>
          <w:i w:val="false"/>
          <w:caps w:val="false"/>
          <w:smallCaps w:val="false"/>
          <w:sz w:val="20"/>
          <w:u w:val="single"/>
        </w:rPr>
        <w:t>Item 7A. Quantitative and Qualitative Disclosure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14" w:name="a_012"/>
      <w:bookmarkEnd w:id="14"/>
      <w:r>
        <w:rPr>
          <w:rFonts w:ascii="Times New Roman;Times;Serif" w:hAnsi="Times New Roman;Times;Serif"/>
          <w:b w:val="false"/>
          <w:i w:val="false"/>
          <w:caps w:val="false"/>
          <w:smallCaps w:val="false"/>
          <w:sz w:val="20"/>
          <w:u w:val="single"/>
        </w:rPr>
        <w:t>Item 8. Financial Statements and Supplementary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f_001"/>
      <w:bookmarkEnd w:id="15"/>
      <w:r>
        <w:rPr>
          <w:rFonts w:ascii="Times New Roman;Times;Serif" w:hAnsi="Times New Roman;Times;Serif"/>
          <w:b/>
          <w:i w:val="false"/>
          <w:caps w:val="false"/>
          <w:smallCaps w:val="false"/>
          <w:sz w:val="20"/>
          <w:u w:val="single"/>
        </w:rPr>
        <w:t xml:space="preserve">Report of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Frequency Electronics, Inc. (a Delaware corporation) and subsidiaries (the “Company”) as of April 30, 2026 and 2025, the related consolidated statements of operations, changes in stockholders’ equity, and cash flows for each of the two years in the period ended April 30, 2026, and the related notes (collectively referred to as the “consolidated financial statements”). In our opinion, the consolidated financial statements present fairly, in all material respects, the financial position of the Company as of April 30, 2026 and 2025, and the results of its operations and its cash flows for each of the two years in the period ended April 30,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recognized using the percentage-of-completion cost-to-cost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in note 1 to the consolidated financial statements, the Company generates a majority of its revenue from contracts with its customers where revenue is recognized over time using the percentage-of-completion cost-to-cost method. Under this method, the Company measures progress towards completion based on the ratio of costs incurred to date to total estimated costs to satisfy the Company’s performance obligation. The percentage-of-completion cost-to-cost method requires management to use significant estimates and assumptions to estimate costs associated with its contracts with customers. These costs are estimated at contract inception and are monitored and updated throughout the duration of the contract. We identified revenue recognized using the percentage-of-completion cost-to-cost method as a 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 for our determination that revenue recognized using the percentage-of-completion cost-to-cost method is a critical audit matter is management’s use of significant estimates and assumptions in determining the total estimated costs at completion. Auditing these estimates and assumptions required especially challenging, subjective, and complex auditor judgment. Table of Contents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cost estimates used in recognizing revenue under the percentage-of-completion cost-to-cost method included the following, among others: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gained an understanding of the Company’s process to develop the estimates and assumptions used in determining the total estimated costs at completion.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evaluated the reasonableness of significant estimates and assumptions used by management to develop its cost estimates through reviewing key terms of the contracts, comparing margin estimates with actual margins generated by similar contracts that have been completed, evaluating costs incurred to date relative to the contracts’ remaining tasks and timeline, and inspecting analyses and documentation used to support the cost estimates, as applicable.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inquired with project management, engineers, and others directly involved with the execution of contracts to evaluate management’s ability to satisfy the requirements of the contract, as well as to evaluate project status and challenges which may affect the cost estimates.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evaluated contract activity during the period subsequent to April 30, 2026, but before the financial statements were issued, to identify changes in conditions or events that may result in significant changes to the Company’s cost estimates as of April 30, 2026.</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evaluated the appropriateness of the timing of the incorporation of changes to cost estimates, including evaluating the timeline of key events and knowledge points that led to management’s determination that a change in estimate was necessary.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performed retrospective reviews when evaluating management’s estimation process by comparing actual outcomes to previous estimates.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recalculated revenue and gross profit recognized during the year based on the Company’s measurement of its progress towards completion.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f_002"/>
      <w:bookmarkEnd w:id="16"/>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3"/>
        <w:gridCol w:w="90"/>
        <w:gridCol w:w="174"/>
        <w:gridCol w:w="729"/>
        <w:gridCol w:w="125"/>
        <w:gridCol w:w="90"/>
        <w:gridCol w:w="174"/>
        <w:gridCol w:w="729"/>
        <w:gridCol w:w="151"/>
      </w:tblGrid>
      <w:tr>
        <w:trPr/>
        <w:tc>
          <w:tcPr>
            <w:tcW w:w="794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center"/>
              <w:rPr>
                <w:b/>
              </w:rPr>
            </w:pPr>
            <w:r>
              <w:rPr>
                <w:b/>
              </w:rPr>
              <w:t>April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center"/>
              <w:rPr>
                <w:b/>
              </w:rPr>
            </w:pPr>
            <w:r>
              <w:rPr>
                <w:b/>
              </w:rPr>
              <w:t>April 30,</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r>
      <w:tr>
        <w:trPr/>
        <w:tc>
          <w:tcPr>
            <w:tcW w:w="7943"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4,720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Accounts receivable, net of allowances of $39 at April 30, 2026 and $110 at April 30, 2025</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4,740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5,914</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17,277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17,914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22,618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23,487</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Prepaid income taxes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Prepaid expenses and other</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1,517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1,071</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47,976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53,106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Property, plant, and equipment, net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7,105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6,188</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Deferred taxes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14,084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12,045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617</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Cash surrender value of life insurance and assets held in trust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11,744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10,882</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Right-of-use assets – operating leases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7,409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8,659</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1,365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839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875</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93,737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7943" w:type="dxa"/>
            <w:tcBorders/>
            <w:shd w:fill="CCEEFF" w:val="clear"/>
            <w:vAlign w:val="center"/>
          </w:tcPr>
          <w:p>
            <w:pPr>
              <w:pStyle w:val="TableContents"/>
              <w:bidi w:val="0"/>
              <w:spacing w:before="0" w:after="283"/>
              <w:jc w:val="center"/>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Accounts payable – trade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2,979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1,359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Accrued liabilities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6,482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5,899</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Loss provision accrual</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460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103</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Operating lease liability, current portion</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2,027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9,418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13,607</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20,984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23,455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Deferred compensation</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7,664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7,933</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Operating lease liability, non-current portion</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5,648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6,729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pPr>
            <w:r>
              <w:rPr/>
              <w:t>34,303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pPr>
            <w:r>
              <w:rPr/>
              <w:t>38,117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Contingencies (Note 15)</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Preferred stock - $1.00 par value; authorized 600 shares, no shares issued and outstanding</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Common stock - $1.00 par value; authorized 20,000 shares, 9,925 shares issued and 9,869 shares outstanding at April 30, 2026; 9,717 shares issued and 9,704 shares outstanding at April 30, 2025</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9,925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9,717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45,506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42,475</w:t>
            </w:r>
          </w:p>
        </w:tc>
        <w:tc>
          <w:tcPr>
            <w:tcW w:w="151" w:type="dxa"/>
            <w:tcBorders/>
            <w:vAlign w:val="center"/>
          </w:tcPr>
          <w:p>
            <w:pPr>
              <w:pStyle w:val="TableContents"/>
              <w:bidi w:val="0"/>
              <w:spacing w:before="0" w:after="283"/>
              <w:ind w:left="0" w:right="0" w:hanging="180"/>
              <w:jc w:val="left"/>
              <w:rPr/>
            </w:pPr>
            <w:r>
              <w:rPr/>
              <w:t> </w:t>
            </w:r>
          </w:p>
        </w:tc>
      </w:tr>
      <w:tr>
        <w:trPr/>
        <w:tc>
          <w:tcPr>
            <w:tcW w:w="7943"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2,756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3,659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pPr>
            <w:r>
              <w:rPr/>
              <w:t>Common stock reacquired and held in treasury at cost (56 shares at April 30, 2026 and 13 shares at April 30, 2025)</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(1,784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right"/>
              <w:rPr/>
            </w:pPr>
            <w:r>
              <w:rPr/>
              <w:t>(231</w:t>
            </w:r>
          </w:p>
        </w:tc>
        <w:tc>
          <w:tcPr>
            <w:tcW w:w="151" w:type="dxa"/>
            <w:tcBorders/>
            <w:vAlign w:val="center"/>
          </w:tcPr>
          <w:p>
            <w:pPr>
              <w:pStyle w:val="TableContents"/>
              <w:bidi w:val="0"/>
              <w:spacing w:before="0" w:after="283"/>
              <w:ind w:left="0" w:right="0" w:hanging="180"/>
              <w:jc w:val="left"/>
              <w:rPr/>
            </w:pPr>
            <w:r>
              <w:rPr/>
              <w:t>)</w:t>
            </w:r>
          </w:p>
        </w:tc>
      </w:tr>
      <w:tr>
        <w:trPr/>
        <w:tc>
          <w:tcPr>
            <w:tcW w:w="7943"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pPr>
            <w:r>
              <w:rPr/>
              <w:t>56,403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pPr>
            <w:r>
              <w:rPr/>
              <w:t>55,620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943" w:type="dxa"/>
            <w:tcBorders/>
            <w:vAlign w:val="center"/>
          </w:tcPr>
          <w:p>
            <w:pPr>
              <w:pStyle w:val="TableContents"/>
              <w:bidi w:val="0"/>
              <w:spacing w:before="0" w:after="283"/>
              <w:jc w:val="left"/>
              <w:rPr>
                <w:b/>
              </w:rPr>
            </w:pPr>
            <w:r>
              <w:rPr>
                <w:b/>
              </w:rPr>
              <w:t>Total liabilities and stockholders’ equity</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29" w:type="dxa"/>
            <w:tcBorders>
              <w:bottom w:val="double" w:sz="6" w:space="0" w:color="000000"/>
            </w:tcBorders>
            <w:tcMar>
              <w:bottom w:w="28" w:type="dxa"/>
            </w:tcMar>
            <w:vAlign w:val="center"/>
          </w:tcPr>
          <w:p>
            <w:pPr>
              <w:pStyle w:val="TableContents"/>
              <w:bidi w:val="0"/>
              <w:spacing w:before="0" w:after="283"/>
              <w:jc w:val="right"/>
              <w:rPr>
                <w:b/>
              </w:rPr>
            </w:pPr>
            <w:r>
              <w:rPr>
                <w:b/>
              </w:rPr>
              <w:t>90,706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29" w:type="dxa"/>
            <w:tcBorders>
              <w:bottom w:val="double" w:sz="6" w:space="0" w:color="000000"/>
            </w:tcBorders>
            <w:tcMar>
              <w:bottom w:w="28" w:type="dxa"/>
            </w:tcMar>
            <w:vAlign w:val="center"/>
          </w:tcPr>
          <w:p>
            <w:pPr>
              <w:pStyle w:val="TableContents"/>
              <w:bidi w:val="0"/>
              <w:spacing w:before="0" w:after="283"/>
              <w:jc w:val="right"/>
              <w:rPr>
                <w:b/>
              </w:rPr>
            </w:pPr>
            <w:r>
              <w:rPr>
                <w:b/>
              </w:rPr>
              <w:t>93,737</w:t>
            </w:r>
          </w:p>
        </w:tc>
        <w:tc>
          <w:tcPr>
            <w:tcW w:w="15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3"/>
      <w:bookmarkEnd w:id="17"/>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tbl>
      <w:tblPr>
        <w:tblW w:w="7181" w:type="dxa"/>
        <w:jc w:val="left"/>
        <w:tblInd w:w="0" w:type="dxa"/>
        <w:tblLayout w:type="fixed"/>
        <w:tblCellMar>
          <w:top w:w="0" w:type="dxa"/>
          <w:left w:w="0" w:type="dxa"/>
          <w:bottom w:w="0" w:type="dxa"/>
          <w:right w:w="0" w:type="dxa"/>
        </w:tblCellMar>
      </w:tblPr>
      <w:tblGrid>
        <w:gridCol w:w="4580"/>
        <w:gridCol w:w="90"/>
        <w:gridCol w:w="194"/>
        <w:gridCol w:w="812"/>
        <w:gridCol w:w="142"/>
        <w:gridCol w:w="102"/>
        <w:gridCol w:w="194"/>
        <w:gridCol w:w="897"/>
        <w:gridCol w:w="170"/>
      </w:tblGrid>
      <w:tr>
        <w:trPr/>
        <w:tc>
          <w:tcPr>
            <w:tcW w:w="458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3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April 30,</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b/>
                <w:u w:val="single"/>
              </w:rPr>
            </w:pPr>
            <w:r>
              <w:rPr>
                <w:b/>
                <w:u w:val="single"/>
              </w:rPr>
              <w:t>Consolidated Statements of Operations</w:t>
            </w:r>
          </w:p>
        </w:tc>
        <w:tc>
          <w:tcPr>
            <w:tcW w:w="9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63,227</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69,811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tcMar>
              <w:bottom w:w="28" w:type="dxa"/>
            </w:tcMar>
            <w:vAlign w:val="center"/>
          </w:tcPr>
          <w:p>
            <w:pPr>
              <w:pStyle w:val="TableContents"/>
              <w:bidi w:val="0"/>
              <w:spacing w:before="0" w:after="283"/>
              <w:jc w:val="right"/>
              <w:rPr/>
            </w:pPr>
            <w:r>
              <w:rPr/>
              <w:t>44,831</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tcMar>
              <w:bottom w:w="28" w:type="dxa"/>
            </w:tcMar>
            <w:vAlign w:val="center"/>
          </w:tcPr>
          <w:p>
            <w:pPr>
              <w:pStyle w:val="TableContents"/>
              <w:bidi w:val="0"/>
              <w:spacing w:before="0" w:after="283"/>
              <w:jc w:val="right"/>
              <w:rPr/>
            </w:pPr>
            <w:r>
              <w:rPr/>
              <w:t>39,714</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18,396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30,097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Selling and administrative expenses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15,403</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12,289</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5,994</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pPr>
            <w:r>
              <w:rPr/>
              <w:t>6,076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Operating (loss) income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(3,001</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11,732</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Income on investments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673</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519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(87</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(104</w:t>
            </w:r>
          </w:p>
        </w:tc>
        <w:tc>
          <w:tcPr>
            <w:tcW w:w="170" w:type="dxa"/>
            <w:tcBorders/>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(493</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vAlign w:val="center"/>
          </w:tcPr>
          <w:p>
            <w:pPr>
              <w:pStyle w:val="TableContents"/>
              <w:bidi w:val="0"/>
              <w:spacing w:before="0" w:after="283"/>
              <w:jc w:val="left"/>
              <w:rPr/>
            </w:pPr>
            <w:r>
              <w:rPr/>
              <w:t>(Loss) income before benefit from income taxes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(2,908</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12,144</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(2,005</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pPr>
            <w:r>
              <w:rPr/>
              <w:t>(11,542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vAlign w:val="center"/>
          </w:tcPr>
          <w:p>
            <w:pPr>
              <w:pStyle w:val="TableContents"/>
              <w:bidi w:val="0"/>
              <w:spacing w:before="0" w:after="283"/>
              <w:jc w:val="left"/>
              <w:rPr/>
            </w:pPr>
            <w:r>
              <w:rPr/>
              <w:t>Net (loss) income</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tcMar>
              <w:bottom w:w="28" w:type="dxa"/>
            </w:tcMar>
            <w:vAlign w:val="center"/>
          </w:tcPr>
          <w:p>
            <w:pPr>
              <w:pStyle w:val="TableContents"/>
              <w:bidi w:val="0"/>
              <w:spacing w:before="0" w:after="283"/>
              <w:jc w:val="right"/>
              <w:rPr/>
            </w:pPr>
            <w:r>
              <w:rPr/>
              <w:t>(903</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897" w:type="dxa"/>
            <w:tcBorders>
              <w:bottom w:val="double" w:sz="6" w:space="0" w:color="000000"/>
            </w:tcBorders>
            <w:tcMar>
              <w:bottom w:w="28" w:type="dxa"/>
            </w:tcMar>
            <w:vAlign w:val="center"/>
          </w:tcPr>
          <w:p>
            <w:pPr>
              <w:pStyle w:val="TableContents"/>
              <w:bidi w:val="0"/>
              <w:spacing w:before="0" w:after="283"/>
              <w:jc w:val="right"/>
              <w:rPr/>
            </w:pPr>
            <w:r>
              <w:rPr/>
              <w:t>23,686</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Net (loss) income per common share: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Basic (loss) income per share</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pPr>
            <w:r>
              <w:rPr/>
              <w:t>2.46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Diluted (loss) income per share</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tcMar>
              <w:bottom w:w="28" w:type="dxa"/>
            </w:tcMar>
            <w:vAlign w:val="center"/>
          </w:tcPr>
          <w:p>
            <w:pPr>
              <w:pStyle w:val="TableContents"/>
              <w:bidi w:val="0"/>
              <w:spacing w:before="0" w:after="283"/>
              <w:jc w:val="right"/>
              <w:rPr/>
            </w:pPr>
            <w:r>
              <w:rPr/>
              <w:t>(0.09</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897" w:type="dxa"/>
            <w:tcBorders>
              <w:bottom w:val="double" w:sz="6" w:space="0" w:color="000000"/>
            </w:tcBorders>
            <w:tcMar>
              <w:bottom w:w="28" w:type="dxa"/>
            </w:tcMar>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Weighted average shares outstanding:</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9,783</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pPr>
            <w:r>
              <w:rPr/>
              <w:t>9,612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tcMar>
              <w:bottom w:w="28" w:type="dxa"/>
            </w:tcMar>
            <w:vAlign w:val="center"/>
          </w:tcPr>
          <w:p>
            <w:pPr>
              <w:pStyle w:val="TableContents"/>
              <w:bidi w:val="0"/>
              <w:spacing w:before="0" w:after="283"/>
              <w:jc w:val="right"/>
              <w:rPr/>
            </w:pPr>
            <w:r>
              <w:rPr/>
              <w:t>9,783</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 </w:t>
            </w:r>
          </w:p>
        </w:tc>
        <w:tc>
          <w:tcPr>
            <w:tcW w:w="897" w:type="dxa"/>
            <w:tcBorders>
              <w:bottom w:val="double" w:sz="6" w:space="0" w:color="000000"/>
            </w:tcBorders>
            <w:tcMar>
              <w:bottom w:w="28" w:type="dxa"/>
            </w:tcMar>
            <w:vAlign w:val="center"/>
          </w:tcPr>
          <w:p>
            <w:pPr>
              <w:pStyle w:val="TableContents"/>
              <w:bidi w:val="0"/>
              <w:spacing w:before="0" w:after="283"/>
              <w:jc w:val="right"/>
              <w:rPr/>
            </w:pPr>
            <w:r>
              <w:rPr/>
              <w:t>9,615</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4"/>
      <w:bookmarkEnd w:id="18"/>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3"/>
        <w:gridCol w:w="90"/>
        <w:gridCol w:w="194"/>
        <w:gridCol w:w="761"/>
        <w:gridCol w:w="143"/>
        <w:gridCol w:w="102"/>
        <w:gridCol w:w="194"/>
        <w:gridCol w:w="900"/>
        <w:gridCol w:w="168"/>
      </w:tblGrid>
      <w:tr>
        <w:trPr/>
        <w:tc>
          <w:tcPr>
            <w:tcW w:w="76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April 30,</w:t>
            </w:r>
          </w:p>
        </w:tc>
        <w:tc>
          <w:tcPr>
            <w:tcW w:w="168" w:type="dxa"/>
            <w:tcBorders/>
            <w:vAlign w:val="center"/>
          </w:tcPr>
          <w:p>
            <w:pPr>
              <w:pStyle w:val="TableContents"/>
              <w:bidi w:val="0"/>
              <w:spacing w:before="0" w:after="283"/>
              <w:jc w:val="left"/>
              <w:rPr/>
            </w:pPr>
            <w:r>
              <w:rPr/>
              <w:t> </w:t>
            </w:r>
          </w:p>
        </w:tc>
      </w:tr>
      <w:tr>
        <w:trPr/>
        <w:tc>
          <w:tcPr>
            <w:tcW w:w="76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8" w:type="dxa"/>
            <w:tcBorders/>
            <w:vAlign w:val="center"/>
          </w:tcPr>
          <w:p>
            <w:pPr>
              <w:pStyle w:val="TableContents"/>
              <w:bidi w:val="0"/>
              <w:spacing w:before="0" w:after="283"/>
              <w:jc w:val="left"/>
              <w:rPr/>
            </w:pPr>
            <w:r>
              <w:rPr/>
              <w:t> </w:t>
            </w:r>
          </w:p>
        </w:tc>
      </w:tr>
      <w:tr>
        <w:trPr/>
        <w:tc>
          <w:tcPr>
            <w:tcW w:w="7653"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4" w:type="dxa"/>
            <w:gridSpan w:val="2"/>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Net (loss) income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(903</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23,686</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Adjustments to reconcile net income to 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1,888</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2,055</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Amortization of operating leases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2,459</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1,895</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(Recovery) provision for losses on accounts receivable, other assets, and warranty reserve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(201</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314</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Provision for inventory reserve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(323</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1,248</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Deferred taxes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(2,039</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(12,053</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(Recovery) loss provision accrual</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(357</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56</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Loss on sale of fixed and other assets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55</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3</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Derecognition of goodwill</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399</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Inventory write off due to restructuring</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3,768</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Employee benefit plans expense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1,655</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1,399</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1,974</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1,161</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1,245</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(1,300</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772</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(7,706</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(2,577</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(1,303</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Prepaid expenses and other</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(446</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125</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(825</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(661</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Accounts payable - trade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1,620</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(989</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Accrued liabilities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578</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1,135</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(4,189</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(8,032</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(2,315</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(1,947</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Prepaid income taxes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(324</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140</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tcMar>
              <w:bottom w:w="28" w:type="dxa"/>
            </w:tcMar>
            <w:vAlign w:val="center"/>
          </w:tcPr>
          <w:p>
            <w:pPr>
              <w:pStyle w:val="TableContents"/>
              <w:bidi w:val="0"/>
              <w:spacing w:before="0" w:after="283"/>
              <w:jc w:val="right"/>
              <w:rPr/>
            </w:pPr>
            <w:r>
              <w:rPr/>
              <w:t>(632</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(654</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pPr>
            <w:r>
              <w:rPr/>
              <w:t>1,282</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(1,428</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Capital expenditures</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tcMar>
              <w:bottom w:w="28" w:type="dxa"/>
            </w:tcMar>
            <w:vAlign w:val="center"/>
          </w:tcPr>
          <w:p>
            <w:pPr>
              <w:pStyle w:val="TableContents"/>
              <w:bidi w:val="0"/>
              <w:spacing w:before="0" w:after="283"/>
              <w:jc w:val="right"/>
              <w:rPr/>
            </w:pPr>
            <w:r>
              <w:rPr/>
              <w:t>(2,859</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(1,808</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pPr>
            <w:r>
              <w:rPr/>
              <w:t>(2,859</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(1,808</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Payment of dividend</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(9,567</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Purchase of treasury stock</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pPr>
            <w:r>
              <w:rPr/>
              <w:t>(1,574</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(377</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7653"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tcMar>
              <w:bottom w:w="28" w:type="dxa"/>
            </w:tcMar>
            <w:vAlign w:val="center"/>
          </w:tcPr>
          <w:p>
            <w:pPr>
              <w:pStyle w:val="TableContents"/>
              <w:bidi w:val="0"/>
              <w:spacing w:before="0" w:after="283"/>
              <w:jc w:val="right"/>
              <w:rPr/>
            </w:pPr>
            <w:r>
              <w:rPr/>
              <w:t>(1,574</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(9,944</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Net decrease in cash and cash equivalents and restricted cash</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(3,151</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(13,180</w:t>
            </w:r>
          </w:p>
        </w:tc>
        <w:tc>
          <w:tcPr>
            <w:tcW w:w="168" w:type="dxa"/>
            <w:tcBorders/>
            <w:vAlign w:val="center"/>
          </w:tcPr>
          <w:p>
            <w:pPr>
              <w:pStyle w:val="TableContents"/>
              <w:bidi w:val="0"/>
              <w:spacing w:before="0" w:after="283"/>
              <w:ind w:left="0" w:right="0" w:hanging="180"/>
              <w:jc w:val="left"/>
              <w:rPr/>
            </w:pPr>
            <w:r>
              <w:rPr/>
              <w:t>)</w:t>
            </w:r>
          </w:p>
        </w:tc>
      </w:tr>
      <w:tr>
        <w:trPr/>
        <w:tc>
          <w:tcPr>
            <w:tcW w:w="76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Cash and cash equivalents and restricted cash at beginning of year</w:t>
            </w:r>
          </w:p>
        </w:tc>
        <w:tc>
          <w:tcPr>
            <w:tcW w:w="90"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tcMar>
              <w:bottom w:w="28" w:type="dxa"/>
            </w:tcMar>
            <w:vAlign w:val="center"/>
          </w:tcPr>
          <w:p>
            <w:pPr>
              <w:pStyle w:val="TableContents"/>
              <w:bidi w:val="0"/>
              <w:spacing w:before="0" w:after="283"/>
              <w:jc w:val="right"/>
              <w:rPr/>
            </w:pPr>
            <w:r>
              <w:rPr/>
              <w:t>6,085</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19,265</w:t>
            </w:r>
          </w:p>
        </w:tc>
        <w:tc>
          <w:tcPr>
            <w:tcW w:w="168"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Cash and cash equivalents and restricted cash at end of year</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tcMar>
              <w:bottom w:w="28" w:type="dxa"/>
            </w:tcMar>
            <w:vAlign w:val="center"/>
          </w:tcPr>
          <w:p>
            <w:pPr>
              <w:pStyle w:val="TableContents"/>
              <w:bidi w:val="0"/>
              <w:spacing w:before="0" w:after="283"/>
              <w:jc w:val="right"/>
              <w:rPr/>
            </w:pPr>
            <w:r>
              <w:rPr/>
              <w:t>2,934</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tcMar>
              <w:bottom w:w="28" w:type="dxa"/>
            </w:tcMar>
            <w:vAlign w:val="center"/>
          </w:tcPr>
          <w:p>
            <w:pPr>
              <w:pStyle w:val="TableContents"/>
              <w:bidi w:val="0"/>
              <w:spacing w:before="0" w:after="283"/>
              <w:jc w:val="right"/>
              <w:rPr/>
            </w:pPr>
            <w:r>
              <w:rPr/>
              <w:t>6,085</w:t>
            </w:r>
          </w:p>
        </w:tc>
        <w:tc>
          <w:tcPr>
            <w:tcW w:w="168"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jc w:val="center"/>
        <w:rPr>
          <w:caps w:val="false"/>
          <w:smallCaps w:val="false"/>
        </w:rPr>
      </w:pPr>
      <w:r>
        <w:rPr>
          <w:caps w:val="false"/>
          <w:smallCaps w:val="false"/>
        </w:rPr>
        <w:t> </w:t>
      </w:r>
    </w:p>
    <w:tbl>
      <w:tblPr>
        <w:tblW w:w="9187" w:type="dxa"/>
        <w:jc w:val="left"/>
        <w:tblInd w:w="0" w:type="dxa"/>
        <w:tblLayout w:type="fixed"/>
        <w:tblCellMar>
          <w:top w:w="0" w:type="dxa"/>
          <w:left w:w="0" w:type="dxa"/>
          <w:bottom w:w="0" w:type="dxa"/>
          <w:right w:w="0" w:type="dxa"/>
        </w:tblCellMar>
      </w:tblPr>
      <w:tblGrid>
        <w:gridCol w:w="6620"/>
        <w:gridCol w:w="90"/>
        <w:gridCol w:w="262"/>
        <w:gridCol w:w="632"/>
        <w:gridCol w:w="138"/>
        <w:gridCol w:w="138"/>
        <w:gridCol w:w="262"/>
        <w:gridCol w:w="910"/>
        <w:gridCol w:w="135"/>
      </w:tblGrid>
      <w:tr>
        <w:trPr/>
        <w:tc>
          <w:tcPr>
            <w:tcW w:w="66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April 30,</w:t>
            </w:r>
          </w:p>
        </w:tc>
        <w:tc>
          <w:tcPr>
            <w:tcW w:w="135" w:type="dxa"/>
            <w:tcBorders/>
            <w:vAlign w:val="center"/>
          </w:tcPr>
          <w:p>
            <w:pPr>
              <w:pStyle w:val="TableContents"/>
              <w:bidi w:val="0"/>
              <w:spacing w:before="0" w:after="283"/>
              <w:ind w:left="0" w:right="0" w:hanging="180"/>
              <w:jc w:val="left"/>
              <w:rPr/>
            </w:pPr>
            <w:r>
              <w:rPr/>
              <w:t> </w:t>
            </w:r>
          </w:p>
        </w:tc>
      </w:tr>
      <w:tr>
        <w:trPr/>
        <w:tc>
          <w:tcPr>
            <w:tcW w:w="6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Supplemental disclosures of cash flow information:</w:t>
            </w:r>
          </w:p>
        </w:tc>
        <w:tc>
          <w:tcPr>
            <w:tcW w:w="9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Cash paid during the year for:</w:t>
            </w:r>
          </w:p>
        </w:tc>
        <w:tc>
          <w:tcPr>
            <w:tcW w:w="9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Interest</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pPr>
            <w:r>
              <w:rPr/>
              <w:t>87</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104</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Income taxes</w:t>
            </w:r>
          </w:p>
        </w:tc>
        <w:tc>
          <w:tcPr>
            <w:tcW w:w="90" w:type="dxa"/>
            <w:tcBorders/>
            <w:vAlign w:val="center"/>
          </w:tcPr>
          <w:p>
            <w:pPr>
              <w:pStyle w:val="TableContents"/>
              <w:bidi w:val="0"/>
              <w:spacing w:before="0" w:after="283"/>
              <w:jc w:val="left"/>
              <w:rPr/>
            </w:pPr>
            <w:r>
              <w:rPr/>
              <w:t> </w:t>
            </w:r>
          </w:p>
        </w:tc>
        <w:tc>
          <w:tcPr>
            <w:tcW w:w="262" w:type="dxa"/>
            <w:tcBorders>
              <w:bottom w:val="double" w:sz="6" w:space="0" w:color="000000"/>
            </w:tcBorders>
            <w:tcMar>
              <w:bottom w:w="28" w:type="dxa"/>
            </w:tcMar>
            <w:vAlign w:val="center"/>
          </w:tcPr>
          <w:p>
            <w:pPr>
              <w:pStyle w:val="TableContents"/>
              <w:bidi w:val="0"/>
              <w:spacing w:before="0" w:after="283"/>
              <w:jc w:val="left"/>
              <w:rPr/>
            </w:pPr>
            <w:r>
              <w:rPr/>
              <w:t>$</w:t>
            </w:r>
          </w:p>
        </w:tc>
        <w:tc>
          <w:tcPr>
            <w:tcW w:w="632" w:type="dxa"/>
            <w:tcBorders>
              <w:bottom w:val="double" w:sz="6" w:space="0" w:color="000000"/>
            </w:tcBorders>
            <w:tcMar>
              <w:bottom w:w="28" w:type="dxa"/>
            </w:tcMar>
            <w:vAlign w:val="center"/>
          </w:tcPr>
          <w:p>
            <w:pPr>
              <w:pStyle w:val="TableContents"/>
              <w:bidi w:val="0"/>
              <w:spacing w:before="0" w:after="283"/>
              <w:jc w:val="right"/>
              <w:rPr/>
            </w:pPr>
            <w:r>
              <w:rPr/>
              <w:t>351</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bottom w:val="double" w:sz="6" w:space="0" w:color="000000"/>
            </w:tcBorders>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tcMar>
              <w:bottom w:w="28" w:type="dxa"/>
            </w:tcMar>
            <w:vAlign w:val="center"/>
          </w:tcPr>
          <w:p>
            <w:pPr>
              <w:pStyle w:val="TableContents"/>
              <w:bidi w:val="0"/>
              <w:spacing w:before="0" w:after="283"/>
              <w:jc w:val="right"/>
              <w:rPr/>
            </w:pPr>
            <w:r>
              <w:rPr/>
              <w:t>371</w:t>
            </w:r>
          </w:p>
        </w:tc>
        <w:tc>
          <w:tcPr>
            <w:tcW w:w="135"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Non-cash investing and financing activities:</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pPr>
            <w:r>
              <w:rPr/>
              <w:t>438</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4,122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5"/>
      <w:bookmarkEnd w:id="19"/>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April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data)</w:t>
      </w:r>
    </w:p>
    <w:p>
      <w:pPr>
        <w:pStyle w:val="TextBody"/>
        <w:bidi w:val="0"/>
        <w:spacing w:before="0" w:after="0"/>
        <w:ind w:left="0" w:right="0" w:firstLine="720"/>
        <w:jc w:val="both"/>
        <w:rPr>
          <w:caps w:val="false"/>
          <w:smallCaps w:val="false"/>
        </w:rPr>
      </w:pPr>
      <w:r>
        <w:rPr>
          <w:caps w:val="false"/>
          <w:smallCaps w:val="false"/>
        </w:rPr>
        <w:t> </w:t>
      </w:r>
    </w:p>
    <w:tbl>
      <w:tblPr>
        <w:tblW w:w="11740" w:type="dxa"/>
        <w:jc w:val="left"/>
        <w:tblInd w:w="0" w:type="dxa"/>
        <w:tblLayout w:type="fixed"/>
        <w:tblCellMar>
          <w:top w:w="0" w:type="dxa"/>
          <w:left w:w="0" w:type="dxa"/>
          <w:bottom w:w="0" w:type="dxa"/>
          <w:right w:w="0" w:type="dxa"/>
        </w:tblCellMar>
      </w:tblPr>
      <w:tblGrid>
        <w:gridCol w:w="1370"/>
        <w:gridCol w:w="90"/>
        <w:gridCol w:w="90"/>
        <w:gridCol w:w="1010"/>
        <w:gridCol w:w="90"/>
        <w:gridCol w:w="90"/>
        <w:gridCol w:w="199"/>
        <w:gridCol w:w="691"/>
        <w:gridCol w:w="90"/>
        <w:gridCol w:w="90"/>
        <w:gridCol w:w="218"/>
        <w:gridCol w:w="912"/>
        <w:gridCol w:w="125"/>
        <w:gridCol w:w="90"/>
        <w:gridCol w:w="250"/>
        <w:gridCol w:w="1165"/>
        <w:gridCol w:w="125"/>
        <w:gridCol w:w="90"/>
        <w:gridCol w:w="90"/>
        <w:gridCol w:w="785"/>
        <w:gridCol w:w="125"/>
        <w:gridCol w:w="90"/>
        <w:gridCol w:w="181"/>
        <w:gridCol w:w="709"/>
        <w:gridCol w:w="125"/>
        <w:gridCol w:w="90"/>
        <w:gridCol w:w="278"/>
        <w:gridCol w:w="1287"/>
        <w:gridCol w:w="90"/>
        <w:gridCol w:w="90"/>
        <w:gridCol w:w="170"/>
        <w:gridCol w:w="710"/>
        <w:gridCol w:w="135"/>
      </w:tblGrid>
      <w:tr>
        <w:trPr/>
        <w:tc>
          <w:tcPr>
            <w:tcW w:w="13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Retained</w:t>
              <w:b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0" w:type="dxa"/>
            <w:gridSpan w:val="6"/>
            <w:tcBorders/>
            <w:vAlign w:val="center"/>
          </w:tcPr>
          <w:p>
            <w:pPr>
              <w:pStyle w:val="TableContents"/>
              <w:bidi w:val="0"/>
              <w:spacing w:before="0" w:after="283"/>
              <w:jc w:val="center"/>
              <w:rPr>
                <w:b/>
              </w:rPr>
            </w:pPr>
            <w:r>
              <w:rPr>
                <w:b/>
              </w:rPr>
              <w:t>Treasury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Accumulated</w:t>
              <w:b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 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(at cost)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at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9,511,560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9,512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50,334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(20,027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39,816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Exercise of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(11,917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149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Contribution of stock to 401(k)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70,100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831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133,520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1,161</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Shares withheld on employee taxes on vested equity awards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24,264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(377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(377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Dividends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(9,567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(9,567</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23,686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23,686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Balance at April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9,716,999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right"/>
              <w:rPr/>
            </w:pPr>
            <w:r>
              <w:rPr/>
              <w:t>9,717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912" w:type="dxa"/>
            <w:tcBorders/>
            <w:vAlign w:val="center"/>
          </w:tcPr>
          <w:p>
            <w:pPr>
              <w:pStyle w:val="TableContents"/>
              <w:bidi w:val="0"/>
              <w:spacing w:before="0" w:after="283"/>
              <w:jc w:val="right"/>
              <w:rPr/>
            </w:pPr>
            <w:r>
              <w:rPr/>
              <w:t>42,475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right"/>
              <w:rPr/>
            </w:pPr>
            <w:r>
              <w:rPr/>
              <w:t>3,659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13,088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09" w:type="dxa"/>
            <w:tcBorders/>
            <w:vAlign w:val="center"/>
          </w:tcPr>
          <w:p>
            <w:pPr>
              <w:pStyle w:val="TableContents"/>
              <w:bidi w:val="0"/>
              <w:spacing w:before="0" w:after="283"/>
              <w:jc w:val="right"/>
              <w:rPr/>
            </w:pPr>
            <w:r>
              <w:rPr/>
              <w:t>(231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55,620</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Contribution of stock to 401(k)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36,067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1,286</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171,629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1,974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Shares withheld on employee taxes on vested equity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44,389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(1,574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(1,574</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Balance at April 30, 2026</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9,924,695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w:t>
            </w:r>
          </w:p>
        </w:tc>
        <w:tc>
          <w:tcPr>
            <w:tcW w:w="691" w:type="dxa"/>
            <w:tcBorders>
              <w:bottom w:val="double" w:sz="6" w:space="0" w:color="000000"/>
            </w:tcBorders>
            <w:tcMar>
              <w:bottom w:w="28" w:type="dxa"/>
            </w:tcMar>
            <w:vAlign w:val="center"/>
          </w:tcPr>
          <w:p>
            <w:pPr>
              <w:pStyle w:val="TableContents"/>
              <w:bidi w:val="0"/>
              <w:spacing w:before="0" w:after="283"/>
              <w:jc w:val="right"/>
              <w:rPr/>
            </w:pPr>
            <w:r>
              <w:rPr/>
              <w:t>9,925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double" w:sz="6" w:space="0" w:color="000000"/>
            </w:tcBorders>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tcMar>
              <w:bottom w:w="28" w:type="dxa"/>
            </w:tcMar>
            <w:vAlign w:val="center"/>
          </w:tcPr>
          <w:p>
            <w:pPr>
              <w:pStyle w:val="TableContents"/>
              <w:bidi w:val="0"/>
              <w:spacing w:before="0" w:after="283"/>
              <w:jc w:val="right"/>
              <w:rPr/>
            </w:pPr>
            <w:r>
              <w:rPr/>
              <w:t>45,506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bottom w:val="double" w:sz="6" w:space="0" w:color="000000"/>
            </w:tcBorders>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tcMar>
              <w:bottom w:w="28" w:type="dxa"/>
            </w:tcMar>
            <w:vAlign w:val="center"/>
          </w:tcPr>
          <w:p>
            <w:pPr>
              <w:pStyle w:val="TableContents"/>
              <w:bidi w:val="0"/>
              <w:spacing w:before="0" w:after="283"/>
              <w:jc w:val="right"/>
              <w:rPr/>
            </w:pPr>
            <w:r>
              <w:rPr/>
              <w:t>2,756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85" w:type="dxa"/>
            <w:tcBorders>
              <w:bottom w:val="double" w:sz="6" w:space="0" w:color="000000"/>
            </w:tcBorders>
            <w:tcMar>
              <w:bottom w:w="28" w:type="dxa"/>
            </w:tcMar>
            <w:vAlign w:val="center"/>
          </w:tcPr>
          <w:p>
            <w:pPr>
              <w:pStyle w:val="TableContents"/>
              <w:bidi w:val="0"/>
              <w:spacing w:before="0" w:after="283"/>
              <w:jc w:val="right"/>
              <w:rPr/>
            </w:pPr>
            <w:r>
              <w:rPr/>
              <w:t>55,827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double" w:sz="6" w:space="0" w:color="000000"/>
            </w:tcBorders>
            <w:tcMar>
              <w:bottom w:w="28" w:type="dxa"/>
            </w:tcMar>
            <w:vAlign w:val="center"/>
          </w:tcPr>
          <w:p>
            <w:pPr>
              <w:pStyle w:val="TableContents"/>
              <w:bidi w:val="0"/>
              <w:spacing w:before="0" w:after="283"/>
              <w:jc w:val="left"/>
              <w:rPr/>
            </w:pPr>
            <w:r>
              <w:rPr/>
              <w:t>$</w:t>
            </w:r>
          </w:p>
        </w:tc>
        <w:tc>
          <w:tcPr>
            <w:tcW w:w="709" w:type="dxa"/>
            <w:tcBorders>
              <w:bottom w:val="double" w:sz="6" w:space="0" w:color="000000"/>
            </w:tcBorders>
            <w:tcMar>
              <w:bottom w:w="28" w:type="dxa"/>
            </w:tcMar>
            <w:vAlign w:val="center"/>
          </w:tcPr>
          <w:p>
            <w:pPr>
              <w:pStyle w:val="TableContents"/>
              <w:bidi w:val="0"/>
              <w:spacing w:before="0" w:after="283"/>
              <w:jc w:val="right"/>
              <w:rPr/>
            </w:pPr>
            <w:r>
              <w:rPr/>
              <w:t>(1,784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bottom w:val="double" w:sz="6" w:space="0" w:color="000000"/>
            </w:tcBorders>
            <w:tcMar>
              <w:bottom w:w="28" w:type="dxa"/>
            </w:tcMar>
            <w:vAlign w:val="center"/>
          </w:tcPr>
          <w:p>
            <w:pPr>
              <w:pStyle w:val="TableContents"/>
              <w:bidi w:val="0"/>
              <w:spacing w:before="0" w:after="283"/>
              <w:jc w:val="left"/>
              <w:rPr/>
            </w:pPr>
            <w:r>
              <w:rPr/>
              <w:t>$</w:t>
            </w:r>
          </w:p>
        </w:tc>
        <w:tc>
          <w:tcPr>
            <w:tcW w:w="1287" w:type="dxa"/>
            <w:tcBorders>
              <w:bottom w:val="double" w:sz="6" w:space="0" w:color="000000"/>
            </w:tcBorders>
            <w:tcMar>
              <w:bottom w:w="28" w:type="dxa"/>
            </w:tcMar>
            <w:vAlign w:val="center"/>
          </w:tcPr>
          <w:p>
            <w:pPr>
              <w:pStyle w:val="TableContents"/>
              <w:bidi w:val="0"/>
              <w:spacing w:before="0" w:after="283"/>
              <w:jc w:val="right"/>
              <w:rPr/>
            </w:pPr>
            <w:r>
              <w:rPr/>
              <w:t>           </w:t>
            </w: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56,403</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f_006"/>
      <w:bookmarkEnd w:id="20"/>
      <w:r>
        <w:rPr>
          <w:rFonts w:ascii="Times New Roman;Times;Serif" w:hAnsi="Times New Roman;Times;Serif"/>
          <w:b/>
          <w:i w:val="false"/>
          <w:caps w:val="false"/>
          <w:smallCaps w:val="false"/>
          <w:sz w:val="20"/>
        </w:rPr>
        <w:t>FREQUENCY ELECTRONICS,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Summary of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principally engaged in the design, development and manufacture of precision time and frequency control products and components for microwave integrated circuit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Frequency Electronics, Inc. and its wholly-owned subsidiaries (the “Company” or “Registrant”). References to “FEI” are to the parent company alone and do not refer to any of its subsidiaries. See Note 13 for information regarding the Company’s business segments: (1) FEI-NY (which includes the subsidiaries FEI Government Systems, Inc., FEI Communications, Inc., and until April 30, 2026, included FEI-Elcom Tech, Inc. (“FEI-Elcom”)), and (2) FEI-Zyfer, Inc. (“FEI-Zyfer”). Effective as of April 30, 2026, FEI-Elcom converted into a Delaware limited liability company; however, the ongoing business operations of FEI-Elcom will continue under the FEI-NY segment. For more information regarding the Company’s restructuring, see “Restructuring” below. Intercompany accounts and transactions are eliminated in consolidation.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 Significant estimates include, but are not limited to, accounting for revenue recognition using a cost-to-cost input model, inventory reserves, deferred compensation plans, impairment of goodwill and other long-lived assets, stock-based compensation, and income taxes including 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insurance limits. No losses have been experienced on such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amounts collectible from customers recorded at the original invoiced amount. Management analyzes accounts receivable and the potential for credit losses based on customer concentrations, credit worthiness, current economic trends and changes in customer payment terms. Accounts receivable are recorded at their stated amount, less allowance for credit losses. When it is determined amounts are not recoverable, the receivable is written off against the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recorded at cost, net of accumulated depreciation and amortization. Expenditures for betterments are capitalized; maintenance and repairs are charged to operations when incurred. When fixed assets are sold or retired, the cost and related accumulated depreciation and amortization are eliminated from the respective accounts and any gain or loss is credited or charged to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based on the excess of the carrying amount over the fair value of the long-lived asset. No impairment losses have been recognized in the years ended 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is computed on the straight-line method based upon the estimated useful lives of the assets (40 years for buildings and 3 to 10 years for machinery, equipment, furniture, and other depreciable assets). Leasehold improvements are amortized on the straight-line method over the lesser of the lease term or the estimated useful life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which consist of raw materials, work-in-process and finished goods are stated at the lower of cost or net realizable value, with cost determined on the first-in, first-out method. The cost of work-in-process and finished goods generally include the cost of materials, labor, overhead and other costs that are directly related to their production. The Company reviews its inventories quarterly to determine reserves for excess or obsolete inventory based upon historical sales trends, expected production usage, and other factors. Changes to inventory are charged to cost of revenues in the period when such changes are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represent raw materials, work-in-process, and finished goods that relate to non-customized products sold to customers at a point in time. Inventories also represent raw materials and in-process and completed components parts that are used in multiple customer projects but have not been allocated to a specific customer project or incorporated in the creation of customized products that are sold to specific customers over a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goodwill as the excess of purchase price over the fair value of identifiable net assets acquired. The Company performs a qualitative evaluation of events and circumstances impacting each reporting unit to determine the likelihood of goodwill impairment. Based on this evaluation, if it is determined that it is more likely than not that the fair value of a reporting unit exceeds its carrying amount, no further evaluation is necessary. Otherwise, the Company will perform a quantitative impairment test to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will be recognized in an amount equal to that excess. Due to the restructuring of FEI-Elcom at April 30, 2026 goodwill has been written down in full. Management has determined that goodwill was not impaired as of April 30, 2025, based on its qualitative assessment of impairment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Cost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which is when control over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a majority of its revenue through contracts with customers that involve the sale of goods and services with specifications, frequencies and significant customization to address the requirements of a specific customer and contracts where the end user is the U.S. Government. These contracts generally include one performance obligation, which is typically a customized product or a series of distinct customized products. Control over this performance obligation transfers to the customer over time as the Company creates the customized product because such product does not have an alternative use to the Company and the contract provides the Company with an enforceable right to payment for performance completed to date. In certain cases, the customer also controls the product as it is being created by the Company. Accordingly, revenue is reported in operating results over time using the percentage-of-completion (“POC”) cost-to-cost method. Under this method, revenue is recorded based on the ratio of costs incurred over total estimated contract costs. This method provides a faithful depiction of the transfer of the customized product to the customer because the costs incurred represent the Company’s inputs towards satisfying the performance obligation. Each month management reviews estimated contract costs through a process of aggregating actual costs incurred and estimating additional costs to complete based on current available information, project status, historical experience with similar contracts, changes to product specifications, and other factors. The estimation of total costs through completion is complicated and subject to many variables. Total cost estimates can be affected by a number of factors such as changes in the assessment of the nature and complexity of the work; design challenges including changes to design specifications; technical challenges including those related to quality control; production challenges including those resulting from the timeliness of customer funding, and the unavailability or reduced productivity of qualified labor; supplier challenges including the cost, availability, and quality of raw materials and subcontractor services; changes in laws or regulations; actions necessary for long-term customer satisfaction; and natural disasters or other matters. Changes in these cost estimates could result in the recognition of unfavorable cumulative catch-up adjustments to the Company’s operating results of the period when such changes are made. Costs to satisfy the performance obligation, which include direct materials, direct labor, manufacturing overhead and other direct costs, are expensed as incurred except when the Company determines that the total estimated costs through completion will exceed total revenue, resulting in a contract loss. Such contract loss is accrued for immediately in the period when the loss is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its revenue through contracts or purchase orders from customers that involve the sale of goods and services that are not significantly customized and therefore, such goods and services have an alternative use to the Company because they can be resold to other customers. These contracts typically include one performance obligation, which is a non-customized product or service ordered by the customer. Control over this performance obligation transfers to the customer and revenue is recorded at a point time when passage-of-title (“POT”) occurs as reflected by either (i) shipment of the product or (ii) performance of the services, which are generally completed within a very short period. When payment is contingent upon customer acceptance, revenue is deferred until such acceptance is received. Costs directly related to the production of a non-customized product are capitalized in inventory and are generally expensed when the product is shipped to or accepted by the customer. Cost of services are expensed as incurred.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costs include all direct material costs, direct labor costs, manufacturing overhead and other direct costs related to contract performance. Selling, general and administrative costs are charged to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sales commissions as sales and marketing expenses in the period they are incurred if the expected amortization period is one year or 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costs, other than sales commissions, to obtain a contract in the period for which they are incurred as these amounts would have been incurred even if the contract had not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to account for shipping and handling activities that occur after the customer has obtained control of a good as fulfillment activities rather than as a promised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transaction price allocated to the remaining performance obligations because the duration of the Company’s contracts is typically one year or less in consideration of the customer’s option to terminate its contract for convenience without incurring a substantive termination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long-term contracts may be received before or after revenue is recognized. The U.S. Government customer typically withholds payment of a small portion of the contract price until contract completion. Therefore, long-term contracts typically generate unbilled receivables (contract assets) but may generate advances and progress billings (contract liabilities). Long-term contracts are typically negotiated with a schedule of milestones, with criteria to be met, which are billed on completion. Long-term contract unbilled receivables and advances and progress billings are not considered a significant financing component because they are intended to protect either the customer or the Company in the event that some or all of the obligations under the contract are not completed. In addition, the Company does not assess whether a significant financing component exists if the period between when the Company performs its obligations under the contract and when the customer pays is one year or 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recognized over time using the POC method was approximately $57.7 million and $65.8 million of the $63.2 million and $69.8 million reported for the years ended April 30, 2026 and 2025, respectively. The amounts by segment and product line were as follows:</w:t>
      </w:r>
    </w:p>
    <w:p>
      <w:pPr>
        <w:pStyle w:val="TextBody"/>
        <w:bidi w:val="0"/>
        <w:spacing w:before="0" w:after="0"/>
        <w:ind w:left="0" w:right="0" w:firstLine="720"/>
        <w:jc w:val="both"/>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1280"/>
        <w:gridCol w:w="90"/>
        <w:gridCol w:w="195"/>
        <w:gridCol w:w="816"/>
        <w:gridCol w:w="103"/>
        <w:gridCol w:w="103"/>
        <w:gridCol w:w="195"/>
        <w:gridCol w:w="765"/>
        <w:gridCol w:w="143"/>
        <w:gridCol w:w="103"/>
        <w:gridCol w:w="195"/>
        <w:gridCol w:w="816"/>
        <w:gridCol w:w="17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 2026</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vAlign w:val="center"/>
          </w:tcPr>
          <w:p>
            <w:pPr>
              <w:pStyle w:val="TableContents"/>
              <w:bidi w:val="0"/>
              <w:spacing w:before="0" w:after="283"/>
              <w:jc w:val="center"/>
              <w:rPr/>
            </w:pPr>
            <w:r>
              <w:rPr/>
              <w:t>(In thousands)</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POC</w:t>
              <w:br/>
              <w:t> Revenue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POT </w:t>
              <w:br/>
              <w:t>Revenue</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Revenue</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40,263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5,388</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45,651</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17,421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4,310</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21,731</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Intersegment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8" w:space="0" w:color="000000"/>
            </w:tcBorders>
            <w:shd w:fill="CCEEFF" w:val="clear"/>
            <w:tcMar>
              <w:bottom w:w="28" w:type="dxa"/>
            </w:tcMar>
            <w:vAlign w:val="center"/>
          </w:tcPr>
          <w:p>
            <w:pPr>
              <w:pStyle w:val="TableContents"/>
              <w:bidi w:val="0"/>
              <w:spacing w:before="0" w:after="283"/>
              <w:jc w:val="right"/>
              <w:rPr/>
            </w:pPr>
            <w:r>
              <w:rPr/>
              <w:t>(4,155</w:t>
            </w:r>
          </w:p>
        </w:tc>
        <w:tc>
          <w:tcPr>
            <w:tcW w:w="14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(4,155</w:t>
            </w:r>
          </w:p>
        </w:tc>
        <w:tc>
          <w:tcPr>
            <w:tcW w:w="17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816" w:type="dxa"/>
            <w:tcBorders>
              <w:bottom w:val="double" w:sz="6" w:space="0" w:color="000000"/>
            </w:tcBorders>
            <w:tcMar>
              <w:bottom w:w="28" w:type="dxa"/>
            </w:tcMar>
            <w:vAlign w:val="center"/>
          </w:tcPr>
          <w:p>
            <w:pPr>
              <w:pStyle w:val="TableContents"/>
              <w:bidi w:val="0"/>
              <w:spacing w:before="0" w:after="283"/>
              <w:jc w:val="right"/>
              <w:rPr/>
            </w:pPr>
            <w:r>
              <w:rPr/>
              <w:t>57,684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765" w:type="dxa"/>
            <w:tcBorders>
              <w:bottom w:val="double" w:sz="6" w:space="0" w:color="000000"/>
            </w:tcBorders>
            <w:tcMar>
              <w:bottom w:w="28" w:type="dxa"/>
            </w:tcMar>
            <w:vAlign w:val="center"/>
          </w:tcPr>
          <w:p>
            <w:pPr>
              <w:pStyle w:val="TableContents"/>
              <w:bidi w:val="0"/>
              <w:spacing w:before="0" w:after="283"/>
              <w:jc w:val="right"/>
              <w:rPr/>
            </w:pPr>
            <w:r>
              <w:rPr/>
              <w:t>5,543</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816" w:type="dxa"/>
            <w:tcBorders>
              <w:bottom w:val="double" w:sz="6" w:space="0" w:color="000000"/>
            </w:tcBorders>
            <w:tcMar>
              <w:bottom w:w="28" w:type="dxa"/>
            </w:tcMar>
            <w:vAlign w:val="center"/>
          </w:tcPr>
          <w:p>
            <w:pPr>
              <w:pStyle w:val="TableContents"/>
              <w:bidi w:val="0"/>
              <w:spacing w:before="0" w:after="283"/>
              <w:jc w:val="right"/>
              <w:rPr/>
            </w:pPr>
            <w:r>
              <w:rPr/>
              <w:t>63,227</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1280"/>
        <w:gridCol w:w="90"/>
        <w:gridCol w:w="195"/>
        <w:gridCol w:w="816"/>
        <w:gridCol w:w="103"/>
        <w:gridCol w:w="103"/>
        <w:gridCol w:w="195"/>
        <w:gridCol w:w="765"/>
        <w:gridCol w:w="143"/>
        <w:gridCol w:w="103"/>
        <w:gridCol w:w="195"/>
        <w:gridCol w:w="816"/>
        <w:gridCol w:w="17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 2025</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4" w:type="dxa"/>
            <w:gridSpan w:val="10"/>
            <w:tcBorders/>
            <w:vAlign w:val="center"/>
          </w:tcPr>
          <w:p>
            <w:pPr>
              <w:pStyle w:val="TableContents"/>
              <w:bidi w:val="0"/>
              <w:spacing w:before="0" w:after="283"/>
              <w:jc w:val="center"/>
              <w:rPr/>
            </w:pPr>
            <w:r>
              <w:rPr/>
              <w:t>(In thousands)</w:t>
            </w:r>
          </w:p>
        </w:tc>
        <w:tc>
          <w:tcPr>
            <w:tcW w:w="17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POC</w:t>
              <w:br/>
              <w:t> Revenue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POT</w:t>
              <w:br/>
              <w:t>Revenue</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Revenue</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49,585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3,684</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53,269</w:t>
            </w:r>
          </w:p>
        </w:tc>
        <w:tc>
          <w:tcPr>
            <w:tcW w:w="17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16,206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2,454</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18,660</w:t>
            </w:r>
          </w:p>
        </w:tc>
        <w:tc>
          <w:tcPr>
            <w:tcW w:w="17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Intersegment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8" w:space="0" w:color="000000"/>
            </w:tcBorders>
            <w:shd w:fill="CCEEFF" w:val="clear"/>
            <w:tcMar>
              <w:bottom w:w="28" w:type="dxa"/>
            </w:tcMar>
            <w:vAlign w:val="center"/>
          </w:tcPr>
          <w:p>
            <w:pPr>
              <w:pStyle w:val="TableContents"/>
              <w:bidi w:val="0"/>
              <w:spacing w:before="0" w:after="283"/>
              <w:jc w:val="right"/>
              <w:rPr/>
            </w:pPr>
            <w:r>
              <w:rPr/>
              <w:t>(2,118</w:t>
            </w:r>
          </w:p>
        </w:tc>
        <w:tc>
          <w:tcPr>
            <w:tcW w:w="14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(2,118</w:t>
            </w:r>
          </w:p>
        </w:tc>
        <w:tc>
          <w:tcPr>
            <w:tcW w:w="17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816" w:type="dxa"/>
            <w:tcBorders>
              <w:bottom w:val="double" w:sz="6" w:space="0" w:color="000000"/>
            </w:tcBorders>
            <w:tcMar>
              <w:bottom w:w="28" w:type="dxa"/>
            </w:tcMar>
            <w:vAlign w:val="center"/>
          </w:tcPr>
          <w:p>
            <w:pPr>
              <w:pStyle w:val="TableContents"/>
              <w:bidi w:val="0"/>
              <w:spacing w:before="0" w:after="283"/>
              <w:jc w:val="right"/>
              <w:rPr/>
            </w:pPr>
            <w:r>
              <w:rPr/>
              <w:t>65,791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765" w:type="dxa"/>
            <w:tcBorders>
              <w:bottom w:val="double" w:sz="6" w:space="0" w:color="000000"/>
            </w:tcBorders>
            <w:tcMar>
              <w:bottom w:w="28" w:type="dxa"/>
            </w:tcMar>
            <w:vAlign w:val="center"/>
          </w:tcPr>
          <w:p>
            <w:pPr>
              <w:pStyle w:val="TableContents"/>
              <w:bidi w:val="0"/>
              <w:spacing w:before="0" w:after="283"/>
              <w:jc w:val="right"/>
              <w:rPr/>
            </w:pPr>
            <w:r>
              <w:rPr/>
              <w:t>4,020</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816" w:type="dxa"/>
            <w:tcBorders>
              <w:bottom w:val="double" w:sz="6" w:space="0" w:color="000000"/>
            </w:tcBorders>
            <w:tcMar>
              <w:bottom w:w="28" w:type="dxa"/>
            </w:tcMar>
            <w:vAlign w:val="center"/>
          </w:tcPr>
          <w:p>
            <w:pPr>
              <w:pStyle w:val="TableContents"/>
              <w:bidi w:val="0"/>
              <w:spacing w:before="0" w:after="283"/>
              <w:jc w:val="right"/>
              <w:rPr/>
            </w:pPr>
            <w:r>
              <w:rPr/>
              <w:t>69,811</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3740"/>
        <w:gridCol w:w="90"/>
        <w:gridCol w:w="262"/>
        <w:gridCol w:w="1094"/>
        <w:gridCol w:w="138"/>
        <w:gridCol w:w="138"/>
        <w:gridCol w:w="262"/>
        <w:gridCol w:w="1094"/>
        <w:gridCol w:w="135"/>
      </w:tblGrid>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Years Ended April 30,</w:t>
            </w:r>
          </w:p>
        </w:tc>
        <w:tc>
          <w:tcPr>
            <w:tcW w:w="13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8" w:type="dxa"/>
            <w:gridSpan w:val="6"/>
            <w:tcBorders>
              <w:bottom w:val="single" w:sz="8" w:space="0" w:color="000000"/>
            </w:tcBorders>
            <w:tcMar>
              <w:bottom w:w="28" w:type="dxa"/>
            </w:tcMar>
            <w:vAlign w:val="center"/>
          </w:tcPr>
          <w:p>
            <w:pPr>
              <w:pStyle w:val="TableContents"/>
              <w:bidi w:val="0"/>
              <w:spacing w:before="0" w:after="283"/>
              <w:jc w:val="center"/>
              <w:rPr/>
            </w:pPr>
            <w:r>
              <w:rPr/>
              <w:t>(in thousands)</w:t>
            </w:r>
          </w:p>
        </w:tc>
        <w:tc>
          <w:tcPr>
            <w:tcW w:w="13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Revenues by Product Line:</w:t>
            </w:r>
          </w:p>
        </w:tc>
        <w:tc>
          <w:tcPr>
            <w:tcW w:w="9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Satellite revenue</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23,128</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40,897</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Government non-space revenue</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38,011</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26,549</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Other commercial &amp; industrial revenue</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2,088</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2,365</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Consolidated revenues</w:t>
            </w:r>
          </w:p>
        </w:tc>
        <w:tc>
          <w:tcPr>
            <w:tcW w:w="90" w:type="dxa"/>
            <w:tcBorders/>
            <w:vAlign w:val="center"/>
          </w:tcPr>
          <w:p>
            <w:pPr>
              <w:pStyle w:val="TableContents"/>
              <w:bidi w:val="0"/>
              <w:spacing w:before="0" w:after="283"/>
              <w:jc w:val="left"/>
              <w:rPr/>
            </w:pPr>
            <w:r>
              <w:rPr/>
              <w:t> </w:t>
            </w:r>
          </w:p>
        </w:tc>
        <w:tc>
          <w:tcPr>
            <w:tcW w:w="262" w:type="dxa"/>
            <w:tcBorders>
              <w:bottom w:val="double" w:sz="6" w:space="0" w:color="000000"/>
            </w:tcBorders>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tcMar>
              <w:bottom w:w="28" w:type="dxa"/>
            </w:tcMar>
            <w:vAlign w:val="center"/>
          </w:tcPr>
          <w:p>
            <w:pPr>
              <w:pStyle w:val="TableContents"/>
              <w:bidi w:val="0"/>
              <w:spacing w:before="0" w:after="283"/>
              <w:jc w:val="right"/>
              <w:rPr/>
            </w:pPr>
            <w:r>
              <w:rPr/>
              <w:t>63,227</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bottom w:val="double" w:sz="6" w:space="0" w:color="000000"/>
            </w:tcBorders>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tcMar>
              <w:bottom w:w="28" w:type="dxa"/>
            </w:tcMar>
            <w:vAlign w:val="center"/>
          </w:tcPr>
          <w:p>
            <w:pPr>
              <w:pStyle w:val="TableContents"/>
              <w:bidi w:val="0"/>
              <w:spacing w:before="0" w:after="283"/>
              <w:jc w:val="right"/>
              <w:rPr/>
            </w:pPr>
            <w:r>
              <w:rPr/>
              <w:t>69,811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R&amp;D activities to identify new applications for its core technologies, to improve existing products and to improve manufacturing processes to achieve cost reductions and manufacturing efficiencies. R&amp;D costs include basic research, applied research, concept formulation studies, design, development, related test activities, and all associated direct labor, manufacturing overhead, direct materials and contracted services. Such costs are expensed as incurred. The Company also, from time to time, engages in customer-funded R&amp;D activity. Any customer funds received in connection therewith would appear in revenues and the associated expenses are included in cost of revenues. Additionally, some of our programs include engineering and development efforts which are also incorporated in costs to complete the program and are recognized in revenues and costs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Under these standards, the Company may only recognize or continue to recognize tax positions that meet a “more likely than not” threshold. Interest and penalties recognized on income taxes are recorded as 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are computed by dividing net earnings (loss) by the weighted average number of shares of common stock outstanding. Diluted earnings (loss) per share are computed by dividing net earnings (loss) by the sum of the weighted average number of shares of common stock and the if-converted effect of unexercised stock options and stock appreciation rights (“SARs”). Diluted earnings (loss) per share excludes the if-converted effect of such items if their inclusion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restricted cash, accounts receivable, accounts payable, short-term credit obligations,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see Note 9 for 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levels of the fair value hierarchy are described below:</w:t>
      </w:r>
    </w:p>
    <w:p>
      <w:pPr>
        <w:pStyle w:val="TextBody"/>
        <w:bidi w:val="0"/>
        <w:spacing w:before="0" w:after="0"/>
        <w:ind w:left="0" w:right="0" w:firstLine="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665"/>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are unadjusted quoted prices for identical assets or liabilities.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65"/>
        <w:gridCol w:w="9472"/>
      </w:tblGrid>
      <w:tr>
        <w:trPr/>
        <w:tc>
          <w:tcPr>
            <w:tcW w:w="6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4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include: -Inputs other than quoted prices that are observable for the asset or liability; and -Inputs that are derived principally from or corroborated by observable market data by correlation or other means.</w:t>
            </w:r>
          </w:p>
        </w:tc>
      </w:tr>
    </w:tbl>
    <w:p>
      <w:pPr>
        <w:pStyle w:val="TextBody"/>
        <w:bidi w:val="0"/>
        <w:spacing w:before="0" w:after="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68"/>
        <w:gridCol w:w="665"/>
        <w:gridCol w:w="8240"/>
      </w:tblGrid>
      <w:tr>
        <w:trPr/>
        <w:tc>
          <w:tcPr>
            <w:tcW w:w="6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are unobservable and significant to the fair value measurement.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business account and U.S. securities are valued on a Level 1 basis. The fixed income corporate debt securities are valued on a Level 2 basis. Level 2 securities are valued at the closing prices and are consistent with quoted prices of similar assets reported in active markets. See Note 11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 For awards with performance conditions, we recognize the fair value of the award as compensation expense when it is probable that the performance condition will be achieved. The Company has elected an accounting policy to account for award forfeitures as they occur, with no adjustment for estimated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fiscal 2026, the Company approved a plan to exit its FEI-Elcom business. Effective as of April 30, 2026, FEI-Elcom, a wholly-owned subsidiary of the Company, was converted into a Delaware limited liability company and the ongoing business operations, including the net book value of the assets and liabilities at April 30, 2026, of FEI-Elcom have been transferred to the FEI-NY segment. As FEI-Elcom was already reported within the FEI-NY segment, the restructuring did not result in a change in the financial presentation of any segment information. The remaining workforce will continue as employees of FEI-NY while remaining in the New Jersey office location. As a result of the restructuring, the Company recognized approximately $3.8 million of inventory write offs included in cost of revenues, approximately $0.4 million of SG&amp;A expense related to severance and legal costs, and approximately $0.4 million of other expense for derecognition of goodwill in the consolidated statement of operations. All charges noted related to restructuring have been recorded in the FEI-NY segment. The Company believes that the charges associated with this restructuring are substantially complete as of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(the “FASB”) issued ASU No.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can apply the amendments in ASU 2023-09 prospectively or retrospectively to all annual periods beginning after December 15, 2024. The guidance was adopted by the Company prospectively for the year ended April 30, 2026, and the Company, accordingly, made the required changes in its income tax related disclosure. See Note 12 for additional information. The adoption of ASU 2023-09 did not have any material impact on the Company’s 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 – Reporting Comprehensive Income – Expense Disaggregation Disclosures (Subtopic 220-40): Disaggregation of Income Statement Expenses</w:t>
      </w:r>
      <w:r>
        <w:rPr>
          <w:rFonts w:ascii="Times New Roman;Times;Serif" w:hAnsi="Times New Roman;Times;Serif"/>
          <w:b w:val="false"/>
          <w:i w:val="false"/>
          <w:caps w:val="false"/>
          <w:smallCaps w:val="false"/>
          <w:sz w:val="20"/>
        </w:rPr>
        <w:t>. This ASU requires entities to disclose certain expenses, including purchases of inventory, employee compensation, depreciation, and intangible asset amortization, by caption. Additionally, entities must provide a qualitative description of the amounts remaining in relevant expense captions that are not separately disaggregated quantitatively. The amendments are effective for annual reporting periods beginning after December 15, 2026 and interim reporting periods beginning after December 15, 2027, with early adoption permitted. The Company is currently evaluating the impact this standard will have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 Scope Improvements, an amendment of the FASB Accounting Standards Codification. The amendments in this ASU primarily provide clarification on interim reporting requirements and enhanced disclosure requirements. The amendments also include a disclosure principle to disclose all events since the end of the last annual reporting period that have a material impact on the Company. The ASU is effective for fiscal years beginning after December 15, 2027, and all interim reporting periods within applicable annual periods, with early adoption permitted. The Company is currently evaluating the effect that this standard will have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Reclassifications: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prior years have been reclassified to conform to the current year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weighted average shares outstanding for basic and diluted earnings per share for the fiscal years ended April 30, 2026 and 2025,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7853" w:type="dxa"/>
        <w:jc w:val="left"/>
        <w:tblInd w:w="0" w:type="dxa"/>
        <w:tblLayout w:type="fixed"/>
        <w:tblCellMar>
          <w:top w:w="0" w:type="dxa"/>
          <w:left w:w="0" w:type="dxa"/>
          <w:bottom w:w="0" w:type="dxa"/>
          <w:right w:w="0" w:type="dxa"/>
        </w:tblCellMar>
      </w:tblPr>
      <w:tblGrid>
        <w:gridCol w:w="4790"/>
        <w:gridCol w:w="90"/>
        <w:gridCol w:w="107"/>
        <w:gridCol w:w="1205"/>
        <w:gridCol w:w="107"/>
        <w:gridCol w:w="107"/>
        <w:gridCol w:w="107"/>
        <w:gridCol w:w="1205"/>
        <w:gridCol w:w="135"/>
      </w:tblGrid>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Fiscal Years Ended</w:t>
              <w:br/>
              <w:t>April 30,</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Weighted average shares outstanding:</w:t>
            </w:r>
          </w:p>
        </w:tc>
        <w:tc>
          <w:tcPr>
            <w:tcW w:w="9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Basic EPS Shares outstanding (weighted average)</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9,783,358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9,611,914</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2,622</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Diluted EPS Shares outstanding</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9,783,358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9,614,536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fiscal year ended April 30, 2026, there were no shares to exclude from the calculation of dilutive securities. There were no shares excluded for the fiscal year ended April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Contract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April 30, 2026, 2025, and 2024, contract assets, contract liabilities, and accounts receivable, net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6047" w:type="dxa"/>
        <w:jc w:val="left"/>
        <w:tblInd w:w="0" w:type="dxa"/>
        <w:tblLayout w:type="fixed"/>
        <w:tblCellMar>
          <w:top w:w="0" w:type="dxa"/>
          <w:left w:w="0" w:type="dxa"/>
          <w:bottom w:w="0" w:type="dxa"/>
          <w:right w:w="0" w:type="dxa"/>
        </w:tblCellMar>
      </w:tblPr>
      <w:tblGrid>
        <w:gridCol w:w="2390"/>
        <w:gridCol w:w="90"/>
        <w:gridCol w:w="183"/>
        <w:gridCol w:w="766"/>
        <w:gridCol w:w="125"/>
        <w:gridCol w:w="90"/>
        <w:gridCol w:w="179"/>
        <w:gridCol w:w="830"/>
        <w:gridCol w:w="125"/>
        <w:gridCol w:w="90"/>
        <w:gridCol w:w="179"/>
        <w:gridCol w:w="830"/>
        <w:gridCol w:w="170"/>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2024</w:t>
            </w:r>
          </w:p>
        </w:tc>
        <w:tc>
          <w:tcPr>
            <w:tcW w:w="17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17,277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10,523</w:t>
            </w:r>
          </w:p>
        </w:tc>
        <w:tc>
          <w:tcPr>
            <w:tcW w:w="17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(9,418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(13,607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(21,639</w:t>
            </w:r>
          </w:p>
        </w:tc>
        <w:tc>
          <w:tcPr>
            <w:tcW w:w="170" w:type="dxa"/>
            <w:tcBorders/>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4,740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4,614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Contract assets and liabilities arise from timing differences between the satisfaction of performance obligations which primarily occur over time as costs are incurred on the contract and billing which are dictated by the terms of the contract with the customer. Contract assets decreased $0.6 million in fiscal year 2026, as a result of reclassifications to accounts receivable when the right to consideration becomes unconditional, net of additional rights to consideration for work completed but not billed to customers at the reporting date. Contract liabilities decreased $4.2 million during fiscal year 2026, primarily due to the satisfaction of the related performance obligations, net of advance payments received where the related performance obligations have not been satisfied at the reporting date. In fiscal year 2026, we recognized $9.3 million of our contract liabilities at April 30, 2025, as revenue. In fiscal year 2025, we recognized $18.3 million of our contract liabilities at April 30, 2024, as revenue. If contract losses are anticipated, a loss provision is recorded for the full amount of such losses when they are determinable. The liability for contract losses is presented as loss provision accrual within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April 30, 2026 and 2025,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3440"/>
        <w:gridCol w:w="90"/>
        <w:gridCol w:w="183"/>
        <w:gridCol w:w="766"/>
        <w:gridCol w:w="90"/>
        <w:gridCol w:w="90"/>
        <w:gridCol w:w="195"/>
        <w:gridCol w:w="814"/>
        <w:gridCol w:w="135"/>
      </w:tblGrid>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Raw materials and component parts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13,026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14,668</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Work in progress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9,205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8,444</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tcMar>
              <w:bottom w:w="28" w:type="dxa"/>
            </w:tcMar>
            <w:vAlign w:val="center"/>
          </w:tcPr>
          <w:p>
            <w:pPr>
              <w:pStyle w:val="TableContents"/>
              <w:bidi w:val="0"/>
              <w:spacing w:before="0" w:after="283"/>
              <w:jc w:val="right"/>
              <w:rPr/>
            </w:pPr>
            <w:r>
              <w:rPr/>
              <w:t>22,618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double" w:sz="6" w:space="0" w:color="000000"/>
            </w:tcBorders>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tcMar>
              <w:bottom w:w="28" w:type="dxa"/>
            </w:tcMar>
            <w:vAlign w:val="center"/>
          </w:tcPr>
          <w:p>
            <w:pPr>
              <w:pStyle w:val="TableContents"/>
              <w:bidi w:val="0"/>
              <w:spacing w:before="0" w:after="283"/>
              <w:jc w:val="right"/>
              <w:rPr/>
            </w:pPr>
            <w:r>
              <w:rPr/>
              <w:t>23,487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reserves included in inventory were $10.0 million and $10.3 million for the fiscal years ended April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at April 30, 2026 and 2025,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059" w:type="dxa"/>
        <w:jc w:val="left"/>
        <w:tblInd w:w="0" w:type="dxa"/>
        <w:tblLayout w:type="fixed"/>
        <w:tblCellMar>
          <w:top w:w="0" w:type="dxa"/>
          <w:left w:w="0" w:type="dxa"/>
          <w:bottom w:w="0" w:type="dxa"/>
          <w:right w:w="0" w:type="dxa"/>
        </w:tblCellMar>
      </w:tblPr>
      <w:tblGrid>
        <w:gridCol w:w="3620"/>
        <w:gridCol w:w="90"/>
        <w:gridCol w:w="170"/>
        <w:gridCol w:w="785"/>
        <w:gridCol w:w="125"/>
        <w:gridCol w:w="90"/>
        <w:gridCol w:w="179"/>
        <w:gridCol w:w="830"/>
        <w:gridCol w:w="170"/>
      </w:tblGrid>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Buildings and building improvements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3,325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2,923</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Machinery, equipment and furniture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36,915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63,347</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66,270</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(33,135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(60,082</w:t>
            </w:r>
          </w:p>
        </w:tc>
        <w:tc>
          <w:tcPr>
            <w:tcW w:w="170" w:type="dxa"/>
            <w:tcBorders/>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7,105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6,188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were $1.9 million and $2.1 million for the fiscal years ended April 30, 2026 and 2025,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fiscal year 2026, the Company completed a comprehensive review of its fully depreciated fixed assets. As a result, the Company identified certain machinery, equipment, and computer hardware that was no longer in use or obsolete. The Company wrote off $28.9 million of gross fixed assets that had a net book value of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Right-of-Use Assets and Lease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primarily represent offices, warehouses, vehicles, manufacturing and R&amp;D facilities, which expire at various times through 2030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April 30, 2026,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ROU assets and lease liabilities recorded on the consolidated balance sheets as follows:</w:t>
      </w:r>
    </w:p>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4385"/>
        <w:gridCol w:w="90"/>
        <w:gridCol w:w="2585"/>
        <w:gridCol w:w="90"/>
        <w:gridCol w:w="225"/>
        <w:gridCol w:w="784"/>
        <w:gridCol w:w="90"/>
        <w:gridCol w:w="90"/>
        <w:gridCol w:w="225"/>
        <w:gridCol w:w="784"/>
        <w:gridCol w:w="135"/>
      </w:tblGrid>
      <w:tr>
        <w:trPr/>
        <w:tc>
          <w:tcPr>
            <w:tcW w:w="43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center"/>
              <w:rPr/>
            </w:pPr>
            <w:r>
              <w:rPr/>
              <w:t> </w:t>
            </w:r>
          </w:p>
        </w:tc>
        <w:tc>
          <w:tcPr>
            <w:tcW w:w="2585" w:type="dxa"/>
            <w:tcBorders>
              <w:bottom w:val="single" w:sz="8" w:space="0" w:color="000000"/>
            </w:tcBorders>
            <w:tcMar>
              <w:bottom w:w="28" w:type="dxa"/>
            </w:tcMar>
            <w:vAlign w:val="center"/>
          </w:tcPr>
          <w:p>
            <w:pPr>
              <w:pStyle w:val="TableContents"/>
              <w:bidi w:val="0"/>
              <w:spacing w:before="0" w:after="283"/>
              <w:jc w:val="center"/>
              <w:rPr>
                <w:b/>
              </w:rPr>
            </w:pPr>
            <w:r>
              <w:rPr>
                <w:b/>
              </w:rPr>
              <w:t>Classification</w:t>
            </w:r>
          </w:p>
        </w:tc>
        <w:tc>
          <w:tcPr>
            <w:tcW w:w="90" w:type="dxa"/>
            <w:tcBorders/>
            <w:vAlign w:val="center"/>
          </w:tcPr>
          <w:p>
            <w:pPr>
              <w:pStyle w:val="TableContents"/>
              <w:bidi w:val="0"/>
              <w:spacing w:before="0" w:after="283"/>
              <w:jc w:val="center"/>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135" w:type="dxa"/>
            <w:tcBorders/>
            <w:vAlign w:val="center"/>
          </w:tcPr>
          <w:p>
            <w:pPr>
              <w:pStyle w:val="TableContents"/>
              <w:bidi w:val="0"/>
              <w:spacing w:before="0" w:after="283"/>
              <w:ind w:left="0" w:right="0" w:hanging="180"/>
              <w:jc w:val="center"/>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8" w:type="dxa"/>
            <w:gridSpan w:val="6"/>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Right-of-use assets - operating leases</w:t>
            </w:r>
          </w:p>
        </w:tc>
        <w:tc>
          <w:tcPr>
            <w:tcW w:w="9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left"/>
              <w:rPr/>
            </w:pPr>
            <w:r>
              <w:rPr/>
              <w:t>Right-of-use assets leases</w:t>
            </w:r>
          </w:p>
        </w:tc>
        <w:tc>
          <w:tcPr>
            <w:tcW w:w="9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pPr>
            <w:r>
              <w:rPr/>
              <w:t>7,409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pPr>
            <w:r>
              <w:rPr/>
              <w:t>8,659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Operating lease liabilities, current portion</w:t>
            </w:r>
          </w:p>
        </w:tc>
        <w:tc>
          <w:tcPr>
            <w:tcW w:w="9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Lease liability, current</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2,002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2,027</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Operating lease liabilities, non-current portion</w:t>
            </w:r>
          </w:p>
        </w:tc>
        <w:tc>
          <w:tcPr>
            <w:tcW w:w="9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left"/>
              <w:rPr/>
            </w:pPr>
            <w:r>
              <w:rPr/>
              <w:t>Lease liability, non-current</w:t>
            </w:r>
          </w:p>
        </w:tc>
        <w:tc>
          <w:tcPr>
            <w:tcW w:w="9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5,648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6,729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Total lease liabilities</w:t>
            </w:r>
          </w:p>
        </w:tc>
        <w:tc>
          <w:tcPr>
            <w:tcW w:w="9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double" w:sz="6" w:space="0" w:color="000000"/>
            </w:tcBorders>
            <w:tcMar>
              <w:bottom w:w="28" w:type="dxa"/>
            </w:tcMar>
            <w:vAlign w:val="center"/>
          </w:tcPr>
          <w:p>
            <w:pPr>
              <w:pStyle w:val="TableContents"/>
              <w:bidi w:val="0"/>
              <w:spacing w:before="0" w:after="283"/>
              <w:jc w:val="left"/>
              <w:rPr/>
            </w:pPr>
            <w:r>
              <w:rPr/>
              <w:t>$</w:t>
            </w:r>
          </w:p>
        </w:tc>
        <w:tc>
          <w:tcPr>
            <w:tcW w:w="784" w:type="dxa"/>
            <w:tcBorders>
              <w:bottom w:val="double" w:sz="6" w:space="0" w:color="000000"/>
            </w:tcBorders>
            <w:tcMar>
              <w:bottom w:w="28" w:type="dxa"/>
            </w:tcMar>
            <w:vAlign w:val="center"/>
          </w:tcPr>
          <w:p>
            <w:pPr>
              <w:pStyle w:val="TableContents"/>
              <w:bidi w:val="0"/>
              <w:spacing w:before="0" w:after="283"/>
              <w:jc w:val="right"/>
              <w:rPr/>
            </w:pPr>
            <w:r>
              <w:rPr/>
              <w:t>7,650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double" w:sz="6" w:space="0" w:color="000000"/>
            </w:tcBorders>
            <w:tcMar>
              <w:bottom w:w="28" w:type="dxa"/>
            </w:tcMar>
            <w:vAlign w:val="center"/>
          </w:tcPr>
          <w:p>
            <w:pPr>
              <w:pStyle w:val="TableContents"/>
              <w:bidi w:val="0"/>
              <w:spacing w:before="0" w:after="283"/>
              <w:jc w:val="left"/>
              <w:rPr/>
            </w:pPr>
            <w:r>
              <w:rPr/>
              <w:t>$</w:t>
            </w:r>
          </w:p>
        </w:tc>
        <w:tc>
          <w:tcPr>
            <w:tcW w:w="784" w:type="dxa"/>
            <w:tcBorders>
              <w:bottom w:val="double" w:sz="6" w:space="0" w:color="000000"/>
            </w:tcBorders>
            <w:tcMar>
              <w:bottom w:w="28" w:type="dxa"/>
            </w:tcMar>
            <w:vAlign w:val="center"/>
          </w:tcPr>
          <w:p>
            <w:pPr>
              <w:pStyle w:val="TableContents"/>
              <w:bidi w:val="0"/>
              <w:spacing w:before="0" w:after="283"/>
              <w:jc w:val="right"/>
              <w:rPr/>
            </w:pPr>
            <w:r>
              <w:rPr/>
              <w:t>8,756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expense was approximately $2.5 million, of which approximately $0.5 million was attributable to variable lease expenses, for fiscal year ended April 30, 2026, the majority of which is included in cost of revenues and the remaining amount in selling and administrative expenses on the consolidated statements of operations. Total operating lease expense was approximately $1.9 million, of which approximately $0.4 million was attributable to variable lease expenses, for fiscal year ended April 30, 2025, the majority of which is included in cost of revenues and the remaining amount in selling and administrative expenses on the consolidated statements of operations. In addition, the Company made cash payments of $2.3 million and $1.9 million for operating leases during the fiscal years ended April 30, 2026 and 2025, respectively, which are included in cash flows from operating activities in our consolidated statements of cash flows. During the year ended April 30, 2026, the Company recorded incremental ROU assets and lease liabilities of approximately $0.4 million arising from a new lease for FEI-NY, which commenced during the quarter ended October 31, 2025. During the year ended April 30, 2025, the Company recorded incremental ROU assets and lease liabilities of approximately $4.1 million arising from the third amendment to the FEI-Zyfer lease, which commenced in fiscal year 2025. There were no ROU assets or lease liabilities that were recorded for any leases that had not commenced as of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reconciles the undiscounted cash flows for each of the next five fiscal years and total of the remaining fiscal years to the operating lease liabilities recorded on the consolidated balance sheet as of April 30, 2026:</w:t>
      </w:r>
    </w:p>
    <w:p>
      <w:pPr>
        <w:pStyle w:val="TextBody"/>
        <w:bidi w:val="0"/>
        <w:spacing w:before="0" w:after="0"/>
        <w:ind w:left="0" w:right="0" w:firstLine="72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3680"/>
        <w:gridCol w:w="90"/>
        <w:gridCol w:w="170"/>
        <w:gridCol w:w="665"/>
        <w:gridCol w:w="170"/>
      </w:tblGrid>
      <w:tr>
        <w:trPr/>
        <w:tc>
          <w:tcPr>
            <w:tcW w:w="4775" w:type="dxa"/>
            <w:gridSpan w:val="5"/>
            <w:tcBorders/>
            <w:vAlign w:val="center"/>
          </w:tcPr>
          <w:p>
            <w:pPr>
              <w:pStyle w:val="TableContents"/>
              <w:bidi w:val="0"/>
              <w:spacing w:before="0" w:after="283"/>
              <w:jc w:val="center"/>
              <w:rPr>
                <w:b/>
              </w:rPr>
            </w:pPr>
            <w:r>
              <w:rPr>
                <w:b/>
              </w:rPr>
              <w:t>Fiscal Year Ending April 30,</w:t>
            </w:r>
          </w:p>
        </w:tc>
      </w:tr>
      <w:tr>
        <w:trPr/>
        <w:tc>
          <w:tcPr>
            <w:tcW w:w="4775" w:type="dxa"/>
            <w:gridSpan w:val="5"/>
            <w:tcBorders/>
            <w:vAlign w:val="center"/>
          </w:tcPr>
          <w:p>
            <w:pPr>
              <w:pStyle w:val="TableContents"/>
              <w:bidi w:val="0"/>
              <w:spacing w:before="0" w:after="283"/>
              <w:jc w:val="center"/>
              <w:rPr>
                <w:b/>
              </w:rPr>
            </w:pPr>
            <w:r>
              <w:rPr>
                <w:b/>
              </w:rPr>
              <w:t>(in thousands)</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2,064</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2,388</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2,535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2030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1,658</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2031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8,690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(1,040</w:t>
            </w:r>
          </w:p>
        </w:tc>
        <w:tc>
          <w:tcPr>
            <w:tcW w:w="170" w:type="dxa"/>
            <w:tcBorders/>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Present value of future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7,650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Less current obligations under leases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(2,002</w:t>
            </w:r>
          </w:p>
        </w:tc>
        <w:tc>
          <w:tcPr>
            <w:tcW w:w="170" w:type="dxa"/>
            <w:tcBorders/>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Long-term 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5,648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and 2025, the weighted-average remaining lease term for all operating leases was 3.9 years and 4.5 years, respectively. The Company does not generally have access to the rate implicit in the leases, therefore, we use a discount rate based on our incremental borrowing rate, which is determined using our credit rating and information available as of the commencement date. The weighted average discount rate for operating leases as of April 30, 2026 and 2025, was 7.09% and 6.85%,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and 2025, the Company had no debt obligations nor any borrowing capacity pursuant to a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entered into a senior, secured revolving credit facility with JPMorgan Chase Bank, N.A., as the lender (the “Credit Agreement”). The Credit Agreement provides for a three-year revolving credit facility of $10,000,000, of which up to $5,000,000 is available for the issuance of letters of credit. The Credit Agreement provides that the Company may, at its option, increase the aggregate amount of the revolving credit facility in an amount up to $10,000,000, subject to certain customary conditions and on the terms set forth in the Credit Agreement. There can be no assurance that additional funding will become available. Commitments under the revolving credit facility are subject to a commitment fee of 0.35% per annum on the daily amount of the undrawn portion of the revolving credit facility. The Company’s obligations under the Credit Agreement are guaranteed by FEI-Zyfer (the “Subsidiary Guarantor”). The revolving credit facility matures on June 12,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Subsidiary Guarantor also entered into a separate pledge and security agreement (the “Security Agreement”) with JPMorgan Chase Bank, N.A., as lender, pursuant to which the Company and the Subsidiary Guarantor each pledged all or substantially all of its assets, including equity in its domestic subsidiaries, in favor of the lender as collateral for the obligations under the Credit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designated by the Company at the time of borrowing as “CBFR Borrowings” that are outstanding under the Credit Agreement bear interest at a rate per annum equal to (i) the greater of (a) the Prime Rate (as defined in the Credit Agreement) in effect on such day or (b) 2.50%; plus (ii) 2.50%. Loans designated by the Company at the time of borrowing as “SOFR Borrowings” that are outstanding under the Credit Agreement bear interest at a rate per annum equal to the Adjusted Term SOFR Rate (as defined in the Credit Agreement) for the interest period in effect for such borrowing plus 2.50%. Under the terms of the Credit Agreement, accrued interest on each loan is payable in arrears on the applicable interest payment date for each loan. The loans under the Credit Agreement may be prepaid at any time without premium or penalty (other than any accrued interest or breakage costs, if applicable). The Company expects that the proceeds from the Credit Agreement will be used for general corporate purposes and to provide general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affirmative and negative covenants, including limitations on mergers, consolidations and sales of assets, limitations on indebtedness, liens and sales and leasebacks, limitations on transactions with affiliates, limitations on investments, limitations on dividends and distributions and limitations on swap agreements, as well as other customary terms and provisions. In addition, the Credit Agreement contains financial covenants specifying that, as of the end of each fiscal quarter commencing with the fiscal quarter ended July 31, 2026, (i) the total leverage ratio will not exceed 2.25 to 1.00 and (ii) the fixed charge coverage ratio will not be less than 1.25 to 1.00. The Credit Agreement also contains events of default customary for such financings, the occurrence of which would permit the lenders to accelerate the amount due thereunder. Such events of default include failure to pay principal, failure to pay interest and other amounts within three days of the due date, failure to comply with a covenant beyond any applicable grace period, material misrepresentations, default beyond the applicable grace period on other material indebtedness, certain events of bankruptcy or insolvency of the Company and its subsidiaries, guarantor defaults, judgment defaults and change of control,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at April 30, 2026 and 2025, respectively, consisted of the following (in thousands):</w:t>
      </w:r>
    </w:p>
    <w:p>
      <w:pPr>
        <w:pStyle w:val="TextBody"/>
        <w:bidi w:val="0"/>
        <w:spacing w:before="0" w:after="0"/>
        <w:ind w:left="0" w:right="0" w:firstLine="72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230"/>
        <w:gridCol w:w="90"/>
        <w:gridCol w:w="170"/>
        <w:gridCol w:w="590"/>
        <w:gridCol w:w="90"/>
        <w:gridCol w:w="90"/>
        <w:gridCol w:w="170"/>
        <w:gridCol w:w="590"/>
        <w:gridCol w:w="135"/>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Vacation and other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1,575</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Incentive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1,347</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Payroll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712</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Warranty reserve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567</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Commissions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Deferred compensation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634</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2,634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1,040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6,482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5,899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 xml:space="preserve">Investment in Morion,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investment in Morion, a privately-held Russian company, which manufactures high precision quartz resonators and crystal oscillators. The Company has also licensed certain technology to Morion.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consists of 4.6% of Morion’s outstanding shares. However, due to the Russia-Ukraine conflict and resulting sanctions the future status of FEI’s investment in Morion became uncertain and accordingly, such investment was written off in fiscal year 2022. The carrying value of this investment is $0 as of 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April 30, 2026 and 2025, the Company did not acquire any product from Morion. During the fiscal years ended April 30, 2026 and 2025, the Company sold no product and no training devices to Morion, and the Company received no dividends from Morion.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purchases of materials from Morion consisted mainly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and 2025, restricted cash consisted of approximately $1.3 million and $1.4 million, respectively, related to a letter of credit required for contractual restrictions during the period of performance for one of the Company’s contracts. Restricted cash is classified as current or non-current based on the remaining performance period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cash and cash equivalents and restricted cash from the consolidated balance sheets to the consolidated statements of cash flows is shown below (in thousands):</w:t>
      </w:r>
    </w:p>
    <w:p>
      <w:pPr>
        <w:pStyle w:val="TextBody"/>
        <w:bidi w:val="0"/>
        <w:spacing w:before="0" w:after="0"/>
        <w:ind w:left="0" w:right="0" w:hanging="0"/>
        <w:jc w:val="both"/>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4850"/>
        <w:gridCol w:w="90"/>
        <w:gridCol w:w="212"/>
        <w:gridCol w:w="737"/>
        <w:gridCol w:w="90"/>
        <w:gridCol w:w="90"/>
        <w:gridCol w:w="225"/>
        <w:gridCol w:w="784"/>
        <w:gridCol w:w="135"/>
      </w:tblGrid>
      <w:tr>
        <w:trPr/>
        <w:tc>
          <w:tcPr>
            <w:tcW w:w="4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13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1,603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4,720</w:t>
            </w:r>
          </w:p>
        </w:tc>
        <w:tc>
          <w:tcPr>
            <w:tcW w:w="135"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tcMar>
              <w:bottom w:w="28" w:type="dxa"/>
            </w:tcMar>
            <w:vAlign w:val="center"/>
          </w:tcPr>
          <w:p>
            <w:pPr>
              <w:pStyle w:val="TableContents"/>
              <w:bidi w:val="0"/>
              <w:spacing w:before="0" w:after="283"/>
              <w:jc w:val="right"/>
              <w:rPr/>
            </w:pPr>
            <w:r>
              <w:rPr/>
              <w:t>1,331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1,365</w:t>
            </w:r>
          </w:p>
        </w:tc>
        <w:tc>
          <w:tcPr>
            <w:tcW w:w="13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Total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pPr>
            <w:r>
              <w:rPr/>
              <w:t>2,934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pPr>
            <w:r>
              <w:rPr/>
              <w:t>6,085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Sharing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its U.S.-based employees with a profit-sharing plan and trust under §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fiscal years ended April 30, 2026 and 2025, the Company contributed 36,067 and 70,100 shares of common stock, respectively. The approximate value of these shares at the date of contribution was $1.3 million and $0.9 million in fiscal years 2026 and 2025, respectively. Contributed shares are drawn from the Company’s common stock and during fiscal years 2026 and 2025, such transactions increased additional paid in capital by $1.3 million and $0.8 million, respectively. As of April 30, 2026, the plan held a total of 440,546 shares, which were allocated to the accounts of the individual participants. As of April 30, 2025, the plan held a total of 504,734 shares, which were allocated to the accounts of the individual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Incentive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incentive bonus programs for certain employees that are based on operating profits of the individual subsidiaries to which the employees are assigned. The Company also adopted a plan for the President and Chief Executive Officer of the Company for which the formula is based on consolidated pre-tax profits, bookings, and revenue. The incentive bonus recorded for the fiscal year ended April 30, 2026 and April 30, 2025 was $0.2 million and $1.8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Board of Directors, subject to stockholder approval, adopted the 2025 Stock Award Plan (“2025 Plan”), which replaced the 2005 Stock Award Plan. The 2025 Plan incorporates all previous grants under the previous plan, without changes to the original terms of the grants, and adds 700,000 shares for future grants. The 2025 Plan was approved by stockholder vote at the Company’s annual meeting of stockholders held on October 8, 2024. The 2025 Plan is for key management employees, including officers and directors who are employees, certain consultants and independent members of the Board of Directors. Under the 2025 Plan equity compensation, such as nonqualified stock options, incentive stock options, stock appreciation rights (“SAR”), performance stock units (“PSU”) and restricted stock units (“RSU”), are granted at the discretion of the Compensation Committee of the Board of Directors at an exercise price not less than the fair market value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options and SARs vest over a four-year period from the date of grant. The options and SARs generally expire five or ten years after the date of grant (the most recent SARs awards, beginning in fiscal year 2017, expire in five years), at the Compensation Committee’s discretion, and are subject to certain restrictions on transferability of the shares obtained on exercise. Under the 2025 Plan, instruments granted which expire, are canceled, or are tendered in the exercise of such instruments, increase the shares available for future grants under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eligible employees and directors had been granted total SARs representing approximately 2,385,000 shares of the Company’s common stock, of which no shares were outstanding and no shares were exercisable. There were no SARs granted during the fiscal year 2025.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2025 Plan. During the fiscal year ended April 30, 2025, employees exercised 20,000 SARs and were granted 4,556 shares of the Company’s common stock. There were 15,444 shares returned to the pool of available shares. Forfeitures are recorded as they occur. There were no options or SARs granted, exercised, canceled or expired during the fiscal year ended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stock option and SARs activity for the fiscal years ended April 30, 2026 and 2025:</w:t>
      </w:r>
    </w:p>
    <w:p>
      <w:pPr>
        <w:pStyle w:val="TextBody"/>
        <w:bidi w:val="0"/>
        <w:spacing w:before="0" w:after="0"/>
        <w:ind w:left="0" w:right="0" w:hanging="0"/>
        <w:jc w:val="left"/>
        <w:rPr>
          <w:caps w:val="false"/>
          <w:smallCaps w:val="false"/>
        </w:rPr>
      </w:pPr>
      <w:r>
        <w:rPr>
          <w:caps w:val="false"/>
          <w:smallCaps w:val="false"/>
        </w:rPr>
        <w:t> </w:t>
      </w:r>
    </w:p>
    <w:tbl>
      <w:tblPr>
        <w:tblW w:w="9599" w:type="dxa"/>
        <w:jc w:val="left"/>
        <w:tblInd w:w="0" w:type="dxa"/>
        <w:tblLayout w:type="fixed"/>
        <w:tblCellMar>
          <w:top w:w="0" w:type="dxa"/>
          <w:left w:w="0" w:type="dxa"/>
          <w:bottom w:w="0" w:type="dxa"/>
          <w:right w:w="0" w:type="dxa"/>
        </w:tblCellMar>
      </w:tblPr>
      <w:tblGrid>
        <w:gridCol w:w="2855"/>
        <w:gridCol w:w="90"/>
        <w:gridCol w:w="90"/>
        <w:gridCol w:w="1010"/>
        <w:gridCol w:w="125"/>
        <w:gridCol w:w="90"/>
        <w:gridCol w:w="246"/>
        <w:gridCol w:w="854"/>
        <w:gridCol w:w="90"/>
        <w:gridCol w:w="90"/>
        <w:gridCol w:w="173"/>
        <w:gridCol w:w="1031"/>
        <w:gridCol w:w="125"/>
        <w:gridCol w:w="90"/>
        <w:gridCol w:w="1280"/>
        <w:gridCol w:w="90"/>
        <w:gridCol w:w="173"/>
        <w:gridCol w:w="927"/>
        <w:gridCol w:w="170"/>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84" w:type="dxa"/>
            <w:gridSpan w:val="16"/>
            <w:tcBorders>
              <w:bottom w:val="single" w:sz="8" w:space="0" w:color="000000"/>
            </w:tcBorders>
            <w:tcMar>
              <w:bottom w:w="28" w:type="dxa"/>
            </w:tcMar>
            <w:vAlign w:val="center"/>
          </w:tcPr>
          <w:p>
            <w:pPr>
              <w:pStyle w:val="TableContents"/>
              <w:bidi w:val="0"/>
              <w:spacing w:before="0" w:after="283"/>
              <w:jc w:val="center"/>
              <w:rPr>
                <w:b/>
              </w:rPr>
            </w:pPr>
            <w:r>
              <w:rPr>
                <w:b/>
              </w:rPr>
              <w:t>Stock Options and Stock Appreciation Rights</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Weighted-</w:t>
              <w:b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b/>
              </w:rPr>
            </w:pPr>
            <w:r>
              <w:rPr>
                <w:b/>
              </w:rPr>
              <w:t>Weighted</w:t>
              <w:br/>
              <w:t>Average</w:t>
              <w:br/>
              <w:t>Remaining</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Aggregate</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Grant Date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Intrinsic</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b/>
              </w:rPr>
            </w:pPr>
            <w:r>
              <w:rPr>
                <w:b/>
              </w:rPr>
              <w:t>Term</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Outstanding –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13.01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1,118,640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0.9 years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(244,800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(127,200</w:t>
            </w:r>
          </w:p>
        </w:tc>
        <w:tc>
          <w:tcPr>
            <w:tcW w:w="170" w:type="dxa"/>
            <w:tcBorders/>
            <w:shd w:fill="CCEEFF" w:val="clear"/>
            <w:vAlign w:val="center"/>
          </w:tcPr>
          <w:p>
            <w:pPr>
              <w:pStyle w:val="TableContents"/>
              <w:bidi w:val="0"/>
              <w:spacing w:before="0" w:after="283"/>
              <w:jc w:val="left"/>
              <w:rPr/>
            </w:pPr>
            <w:r>
              <w:rPr/>
              <w:t>)</w:t>
            </w:r>
          </w:p>
        </w:tc>
      </w:tr>
      <w:tr>
        <w:trPr/>
        <w:tc>
          <w:tcPr>
            <w:tcW w:w="2855" w:type="dxa"/>
            <w:tcBorders/>
            <w:vAlign w:val="center"/>
          </w:tcPr>
          <w:p>
            <w:pPr>
              <w:pStyle w:val="TableContents"/>
              <w:bidi w:val="0"/>
              <w:spacing w:before="0" w:after="283"/>
              <w:jc w:val="left"/>
              <w:rPr/>
            </w:pPr>
            <w:r>
              <w:rPr/>
              <w:t>Expired or canceled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(66,000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tcMar>
              <w:bottom w:w="28" w:type="dxa"/>
            </w:tcMar>
            <w:vAlign w:val="center"/>
          </w:tcPr>
          <w:p>
            <w:pPr>
              <w:pStyle w:val="TableContents"/>
              <w:bidi w:val="0"/>
              <w:spacing w:before="0" w:after="283"/>
              <w:jc w:val="right"/>
              <w:rPr/>
            </w:pPr>
            <w:r>
              <w:rPr/>
              <w:t>13.24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(873,840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tcMar>
              <w:bottom w:w="28" w:type="dxa"/>
            </w:tcMar>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Outstanding –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Available for future grants</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1,269,186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and 2025, respectively, there were no unrecognized compensation cost related to non-vested options and SARs under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2026 and 2025, there were no shares that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stock-based compensation costs, for options and SARs, included in the cost of revenues of programs on which the Company recognizes revenue under the POC method for the fiscal years ended April 30, 2026 and 2025. There was no stock-based compensation expense included in selling and administrative expenses related to options and SARs during the fiscal years ended April 30,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Plan and Other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began issuing RSUs to eligible employees in fiscal year 2020. The fair value of these awards is equivalent to the market value of the Company’s common stock on the grant date and vests over a period of time. RSUs are not shares of the Company’s common stock and do not have any rights or privileges thereof, including voting or dividend rights. On the applicable vesting date, the holder of an RSU becomes entitled to share of the Company’s common stock. A portion of the RSUs awarded will vest annually until fiscal year 2029, the remaining represent awards that cliff vest in fiscal year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During the fiscal year ended April 30, 2026, there were no shares of common stock issued to employees for milestone years of service to the Company. During the fiscal year ended April 30, 2025, the Company issued 1,550 shares of common stock to select employees for milestone years of service to the Company. These shares were issued under the 2025 Stock Award Plan, are shares of the Company’s common stock, and are fully vested at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2021 the Company elected to issue PSUs. The fair value of these awards is equivalent to the market value of the Company’s common stock on the grant date and requires an assessment of the probability that the specified performance conditions will be achieved, which is updated at each reporting date. PSUs are not shares of the Company’s common stock and do not have any rights or privileges thereof, including voting or dividend rights. On the applicable vesting date, subject to the attainment of the specified performance conditions, the holder of a PSU becomes entitled to a share of the Company’s common stock. PSUs are subject to certain restrictions and forfeiture provisions, in addition to the specified performance conditions. The PSUs awarded will vest, subject to achieving these performance conditions, annually until fiscal year 2029.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costs, related to RSUs and PSUs, included in the cost of revenues of programs on which the Company recognizes revenue under the POC method were approximately $699,000 and $357,000 for the fiscal years ended April 30, 2026 and 2025, respectively. Stock-based compensation expense, for RSUs and PSUs, included in selling and administrative expenses was approximately $1.2 million and $776,000 for the fiscal years ended April 30, 2026 and 2025, respectively. Unrecognized stock compensation was $7.7 million and $4.2 million for the fiscal years ended April 30, 2026 and 2025, respectively. The grant date fair value of vested RSUs and PSUs was approximately $1.5 million and $918,000 for the fiscal years ended April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for the RSUs and PSUs awards that reduce available capacity under the 2025 Plan for the fiscal years ended April 30, 2026 and 2025:</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2465"/>
        <w:gridCol w:w="90"/>
        <w:gridCol w:w="90"/>
        <w:gridCol w:w="905"/>
        <w:gridCol w:w="125"/>
        <w:gridCol w:w="90"/>
        <w:gridCol w:w="269"/>
        <w:gridCol w:w="935"/>
        <w:gridCol w:w="135"/>
      </w:tblGrid>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Weighted-</w:t>
              <w:br/>
              <w:t>Average</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Balance – April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474,569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6.94</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187,250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13.13</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(131,970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6.95</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Balance –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529,849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9.12</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112,048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52.65</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(171,629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8.84</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(34,120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9"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right"/>
              <w:rPr/>
            </w:pPr>
            <w:r>
              <w:rPr/>
              <w:t>14.28</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Balance – April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436,148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pPr>
            <w:r>
              <w:rPr/>
              <w:t>20.01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performance conditions related to the majority of outstanding PSUs are anticipated to be achieved. The PSUs will continue to vest, the same as RSUs, annually over a four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Compensation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series of agreements with key employees providing for the payment of benefits upon retirement or death. Annual amounts relating to these plans are recorded based on actuarial projections, which include various actuarial assumptions, including discount rates, mortality rates, assumed rates of return, and turnover rates. The actuarial assumptions used to determine deferred compensation liabilities and expense are reviewed annually and modified based on current economic conditions and trends. The discount rate used to measure obligations is based on the Company’s bond rate yield curve.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fiscal year ended April 30, 2026 was approximately $374,000. Deferred compensation expense charged to selling and administrative expenses during the fiscal year ended April 30, 2025 was approximately $504,000.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Insurance Policies and Assets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$7.3 million and $7.0 million at April 30, 2026 and 2025, respectively. The business account and U.S. securities within the trust are valued on a Level 1 basis and amounted to $4.0 million and $3.5 million at April 30, 2026 and 2025, respectively. The fixed income corporate debt securities within the trust are valued on a Level 2 basis and amounted to $0.4 million at April 30, 2026 and 2025. Level 2 securities are valued at the closing prices and are consistent with quoted prices of similar assets reported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H.R.1, the One Big Beautiful Bill Act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 The enactment of the OBBBA did not have a material impact on our provision or effective tax rate as of April 30, 2026. We continue to evaluate the OBBBA and its requirements, as well as its application to our business and its impact on cash taxes and our effective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(Loss) income before benefit for income taxes, includes the following components (in thousands):</w:t>
      </w:r>
    </w:p>
    <w:p>
      <w:pPr>
        <w:pStyle w:val="TextBody"/>
        <w:bidi w:val="0"/>
        <w:spacing w:before="0" w:after="0"/>
        <w:ind w:left="0" w:right="0" w:firstLine="720"/>
        <w:jc w:val="both"/>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3365"/>
        <w:gridCol w:w="90"/>
        <w:gridCol w:w="176"/>
        <w:gridCol w:w="689"/>
        <w:gridCol w:w="129"/>
        <w:gridCol w:w="93"/>
        <w:gridCol w:w="176"/>
        <w:gridCol w:w="735"/>
        <w:gridCol w:w="135"/>
      </w:tblGrid>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Fiscal Year Ended </w:t>
              <w:br/>
              <w:t>April 30,</w:t>
            </w:r>
          </w:p>
        </w:tc>
        <w:tc>
          <w:tcPr>
            <w:tcW w:w="13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Domestic operations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pPr>
            <w:r>
              <w:rPr/>
              <w:t>(2,908</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12,144</w:t>
            </w:r>
          </w:p>
        </w:tc>
        <w:tc>
          <w:tcPr>
            <w:tcW w:w="13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(Loss) income before income taxes</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w:t>
            </w:r>
          </w:p>
        </w:tc>
        <w:tc>
          <w:tcPr>
            <w:tcW w:w="689" w:type="dxa"/>
            <w:tcBorders>
              <w:bottom w:val="single" w:sz="8" w:space="0" w:color="000000"/>
            </w:tcBorders>
            <w:tcMar>
              <w:bottom w:w="28" w:type="dxa"/>
            </w:tcMar>
            <w:vAlign w:val="center"/>
          </w:tcPr>
          <w:p>
            <w:pPr>
              <w:pStyle w:val="TableContents"/>
              <w:bidi w:val="0"/>
              <w:spacing w:before="0" w:after="283"/>
              <w:jc w:val="right"/>
              <w:rPr/>
            </w:pPr>
            <w:r>
              <w:rPr/>
              <w:t>(2,908</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w:t>
            </w:r>
          </w:p>
        </w:tc>
        <w:tc>
          <w:tcPr>
            <w:tcW w:w="735" w:type="dxa"/>
            <w:tcBorders>
              <w:bottom w:val="single" w:sz="8" w:space="0" w:color="000000"/>
            </w:tcBorders>
            <w:tcMar>
              <w:bottom w:w="28" w:type="dxa"/>
            </w:tcMar>
            <w:vAlign w:val="center"/>
          </w:tcPr>
          <w:p>
            <w:pPr>
              <w:pStyle w:val="TableContents"/>
              <w:bidi w:val="0"/>
              <w:spacing w:before="0" w:after="283"/>
              <w:jc w:val="right"/>
              <w:rPr/>
            </w:pPr>
            <w:r>
              <w:rPr/>
              <w:t>12,144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from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1955"/>
        <w:gridCol w:w="90"/>
        <w:gridCol w:w="170"/>
        <w:gridCol w:w="665"/>
        <w:gridCol w:w="125"/>
        <w:gridCol w:w="90"/>
        <w:gridCol w:w="170"/>
        <w:gridCol w:w="785"/>
        <w:gridCol w:w="170"/>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Fiscal Year Ended </w:t>
              <w:br/>
              <w:t>April 30,</w:t>
            </w:r>
          </w:p>
        </w:tc>
        <w:tc>
          <w:tcPr>
            <w:tcW w:w="17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Current:</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137</w:t>
            </w:r>
          </w:p>
        </w:tc>
        <w:tc>
          <w:tcPr>
            <w:tcW w:w="170"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374</w:t>
            </w:r>
          </w:p>
        </w:tc>
        <w:tc>
          <w:tcPr>
            <w:tcW w:w="17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Current provision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170"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Deferred: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(9,634</w:t>
            </w:r>
          </w:p>
        </w:tc>
        <w:tc>
          <w:tcPr>
            <w:tcW w:w="170" w:type="dxa"/>
            <w:tcBorders/>
            <w:shd w:fill="CCEEFF" w:val="clear"/>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(538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(2,419</w:t>
            </w:r>
          </w:p>
        </w:tc>
        <w:tc>
          <w:tcPr>
            <w:tcW w:w="170" w:type="dxa"/>
            <w:tcBorders/>
            <w:vAlign w:val="center"/>
          </w:tcPr>
          <w:p>
            <w:pPr>
              <w:pStyle w:val="TableContents"/>
              <w:bidi w:val="0"/>
              <w:spacing w:before="0" w:after="283"/>
              <w:jc w:val="left"/>
              <w:rPr/>
            </w:pPr>
            <w:r>
              <w:rPr/>
              <w:t>)</w:t>
            </w:r>
          </w:p>
        </w:tc>
      </w:tr>
      <w:tr>
        <w:trPr/>
        <w:tc>
          <w:tcPr>
            <w:tcW w:w="1955" w:type="dxa"/>
            <w:tcBorders/>
            <w:shd w:fill="CCEEFF" w:val="clear"/>
            <w:vAlign w:val="center"/>
          </w:tcPr>
          <w:p>
            <w:pPr>
              <w:pStyle w:val="TableContents"/>
              <w:bidi w:val="0"/>
              <w:spacing w:before="0" w:after="283"/>
              <w:jc w:val="left"/>
              <w:rPr/>
            </w:pPr>
            <w:r>
              <w:rPr/>
              <w:t>Deferred tax 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(2,039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(12,053</w:t>
            </w:r>
          </w:p>
        </w:tc>
        <w:tc>
          <w:tcPr>
            <w:tcW w:w="170" w:type="dxa"/>
            <w:tcBorders/>
            <w:shd w:fill="CCEEFF" w:val="clear"/>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Total 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(2,005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(11,542</w:t>
            </w:r>
          </w:p>
        </w:tc>
        <w:tc>
          <w:tcPr>
            <w:tcW w:w="17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federal statutory rate of 21% and the Company’s effective tax rate after the adoption of ASU 2023-09 is summarized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8037" w:type="dxa"/>
        <w:jc w:val="left"/>
        <w:tblInd w:w="0" w:type="dxa"/>
        <w:tblLayout w:type="fixed"/>
        <w:tblCellMar>
          <w:top w:w="0" w:type="dxa"/>
          <w:left w:w="0" w:type="dxa"/>
          <w:bottom w:w="0" w:type="dxa"/>
          <w:right w:w="0" w:type="dxa"/>
        </w:tblCellMar>
      </w:tblPr>
      <w:tblGrid>
        <w:gridCol w:w="5585"/>
        <w:gridCol w:w="90"/>
        <w:gridCol w:w="211"/>
        <w:gridCol w:w="826"/>
        <w:gridCol w:w="155"/>
        <w:gridCol w:w="111"/>
        <w:gridCol w:w="111"/>
        <w:gridCol w:w="583"/>
        <w:gridCol w:w="365"/>
      </w:tblGrid>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Fiscal Year Ended </w:t>
              <w:br/>
              <w:t>April 30, 2026</w:t>
            </w:r>
          </w:p>
        </w:tc>
        <w:tc>
          <w:tcPr>
            <w:tcW w:w="365"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5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Income tax at statutory federal tax rate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(611</w:t>
            </w:r>
          </w:p>
        </w:tc>
        <w:tc>
          <w:tcPr>
            <w:tcW w:w="15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State and local income tax, net of federal income tax effect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(417</w:t>
            </w:r>
          </w:p>
        </w:tc>
        <w:tc>
          <w:tcPr>
            <w:tcW w:w="155"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14.4</w:t>
            </w:r>
          </w:p>
        </w:tc>
        <w:tc>
          <w:tcPr>
            <w:tcW w:w="365" w:type="dxa"/>
            <w:tcBorders/>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Changes in valuation allowances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0.6</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Nontaxable or nondeductible items: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Stock Based Compensation</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(1,205</w:t>
            </w:r>
          </w:p>
        </w:tc>
        <w:tc>
          <w:tcPr>
            <w:tcW w:w="15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41.5</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Non-deductible officer’s compensation</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246</w:t>
            </w:r>
          </w:p>
        </w:tc>
        <w:tc>
          <w:tcPr>
            <w:tcW w:w="15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(8.5</w:t>
            </w:r>
          </w:p>
        </w:tc>
        <w:tc>
          <w:tcPr>
            <w:tcW w:w="365" w:type="dxa"/>
            <w:tcBorders/>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Goodwill Write-off</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84</w:t>
            </w:r>
          </w:p>
        </w:tc>
        <w:tc>
          <w:tcPr>
            <w:tcW w:w="15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(2.9</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Other nontaxable or nondeductible items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0.1</w:t>
            </w:r>
          </w:p>
        </w:tc>
        <w:tc>
          <w:tcPr>
            <w:tcW w:w="365" w:type="dxa"/>
            <w:tcBorders/>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Research and Development Tax credits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6.0</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Changes in unrecognized tax benefits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(0.2</w:t>
            </w:r>
          </w:p>
        </w:tc>
        <w:tc>
          <w:tcPr>
            <w:tcW w:w="365" w:type="dxa"/>
            <w:tcBorders/>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5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w:t>
            </w:r>
          </w:p>
        </w:tc>
      </w:tr>
      <w:tr>
        <w:trPr/>
        <w:tc>
          <w:tcPr>
            <w:tcW w:w="5585" w:type="dxa"/>
            <w:tcBorders/>
            <w:vAlign w:val="center"/>
          </w:tcPr>
          <w:p>
            <w:pPr>
              <w:pStyle w:val="TableContents"/>
              <w:bidi w:val="0"/>
              <w:spacing w:before="0" w:after="283"/>
              <w:jc w:val="left"/>
              <w:rPr/>
            </w:pPr>
            <w:r>
              <w:rPr/>
              <w:t>Total benefit</w:t>
            </w:r>
          </w:p>
        </w:tc>
        <w:tc>
          <w:tcPr>
            <w:tcW w:w="90" w:type="dxa"/>
            <w:tcBorders/>
            <w:vAlign w:val="center"/>
          </w:tcPr>
          <w:p>
            <w:pPr>
              <w:pStyle w:val="TableContents"/>
              <w:bidi w:val="0"/>
              <w:spacing w:before="0" w:after="283"/>
              <w:jc w:val="left"/>
              <w:rPr/>
            </w:pPr>
            <w:r>
              <w:rPr/>
              <w:t> </w:t>
            </w:r>
          </w:p>
        </w:tc>
        <w:tc>
          <w:tcPr>
            <w:tcW w:w="211" w:type="dxa"/>
            <w:tcBorders>
              <w:bottom w:val="double" w:sz="6" w:space="0" w:color="000000"/>
            </w:tcBorders>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tcMar>
              <w:bottom w:w="28" w:type="dxa"/>
            </w:tcMar>
            <w:vAlign w:val="center"/>
          </w:tcPr>
          <w:p>
            <w:pPr>
              <w:pStyle w:val="TableContents"/>
              <w:bidi w:val="0"/>
              <w:spacing w:before="0" w:after="283"/>
              <w:jc w:val="right"/>
              <w:rPr/>
            </w:pPr>
            <w:r>
              <w:rPr/>
              <w:t>(2,005</w:t>
            </w:r>
          </w:p>
        </w:tc>
        <w:tc>
          <w:tcPr>
            <w:tcW w:w="155"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 </w:t>
            </w:r>
          </w:p>
        </w:tc>
        <w:tc>
          <w:tcPr>
            <w:tcW w:w="111" w:type="dxa"/>
            <w:tcBorders>
              <w:bottom w:val="double" w:sz="6" w:space="0" w:color="000000"/>
            </w:tcBorders>
            <w:tcMar>
              <w:bottom w:w="28" w:type="dxa"/>
            </w:tcMar>
            <w:vAlign w:val="center"/>
          </w:tcPr>
          <w:p>
            <w:pPr>
              <w:pStyle w:val="TableContents"/>
              <w:bidi w:val="0"/>
              <w:spacing w:before="0" w:after="283"/>
              <w:jc w:val="left"/>
              <w:rPr/>
            </w:pPr>
            <w:r>
              <w:rPr/>
              <w:t> </w:t>
            </w:r>
          </w:p>
        </w:tc>
        <w:tc>
          <w:tcPr>
            <w:tcW w:w="583" w:type="dxa"/>
            <w:tcBorders>
              <w:bottom w:val="double" w:sz="6" w:space="0" w:color="000000"/>
            </w:tcBorders>
            <w:tcMar>
              <w:bottom w:w="28" w:type="dxa"/>
            </w:tcMar>
            <w:vAlign w:val="center"/>
          </w:tcPr>
          <w:p>
            <w:pPr>
              <w:pStyle w:val="TableContents"/>
              <w:bidi w:val="0"/>
              <w:spacing w:before="0" w:after="283"/>
              <w:jc w:val="right"/>
              <w:rPr/>
            </w:pPr>
            <w:r>
              <w:rPr/>
              <w:t>69.0</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April 30, 2026, state and local income taxes in California comprise the majority of the state and local income taxes, net of the federal income tax effect category.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federal statutory rate of 21% and the Company’s effective tax rate before the adoption of ASU 2023-09 is summarized as follows:</w:t>
      </w:r>
    </w:p>
    <w:p>
      <w:pPr>
        <w:pStyle w:val="TextBody"/>
        <w:bidi w:val="0"/>
        <w:spacing w:before="0" w:after="0"/>
        <w:ind w:left="0" w:right="0" w:hanging="0"/>
        <w:jc w:val="left"/>
        <w:rPr>
          <w:caps w:val="false"/>
          <w:smallCaps w:val="false"/>
        </w:rPr>
      </w:pPr>
      <w:r>
        <w:rPr>
          <w:caps w:val="false"/>
          <w:smallCaps w:val="false"/>
        </w:rPr>
        <w:t> </w:t>
      </w:r>
    </w:p>
    <w:tbl>
      <w:tblPr>
        <w:tblW w:w="6554" w:type="dxa"/>
        <w:jc w:val="left"/>
        <w:tblInd w:w="0" w:type="dxa"/>
        <w:tblLayout w:type="fixed"/>
        <w:tblCellMar>
          <w:top w:w="0" w:type="dxa"/>
          <w:left w:w="0" w:type="dxa"/>
          <w:bottom w:w="0" w:type="dxa"/>
          <w:right w:w="0" w:type="dxa"/>
        </w:tblCellMar>
      </w:tblPr>
      <w:tblGrid>
        <w:gridCol w:w="4355"/>
        <w:gridCol w:w="90"/>
        <w:gridCol w:w="345"/>
        <w:gridCol w:w="1594"/>
        <w:gridCol w:w="170"/>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2025</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Statutory rate</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594" w:type="dxa"/>
            <w:tcBorders/>
            <w:shd w:fill="CCEEFF" w:val="clear"/>
            <w:vAlign w:val="center"/>
          </w:tcPr>
          <w:p>
            <w:pPr>
              <w:pStyle w:val="TableContents"/>
              <w:bidi w:val="0"/>
              <w:spacing w:before="0" w:after="283"/>
              <w:jc w:val="right"/>
              <w:rPr/>
            </w:pPr>
            <w:r>
              <w:rPr/>
              <w:t>2,550</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State and local tax</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223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Valuation allowance on deferred tax assets</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(13,874</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Nondeductible expenses</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FDII</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Nontaxable life insurance cash value increase</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Stock compensation</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(153</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Change in tax rate</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pPr>
            <w:r>
              <w:rPr/>
              <w:t>173</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Other items</w:t>
            </w:r>
          </w:p>
        </w:tc>
        <w:tc>
          <w:tcPr>
            <w:tcW w:w="90" w:type="dxa"/>
            <w:tcBorders/>
            <w:vAlign w:val="center"/>
          </w:tcPr>
          <w:p>
            <w:pPr>
              <w:pStyle w:val="TableContents"/>
              <w:bidi w:val="0"/>
              <w:spacing w:before="0" w:after="283"/>
              <w:jc w:val="left"/>
              <w:rPr/>
            </w:pPr>
            <w:r>
              <w:rPr/>
              <w:t> </w:t>
            </w:r>
          </w:p>
        </w:tc>
        <w:tc>
          <w:tcPr>
            <w:tcW w:w="345" w:type="dxa"/>
            <w:tcBorders>
              <w:bottom w:val="single" w:sz="8" w:space="0" w:color="000000"/>
            </w:tcBorders>
            <w:tcMar>
              <w:bottom w:w="28" w:type="dxa"/>
            </w:tcMar>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Total benefit</w:t>
            </w:r>
          </w:p>
        </w:tc>
        <w:tc>
          <w:tcPr>
            <w:tcW w:w="9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pPr>
            <w:r>
              <w:rPr/>
              <w:t>(11,542</w:t>
            </w:r>
          </w:p>
        </w:tc>
        <w:tc>
          <w:tcPr>
            <w:tcW w:w="17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deferred taxes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412" w:type="dxa"/>
        <w:jc w:val="left"/>
        <w:tblInd w:w="0" w:type="dxa"/>
        <w:tblLayout w:type="fixed"/>
        <w:tblCellMar>
          <w:top w:w="0" w:type="dxa"/>
          <w:left w:w="0" w:type="dxa"/>
          <w:bottom w:w="0" w:type="dxa"/>
          <w:right w:w="0" w:type="dxa"/>
        </w:tblCellMar>
      </w:tblPr>
      <w:tblGrid>
        <w:gridCol w:w="3155"/>
        <w:gridCol w:w="90"/>
        <w:gridCol w:w="172"/>
        <w:gridCol w:w="718"/>
        <w:gridCol w:w="126"/>
        <w:gridCol w:w="91"/>
        <w:gridCol w:w="172"/>
        <w:gridCol w:w="718"/>
        <w:gridCol w:w="170"/>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Fiscal Year Ended </w:t>
              <w:br/>
              <w:t>April 30,</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Employee benefits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2,901</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2,810</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4,081</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2,876</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95</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2,111</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1,945</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Property, plant and equipment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87</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Deferred costs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1,355</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1,511</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Lease liability</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1,898</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2,128</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Capital loss carry-forward</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176</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194</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Research &amp; development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1,693</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2,247</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Net operating loss carryforwards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3,649</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2,276</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301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Total deferred tax asset</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tcMar>
              <w:bottom w:w="28" w:type="dxa"/>
            </w:tcMar>
            <w:vAlign w:val="center"/>
          </w:tcPr>
          <w:p>
            <w:pPr>
              <w:pStyle w:val="TableContents"/>
              <w:bidi w:val="0"/>
              <w:spacing w:before="0" w:after="283"/>
              <w:jc w:val="right"/>
              <w:rPr/>
            </w:pPr>
            <w:r>
              <w:rPr/>
              <w:t>18,351</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tcMar>
              <w:bottom w:w="28" w:type="dxa"/>
            </w:tcMar>
            <w:vAlign w:val="center"/>
          </w:tcPr>
          <w:p>
            <w:pPr>
              <w:pStyle w:val="TableContents"/>
              <w:bidi w:val="0"/>
              <w:spacing w:before="0" w:after="283"/>
              <w:jc w:val="right"/>
              <w:rPr/>
            </w:pPr>
            <w:r>
              <w:rPr/>
              <w:t>16,432</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(74</w:t>
            </w:r>
          </w:p>
        </w:tc>
        <w:tc>
          <w:tcPr>
            <w:tcW w:w="170" w:type="dxa"/>
            <w:tcBorders/>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Right of use asset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(1,838</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(2,104</w:t>
            </w:r>
          </w:p>
        </w:tc>
        <w:tc>
          <w:tcPr>
            <w:tcW w:w="17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(177</w:t>
            </w:r>
          </w:p>
        </w:tc>
        <w:tc>
          <w:tcPr>
            <w:tcW w:w="126"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(77</w:t>
            </w:r>
          </w:p>
        </w:tc>
        <w:tc>
          <w:tcPr>
            <w:tcW w:w="170" w:type="dxa"/>
            <w:tcBorders/>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Deferred state income tax</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(897</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(779</w:t>
            </w:r>
          </w:p>
        </w:tc>
        <w:tc>
          <w:tcPr>
            <w:tcW w:w="17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Net deferred tax asset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15,439</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13,398</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(1,355</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(1,353</w:t>
            </w:r>
          </w:p>
        </w:tc>
        <w:tc>
          <w:tcPr>
            <w:tcW w:w="17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Net deferred tax asset</w:t>
            </w:r>
          </w:p>
        </w:tc>
        <w:tc>
          <w:tcPr>
            <w:tcW w:w="90" w:type="dxa"/>
            <w:tcBorders/>
            <w:vAlign w:val="center"/>
          </w:tcPr>
          <w:p>
            <w:pPr>
              <w:pStyle w:val="TableContents"/>
              <w:bidi w:val="0"/>
              <w:spacing w:before="0" w:after="283"/>
              <w:jc w:val="left"/>
              <w:rPr/>
            </w:pPr>
            <w:r>
              <w:rPr/>
              <w:t> </w:t>
            </w:r>
          </w:p>
        </w:tc>
        <w:tc>
          <w:tcPr>
            <w:tcW w:w="172" w:type="dxa"/>
            <w:tcBorders>
              <w:bottom w:val="double" w:sz="6" w:space="0" w:color="000000"/>
            </w:tcBorders>
            <w:tcMar>
              <w:bottom w:w="28" w:type="dxa"/>
            </w:tcMar>
            <w:vAlign w:val="center"/>
          </w:tcPr>
          <w:p>
            <w:pPr>
              <w:pStyle w:val="TableContents"/>
              <w:bidi w:val="0"/>
              <w:spacing w:before="0" w:after="283"/>
              <w:jc w:val="left"/>
              <w:rPr/>
            </w:pPr>
            <w:r>
              <w:rPr/>
              <w:t>$</w:t>
            </w:r>
          </w:p>
        </w:tc>
        <w:tc>
          <w:tcPr>
            <w:tcW w:w="718" w:type="dxa"/>
            <w:tcBorders>
              <w:bottom w:val="double" w:sz="6" w:space="0" w:color="000000"/>
            </w:tcBorders>
            <w:tcMar>
              <w:bottom w:w="28" w:type="dxa"/>
            </w:tcMar>
            <w:vAlign w:val="center"/>
          </w:tcPr>
          <w:p>
            <w:pPr>
              <w:pStyle w:val="TableContents"/>
              <w:bidi w:val="0"/>
              <w:spacing w:before="0" w:after="283"/>
              <w:jc w:val="right"/>
              <w:rPr/>
            </w:pPr>
            <w:r>
              <w:rPr/>
              <w:t>14,084</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double" w:sz="6" w:space="0" w:color="000000"/>
            </w:tcBorders>
            <w:tcMar>
              <w:bottom w:w="28" w:type="dxa"/>
            </w:tcMar>
            <w:vAlign w:val="center"/>
          </w:tcPr>
          <w:p>
            <w:pPr>
              <w:pStyle w:val="TableContents"/>
              <w:bidi w:val="0"/>
              <w:spacing w:before="0" w:after="283"/>
              <w:jc w:val="left"/>
              <w:rPr/>
            </w:pPr>
            <w:r>
              <w:rPr/>
              <w:t>$</w:t>
            </w:r>
          </w:p>
        </w:tc>
        <w:tc>
          <w:tcPr>
            <w:tcW w:w="718" w:type="dxa"/>
            <w:tcBorders>
              <w:bottom w:val="double" w:sz="6" w:space="0" w:color="000000"/>
            </w:tcBorders>
            <w:tcMar>
              <w:bottom w:w="28" w:type="dxa"/>
            </w:tcMar>
            <w:vAlign w:val="center"/>
          </w:tcPr>
          <w:p>
            <w:pPr>
              <w:pStyle w:val="TableContents"/>
              <w:bidi w:val="0"/>
              <w:spacing w:before="0" w:after="283"/>
              <w:jc w:val="right"/>
              <w:rPr/>
            </w:pPr>
            <w:r>
              <w:rPr/>
              <w:t>12,045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more-likely-than-not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Concluding that a valuation allowance is not needed is difficult when there is significant negative evidence such as cumulative losses in recent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ASU 2023-09, the Company has included only the portion of the valuation allowance related to federal deferred tax assets in the “Change in valuation allowances” line of the rate reconciliation. The following table presents a reconciliation of the total change in the valuation allowance.</w:t>
      </w:r>
    </w:p>
    <w:p>
      <w:pPr>
        <w:pStyle w:val="TextBody"/>
        <w:bidi w:val="0"/>
        <w:spacing w:before="0" w:after="0"/>
        <w:ind w:left="0" w:right="0" w:hanging="0"/>
        <w:jc w:val="both"/>
        <w:rPr>
          <w:caps w:val="false"/>
          <w:smallCaps w:val="false"/>
        </w:rPr>
      </w:pPr>
      <w:r>
        <w:rPr>
          <w:caps w:val="false"/>
          <w:smallCaps w:val="false"/>
        </w:rPr>
        <w:t> </w:t>
      </w:r>
    </w:p>
    <w:tbl>
      <w:tblPr>
        <w:tblW w:w="6189" w:type="dxa"/>
        <w:jc w:val="left"/>
        <w:tblInd w:w="0" w:type="dxa"/>
        <w:tblLayout w:type="fixed"/>
        <w:tblCellMar>
          <w:top w:w="0" w:type="dxa"/>
          <w:left w:w="0" w:type="dxa"/>
          <w:bottom w:w="0" w:type="dxa"/>
          <w:right w:w="0" w:type="dxa"/>
        </w:tblCellMar>
      </w:tblPr>
      <w:tblGrid>
        <w:gridCol w:w="4025"/>
        <w:gridCol w:w="90"/>
        <w:gridCol w:w="433"/>
        <w:gridCol w:w="1506"/>
        <w:gridCol w:w="135"/>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Balance at the beginning of the fiscal year</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1,353</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Changed charged to income tax expense</w:t>
            </w:r>
          </w:p>
        </w:tc>
        <w:tc>
          <w:tcPr>
            <w:tcW w:w="90" w:type="dxa"/>
            <w:tcBorders/>
            <w:vAlign w:val="center"/>
          </w:tcPr>
          <w:p>
            <w:pPr>
              <w:pStyle w:val="TableContents"/>
              <w:bidi w:val="0"/>
              <w:spacing w:before="0" w:after="283"/>
              <w:jc w:val="left"/>
              <w:rPr/>
            </w:pPr>
            <w:r>
              <w:rPr/>
              <w:t> </w:t>
            </w:r>
          </w:p>
        </w:tc>
        <w:tc>
          <w:tcPr>
            <w:tcW w:w="433" w:type="dxa"/>
            <w:tcBorders>
              <w:bottom w:val="single" w:sz="8" w:space="0" w:color="000000"/>
            </w:tcBorders>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tcMar>
              <w:bottom w:w="28" w:type="dxa"/>
            </w:tcMar>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Balance at the end of the fiscal year</w:t>
            </w:r>
          </w:p>
        </w:tc>
        <w:tc>
          <w:tcPr>
            <w:tcW w:w="9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double" w:sz="6" w:space="0" w:color="000000"/>
            </w:tcBorders>
            <w:shd w:fill="CCEEFF" w:val="clear"/>
            <w:tcMar>
              <w:bottom w:w="28" w:type="dxa"/>
            </w:tcMar>
            <w:vAlign w:val="center"/>
          </w:tcPr>
          <w:p>
            <w:pPr>
              <w:pStyle w:val="TableContents"/>
              <w:bidi w:val="0"/>
              <w:spacing w:before="0" w:after="283"/>
              <w:jc w:val="right"/>
              <w:rPr/>
            </w:pPr>
            <w:r>
              <w:rPr/>
              <w:t>1,355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valuation allowance of approximately $1.4 million against certain deferred tax assets including state tax credits and capital loss carryforwards because the realization of these tax attributes requires sufficient taxable income be sourced to the respective state jurisdiction and capital gain income is required to utilize capital losses. The Company will continue to evaluate the realizability of its deferred tax assets quarterly. Any further increases or decreases in the valuation allowance could have an unfavorable or favorable impact on the Company’s income tax provision and net income in the period in which such determination is made. As of April 30, 2026, the deferred tax asset is recorded at its more-likely-than-not realizable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 has U.S. federal net operating losses of $10.9 million of which $1.7 million begins to expire in fiscal year 2027 through fiscal year 2031. The U.S. federal net operating losses of $10.9 million includes $1.7 million which is subject to an annual limitation under Internal Revenue Code Section 382. The remaining U.S. federal net operating losses of $9.2 million have an indefinite carry-forward period. The U.S. federal capital loss carry-forward of $0.7 million expires in fiscal year 2028. U.S. federal R&amp;D credits of $0.8 million begin to expire in fiscal year 2038 through fiscal year 2046. The Company also has state net operating loss carryforwards, and state tax credits that expire in various years and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amounts of unrecognized tax benefits,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5135"/>
        <w:gridCol w:w="90"/>
        <w:gridCol w:w="170"/>
        <w:gridCol w:w="410"/>
        <w:gridCol w:w="90"/>
        <w:gridCol w:w="90"/>
        <w:gridCol w:w="170"/>
        <w:gridCol w:w="410"/>
        <w:gridCol w:w="170"/>
      </w:tblGrid>
      <w:tr>
        <w:trPr/>
        <w:tc>
          <w:tcPr>
            <w:tcW w:w="5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Balance at the beginning of the fiscal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111</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Additions based on positions taken in the current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Additions based on positions taken in prior years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Decreases based on positions taken in prior years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w:t>
            </w:r>
          </w:p>
        </w:tc>
      </w:tr>
      <w:tr>
        <w:trPr/>
        <w:tc>
          <w:tcPr>
            <w:tcW w:w="5135" w:type="dxa"/>
            <w:tcBorders/>
            <w:shd w:fill="CCEEFF" w:val="clear"/>
            <w:vAlign w:val="center"/>
          </w:tcPr>
          <w:p>
            <w:pPr>
              <w:pStyle w:val="TableContents"/>
              <w:bidi w:val="0"/>
              <w:spacing w:before="0" w:after="283"/>
              <w:jc w:val="left"/>
              <w:rPr/>
            </w:pPr>
            <w:r>
              <w:rPr/>
              <w:t>Lapse in statute of limitations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Balance at the end of the fiscal year</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144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reflected in the above table at April 30, 2026, if recognized, would reduce our effective tax rate. As of April 30, 2026 and 2025, the Company did not recognize or accrue for the payment of interest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federal, and various state and local, jurisdictions. The Company is no longer subject to examination of its U.S. federal income tax returns by the Internal Revenue Service for fiscal years 2021 and prior. Net operating losses and tax attributes generated in closed years and utilized in open years are subject to adjustment by the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taxes paid were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2964" w:type="dxa"/>
        <w:jc w:val="left"/>
        <w:tblInd w:w="0" w:type="dxa"/>
        <w:tblLayout w:type="fixed"/>
        <w:tblCellMar>
          <w:top w:w="0" w:type="dxa"/>
          <w:left w:w="0" w:type="dxa"/>
          <w:bottom w:w="0" w:type="dxa"/>
          <w:right w:w="0" w:type="dxa"/>
        </w:tblCellMar>
      </w:tblPr>
      <w:tblGrid>
        <w:gridCol w:w="1445"/>
        <w:gridCol w:w="90"/>
        <w:gridCol w:w="378"/>
        <w:gridCol w:w="916"/>
        <w:gridCol w:w="135"/>
      </w:tblGrid>
      <w:tr>
        <w:trPr/>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 xml:space="preserve">Fiscal </w:t>
              <w:br/>
              <w:t>Year Ended</w:t>
            </w:r>
          </w:p>
        </w:tc>
        <w:tc>
          <w:tcPr>
            <w:tcW w:w="13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State and local</w:t>
            </w:r>
          </w:p>
        </w:tc>
        <w:tc>
          <w:tcPr>
            <w:tcW w:w="90" w:type="dxa"/>
            <w:tcBorders/>
            <w:vAlign w:val="center"/>
          </w:tcPr>
          <w:p>
            <w:pPr>
              <w:pStyle w:val="TableContents"/>
              <w:bidi w:val="0"/>
              <w:spacing w:before="0" w:after="283"/>
              <w:jc w:val="left"/>
              <w:rPr/>
            </w:pPr>
            <w:r>
              <w:rPr/>
              <w:t> </w:t>
            </w:r>
          </w:p>
        </w:tc>
        <w:tc>
          <w:tcPr>
            <w:tcW w:w="378" w:type="dxa"/>
            <w:tcBorders>
              <w:bottom w:val="single" w:sz="8" w:space="0" w:color="000000"/>
            </w:tcBorders>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tcMar>
              <w:bottom w:w="28" w:type="dxa"/>
            </w:tcMar>
            <w:vAlign w:val="center"/>
          </w:tcPr>
          <w:p>
            <w:pPr>
              <w:pStyle w:val="TableContents"/>
              <w:bidi w:val="0"/>
              <w:spacing w:before="0" w:after="283"/>
              <w:jc w:val="right"/>
              <w:rPr/>
            </w:pPr>
            <w:r>
              <w:rPr/>
              <w:t>251</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351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(net of refunds) exceeded 5% of total income taxes paid (net of refunds) in the following jurisdictions:</w:t>
      </w:r>
    </w:p>
    <w:p>
      <w:pPr>
        <w:pStyle w:val="TextBody"/>
        <w:bidi w:val="0"/>
        <w:spacing w:before="0" w:after="0"/>
        <w:ind w:left="0" w:right="0" w:firstLine="720"/>
        <w:jc w:val="left"/>
        <w:rPr>
          <w:caps w:val="false"/>
          <w:smallCaps w:val="false"/>
        </w:rPr>
      </w:pPr>
      <w:r>
        <w:rPr>
          <w:caps w:val="false"/>
          <w:smallCaps w:val="false"/>
        </w:rPr>
        <w:t> </w:t>
      </w:r>
    </w:p>
    <w:tbl>
      <w:tblPr>
        <w:tblW w:w="2964" w:type="dxa"/>
        <w:jc w:val="left"/>
        <w:tblInd w:w="0" w:type="dxa"/>
        <w:tblLayout w:type="fixed"/>
        <w:tblCellMar>
          <w:top w:w="0" w:type="dxa"/>
          <w:left w:w="0" w:type="dxa"/>
          <w:bottom w:w="0" w:type="dxa"/>
          <w:right w:w="0" w:type="dxa"/>
        </w:tblCellMar>
      </w:tblPr>
      <w:tblGrid>
        <w:gridCol w:w="1445"/>
        <w:gridCol w:w="90"/>
        <w:gridCol w:w="378"/>
        <w:gridCol w:w="916"/>
        <w:gridCol w:w="135"/>
      </w:tblGrid>
      <w:tr>
        <w:trPr/>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 xml:space="preserve">Fiscal </w:t>
              <w:br/>
              <w:t>Year Ended</w:t>
            </w:r>
          </w:p>
        </w:tc>
        <w:tc>
          <w:tcPr>
            <w:tcW w:w="13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2026</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State and local</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California</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223</w:t>
            </w:r>
          </w:p>
        </w:tc>
        <w:tc>
          <w:tcPr>
            <w:tcW w:w="13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Texas</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20</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378" w:type="dxa"/>
            <w:tcBorders>
              <w:bottom w:val="double" w:sz="6" w:space="0" w:color="000000"/>
            </w:tcBorders>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tcMar>
              <w:bottom w:w="28" w:type="dxa"/>
            </w:tcMar>
            <w:vAlign w:val="center"/>
          </w:tcPr>
          <w:p>
            <w:pPr>
              <w:pStyle w:val="TableContents"/>
              <w:bidi w:val="0"/>
              <w:spacing w:before="0" w:after="283"/>
              <w:jc w:val="right"/>
              <w:rPr/>
            </w:pPr>
            <w:r>
              <w:rPr/>
              <w:t>351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two reportable segments based on the geographic locations of its subsidiaries: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FEI-NY – operates out of New York and its operations consist principally of precision time and frequency control products used in three principal markets - communication satellites (both commercial and U.S. Government-funded); terrestrial cellular telephone or other ground-based telecommunication stations; and other components and systems for the U.S. military.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FEI-NY segment also includes the operations of the Company’s wholly-owned subsidiary, FEI-Elcom. FEI-Elcom, in addition to its own product line, provides design and technical support for the FEI-NY segment’s satellite business. Effective as of April 30, 2026, FEI-Elcom was converted into a Delaware limited liability company. The ongoing business operations of FEI-Elcom will remain within the FEI-NY reporting segment.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segment performance based on the operating income generated by the geographic location of its subsidiaries rather than on the specific types of customers or end-users. Consequently, the Company determined that the segments indicated above most appropriately reflect the way the Company’s management views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two segments are the same as those described in Note 1.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to determine areas of business process improvements, profitable market opportunities, forecasted results, and the annual plan. All acquired assets, including intangible assets, are included in the assets of both reporting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segment revenue, significant segment expenses which consist of segment cost of revenue and segment research and development costs, and segment operating (loss) income for each reportable segment and on a consolidated basis as reported in the consolidated statements of operations for the fiscal years ended April 30, 2026 and 2025 (in thousands):</w:t>
      </w:r>
    </w:p>
    <w:p>
      <w:pPr>
        <w:pStyle w:val="TextBody"/>
        <w:bidi w:val="0"/>
        <w:spacing w:before="0" w:after="0"/>
        <w:ind w:left="0" w:right="0" w:firstLine="720"/>
        <w:jc w:val="both"/>
        <w:rPr>
          <w:caps w:val="false"/>
          <w:smallCaps w:val="false"/>
        </w:rPr>
      </w:pPr>
      <w:r>
        <w:rPr>
          <w:caps w:val="false"/>
          <w:smallCaps w:val="false"/>
        </w:rPr>
        <w:t> </w:t>
      </w:r>
    </w:p>
    <w:tbl>
      <w:tblPr>
        <w:tblW w:w="8804" w:type="dxa"/>
        <w:jc w:val="left"/>
        <w:tblInd w:w="0" w:type="dxa"/>
        <w:tblLayout w:type="fixed"/>
        <w:tblCellMar>
          <w:top w:w="0" w:type="dxa"/>
          <w:left w:w="0" w:type="dxa"/>
          <w:bottom w:w="0" w:type="dxa"/>
          <w:right w:w="0" w:type="dxa"/>
        </w:tblCellMar>
      </w:tblPr>
      <w:tblGrid>
        <w:gridCol w:w="4745"/>
        <w:gridCol w:w="90"/>
        <w:gridCol w:w="327"/>
        <w:gridCol w:w="1366"/>
        <w:gridCol w:w="240"/>
        <w:gridCol w:w="173"/>
        <w:gridCol w:w="327"/>
        <w:gridCol w:w="1366"/>
        <w:gridCol w:w="170"/>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Fiscal Years Ended April 30,</w:t>
            </w:r>
          </w:p>
        </w:tc>
        <w:tc>
          <w:tcPr>
            <w:tcW w:w="17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693" w:type="dxa"/>
            <w:gridSpan w:val="2"/>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693"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45,651</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53,269</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21,731</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18,660</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Less intersegment revenues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(4,155</w:t>
            </w:r>
          </w:p>
        </w:tc>
        <w:tc>
          <w:tcPr>
            <w:tcW w:w="240" w:type="dxa"/>
            <w:tcBorders/>
            <w:shd w:fill="CCEEFF" w:val="clear"/>
            <w:vAlign w:val="center"/>
          </w:tcPr>
          <w:p>
            <w:pPr>
              <w:pStyle w:val="TableContents"/>
              <w:bidi w:val="0"/>
              <w:spacing w:before="0" w:after="283"/>
              <w:jc w:val="left"/>
              <w:rPr/>
            </w:pPr>
            <w:r>
              <w:rPr/>
              <w:t>)</w:t>
            </w:r>
          </w:p>
        </w:tc>
        <w:tc>
          <w:tcPr>
            <w:tcW w:w="173"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(2,118</w:t>
            </w:r>
          </w:p>
        </w:tc>
        <w:tc>
          <w:tcPr>
            <w:tcW w:w="170" w:type="dxa"/>
            <w:tcBorders/>
            <w:shd w:fill="CCEEFF" w:val="clear"/>
            <w:vAlign w:val="center"/>
          </w:tcPr>
          <w:p>
            <w:pPr>
              <w:pStyle w:val="TableContents"/>
              <w:bidi w:val="0"/>
              <w:spacing w:before="0" w:after="283"/>
              <w:jc w:val="left"/>
              <w:rPr/>
            </w:pPr>
            <w:r>
              <w:rPr/>
              <w:t>)</w:t>
            </w:r>
          </w:p>
        </w:tc>
      </w:tr>
      <w:tr>
        <w:trPr/>
        <w:tc>
          <w:tcPr>
            <w:tcW w:w="4745" w:type="dxa"/>
            <w:tcBorders/>
            <w:vAlign w:val="center"/>
          </w:tcPr>
          <w:p>
            <w:pPr>
              <w:pStyle w:val="TableContents"/>
              <w:bidi w:val="0"/>
              <w:spacing w:before="0" w:after="283"/>
              <w:jc w:val="left"/>
              <w:rPr/>
            </w:pPr>
            <w:r>
              <w:rPr/>
              <w:t>Consolidated revenues</w:t>
            </w:r>
          </w:p>
        </w:tc>
        <w:tc>
          <w:tcPr>
            <w:tcW w:w="90"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63,227</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69,811</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35,816</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29,331</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12,497</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12,598</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Less intersegment cost of revenues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(3,482</w:t>
            </w:r>
          </w:p>
        </w:tc>
        <w:tc>
          <w:tcPr>
            <w:tcW w:w="240" w:type="dxa"/>
            <w:tcBorders/>
            <w:shd w:fill="CCEEFF" w:val="clear"/>
            <w:vAlign w:val="center"/>
          </w:tcPr>
          <w:p>
            <w:pPr>
              <w:pStyle w:val="TableContents"/>
              <w:bidi w:val="0"/>
              <w:spacing w:before="0" w:after="283"/>
              <w:jc w:val="left"/>
              <w:rPr/>
            </w:pPr>
            <w:r>
              <w:rPr/>
              <w:t>)</w:t>
            </w:r>
          </w:p>
        </w:tc>
        <w:tc>
          <w:tcPr>
            <w:tcW w:w="173"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(2,215</w:t>
            </w:r>
          </w:p>
        </w:tc>
        <w:tc>
          <w:tcPr>
            <w:tcW w:w="170" w:type="dxa"/>
            <w:tcBorders/>
            <w:shd w:fill="CCEEFF" w:val="clear"/>
            <w:vAlign w:val="center"/>
          </w:tcPr>
          <w:p>
            <w:pPr>
              <w:pStyle w:val="TableContents"/>
              <w:bidi w:val="0"/>
              <w:spacing w:before="0" w:after="283"/>
              <w:jc w:val="left"/>
              <w:rPr/>
            </w:pPr>
            <w:r>
              <w:rPr/>
              <w:t>)</w:t>
            </w:r>
          </w:p>
        </w:tc>
      </w:tr>
      <w:tr>
        <w:trPr/>
        <w:tc>
          <w:tcPr>
            <w:tcW w:w="4745" w:type="dxa"/>
            <w:tcBorders/>
            <w:vAlign w:val="center"/>
          </w:tcPr>
          <w:p>
            <w:pPr>
              <w:pStyle w:val="TableContents"/>
              <w:bidi w:val="0"/>
              <w:spacing w:before="0" w:after="283"/>
              <w:jc w:val="left"/>
              <w:rPr/>
            </w:pPr>
            <w:r>
              <w:rPr/>
              <w:t>Consolidated cost of revenues</w:t>
            </w:r>
          </w:p>
        </w:tc>
        <w:tc>
          <w:tcPr>
            <w:tcW w:w="90"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44,831</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39,714</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3,800</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3,374</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tcMar>
              <w:bottom w:w="28" w:type="dxa"/>
            </w:tcMar>
            <w:vAlign w:val="center"/>
          </w:tcPr>
          <w:p>
            <w:pPr>
              <w:pStyle w:val="TableContents"/>
              <w:bidi w:val="0"/>
              <w:spacing w:before="0" w:after="283"/>
              <w:jc w:val="right"/>
              <w:rPr/>
            </w:pPr>
            <w:r>
              <w:rPr/>
              <w:t>2,194</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tcMar>
              <w:bottom w:w="28" w:type="dxa"/>
            </w:tcMar>
            <w:vAlign w:val="center"/>
          </w:tcPr>
          <w:p>
            <w:pPr>
              <w:pStyle w:val="TableContents"/>
              <w:bidi w:val="0"/>
              <w:spacing w:before="0" w:after="283"/>
              <w:jc w:val="right"/>
              <w:rPr/>
            </w:pPr>
            <w:r>
              <w:rPr/>
              <w:t>2,702</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Consolidated research and development expenses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jc w:val="right"/>
              <w:rPr/>
            </w:pPr>
            <w:r>
              <w:rPr/>
              <w:t>5,994</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jc w:val="right"/>
              <w:rPr/>
            </w:pPr>
            <w:r>
              <w:rPr/>
              <w:t>6,076</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24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Operating (loss) income:</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FEI-NY</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283"/>
              <w:jc w:val="right"/>
              <w:rPr/>
            </w:pPr>
            <w:r>
              <w:rPr/>
              <w:t>(5,442</w:t>
            </w:r>
          </w:p>
        </w:tc>
        <w:tc>
          <w:tcPr>
            <w:tcW w:w="240" w:type="dxa"/>
            <w:tcBorders/>
            <w:vAlign w:val="center"/>
          </w:tcPr>
          <w:p>
            <w:pPr>
              <w:pStyle w:val="TableContents"/>
              <w:bidi w:val="0"/>
              <w:spacing w:before="0" w:after="283"/>
              <w:jc w:val="left"/>
              <w:rPr/>
            </w:pPr>
            <w:r>
              <w:rPr/>
              <w:t>)</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283"/>
              <w:jc w:val="right"/>
              <w:rPr/>
            </w:pPr>
            <w:r>
              <w:rPr/>
              <w:t>11,514</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FEI-Zyfer</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3,813</w:t>
            </w:r>
          </w:p>
        </w:tc>
        <w:tc>
          <w:tcPr>
            <w:tcW w:w="24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743</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Less intersegment</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(673</w:t>
            </w:r>
          </w:p>
        </w:tc>
        <w:tc>
          <w:tcPr>
            <w:tcW w:w="240" w:type="dxa"/>
            <w:tcBorders/>
            <w:vAlign w:val="center"/>
          </w:tcPr>
          <w:p>
            <w:pPr>
              <w:pStyle w:val="TableContents"/>
              <w:bidi w:val="0"/>
              <w:spacing w:before="0" w:after="283"/>
              <w:jc w:val="left"/>
              <w:rPr/>
            </w:pPr>
            <w:r>
              <w:rPr/>
              <w:t>)</w:t>
            </w:r>
          </w:p>
        </w:tc>
        <w:tc>
          <w:tcPr>
            <w:tcW w:w="173"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98</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Corporate</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(699</w:t>
            </w:r>
          </w:p>
        </w:tc>
        <w:tc>
          <w:tcPr>
            <w:tcW w:w="240" w:type="dxa"/>
            <w:tcBorders/>
            <w:shd w:fill="CCEEFF" w:val="clear"/>
            <w:vAlign w:val="center"/>
          </w:tcPr>
          <w:p>
            <w:pPr>
              <w:pStyle w:val="TableContents"/>
              <w:bidi w:val="0"/>
              <w:spacing w:before="0" w:after="283"/>
              <w:jc w:val="left"/>
              <w:rPr/>
            </w:pPr>
            <w:r>
              <w:rPr/>
              <w:t>)</w:t>
            </w:r>
          </w:p>
        </w:tc>
        <w:tc>
          <w:tcPr>
            <w:tcW w:w="173"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(623</w:t>
            </w:r>
          </w:p>
        </w:tc>
        <w:tc>
          <w:tcPr>
            <w:tcW w:w="170" w:type="dxa"/>
            <w:tcBorders/>
            <w:shd w:fill="CCEEFF" w:val="clear"/>
            <w:vAlign w:val="center"/>
          </w:tcPr>
          <w:p>
            <w:pPr>
              <w:pStyle w:val="TableContents"/>
              <w:bidi w:val="0"/>
              <w:spacing w:before="0" w:after="283"/>
              <w:jc w:val="left"/>
              <w:rPr/>
            </w:pPr>
            <w:r>
              <w:rPr/>
              <w:t>)</w:t>
            </w:r>
          </w:p>
        </w:tc>
      </w:tr>
      <w:tr>
        <w:trPr/>
        <w:tc>
          <w:tcPr>
            <w:tcW w:w="4745" w:type="dxa"/>
            <w:tcBorders/>
            <w:vAlign w:val="center"/>
          </w:tcPr>
          <w:p>
            <w:pPr>
              <w:pStyle w:val="TableContents"/>
              <w:bidi w:val="0"/>
              <w:spacing w:before="0" w:after="283"/>
              <w:jc w:val="left"/>
              <w:rPr/>
            </w:pPr>
            <w:r>
              <w:rPr/>
              <w:t>Consolidated operating (loss) income</w:t>
            </w:r>
          </w:p>
        </w:tc>
        <w:tc>
          <w:tcPr>
            <w:tcW w:w="90"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(3,001</w:t>
            </w:r>
          </w:p>
        </w:tc>
        <w:tc>
          <w:tcPr>
            <w:tcW w:w="240" w:type="dxa"/>
            <w:tcBorders/>
            <w:vAlign w:val="center"/>
          </w:tcPr>
          <w:p>
            <w:pPr>
              <w:pStyle w:val="TableContents"/>
              <w:bidi w:val="0"/>
              <w:spacing w:before="0" w:after="283"/>
              <w:jc w:val="left"/>
              <w:rPr/>
            </w:pPr>
            <w:r>
              <w:rPr/>
              <w:t>)</w:t>
            </w:r>
          </w:p>
        </w:tc>
        <w:tc>
          <w:tcPr>
            <w:tcW w:w="173"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1366" w:type="dxa"/>
            <w:tcBorders>
              <w:bottom w:val="double" w:sz="6" w:space="0" w:color="000000"/>
            </w:tcBorders>
            <w:tcMar>
              <w:bottom w:w="28" w:type="dxa"/>
            </w:tcMar>
            <w:vAlign w:val="center"/>
          </w:tcPr>
          <w:p>
            <w:pPr>
              <w:pStyle w:val="TableContents"/>
              <w:bidi w:val="0"/>
              <w:spacing w:before="0" w:after="283"/>
              <w:jc w:val="right"/>
              <w:rPr/>
            </w:pPr>
            <w:r>
              <w:rPr/>
              <w:t>11,732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included in the determination of operating (loss) income includes SG&amp;A of $11.5 million and $9.1 million for the fiscal years ended April 30, 2026 and 2025, respectively, for the FEI-NY segment, and $3.2 million and $2.6 million for the fiscal years ended April 30, 2026 and 2025, respectively, for the FEI-Zyfer segment.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identifiable assets of each reportable segment and on a consolidated basis as reported in the consolidated balance sheets as of April 30, 2026 and 2025 and the depreciation and amortization charges related to these identifiable assets for the fiscal years then ended (in thousands):</w:t>
      </w:r>
    </w:p>
    <w:p>
      <w:pPr>
        <w:pStyle w:val="TextBody"/>
        <w:bidi w:val="0"/>
        <w:spacing w:before="0" w:after="0"/>
        <w:ind w:left="0" w:right="0" w:hanging="0"/>
        <w:jc w:val="left"/>
        <w:rPr>
          <w:caps w:val="false"/>
          <w:smallCaps w:val="false"/>
        </w:rPr>
      </w:pPr>
      <w:r>
        <w:rPr>
          <w:caps w:val="false"/>
          <w:smallCaps w:val="false"/>
        </w:rPr>
        <w:t> </w:t>
      </w:r>
    </w:p>
    <w:tbl>
      <w:tblPr>
        <w:tblW w:w="5393" w:type="dxa"/>
        <w:jc w:val="left"/>
        <w:tblInd w:w="0" w:type="dxa"/>
        <w:tblLayout w:type="fixed"/>
        <w:tblCellMar>
          <w:top w:w="0" w:type="dxa"/>
          <w:left w:w="0" w:type="dxa"/>
          <w:bottom w:w="0" w:type="dxa"/>
          <w:right w:w="0" w:type="dxa"/>
        </w:tblCellMar>
      </w:tblPr>
      <w:tblGrid>
        <w:gridCol w:w="3020"/>
        <w:gridCol w:w="90"/>
        <w:gridCol w:w="183"/>
        <w:gridCol w:w="766"/>
        <w:gridCol w:w="125"/>
        <w:gridCol w:w="90"/>
        <w:gridCol w:w="183"/>
        <w:gridCol w:w="766"/>
        <w:gridCol w:w="170"/>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2025</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Identifiable assets:</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40,849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39,125</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23,865</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less intersegment balances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(814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283"/>
              <w:jc w:val="left"/>
              <w:rPr/>
            </w:pPr>
            <w:r>
              <w:rPr/>
              <w:t>)</w:t>
            </w:r>
          </w:p>
        </w:tc>
      </w:tr>
      <w:tr>
        <w:trPr/>
        <w:tc>
          <w:tcPr>
            <w:tcW w:w="3020" w:type="dxa"/>
            <w:tcBorders/>
            <w:vAlign w:val="center"/>
          </w:tcPr>
          <w:p>
            <w:pPr>
              <w:pStyle w:val="TableContents"/>
              <w:bidi w:val="0"/>
              <w:spacing w:before="0" w:after="283"/>
              <w:jc w:val="left"/>
              <w:rPr/>
            </w:pPr>
            <w:r>
              <w:rPr/>
              <w:t>Corporate</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26,912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30,887</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Consolidated identifiable assets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90,706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93,737</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048" w:type="dxa"/>
        <w:jc w:val="left"/>
        <w:tblInd w:w="0" w:type="dxa"/>
        <w:tblLayout w:type="fixed"/>
        <w:tblCellMar>
          <w:top w:w="0" w:type="dxa"/>
          <w:left w:w="0" w:type="dxa"/>
          <w:bottom w:w="0" w:type="dxa"/>
          <w:right w:w="0" w:type="dxa"/>
        </w:tblCellMar>
      </w:tblPr>
      <w:tblGrid>
        <w:gridCol w:w="4985"/>
        <w:gridCol w:w="90"/>
        <w:gridCol w:w="284"/>
        <w:gridCol w:w="985"/>
        <w:gridCol w:w="150"/>
        <w:gridCol w:w="150"/>
        <w:gridCol w:w="284"/>
        <w:gridCol w:w="985"/>
        <w:gridCol w:w="135"/>
      </w:tblGrid>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Fiscal Years Ended</w:t>
              <w:br/>
              <w:t>April 30,</w:t>
            </w:r>
          </w:p>
        </w:tc>
        <w:tc>
          <w:tcPr>
            <w:tcW w:w="13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1,799</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1,932</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94</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123</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Corporate</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Consolidated depreciation and amortization expense</w:t>
            </w:r>
          </w:p>
        </w:tc>
        <w:tc>
          <w:tcPr>
            <w:tcW w:w="90" w:type="dxa"/>
            <w:tcBorders/>
            <w:vAlign w:val="center"/>
          </w:tcPr>
          <w:p>
            <w:pPr>
              <w:pStyle w:val="TableContents"/>
              <w:bidi w:val="0"/>
              <w:spacing w:before="0" w:after="283"/>
              <w:jc w:val="left"/>
              <w:rPr/>
            </w:pPr>
            <w:r>
              <w:rPr/>
              <w:t> </w:t>
            </w:r>
          </w:p>
        </w:tc>
        <w:tc>
          <w:tcPr>
            <w:tcW w:w="284" w:type="dxa"/>
            <w:tcBorders>
              <w:bottom w:val="double" w:sz="6" w:space="0" w:color="000000"/>
            </w:tcBorders>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tcMar>
              <w:bottom w:w="28" w:type="dxa"/>
            </w:tcMar>
            <w:vAlign w:val="center"/>
          </w:tcPr>
          <w:p>
            <w:pPr>
              <w:pStyle w:val="TableContents"/>
              <w:bidi w:val="0"/>
              <w:spacing w:before="0" w:after="283"/>
              <w:jc w:val="right"/>
              <w:rPr/>
            </w:pPr>
            <w:r>
              <w:rPr/>
              <w:t>1,893</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bottom w:val="double" w:sz="6" w:space="0" w:color="000000"/>
            </w:tcBorders>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tcMar>
              <w:bottom w:w="28" w:type="dxa"/>
            </w:tcMar>
            <w:vAlign w:val="center"/>
          </w:tcPr>
          <w:p>
            <w:pPr>
              <w:pStyle w:val="TableContents"/>
              <w:bidi w:val="0"/>
              <w:spacing w:before="0" w:after="283"/>
              <w:jc w:val="right"/>
              <w:rPr/>
            </w:pPr>
            <w:r>
              <w:rPr/>
              <w:t>2,055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sold to both commercial and governmental customers. For the fiscal years ended April 30, 2026 and 2025, approximately 91% and 94%, respectively, of the Company’s sales were made under contracts to the U.S. Government or subcontracts for U.S. Government end-use.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April 30, 2026, revenues from four customers of the FEI-NY segment, which each accounted for more than 10% of that segment’s revenues, were $7.0 million, $5.5 million, $5.3 million, and $5.1 million. In the fiscal year ended April 30, 2025, revenues from one customer of the FEI-NY segment, which accounted for more than 10% of that segment’s revenues, was $26.9 million. In the FEI-Zyfer segment, revenues from one customer, which accounted for more than 10% of that segment’s revenues, was $8.1 million in the fiscal year ended April 30, 2026. In the FEI-Zyfer segment, revenues from two customers, which each accounted for more than 10% of that segment’s revenues, were $2.9 million and $3.4 million in the fiscal year ended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 -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in each of the Company’s segments include sales to foreign governments or to companies located in foreign countries. For the fiscal years ended April 30, 2026 and 2025, revenues, based on the location of the procurement entity, were derived from the following locations (in thousands):</w:t>
      </w:r>
    </w:p>
    <w:p>
      <w:pPr>
        <w:pStyle w:val="TextBody"/>
        <w:bidi w:val="0"/>
        <w:spacing w:before="0" w:after="0"/>
        <w:ind w:left="0" w:right="0" w:hanging="0"/>
        <w:jc w:val="left"/>
        <w:rPr>
          <w:caps w:val="false"/>
          <w:smallCaps w:val="false"/>
        </w:rPr>
      </w:pPr>
      <w:r>
        <w:rPr>
          <w:caps w:val="false"/>
          <w:smallCaps w:val="false"/>
        </w:rPr>
        <w:t> </w:t>
      </w:r>
    </w:p>
    <w:tbl>
      <w:tblPr>
        <w:tblW w:w="4026" w:type="dxa"/>
        <w:jc w:val="left"/>
        <w:tblInd w:w="0" w:type="dxa"/>
        <w:tblLayout w:type="fixed"/>
        <w:tblCellMar>
          <w:top w:w="0" w:type="dxa"/>
          <w:left w:w="0" w:type="dxa"/>
          <w:bottom w:w="0" w:type="dxa"/>
          <w:right w:w="0" w:type="dxa"/>
        </w:tblCellMar>
      </w:tblPr>
      <w:tblGrid>
        <w:gridCol w:w="965"/>
        <w:gridCol w:w="90"/>
        <w:gridCol w:w="248"/>
        <w:gridCol w:w="1039"/>
        <w:gridCol w:w="131"/>
        <w:gridCol w:w="131"/>
        <w:gridCol w:w="248"/>
        <w:gridCol w:w="1039"/>
        <w:gridCol w:w="135"/>
      </w:tblGrid>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Fiscal Years Ended</w:t>
              <w:br/>
              <w:t>April 30,</w:t>
            </w:r>
          </w:p>
        </w:tc>
        <w:tc>
          <w:tcPr>
            <w:tcW w:w="13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both"/>
              <w:rPr/>
            </w:pPr>
            <w:r>
              <w:rPr/>
              <w:t>Domestic</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57,745</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65,362</w:t>
            </w:r>
          </w:p>
        </w:tc>
        <w:tc>
          <w:tcPr>
            <w:tcW w:w="13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both"/>
              <w:rPr/>
            </w:pPr>
            <w:r>
              <w:rPr/>
              <w:t>Foreign</w:t>
            </w:r>
          </w:p>
        </w:tc>
        <w:tc>
          <w:tcPr>
            <w:tcW w:w="90"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5,482</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4,449</w:t>
            </w:r>
          </w:p>
        </w:tc>
        <w:tc>
          <w:tcPr>
            <w:tcW w:w="13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63,227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69,811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2026, material foreign sales to one Asian country amounted to approximately $3.8 million. During the fiscal year ended April 30, 2025, material foreign sales to one Asian country amounted to approximately $3.5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April 30, 2026 and 2025, respectively, changes in the carrying amount of accrued product warranty costs, reported in accrued expenses on the consolidated balance sheets,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780"/>
        <w:gridCol w:w="90"/>
        <w:gridCol w:w="170"/>
        <w:gridCol w:w="485"/>
        <w:gridCol w:w="125"/>
        <w:gridCol w:w="90"/>
        <w:gridCol w:w="170"/>
        <w:gridCol w:w="485"/>
        <w:gridCol w:w="170"/>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Balance at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542</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Warranty costs incurred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Product warranty accrual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388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Balance at end of year</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517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567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its business, the Company may be involved in various claims, negotiations and legal actions. As of April 30, 2026, the Company was not a party to any litigation in which an unfavorable outcome or material claim is probable or in which losses associated with the litigation can be reasonably estimated.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acquired a 20% minority interest in an LLC for $0.5 million. Pursuant to the transaction, the Company may be required to purchase up to an additional 25% interest subsequent to the closing of the initial agreement. The Company is currently in the process of evaluating the accounting treatment for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1" w:name="a_013"/>
      <w:bookmarkEnd w:id="21"/>
      <w:r>
        <w:rPr>
          <w:rFonts w:ascii="Times New Roman;Times;Serif" w:hAnsi="Times New Roman;Times;Serif"/>
          <w:b w:val="false"/>
          <w:i w:val="false"/>
          <w:caps w:val="false"/>
          <w:smallCaps w:val="false"/>
          <w:sz w:val="20"/>
          <w:u w:val="single"/>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2" w:name="a_014"/>
      <w:bookmarkEnd w:id="22"/>
      <w:r>
        <w:rPr>
          <w:rFonts w:ascii="Times New Roman;Times;Serif" w:hAnsi="Times New Roman;Times;Serif"/>
          <w:b w:val="false"/>
          <w:i w:val="false"/>
          <w:caps w:val="false"/>
          <w:smallCaps w:val="false"/>
          <w:sz w:val="20"/>
          <w:u w:val="single"/>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Evaluation of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such term is defined in Rules 13a-15(e) and 15d-15(e) under the Securities Exchange Act of 1934, as amended (the “Exchange Act”)) designed to provide reasonable assurance the information required to be disclosed by us in reports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this Annual Report on Form 10-K, the Company’s management, with the participation of the Company’s Chief Executive Officer and Chief Financial Officer, evaluated the effectiveness of the design and operation of the Company’s disclosure controls and procedures as of the end of the period covered by this report.  Based on their evaluation, the Company’s Chief Executive Officer and Chief Financial Officer have concluded that, as of April 30, 2026, the Company’s disclosure controls and procedures were effective at a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Management’s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April 30, 2026.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effective as of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registered public accounting firm regarding our internal control over financial reporting. Management’s report on internal control over financial reporting is not subject to attestation by our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(as such term is defined in Rules 13a-15(f) and 15d-15(f) under the Exchange Act) during the fiscal quarter ended April 30, 2026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3" w:name="a_015"/>
      <w:bookmarkEnd w:id="23"/>
      <w:r>
        <w:rPr>
          <w:rFonts w:ascii="Times New Roman;Times;Serif" w:hAnsi="Times New Roman;Times;Serif"/>
          <w:b w:val="false"/>
          <w:i w:val="false"/>
          <w:caps w:val="false"/>
          <w:smallCaps w:val="false"/>
          <w:sz w:val="20"/>
          <w:u w:val="single"/>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April 30, 2026, no director or officer of the Company adopted or terminated a “Rule 10b5-1 trading arrangement” or “non-Rule 10b5-1 trading arrangement,” as each term is defined in Item 408(a) of Regulation S-K.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4" w:name="a_016"/>
      <w:bookmarkEnd w:id="24"/>
      <w:r>
        <w:rPr>
          <w:rFonts w:ascii="Times New Roman;Times;Serif" w:hAnsi="Times New Roman;Times;Serif"/>
          <w:b w:val="false"/>
          <w:i w:val="false"/>
          <w:caps w:val="false"/>
          <w:smallCaps w:val="false"/>
          <w:sz w:val="20"/>
          <w:u w:val="single"/>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5" w:name="a_017"/>
      <w:bookmarkEnd w:id="25"/>
      <w:r>
        <w:rPr>
          <w:rFonts w:ascii="Times New Roman;Times;Serif" w:hAnsi="Times New Roman;Times;Serif"/>
          <w:b w:val="false"/>
          <w:i w:val="false"/>
          <w:caps w:val="false"/>
          <w:smallCaps w:val="false"/>
          <w:sz w:val="20"/>
          <w:u w:val="single"/>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2026, for the annual meeting of stockholders to be held on or about October 7, 2026 (the “2026 Proxy Statement”).  See “Election of Directors,” “Delinquent Section 16(a) Reports,” “Corporate Governance Matters – Code of Ethics and Corporate Governance Guidelines,” and “Certain Information as to Committees and Meetings of the Board” from the Company’s 2026 Proxy Statement.  The information required to be furnished pursuant to this item with respect to Executive Officers is set forth, pursuant to General Instruction G(3) of Form 10-K, under Part I of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incorporated by reference as Exhibit 19 to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6" w:name="a_018"/>
      <w:bookmarkEnd w:id="26"/>
      <w:r>
        <w:rPr>
          <w:rFonts w:ascii="Times New Roman;Times;Serif" w:hAnsi="Times New Roman;Times;Serif"/>
          <w:b w:val="false"/>
          <w:i w:val="false"/>
          <w:caps w:val="false"/>
          <w:smallCaps w:val="false"/>
          <w:sz w:val="20"/>
          <w:u w:val="single"/>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2026 Proxy Statement under “Election of Directors” and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 w:name="a_019"/>
      <w:bookmarkEnd w:id="27"/>
      <w:r>
        <w:rPr>
          <w:rFonts w:ascii="Times New Roman;Times;Serif" w:hAnsi="Times New Roman;Times;Serif"/>
          <w:b w:val="false"/>
          <w:i w:val="false"/>
          <w:caps w:val="false"/>
          <w:smallCaps w:val="false"/>
          <w:sz w:val="20"/>
          <w:u w:val="single"/>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2026 Proxy Statement under “Executive Compensation” and “Stock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tbl>
      <w:tblPr>
        <w:tblW w:w="8764" w:type="dxa"/>
        <w:jc w:val="left"/>
        <w:tblInd w:w="0" w:type="dxa"/>
        <w:tblLayout w:type="fixed"/>
        <w:tblCellMar>
          <w:top w:w="0" w:type="dxa"/>
          <w:left w:w="0" w:type="dxa"/>
          <w:bottom w:w="28" w:type="dxa"/>
          <w:right w:w="0" w:type="dxa"/>
        </w:tblCellMar>
      </w:tblPr>
      <w:tblGrid>
        <w:gridCol w:w="3305"/>
        <w:gridCol w:w="90"/>
        <w:gridCol w:w="149"/>
        <w:gridCol w:w="1385"/>
        <w:gridCol w:w="90"/>
        <w:gridCol w:w="90"/>
        <w:gridCol w:w="359"/>
        <w:gridCol w:w="1536"/>
        <w:gridCol w:w="90"/>
        <w:gridCol w:w="90"/>
        <w:gridCol w:w="118"/>
        <w:gridCol w:w="1327"/>
        <w:gridCol w:w="135"/>
      </w:tblGrid>
      <w:tr>
        <w:trPr/>
        <w:tc>
          <w:tcPr>
            <w:tcW w:w="3305" w:type="dxa"/>
            <w:tcBorders>
              <w:bottom w:val="single" w:sz="8"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b/>
              </w:rPr>
            </w:pPr>
            <w:r>
              <w:rPr>
                <w:b/>
              </w:rPr>
              <w:t>Number of</w:t>
              <w:br/>
              <w:t>securities to be</w:t>
              <w:br/>
              <w:t>issued upon</w:t>
              <w:br/>
              <w:t>exercise of</w:t>
              <w:br/>
              <w:t>outstanding</w:t>
              <w:br/>
              <w:t>options,</w:t>
              <w:br/>
              <w:t>warrants</w:t>
              <w:br/>
              <w:t>and rights</w:t>
              <w:br/>
              <w:t>and vesting</w:t>
              <w:br/>
              <w:t>of  RSU's</w:t>
              <w:br/>
              <w:t>and PSU's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5" w:type="dxa"/>
            <w:gridSpan w:val="2"/>
            <w:tcBorders>
              <w:bottom w:val="single" w:sz="8" w:space="0" w:color="000000"/>
            </w:tcBorders>
            <w:vAlign w:val="center"/>
          </w:tcPr>
          <w:p>
            <w:pPr>
              <w:pStyle w:val="TableContents"/>
              <w:bidi w:val="0"/>
              <w:spacing w:before="0" w:after="283"/>
              <w:jc w:val="center"/>
              <w:rPr>
                <w:b/>
              </w:rPr>
            </w:pPr>
            <w:r>
              <w:rPr>
                <w:b/>
              </w:rPr>
              <w:t>Weighted-average</w:t>
              <w:br/>
              <w:t>exercise price of</w:t>
              <w:br/>
              <w:t>outstanding</w:t>
              <w:br/>
              <w:t>options, warrants</w:t>
              <w:br/>
              <w:t>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column (a))</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tcMar>
              <w:bottom w:w="0" w:type="dxa"/>
            </w:tcMar>
            <w:vAlign w:val="center"/>
          </w:tcPr>
          <w:p>
            <w:pPr>
              <w:pStyle w:val="TableContents"/>
              <w:bidi w:val="0"/>
              <w:spacing w:before="0" w:after="283"/>
              <w:jc w:val="center"/>
              <w:rPr>
                <w:b/>
              </w:rPr>
            </w:pPr>
            <w:r>
              <w:rPr>
                <w:b/>
              </w:rPr>
              <w:t>(a)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5" w:type="dxa"/>
            <w:gridSpan w:val="2"/>
            <w:tcBorders/>
            <w:tcMar>
              <w:bottom w:w="0" w:type="dxa"/>
            </w:tcMar>
            <w:vAlign w:val="center"/>
          </w:tcPr>
          <w:p>
            <w:pPr>
              <w:pStyle w:val="TableContents"/>
              <w:bidi w:val="0"/>
              <w:spacing w:before="0" w:after="283"/>
              <w:jc w:val="center"/>
              <w:rPr>
                <w:b/>
              </w:rPr>
            </w:pPr>
            <w:r>
              <w:rPr>
                <w:b/>
              </w:rP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(c)</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Equity Compensation Plans</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 w:type="dxa"/>
            <w:tcBorders/>
            <w:tcMar>
              <w:bottom w:w="0" w:type="dxa"/>
            </w:tcMar>
            <w:vAlign w:val="center"/>
          </w:tcPr>
          <w:p>
            <w:pPr>
              <w:pStyle w:val="TableContents"/>
              <w:bidi w:val="0"/>
              <w:spacing w:before="0" w:after="283"/>
              <w:jc w:val="left"/>
              <w:rPr/>
            </w:pPr>
            <w:r>
              <w:rPr/>
              <w:t> </w:t>
            </w:r>
          </w:p>
        </w:tc>
        <w:tc>
          <w:tcPr>
            <w:tcW w:w="15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327"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Approved by Security Holders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double" w:sz="6" w:space="0" w:color="000000"/>
            </w:tcBorders>
            <w:shd w:fill="CCEEFF" w:val="clear"/>
            <w:vAlign w:val="center"/>
          </w:tcPr>
          <w:p>
            <w:pPr>
              <w:pStyle w:val="TableContents"/>
              <w:bidi w:val="0"/>
              <w:spacing w:before="0" w:after="283"/>
              <w:jc w:val="left"/>
              <w:rPr/>
            </w:pPr>
            <w:r>
              <w:rPr/>
              <w:t> </w:t>
            </w:r>
          </w:p>
        </w:tc>
        <w:tc>
          <w:tcPr>
            <w:tcW w:w="1385" w:type="dxa"/>
            <w:tcBorders>
              <w:bottom w:val="double" w:sz="6" w:space="0" w:color="000000"/>
            </w:tcBorders>
            <w:shd w:fill="CCEEFF" w:val="clear"/>
            <w:vAlign w:val="center"/>
          </w:tcPr>
          <w:p>
            <w:pPr>
              <w:pStyle w:val="TableContents"/>
              <w:bidi w:val="0"/>
              <w:spacing w:before="0" w:after="283"/>
              <w:jc w:val="right"/>
              <w:rPr/>
            </w:pPr>
            <w:r>
              <w:rPr/>
              <w:t>436,148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 w:type="dxa"/>
            <w:tcBorders>
              <w:bottom w:val="double" w:sz="6" w:space="0" w:color="000000"/>
            </w:tcBorders>
            <w:shd w:fill="CCEEFF" w:val="clear"/>
            <w:vAlign w:val="center"/>
          </w:tcPr>
          <w:p>
            <w:pPr>
              <w:pStyle w:val="TableContents"/>
              <w:bidi w:val="0"/>
              <w:spacing w:before="0" w:after="283"/>
              <w:jc w:val="left"/>
              <w:rPr/>
            </w:pPr>
            <w:r>
              <w:rPr/>
              <w:t>$</w:t>
            </w:r>
          </w:p>
        </w:tc>
        <w:tc>
          <w:tcPr>
            <w:tcW w:w="1536" w:type="dxa"/>
            <w:tcBorders>
              <w:bottom w:val="double" w:sz="6" w:space="0" w:color="000000"/>
            </w:tcBorders>
            <w:shd w:fill="CCEEFF" w:val="cle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double" w:sz="6" w:space="0" w:color="000000"/>
            </w:tcBorders>
            <w:shd w:fill="CCEEFF" w:val="clear"/>
            <w:vAlign w:val="center"/>
          </w:tcPr>
          <w:p>
            <w:pPr>
              <w:pStyle w:val="TableContents"/>
              <w:bidi w:val="0"/>
              <w:spacing w:before="0" w:after="283"/>
              <w:jc w:val="left"/>
              <w:rPr/>
            </w:pPr>
            <w:r>
              <w:rPr/>
              <w:t> </w:t>
            </w:r>
          </w:p>
        </w:tc>
        <w:tc>
          <w:tcPr>
            <w:tcW w:w="1327" w:type="dxa"/>
            <w:tcBorders>
              <w:bottom w:val="double" w:sz="6" w:space="0" w:color="000000"/>
            </w:tcBorders>
            <w:shd w:fill="CCEEFF" w:val="clear"/>
            <w:vAlign w:val="center"/>
          </w:tcPr>
          <w:p>
            <w:pPr>
              <w:pStyle w:val="TableContents"/>
              <w:bidi w:val="0"/>
              <w:spacing w:before="0" w:after="283"/>
              <w:jc w:val="right"/>
              <w:rPr/>
            </w:pPr>
            <w:r>
              <w:rPr/>
              <w:t>1,269,186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75"/>
        <w:gridCol w:w="90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w:t>
            </w:r>
          </w:p>
        </w:tc>
        <w:tc>
          <w:tcPr>
            <w:tcW w:w="9065" w:type="dxa"/>
            <w:tcBorders/>
            <w:vAlign w:val="center"/>
          </w:tcPr>
          <w:p>
            <w:pPr>
              <w:pStyle w:val="TableContents"/>
              <w:bidi w:val="0"/>
              <w:spacing w:before="0" w:after="283"/>
              <w:jc w:val="both"/>
              <w:rPr>
                <w:sz w:val="20"/>
              </w:rPr>
            </w:pPr>
            <w:r>
              <w:rPr>
                <w:sz w:val="20"/>
              </w:rPr>
              <w:t>The Company’s equity compensation plans are described in Note 11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 w:name="a_020"/>
      <w:bookmarkEnd w:id="28"/>
      <w:r>
        <w:rPr>
          <w:rFonts w:ascii="Times New Roman;Times;Serif" w:hAnsi="Times New Roman;Times;Serif"/>
          <w:b w:val="false"/>
          <w:i w:val="false"/>
          <w:caps w:val="false"/>
          <w:smallCaps w:val="false"/>
          <w:sz w:val="20"/>
          <w:u w:val="single"/>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2026 Proxy Statement under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 w:name="a_021"/>
      <w:bookmarkEnd w:id="29"/>
      <w:r>
        <w:rPr>
          <w:rFonts w:ascii="Times New Roman;Times;Serif" w:hAnsi="Times New Roman;Times;Serif"/>
          <w:b w:val="false"/>
          <w:i w:val="false"/>
          <w:caps w:val="false"/>
          <w:smallCaps w:val="false"/>
          <w:sz w:val="20"/>
          <w:u w:val="single"/>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pursuant to this item is incorporated herein by reference from the Company’s 2026 Proxy Statement under “Appointment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 w:name="a_022"/>
      <w:bookmarkEnd w:id="30"/>
      <w:r>
        <w:rPr>
          <w:rFonts w:ascii="Times New Roman;Times;Serif" w:hAnsi="Times New Roman;Times;Serif"/>
          <w:b w:val="false"/>
          <w:i w:val="false"/>
          <w:caps w:val="false"/>
          <w:smallCaps w:val="false"/>
          <w:sz w:val="20"/>
          <w:u w:val="single"/>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60"/>
        <w:gridCol w:w="359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(a)</w:t>
            </w:r>
          </w:p>
        </w:tc>
        <w:tc>
          <w:tcPr>
            <w:tcW w:w="3590" w:type="dxa"/>
            <w:tcBorders/>
            <w:vAlign w:val="center"/>
          </w:tcPr>
          <w:p>
            <w:pPr>
              <w:pStyle w:val="TableContents"/>
              <w:bidi w:val="0"/>
              <w:spacing w:before="0" w:after="283"/>
              <w:jc w:val="both"/>
              <w:rPr>
                <w:sz w:val="20"/>
                <w:u w:val="single"/>
              </w:rPr>
            </w:pPr>
            <w:r>
              <w:rPr>
                <w:sz w:val="20"/>
                <w:u w:val="single"/>
              </w:rPr>
              <w:t>Index to 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exhibits are listed below and are filed as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Part II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10"/>
        <w:gridCol w:w="90"/>
        <w:gridCol w:w="705"/>
      </w:tblGrid>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Page(s)</w:t>
            </w:r>
          </w:p>
        </w:tc>
      </w:tr>
      <w:tr>
        <w:trPr/>
        <w:tc>
          <w:tcPr>
            <w:tcW w:w="9410" w:type="dxa"/>
            <w:tcBorders/>
            <w:vAlign w:val="center"/>
          </w:tcPr>
          <w:p>
            <w:pPr>
              <w:pStyle w:val="TableContents"/>
              <w:bidi w:val="0"/>
              <w:spacing w:before="0" w:after="283"/>
              <w:jc w:val="left"/>
              <w:rPr/>
            </w:pPr>
            <w:hyperlink w:anchor="f_001">
              <w:r>
                <w:rPr>
                  <w:rStyle w:val="InternetLink"/>
                  <w:sz w:val="20"/>
                </w:rPr>
                <w:t>Report of Independent Registered Public Accounting Firm (GRANT THORNTON LLP.; Melville, NY; PCAOB ID#248)</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20-21</w:t>
            </w:r>
          </w:p>
        </w:tc>
      </w:tr>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r>
      <w:tr>
        <w:trPr/>
        <w:tc>
          <w:tcPr>
            <w:tcW w:w="9410" w:type="dxa"/>
            <w:tcBorders/>
            <w:vAlign w:val="center"/>
          </w:tcPr>
          <w:p>
            <w:pPr>
              <w:pStyle w:val="TableContents"/>
              <w:bidi w:val="0"/>
              <w:spacing w:before="0" w:after="283"/>
              <w:jc w:val="left"/>
              <w:rPr/>
            </w:pPr>
            <w:hyperlink w:anchor="f_002">
              <w:r>
                <w:rPr>
                  <w:rStyle w:val="InternetLink"/>
                  <w:sz w:val="20"/>
                </w:rPr>
                <w:t>Consolidated Balance Sheets - April 30, 2026 and 2025</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22</w:t>
            </w:r>
          </w:p>
        </w:tc>
      </w:tr>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r>
      <w:tr>
        <w:trPr/>
        <w:tc>
          <w:tcPr>
            <w:tcW w:w="9410" w:type="dxa"/>
            <w:tcBorders/>
            <w:vAlign w:val="center"/>
          </w:tcPr>
          <w:p>
            <w:pPr>
              <w:pStyle w:val="TableContents"/>
              <w:bidi w:val="0"/>
              <w:spacing w:before="0" w:after="283"/>
              <w:jc w:val="left"/>
              <w:rPr/>
            </w:pPr>
            <w:hyperlink w:anchor="f_003">
              <w:r>
                <w:rPr>
                  <w:rStyle w:val="InternetLink"/>
                  <w:sz w:val="20"/>
                </w:rPr>
                <w:t>Consolidated Statements of Operations - Years ended April 30, 2026 and 2025</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23</w:t>
            </w:r>
          </w:p>
        </w:tc>
      </w:tr>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r>
      <w:tr>
        <w:trPr/>
        <w:tc>
          <w:tcPr>
            <w:tcW w:w="9410" w:type="dxa"/>
            <w:tcBorders/>
            <w:vAlign w:val="center"/>
          </w:tcPr>
          <w:p>
            <w:pPr>
              <w:pStyle w:val="TableContents"/>
              <w:bidi w:val="0"/>
              <w:spacing w:before="0" w:after="283"/>
              <w:jc w:val="left"/>
              <w:rPr/>
            </w:pPr>
            <w:hyperlink w:anchor="f_004">
              <w:r>
                <w:rPr>
                  <w:rStyle w:val="InternetLink"/>
                  <w:sz w:val="20"/>
                </w:rPr>
                <w:t>Consolidated Statements of Cash Flows - Years ended April 30, 2026 and 2025</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24-25</w:t>
            </w:r>
          </w:p>
        </w:tc>
      </w:tr>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r>
      <w:tr>
        <w:trPr/>
        <w:tc>
          <w:tcPr>
            <w:tcW w:w="9410" w:type="dxa"/>
            <w:tcBorders/>
            <w:vAlign w:val="center"/>
          </w:tcPr>
          <w:p>
            <w:pPr>
              <w:pStyle w:val="TableContents"/>
              <w:bidi w:val="0"/>
              <w:spacing w:before="0" w:after="283"/>
              <w:jc w:val="left"/>
              <w:rPr/>
            </w:pPr>
            <w:hyperlink w:anchor="f_005">
              <w:r>
                <w:rPr>
                  <w:rStyle w:val="InternetLink"/>
                  <w:sz w:val="20"/>
                </w:rPr>
                <w:t>Consolidated Statements of Changes in Stockholders’ Equity - Years ended April 30, 2026 and 2025</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26</w:t>
            </w:r>
          </w:p>
        </w:tc>
      </w:tr>
      <w:tr>
        <w:trPr/>
        <w:tc>
          <w:tcPr>
            <w:tcW w:w="9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r>
      <w:tr>
        <w:trPr/>
        <w:tc>
          <w:tcPr>
            <w:tcW w:w="9410" w:type="dxa"/>
            <w:tcBorders/>
            <w:vAlign w:val="center"/>
          </w:tcPr>
          <w:p>
            <w:pPr>
              <w:pStyle w:val="TableContents"/>
              <w:bidi w:val="0"/>
              <w:spacing w:before="0" w:after="283"/>
              <w:jc w:val="left"/>
              <w:rPr/>
            </w:pPr>
            <w:hyperlink w:anchor="f_006">
              <w:r>
                <w:rPr>
                  <w:rStyle w:val="InternetLink"/>
                  <w:sz w:val="20"/>
                </w:rPr>
                <w:t>Notes to Consolidated Financial Statements</w:t>
              </w:r>
            </w:hyperlink>
          </w:p>
        </w:tc>
        <w:tc>
          <w:tcPr>
            <w:tcW w:w="9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sz w:val="20"/>
              </w:rPr>
            </w:pPr>
            <w:r>
              <w:rPr>
                <w:sz w:val="20"/>
              </w:rPr>
              <w:t>27-47</w:t>
            </w:r>
          </w:p>
        </w:tc>
      </w:tr>
    </w:tbl>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970"/>
      </w:tblGrid>
      <w:tr>
        <w:trPr/>
        <w:tc>
          <w:tcPr>
            <w:tcW w:w="1970" w:type="dxa"/>
            <w:tcBorders/>
            <w:vAlign w:val="center"/>
          </w:tcPr>
          <w:p>
            <w:pPr>
              <w:pStyle w:val="TableContents"/>
              <w:bidi w:val="0"/>
              <w:spacing w:before="0" w:after="283"/>
              <w:ind w:left="0" w:right="0" w:firstLine="720"/>
              <w:jc w:val="both"/>
              <w:rPr>
                <w:sz w:val="20"/>
              </w:rPr>
            </w:pPr>
            <w:r>
              <w:rPr>
                <w:sz w:val="20"/>
              </w:rPr>
              <w:t>(2)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6"/>
        <w:gridCol w:w="90"/>
        <w:gridCol w:w="7567"/>
        <w:gridCol w:w="90"/>
        <w:gridCol w:w="992"/>
      </w:tblGrid>
      <w:tr>
        <w:trPr/>
        <w:tc>
          <w:tcPr>
            <w:tcW w:w="1466" w:type="dxa"/>
            <w:tcBorders>
              <w:bottom w:val="single" w:sz="8" w:space="0" w:color="000000"/>
            </w:tcBorders>
            <w:vAlign w:val="center"/>
          </w:tcPr>
          <w:p>
            <w:pPr>
              <w:pStyle w:val="TableContents"/>
              <w:bidi w:val="0"/>
              <w:spacing w:before="0" w:after="283"/>
              <w:jc w:val="left"/>
              <w:rPr>
                <w:b/>
                <w:sz w:val="20"/>
              </w:rPr>
            </w:pPr>
            <w:r>
              <w:rPr>
                <w:b/>
                <w:sz w:val="20"/>
              </w:rPr>
              <w:t>Exhibit No. in this Form 10-K</w:t>
            </w:r>
          </w:p>
        </w:tc>
        <w:tc>
          <w:tcPr>
            <w:tcW w:w="90" w:type="dxa"/>
            <w:tcBorders/>
            <w:tcMar>
              <w:bottom w:w="0" w:type="dxa"/>
            </w:tcMar>
            <w:vAlign w:val="center"/>
          </w:tcPr>
          <w:p>
            <w:pPr>
              <w:pStyle w:val="TableContents"/>
              <w:bidi w:val="0"/>
              <w:spacing w:before="0" w:after="283"/>
              <w:jc w:val="center"/>
              <w:rPr/>
            </w:pPr>
            <w:r>
              <w:rPr/>
              <w:t> </w:t>
            </w:r>
          </w:p>
        </w:tc>
        <w:tc>
          <w:tcPr>
            <w:tcW w:w="7567" w:type="dxa"/>
            <w:tcBorders>
              <w:bottom w:val="single" w:sz="8" w:space="0" w:color="000000"/>
            </w:tcBorders>
            <w:vAlign w:val="center"/>
          </w:tcPr>
          <w:p>
            <w:pPr>
              <w:pStyle w:val="TableContents"/>
              <w:bidi w:val="0"/>
              <w:spacing w:before="0" w:after="283"/>
              <w:jc w:val="center"/>
              <w:rPr>
                <w:b/>
                <w:sz w:val="20"/>
              </w:rPr>
            </w:pPr>
            <w:r>
              <w:rPr>
                <w:b/>
                <w:sz w:val="20"/>
              </w:rPr>
              <w:t>Description of Exhibit</w:t>
            </w:r>
          </w:p>
        </w:tc>
        <w:tc>
          <w:tcPr>
            <w:tcW w:w="90" w:type="dxa"/>
            <w:tcBorders/>
            <w:tcMar>
              <w:bottom w:w="0" w:type="dxa"/>
            </w:tcMar>
            <w:vAlign w:val="center"/>
          </w:tcPr>
          <w:p>
            <w:pPr>
              <w:pStyle w:val="TableContents"/>
              <w:bidi w:val="0"/>
              <w:spacing w:before="0" w:after="283"/>
              <w:jc w:val="center"/>
              <w:rPr/>
            </w:pPr>
            <w:r>
              <w:rPr/>
              <w:t> </w:t>
            </w:r>
          </w:p>
        </w:tc>
        <w:tc>
          <w:tcPr>
            <w:tcW w:w="992" w:type="dxa"/>
            <w:tcBorders>
              <w:bottom w:val="single" w:sz="8" w:space="0" w:color="000000"/>
            </w:tcBorders>
            <w:vAlign w:val="center"/>
          </w:tcPr>
          <w:p>
            <w:pPr>
              <w:pStyle w:val="TableContents"/>
              <w:bidi w:val="0"/>
              <w:spacing w:before="0" w:after="283"/>
              <w:jc w:val="center"/>
              <w:rPr>
                <w:b/>
                <w:sz w:val="20"/>
              </w:rPr>
            </w:pPr>
            <w:r>
              <w:rPr>
                <w:b/>
                <w:sz w:val="20"/>
              </w:rPr>
              <w:t>NOTE</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2.1</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r:id="rId2">
              <w:r>
                <w:rPr>
                  <w:rStyle w:val="InternetLink"/>
                  <w:sz w:val="20"/>
                </w:rPr>
                <w:t>Stock Purchase Agreement, dated as of February 21, 2012, by and among the Registrant, Elcom Technologies Inc. and the stockholders of Elcom Technologies Inc. identified on the signature pages thereto</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(11)</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3.1</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1.htm">
              <w:r>
                <w:rPr>
                  <w:rStyle w:val="InternetLink"/>
                  <w:sz w:val="20"/>
                </w:rPr>
                <w:t>Copy of Certificate of Incorporation of the Registrant filed with the Secretary of State of Delaware</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3.2</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2.htm">
              <w:r>
                <w:rPr>
                  <w:rStyle w:val="InternetLink"/>
                  <w:sz w:val="20"/>
                </w:rPr>
                <w:t>Amendment to Certificate of Incorporation of the Registrant filed with the Secretary of State of Delaware on March 27, 1981</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3.3</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3.htm">
              <w:r>
                <w:rPr>
                  <w:rStyle w:val="InternetLink"/>
                  <w:sz w:val="20"/>
                </w:rPr>
                <w:t>Amendment to Certificate of Incorporation of the Registrant filed with Secretary of State of Delaware on October 26, 1984</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3.4</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4.htm">
              <w:r>
                <w:rPr>
                  <w:rStyle w:val="InternetLink"/>
                  <w:sz w:val="20"/>
                </w:rPr>
                <w:t>Amendment to Certificate of Incorporation of the Registrant filed with the Secretary of State of Delaware on October 22, 1986</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3.5</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5.htm">
              <w:r>
                <w:rPr>
                  <w:rStyle w:val="InternetLink"/>
                  <w:sz w:val="20"/>
                </w:rPr>
                <w:t>Amended and Restated Certificate of Incorporation of the Registrant filed with the Secretary of State of Delaware on October 26, 1987</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3.6</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w:anchor="feimex3-6.htm">
              <w:r>
                <w:rPr>
                  <w:rStyle w:val="InternetLink"/>
                  <w:sz w:val="20"/>
                </w:rPr>
                <w:t>Amended Certificate of Incorporation of the Company filed with the Secretary of State of Delaware on November 2, 1989</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3.7</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hyperlink r:id="rId3">
              <w:r>
                <w:rPr>
                  <w:rStyle w:val="InternetLink"/>
                  <w:sz w:val="20"/>
                </w:rPr>
                <w:t>Amended and Restated By-Laws of the Registrant, as amended</w:t>
              </w:r>
            </w:hyperlink>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(13)</w:t>
            </w:r>
          </w:p>
        </w:tc>
      </w:tr>
      <w:tr>
        <w:trPr/>
        <w:tc>
          <w:tcPr>
            <w:tcW w:w="146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both"/>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4.1</w:t>
            </w:r>
          </w:p>
        </w:tc>
        <w:tc>
          <w:tcPr>
            <w:tcW w:w="90" w:type="dxa"/>
            <w:tcBorders/>
            <w:tcMar>
              <w:bottom w:w="0" w:type="dxa"/>
            </w:tcMar>
            <w:vAlign w:val="center"/>
          </w:tcPr>
          <w:p>
            <w:pPr>
              <w:pStyle w:val="TableContents"/>
              <w:bidi w:val="0"/>
              <w:spacing w:before="0" w:after="283"/>
              <w:jc w:val="both"/>
              <w:rPr/>
            </w:pPr>
            <w:r>
              <w:rPr/>
              <w:t> </w:t>
            </w:r>
          </w:p>
        </w:tc>
        <w:tc>
          <w:tcPr>
            <w:tcW w:w="7567" w:type="dxa"/>
            <w:tcBorders/>
            <w:tcMar>
              <w:bottom w:w="0" w:type="dxa"/>
            </w:tcMar>
            <w:vAlign w:val="center"/>
          </w:tcPr>
          <w:p>
            <w:pPr>
              <w:pStyle w:val="TableContents"/>
              <w:bidi w:val="0"/>
              <w:spacing w:before="0" w:after="283"/>
              <w:jc w:val="both"/>
              <w:rPr>
                <w:sz w:val="20"/>
              </w:rPr>
            </w:pPr>
            <w:r>
              <w:rPr>
                <w:sz w:val="20"/>
              </w:rPr>
              <w:t>Specimen of Common Stock certificate</w:t>
            </w:r>
          </w:p>
        </w:tc>
        <w:tc>
          <w:tcPr>
            <w:tcW w:w="90" w:type="dxa"/>
            <w:tcBorders/>
            <w:tcMar>
              <w:bottom w:w="0" w:type="dxa"/>
            </w:tcMar>
            <w:vAlign w:val="center"/>
          </w:tcPr>
          <w:p>
            <w:pPr>
              <w:pStyle w:val="TableContents"/>
              <w:bidi w:val="0"/>
              <w:spacing w:before="0" w:after="283"/>
              <w:jc w:val="both"/>
              <w:rPr/>
            </w:pPr>
            <w:r>
              <w:rPr/>
              <w:t> </w:t>
            </w:r>
          </w:p>
        </w:tc>
        <w:tc>
          <w:tcPr>
            <w:tcW w:w="992" w:type="dxa"/>
            <w:tcBorders/>
            <w:tcMar>
              <w:bottom w:w="0" w:type="dxa"/>
            </w:tcMar>
            <w:vAlign w:val="center"/>
          </w:tcPr>
          <w:p>
            <w:pPr>
              <w:pStyle w:val="TableContents"/>
              <w:bidi w:val="0"/>
              <w:spacing w:before="0" w:after="283"/>
              <w:jc w:val="center"/>
              <w:rPr>
                <w:sz w:val="20"/>
              </w:rPr>
            </w:pPr>
            <w:r>
              <w:rPr>
                <w:sz w:val="20"/>
              </w:rPr>
              <w:t>(1)</w:t>
            </w:r>
          </w:p>
        </w:tc>
      </w:tr>
      <w:tr>
        <w:trPr/>
        <w:tc>
          <w:tcPr>
            <w:tcW w:w="146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6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jc w:val="left"/>
              <w:rPr/>
            </w:pPr>
            <w:r>
              <w:rPr/>
              <w:t> </w:t>
            </w:r>
          </w:p>
        </w:tc>
      </w:tr>
      <w:tr>
        <w:trPr/>
        <w:tc>
          <w:tcPr>
            <w:tcW w:w="1466" w:type="dxa"/>
            <w:tcBorders/>
            <w:tcMar>
              <w:bottom w:w="0" w:type="dxa"/>
            </w:tcMar>
            <w:vAlign w:val="center"/>
          </w:tcPr>
          <w:p>
            <w:pPr>
              <w:pStyle w:val="TableContents"/>
              <w:bidi w:val="0"/>
              <w:spacing w:before="0" w:after="283"/>
              <w:jc w:val="center"/>
              <w:rPr>
                <w:sz w:val="20"/>
              </w:rPr>
            </w:pPr>
            <w:r>
              <w:rPr>
                <w:sz w:val="20"/>
              </w:rPr>
              <w:t>4.2</w:t>
            </w:r>
          </w:p>
        </w:tc>
        <w:tc>
          <w:tcPr>
            <w:tcW w:w="90" w:type="dxa"/>
            <w:tcBorders/>
            <w:tcMar>
              <w:bottom w:w="0" w:type="dxa"/>
            </w:tcMar>
            <w:vAlign w:val="center"/>
          </w:tcPr>
          <w:p>
            <w:pPr>
              <w:pStyle w:val="TableContents"/>
              <w:bidi w:val="0"/>
              <w:spacing w:before="0" w:after="283"/>
              <w:jc w:val="left"/>
              <w:rPr/>
            </w:pPr>
            <w:r>
              <w:rPr/>
              <w:t> </w:t>
            </w:r>
          </w:p>
        </w:tc>
        <w:tc>
          <w:tcPr>
            <w:tcW w:w="7567" w:type="dxa"/>
            <w:tcBorders/>
            <w:tcMar>
              <w:bottom w:w="0" w:type="dxa"/>
            </w:tcMar>
            <w:vAlign w:val="center"/>
          </w:tcPr>
          <w:p>
            <w:pPr>
              <w:pStyle w:val="TableContents"/>
              <w:bidi w:val="0"/>
              <w:spacing w:before="0" w:after="283"/>
              <w:jc w:val="both"/>
              <w:rPr/>
            </w:pPr>
            <w:hyperlink r:id="rId4">
              <w:r>
                <w:rPr>
                  <w:rStyle w:val="InternetLink"/>
                  <w:sz w:val="20"/>
                </w:rPr>
                <w:t>Description of Capital Stock</w:t>
              </w:r>
            </w:hyperlink>
          </w:p>
        </w:tc>
        <w:tc>
          <w:tcPr>
            <w:tcW w:w="90"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jc w:val="center"/>
              <w:rPr>
                <w:sz w:val="20"/>
              </w:rPr>
            </w:pPr>
            <w:r>
              <w:rPr>
                <w:sz w:val="20"/>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38"/>
        <w:gridCol w:w="90"/>
        <w:gridCol w:w="8101"/>
        <w:gridCol w:w="90"/>
        <w:gridCol w:w="886"/>
      </w:tblGrid>
      <w:tr>
        <w:trPr/>
        <w:tc>
          <w:tcPr>
            <w:tcW w:w="1038" w:type="dxa"/>
            <w:tcBorders>
              <w:bottom w:val="single" w:sz="8" w:space="0" w:color="000000"/>
            </w:tcBorders>
            <w:vAlign w:val="center"/>
          </w:tcPr>
          <w:p>
            <w:pPr>
              <w:pStyle w:val="TableContents"/>
              <w:bidi w:val="0"/>
              <w:spacing w:before="0" w:after="283"/>
              <w:jc w:val="left"/>
              <w:rPr>
                <w:b/>
                <w:sz w:val="20"/>
              </w:rPr>
            </w:pPr>
            <w:r>
              <w:rPr>
                <w:b/>
                <w:sz w:val="20"/>
              </w:rPr>
              <w:t>Exhibit No. in this Form 10-K</w:t>
            </w:r>
          </w:p>
        </w:tc>
        <w:tc>
          <w:tcPr>
            <w:tcW w:w="90" w:type="dxa"/>
            <w:tcBorders/>
            <w:tcMar>
              <w:bottom w:w="0" w:type="dxa"/>
            </w:tcMar>
            <w:vAlign w:val="center"/>
          </w:tcPr>
          <w:p>
            <w:pPr>
              <w:pStyle w:val="TableContents"/>
              <w:bidi w:val="0"/>
              <w:spacing w:before="0" w:after="283"/>
              <w:jc w:val="center"/>
              <w:rPr/>
            </w:pPr>
            <w:r>
              <w:rPr/>
              <w:t> </w:t>
            </w:r>
          </w:p>
        </w:tc>
        <w:tc>
          <w:tcPr>
            <w:tcW w:w="8101" w:type="dxa"/>
            <w:tcBorders>
              <w:bottom w:val="single" w:sz="8" w:space="0" w:color="000000"/>
            </w:tcBorders>
            <w:vAlign w:val="center"/>
          </w:tcPr>
          <w:p>
            <w:pPr>
              <w:pStyle w:val="TableContents"/>
              <w:bidi w:val="0"/>
              <w:spacing w:before="0" w:after="283"/>
              <w:jc w:val="center"/>
              <w:rPr>
                <w:b/>
                <w:sz w:val="20"/>
              </w:rPr>
            </w:pPr>
            <w:r>
              <w:rPr>
                <w:b/>
                <w:sz w:val="20"/>
              </w:rPr>
              <w:t>Description of Exhibit</w:t>
            </w:r>
          </w:p>
        </w:tc>
        <w:tc>
          <w:tcPr>
            <w:tcW w:w="90" w:type="dxa"/>
            <w:tcBorders/>
            <w:tcMar>
              <w:bottom w:w="0" w:type="dxa"/>
            </w:tcMar>
            <w:vAlign w:val="center"/>
          </w:tcPr>
          <w:p>
            <w:pPr>
              <w:pStyle w:val="TableContents"/>
              <w:bidi w:val="0"/>
              <w:spacing w:before="0" w:after="283"/>
              <w:jc w:val="center"/>
              <w:rPr/>
            </w:pPr>
            <w:r>
              <w:rPr/>
              <w:t> </w:t>
            </w:r>
          </w:p>
        </w:tc>
        <w:tc>
          <w:tcPr>
            <w:tcW w:w="886" w:type="dxa"/>
            <w:tcBorders>
              <w:bottom w:val="single" w:sz="8" w:space="0" w:color="000000"/>
            </w:tcBorders>
            <w:vAlign w:val="center"/>
          </w:tcPr>
          <w:p>
            <w:pPr>
              <w:pStyle w:val="TableContents"/>
              <w:bidi w:val="0"/>
              <w:spacing w:before="0" w:after="283"/>
              <w:jc w:val="center"/>
              <w:rPr>
                <w:b/>
                <w:sz w:val="20"/>
              </w:rPr>
            </w:pPr>
            <w:r>
              <w:rPr>
                <w:b/>
                <w:sz w:val="20"/>
              </w:rPr>
              <w:t>NOTE</w:t>
            </w:r>
          </w:p>
        </w:tc>
      </w:tr>
      <w:tr>
        <w:trPr/>
        <w:tc>
          <w:tcPr>
            <w:tcW w:w="1038" w:type="dxa"/>
            <w:tcBorders/>
            <w:tcMar>
              <w:bottom w:w="0" w:type="dxa"/>
            </w:tcMar>
            <w:vAlign w:val="center"/>
          </w:tcPr>
          <w:p>
            <w:pPr>
              <w:pStyle w:val="TableContents"/>
              <w:bidi w:val="0"/>
              <w:spacing w:before="0" w:after="283"/>
              <w:jc w:val="center"/>
              <w:rPr>
                <w:sz w:val="20"/>
              </w:rPr>
            </w:pPr>
            <w:r>
              <w:rPr>
                <w:sz w:val="20"/>
              </w:rPr>
              <w:t>10.1</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5">
              <w:r>
                <w:rPr>
                  <w:rStyle w:val="InternetLink"/>
                  <w:sz w:val="20"/>
                </w:rPr>
                <w:t>Settlement Agreement dated as of September 13, 2016, by and among Registrant, Privet Fund LP, Privet Fund Management LLC, Ryan J. Levenson and General Lance W. Lord</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(14)</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10.2*</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6">
              <w:r>
                <w:rPr>
                  <w:rStyle w:val="InternetLink"/>
                  <w:sz w:val="20"/>
                </w:rPr>
                <w:t>Frequency Electronics, Inc. 2005 Stock Plan</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(16)</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10.3</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7">
              <w:r>
                <w:rPr>
                  <w:rStyle w:val="InternetLink"/>
                  <w:sz w:val="20"/>
                </w:rPr>
                <w:t>Lease Agreement between Registrant and Reckson Operating Partnership, L.P. dated January 6, 1998</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(15)</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10.4</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8">
              <w:r>
                <w:rPr>
                  <w:rStyle w:val="InternetLink"/>
                  <w:sz w:val="20"/>
                </w:rPr>
                <w:t>First Amendment to Lease Amendment between Registrant and RA 55 CLB LLC (as successor-in-interest to Reckson Operating Partnership, L.P.) dated July 25, 2018</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(17)</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10.5*</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sz w:val="20"/>
              </w:rPr>
            </w:pPr>
            <w:r>
              <w:rPr>
                <w:sz w:val="20"/>
              </w:rPr>
              <w:t>Registrant’s Cash or Deferral Profit Sharing Plan and Trust under Internal Revenue Code Section 401, dated April 1, 1985</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(6)</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10.6*</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sz w:val="20"/>
              </w:rPr>
            </w:pPr>
            <w:r>
              <w:rPr>
                <w:sz w:val="20"/>
              </w:rPr>
              <w:t>Amendment dated Jan. 1, 1988 to Registrant’s Cash or Deferred Profit Sharing Plan and Trust under Section 401 of Internal Revenue Code</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(8)</w:t>
            </w:r>
          </w:p>
        </w:tc>
      </w:tr>
      <w:tr>
        <w:trPr/>
        <w:tc>
          <w:tcPr>
            <w:tcW w:w="103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10.7*</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9">
              <w:r>
                <w:rPr>
                  <w:rStyle w:val="InternetLink"/>
                  <w:sz w:val="20"/>
                </w:rPr>
                <w:t>Form of Deferred Compensation Agreement</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(18)</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10.8*</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pPr>
            <w:hyperlink r:id="rId10">
              <w:r>
                <w:rPr>
                  <w:rStyle w:val="InternetLink"/>
                  <w:sz w:val="20"/>
                </w:rPr>
                <w:t>Form of Stock Appreciation Rights Agreement</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(19)</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10.9*</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r:id="rId11">
              <w:r>
                <w:rPr>
                  <w:rStyle w:val="InternetLink"/>
                  <w:strike w:val="false"/>
                  <w:dstrike w:val="false"/>
                  <w:sz w:val="20"/>
                  <w:u w:val="none"/>
                  <w:effect w:val="none"/>
                </w:rPr>
                <w:t>Frequency Electronics, Inc. Stock Award Plan.</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(25)</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10.10</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r:id="rId12">
              <w:r>
                <w:rPr>
                  <w:rStyle w:val="InternetLink"/>
                  <w:strike w:val="false"/>
                  <w:dstrike w:val="false"/>
                  <w:sz w:val="20"/>
                  <w:u w:val="none"/>
                  <w:effect w:val="none"/>
                </w:rPr>
                <w:t>Credit Agreement dated June 12, 2026, by and among the Company, as borrower, FEI-Zyfer, Inc., as subsidiary guarantor, and JPMorgan Chase Bank, N.A., as the Lender</w:t>
              </w:r>
            </w:hyperlink>
          </w:p>
        </w:tc>
        <w:tc>
          <w:tcPr>
            <w:tcW w:w="90" w:type="dxa"/>
            <w:tcBorders/>
            <w:tcMar>
              <w:bottom w:w="0" w:type="dxa"/>
            </w:tcMar>
            <w:vAlign w:val="center"/>
          </w:tcPr>
          <w:p>
            <w:pPr>
              <w:pStyle w:val="TableContents"/>
              <w:bidi w:val="0"/>
              <w:spacing w:before="0" w:after="283"/>
              <w:jc w:val="center"/>
              <w:rPr/>
            </w:pPr>
            <w:r>
              <w:rPr/>
              <w:t> </w:t>
            </w:r>
          </w:p>
        </w:tc>
        <w:tc>
          <w:tcPr>
            <w:tcW w:w="886" w:type="dxa"/>
            <w:tcBorders/>
            <w:tcMar>
              <w:bottom w:w="0" w:type="dxa"/>
            </w:tcMar>
            <w:vAlign w:val="center"/>
          </w:tcPr>
          <w:p>
            <w:pPr>
              <w:pStyle w:val="TableContents"/>
              <w:bidi w:val="0"/>
              <w:spacing w:before="0" w:after="283"/>
              <w:jc w:val="center"/>
              <w:rPr>
                <w:sz w:val="20"/>
              </w:rPr>
            </w:pPr>
            <w:r>
              <w:rPr>
                <w:sz w:val="20"/>
              </w:rPr>
              <w:t>(27)</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10.11</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r:id="rId13">
              <w:r>
                <w:rPr>
                  <w:rStyle w:val="InternetLink"/>
                  <w:strike w:val="false"/>
                  <w:dstrike w:val="false"/>
                  <w:sz w:val="20"/>
                  <w:u w:val="none"/>
                  <w:effect w:val="none"/>
                </w:rPr>
                <w:t>Pledge and Security Agreement dated June 12, 2026, by and among the Company, as borrower, FEI-Zyfer, Inc., as subsidiary guarantor, and JPMorgan Chase Bank, N.A., as the Lender</w:t>
              </w:r>
            </w:hyperlink>
          </w:p>
        </w:tc>
        <w:tc>
          <w:tcPr>
            <w:tcW w:w="90" w:type="dxa"/>
            <w:tcBorders/>
            <w:tcMar>
              <w:bottom w:w="0" w:type="dxa"/>
            </w:tcMar>
            <w:vAlign w:val="center"/>
          </w:tcPr>
          <w:p>
            <w:pPr>
              <w:pStyle w:val="TableContents"/>
              <w:bidi w:val="0"/>
              <w:spacing w:before="0" w:after="283"/>
              <w:jc w:val="center"/>
              <w:rPr/>
            </w:pPr>
            <w:r>
              <w:rPr/>
              <w:t> </w:t>
            </w:r>
          </w:p>
        </w:tc>
        <w:tc>
          <w:tcPr>
            <w:tcW w:w="886" w:type="dxa"/>
            <w:tcBorders/>
            <w:tcMar>
              <w:bottom w:w="0" w:type="dxa"/>
            </w:tcMar>
            <w:vAlign w:val="center"/>
          </w:tcPr>
          <w:p>
            <w:pPr>
              <w:pStyle w:val="TableContents"/>
              <w:bidi w:val="0"/>
              <w:spacing w:before="0" w:after="283"/>
              <w:jc w:val="center"/>
              <w:rPr>
                <w:sz w:val="20"/>
              </w:rPr>
            </w:pPr>
            <w:r>
              <w:rPr>
                <w:sz w:val="20"/>
              </w:rPr>
              <w:t>(28)</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19</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r:id="rId14">
              <w:r>
                <w:rPr>
                  <w:rStyle w:val="InternetLink"/>
                  <w:sz w:val="20"/>
                </w:rPr>
                <w:t>Frequency Electronics, Inc. Insider Trading Policy</w:t>
              </w:r>
            </w:hyperlink>
          </w:p>
        </w:tc>
        <w:tc>
          <w:tcPr>
            <w:tcW w:w="90" w:type="dxa"/>
            <w:tcBorders/>
            <w:tcMar>
              <w:bottom w:w="0" w:type="dxa"/>
            </w:tcMar>
            <w:vAlign w:val="center"/>
          </w:tcPr>
          <w:p>
            <w:pPr>
              <w:pStyle w:val="TableContents"/>
              <w:bidi w:val="0"/>
              <w:spacing w:before="0" w:after="283"/>
              <w:jc w:val="center"/>
              <w:rPr/>
            </w:pPr>
            <w:r>
              <w:rPr/>
              <w:t> </w:t>
            </w:r>
          </w:p>
        </w:tc>
        <w:tc>
          <w:tcPr>
            <w:tcW w:w="886" w:type="dxa"/>
            <w:tcBorders/>
            <w:tcMar>
              <w:bottom w:w="0" w:type="dxa"/>
            </w:tcMar>
            <w:vAlign w:val="center"/>
          </w:tcPr>
          <w:p>
            <w:pPr>
              <w:pStyle w:val="TableContents"/>
              <w:bidi w:val="0"/>
              <w:spacing w:before="0" w:after="283"/>
              <w:jc w:val="center"/>
              <w:rPr>
                <w:sz w:val="20"/>
              </w:rPr>
            </w:pPr>
            <w:r>
              <w:rPr>
                <w:sz w:val="20"/>
              </w:rPr>
              <w:t>(29)</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21</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w:anchor="feimex21.htm">
              <w:r>
                <w:rPr>
                  <w:rStyle w:val="InternetLink"/>
                  <w:sz w:val="20"/>
                </w:rPr>
                <w:t>List of Subsidiaries of Registrant</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23.1</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hyperlink w:anchor="feimex23-1.htm">
              <w:r>
                <w:rPr>
                  <w:rStyle w:val="InternetLink"/>
                  <w:strike w:val="false"/>
                  <w:dstrike w:val="false"/>
                  <w:sz w:val="20"/>
                  <w:u w:val="none"/>
                  <w:effect w:val="none"/>
                </w:rPr>
                <w:t>Consent of GRANT THORNTON LLP</w:t>
              </w:r>
            </w:hyperlink>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03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31.1</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hyperlink w:anchor="feimex31-1.htm">
              <w:r>
                <w:rPr>
                  <w:rStyle w:val="InternetLink"/>
                  <w:sz w:val="20"/>
                </w:rPr>
                <w:t>Certification of the Chief Executive Officer pursuant to Section 302 of the Sarbanes-Oxley Act of 2002</w:t>
              </w:r>
            </w:hyperlink>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038"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both"/>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31.2</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hyperlink w:anchor="feimex31-2.htm">
              <w:r>
                <w:rPr>
                  <w:rStyle w:val="InternetLink"/>
                  <w:sz w:val="20"/>
                </w:rPr>
                <w:t>Certification of the Chief Financial Officer pursuant to Section 302 of the Sarbanes-Oxley Act of 2002</w:t>
              </w:r>
            </w:hyperlink>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03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32</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hyperlink w:anchor="feimex32.htm">
              <w:r>
                <w:rPr>
                  <w:rStyle w:val="InternetLink"/>
                  <w:sz w:val="20"/>
                </w:rPr>
                <w:t>Certifications of the Chief Executive Officer and Chief Financial Officer pursuant to Section 906 of the Sarbanes-Oxley Act of 2002</w:t>
              </w:r>
            </w:hyperlink>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Filed herewith</w:t>
            </w:r>
          </w:p>
        </w:tc>
      </w:tr>
      <w:tr>
        <w:trPr/>
        <w:tc>
          <w:tcPr>
            <w:tcW w:w="103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97</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hyperlink r:id="rId15">
              <w:r>
                <w:rPr>
                  <w:rStyle w:val="InternetLink"/>
                  <w:sz w:val="20"/>
                </w:rPr>
                <w:t>Frequency Electronics, Inc. Clawback Policy</w:t>
              </w:r>
            </w:hyperlink>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sz w:val="20"/>
              </w:rPr>
            </w:pPr>
            <w:r>
              <w:rPr>
                <w:sz w:val="20"/>
              </w:rPr>
              <w:t>(26)</w:t>
            </w:r>
          </w:p>
        </w:tc>
      </w:tr>
      <w:tr>
        <w:trPr/>
        <w:tc>
          <w:tcPr>
            <w:tcW w:w="103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101</w:t>
            </w:r>
          </w:p>
        </w:tc>
        <w:tc>
          <w:tcPr>
            <w:tcW w:w="90" w:type="dxa"/>
            <w:tcBorders/>
            <w:tcMar>
              <w:bottom w:w="0" w:type="dxa"/>
            </w:tcMar>
            <w:vAlign w:val="center"/>
          </w:tcPr>
          <w:p>
            <w:pPr>
              <w:pStyle w:val="TableContents"/>
              <w:bidi w:val="0"/>
              <w:spacing w:before="0" w:after="283"/>
              <w:jc w:val="both"/>
              <w:rPr/>
            </w:pPr>
            <w:r>
              <w:rPr/>
              <w:t> </w:t>
            </w:r>
          </w:p>
        </w:tc>
        <w:tc>
          <w:tcPr>
            <w:tcW w:w="8101" w:type="dxa"/>
            <w:tcBorders/>
            <w:tcMar>
              <w:bottom w:w="0" w:type="dxa"/>
            </w:tcMar>
            <w:vAlign w:val="center"/>
          </w:tcPr>
          <w:p>
            <w:pPr>
              <w:pStyle w:val="TableContents"/>
              <w:bidi w:val="0"/>
              <w:spacing w:before="0" w:after="283"/>
              <w:jc w:val="both"/>
              <w:rPr>
                <w:sz w:val="20"/>
              </w:rPr>
            </w:pPr>
            <w:r>
              <w:rPr>
                <w:sz w:val="20"/>
              </w:rPr>
              <w:t>The following materials from the Frequency Electronics, Inc. Annual Report on Form 10-K for the fiscal year ended April 30, 2026 formatted in Inline eXtensible Business Reporting Language (XBRL): (i) Consolidated Balance Sheets, (ii) Consolidated Statements of Operations, (iii) Consolidated Statements of Cash Flows, (iv) Consolidated Statements of Changes in Stockholders’ Equity and (v) Notes to Consolidated Financial Statements</w:t>
            </w:r>
          </w:p>
        </w:tc>
        <w:tc>
          <w:tcPr>
            <w:tcW w:w="90" w:type="dxa"/>
            <w:tcBorders/>
            <w:tcMar>
              <w:bottom w:w="0" w:type="dxa"/>
            </w:tcMar>
            <w:vAlign w:val="center"/>
          </w:tcPr>
          <w:p>
            <w:pPr>
              <w:pStyle w:val="TableContents"/>
              <w:bidi w:val="0"/>
              <w:spacing w:before="0" w:after="283"/>
              <w:jc w:val="both"/>
              <w:rPr/>
            </w:pPr>
            <w:r>
              <w:rPr/>
              <w:t> </w:t>
            </w:r>
          </w:p>
        </w:tc>
        <w:tc>
          <w:tcPr>
            <w:tcW w:w="886" w:type="dxa"/>
            <w:tcBorders/>
            <w:tcMar>
              <w:bottom w:w="0" w:type="dxa"/>
            </w:tcMar>
            <w:vAlign w:val="center"/>
          </w:tcPr>
          <w:p>
            <w:pPr>
              <w:pStyle w:val="TableContents"/>
              <w:bidi w:val="0"/>
              <w:spacing w:before="0" w:after="283"/>
              <w:jc w:val="center"/>
              <w:rPr/>
            </w:pPr>
            <w:r>
              <w:rPr/>
              <w:t> </w:t>
            </w:r>
          </w:p>
        </w:tc>
      </w:tr>
      <w:tr>
        <w:trPr/>
        <w:tc>
          <w:tcPr>
            <w:tcW w:w="103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r>
        <w:trPr/>
        <w:tc>
          <w:tcPr>
            <w:tcW w:w="1038" w:type="dxa"/>
            <w:tcBorders/>
            <w:tcMar>
              <w:bottom w:w="0" w:type="dxa"/>
            </w:tcMar>
            <w:vAlign w:val="center"/>
          </w:tcPr>
          <w:p>
            <w:pPr>
              <w:pStyle w:val="TableContents"/>
              <w:bidi w:val="0"/>
              <w:spacing w:before="0" w:after="283"/>
              <w:jc w:val="center"/>
              <w:rPr>
                <w:sz w:val="20"/>
              </w:rPr>
            </w:pPr>
            <w:r>
              <w:rPr>
                <w:sz w:val="20"/>
              </w:rPr>
              <w:t>104</w:t>
            </w:r>
          </w:p>
        </w:tc>
        <w:tc>
          <w:tcPr>
            <w:tcW w:w="90" w:type="dxa"/>
            <w:tcBorders/>
            <w:tcMar>
              <w:bottom w:w="0" w:type="dxa"/>
            </w:tcMar>
            <w:vAlign w:val="center"/>
          </w:tcPr>
          <w:p>
            <w:pPr>
              <w:pStyle w:val="TableContents"/>
              <w:bidi w:val="0"/>
              <w:spacing w:before="0" w:after="283"/>
              <w:jc w:val="left"/>
              <w:rPr/>
            </w:pPr>
            <w:r>
              <w:rPr/>
              <w:t> </w:t>
            </w:r>
          </w:p>
        </w:tc>
        <w:tc>
          <w:tcPr>
            <w:tcW w:w="8101" w:type="dxa"/>
            <w:tcBorders/>
            <w:tcMar>
              <w:bottom w:w="0" w:type="dxa"/>
            </w:tcMar>
            <w:vAlign w:val="center"/>
          </w:tcPr>
          <w:p>
            <w:pPr>
              <w:pStyle w:val="TableContents"/>
              <w:bidi w:val="0"/>
              <w:spacing w:before="0" w:after="283"/>
              <w:jc w:val="both"/>
              <w:rPr>
                <w:sz w:val="20"/>
              </w:rPr>
            </w:pPr>
            <w:r>
              <w:rPr>
                <w:sz w:val="20"/>
              </w:rPr>
              <w:t>Cover Page Interaction Data File (formatted as inline XBRL and contained in Exhibit 101)</w:t>
            </w:r>
          </w:p>
        </w:tc>
        <w:tc>
          <w:tcPr>
            <w:tcW w:w="90" w:type="dxa"/>
            <w:tcBorders/>
            <w:tcMar>
              <w:bottom w:w="0" w:type="dxa"/>
            </w:tcMar>
            <w:vAlign w:val="center"/>
          </w:tcPr>
          <w:p>
            <w:pPr>
              <w:pStyle w:val="TableContents"/>
              <w:bidi w:val="0"/>
              <w:spacing w:before="0" w:after="283"/>
              <w:jc w:val="left"/>
              <w:rPr/>
            </w:pPr>
            <w:r>
              <w:rPr/>
              <w:t> </w:t>
            </w:r>
          </w:p>
        </w:tc>
        <w:tc>
          <w:tcPr>
            <w:tcW w:w="88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170"/>
        <w:gridCol w:w="683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pPr>
            <w:r>
              <w:rPr/>
              <w:t>Denoted compensatory plans or arrangements or management contracts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both"/>
              <w:rPr>
                <w:sz w:val="20"/>
              </w:rPr>
            </w:pPr>
            <w:r>
              <w:rPr>
                <w:sz w:val="20"/>
              </w:rPr>
              <w:t>(1)</w:t>
            </w:r>
          </w:p>
        </w:tc>
        <w:tc>
          <w:tcPr>
            <w:tcW w:w="9938" w:type="dxa"/>
            <w:tcBorders/>
            <w:vAlign w:val="center"/>
          </w:tcPr>
          <w:p>
            <w:pPr>
              <w:pStyle w:val="TableContents"/>
              <w:bidi w:val="0"/>
              <w:spacing w:before="0" w:after="283"/>
              <w:jc w:val="both"/>
              <w:rPr>
                <w:sz w:val="20"/>
              </w:rPr>
            </w:pPr>
            <w:r>
              <w:rPr>
                <w:sz w:val="20"/>
              </w:rPr>
              <w:t>Filed with the SEC as an exhibit, numbered as indicated above, to the registration statement of Registrant on Form S-1, File No. 2-29609, which exhibit is incorporated herein by reference.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both"/>
              <w:rPr>
                <w:sz w:val="20"/>
              </w:rPr>
            </w:pPr>
            <w:r>
              <w:rPr>
                <w:sz w:val="20"/>
              </w:rPr>
              <w:t>(2)</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(3)</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(4)</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(5)</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(6)</w:t>
            </w:r>
          </w:p>
        </w:tc>
        <w:tc>
          <w:tcPr>
            <w:tcW w:w="9789" w:type="dxa"/>
            <w:tcBorders/>
            <w:vAlign w:val="center"/>
          </w:tcPr>
          <w:p>
            <w:pPr>
              <w:pStyle w:val="TableContents"/>
              <w:bidi w:val="0"/>
              <w:spacing w:before="0" w:after="283"/>
              <w:jc w:val="both"/>
              <w:rPr>
                <w:sz w:val="20"/>
              </w:rPr>
            </w:pPr>
            <w:r>
              <w:rPr>
                <w:sz w:val="20"/>
              </w:rPr>
              <w:t>Filed with the SEC as Exhibit 10.16 to the annual report of Registrant on Form 10-K, File No. 1-8061, for the fiscal year ended April 30, 1986,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(7)</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(8)</w:t>
            </w:r>
          </w:p>
        </w:tc>
        <w:tc>
          <w:tcPr>
            <w:tcW w:w="9789" w:type="dxa"/>
            <w:tcBorders/>
            <w:vAlign w:val="center"/>
          </w:tcPr>
          <w:p>
            <w:pPr>
              <w:pStyle w:val="TableContents"/>
              <w:bidi w:val="0"/>
              <w:spacing w:before="0" w:after="283"/>
              <w:jc w:val="both"/>
              <w:rPr>
                <w:sz w:val="20"/>
              </w:rPr>
            </w:pPr>
            <w:r>
              <w:rPr>
                <w:sz w:val="20"/>
              </w:rPr>
              <w:t>Filed with the SEC as Exhibit 10.24 to the annual report of Registrant on Form 10-K, File No. 1-8061, for the fiscal year ended April 30, 1988,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(9)</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(10)</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(11)</w:t>
            </w:r>
          </w:p>
        </w:tc>
        <w:tc>
          <w:tcPr>
            <w:tcW w:w="9789" w:type="dxa"/>
            <w:tcBorders/>
            <w:vAlign w:val="center"/>
          </w:tcPr>
          <w:p>
            <w:pPr>
              <w:pStyle w:val="TableContents"/>
              <w:bidi w:val="0"/>
              <w:spacing w:before="0" w:after="283"/>
              <w:jc w:val="both"/>
              <w:rPr>
                <w:sz w:val="20"/>
              </w:rPr>
            </w:pPr>
            <w:r>
              <w:rPr>
                <w:sz w:val="20"/>
              </w:rPr>
              <w:t>Filed with the SEC as Exhibit 2.1 to the current report of Registrant on Form 8-K, File No. 1-8061, on February 27, 2012,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(12)</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(13)</w:t>
            </w:r>
          </w:p>
        </w:tc>
        <w:tc>
          <w:tcPr>
            <w:tcW w:w="9789" w:type="dxa"/>
            <w:tcBorders/>
            <w:vAlign w:val="center"/>
          </w:tcPr>
          <w:p>
            <w:pPr>
              <w:pStyle w:val="TableContents"/>
              <w:bidi w:val="0"/>
              <w:spacing w:before="0" w:after="283"/>
              <w:jc w:val="both"/>
              <w:rPr>
                <w:sz w:val="20"/>
              </w:rPr>
            </w:pPr>
            <w:r>
              <w:rPr>
                <w:sz w:val="20"/>
              </w:rPr>
              <w:t>Filed with the SEC as Exhibit 3.1 to a current report of the Registrant on Form 8-K, File No. 1-8061, on June 25, 2020,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(14)</w:t>
            </w:r>
          </w:p>
        </w:tc>
        <w:tc>
          <w:tcPr>
            <w:tcW w:w="9789" w:type="dxa"/>
            <w:tcBorders/>
            <w:vAlign w:val="center"/>
          </w:tcPr>
          <w:p>
            <w:pPr>
              <w:pStyle w:val="TableContents"/>
              <w:bidi w:val="0"/>
              <w:spacing w:before="0" w:after="283"/>
              <w:jc w:val="both"/>
              <w:rPr>
                <w:sz w:val="20"/>
              </w:rPr>
            </w:pPr>
            <w:r>
              <w:rPr>
                <w:sz w:val="20"/>
              </w:rPr>
              <w:t>Filed with the SEC as Exhibit 10.1 to a current report of the Registrant on Form 8-K, File No. 1-8061, on September 16, 2016,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(15)</w:t>
            </w:r>
          </w:p>
        </w:tc>
        <w:tc>
          <w:tcPr>
            <w:tcW w:w="9789" w:type="dxa"/>
            <w:tcBorders/>
            <w:vAlign w:val="center"/>
          </w:tcPr>
          <w:p>
            <w:pPr>
              <w:pStyle w:val="TableContents"/>
              <w:bidi w:val="0"/>
              <w:spacing w:before="0" w:after="283"/>
              <w:jc w:val="both"/>
              <w:rPr>
                <w:sz w:val="20"/>
              </w:rPr>
            </w:pPr>
            <w:r>
              <w:rPr>
                <w:sz w:val="20"/>
              </w:rPr>
              <w:t>Filed with the SEC as Exhibit 10.13 to the annual report of Registrant on Form 10-K, File No. 1-8061, for the fiscal year ended April 30, 1998,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(16)</w:t>
            </w:r>
          </w:p>
        </w:tc>
        <w:tc>
          <w:tcPr>
            <w:tcW w:w="9789" w:type="dxa"/>
            <w:tcBorders/>
            <w:vAlign w:val="center"/>
          </w:tcPr>
          <w:p>
            <w:pPr>
              <w:pStyle w:val="TableContents"/>
              <w:bidi w:val="0"/>
              <w:spacing w:before="0" w:after="283"/>
              <w:jc w:val="both"/>
              <w:rPr>
                <w:sz w:val="20"/>
              </w:rPr>
            </w:pPr>
            <w:r>
              <w:rPr>
                <w:sz w:val="20"/>
              </w:rPr>
              <w:t>Filed with the SEC as Exhibit 10.1 to a current report of the Registrant on Form 8-K, File No. 1-8061, on October 4, 2005,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(17)</w:t>
            </w:r>
          </w:p>
        </w:tc>
        <w:tc>
          <w:tcPr>
            <w:tcW w:w="9789" w:type="dxa"/>
            <w:tcBorders/>
            <w:vAlign w:val="center"/>
          </w:tcPr>
          <w:p>
            <w:pPr>
              <w:pStyle w:val="TableContents"/>
              <w:bidi w:val="0"/>
              <w:spacing w:before="0" w:after="283"/>
              <w:jc w:val="both"/>
              <w:rPr>
                <w:sz w:val="20"/>
              </w:rPr>
            </w:pPr>
            <w:r>
              <w:rPr>
                <w:sz w:val="20"/>
              </w:rPr>
              <w:t>Filed with the SEC as Exhibit 10.13 to the annual report of Registrant on Form 10-K, File No. 1-8061, for the fiscal year ended April 30, 2018,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(18)</w:t>
            </w:r>
          </w:p>
        </w:tc>
        <w:tc>
          <w:tcPr>
            <w:tcW w:w="9789" w:type="dxa"/>
            <w:tcBorders/>
            <w:vAlign w:val="center"/>
          </w:tcPr>
          <w:p>
            <w:pPr>
              <w:pStyle w:val="TableContents"/>
              <w:bidi w:val="0"/>
              <w:spacing w:before="0" w:after="283"/>
              <w:jc w:val="both"/>
              <w:rPr>
                <w:sz w:val="20"/>
              </w:rPr>
            </w:pPr>
            <w:r>
              <w:rPr>
                <w:sz w:val="20"/>
              </w:rPr>
              <w:t>Filed with the SEC as Exhibit 10.17 to Amendment No. 1 on Form 10-K/A to the annual report of Registrant on Form 10-K, File No. 1-8061, for the fiscal year ended April 30, 2018,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(19)</w:t>
            </w:r>
          </w:p>
        </w:tc>
        <w:tc>
          <w:tcPr>
            <w:tcW w:w="9789" w:type="dxa"/>
            <w:tcBorders/>
            <w:vAlign w:val="center"/>
          </w:tcPr>
          <w:p>
            <w:pPr>
              <w:pStyle w:val="TableContents"/>
              <w:bidi w:val="0"/>
              <w:spacing w:before="0" w:after="283"/>
              <w:jc w:val="both"/>
              <w:rPr>
                <w:sz w:val="20"/>
              </w:rPr>
            </w:pPr>
            <w:r>
              <w:rPr>
                <w:sz w:val="20"/>
              </w:rPr>
              <w:t>Filed with the SEC as Exhibit 10.18 to Amendment No. 1 on Form 10-K/A to the annual report of Registrant on Form 10-K, File No. 1-8061, for the fiscal year ended April 30, 2018,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(20)</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(21)</w:t>
            </w:r>
          </w:p>
        </w:tc>
        <w:tc>
          <w:tcPr>
            <w:tcW w:w="9789" w:type="dxa"/>
            <w:tcBorders/>
            <w:vAlign w:val="center"/>
          </w:tcPr>
          <w:p>
            <w:pPr>
              <w:pStyle w:val="TableContents"/>
              <w:bidi w:val="0"/>
              <w:spacing w:before="0" w:after="283"/>
              <w:jc w:val="both"/>
              <w:rPr>
                <w:sz w:val="20"/>
              </w:rPr>
            </w:pPr>
            <w:r>
              <w:rPr>
                <w:sz w:val="20"/>
              </w:rPr>
              <w:t>Filed with the SEC as Exhibit 10.11 to the annual report of the Registrant on Form 10-K, File No. 1-8061, for the year ended April 30, 2019,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(22)</w:t>
            </w:r>
          </w:p>
        </w:tc>
        <w:tc>
          <w:tcPr>
            <w:tcW w:w="9789" w:type="dxa"/>
            <w:tcBorders/>
            <w:vAlign w:val="center"/>
          </w:tcPr>
          <w:p>
            <w:pPr>
              <w:pStyle w:val="TableContents"/>
              <w:bidi w:val="0"/>
              <w:spacing w:before="0" w:after="283"/>
              <w:jc w:val="both"/>
              <w:rPr>
                <w:sz w:val="20"/>
              </w:rPr>
            </w:pPr>
            <w:r>
              <w:rPr>
                <w:sz w:val="20"/>
              </w:rPr>
              <w:t>[Intentionally Omitted]</w:t>
            </w:r>
          </w:p>
        </w:tc>
      </w:tr>
      <w:tr>
        <w:trPr/>
        <w:tc>
          <w:tcPr>
            <w:tcW w:w="416" w:type="dxa"/>
            <w:tcBorders/>
            <w:vAlign w:val="center"/>
          </w:tcPr>
          <w:p>
            <w:pPr>
              <w:pStyle w:val="TableContents"/>
              <w:bidi w:val="0"/>
              <w:spacing w:before="0" w:after="283"/>
              <w:jc w:val="both"/>
              <w:rPr>
                <w:sz w:val="20"/>
              </w:rPr>
            </w:pPr>
            <w:r>
              <w:rPr>
                <w:sz w:val="20"/>
              </w:rPr>
              <w:t>(23)</w:t>
            </w:r>
          </w:p>
        </w:tc>
        <w:tc>
          <w:tcPr>
            <w:tcW w:w="9789" w:type="dxa"/>
            <w:tcBorders/>
            <w:vAlign w:val="center"/>
          </w:tcPr>
          <w:p>
            <w:pPr>
              <w:pStyle w:val="TableContents"/>
              <w:bidi w:val="0"/>
              <w:spacing w:before="0" w:after="283"/>
              <w:jc w:val="both"/>
              <w:rPr>
                <w:sz w:val="20"/>
              </w:rPr>
            </w:pPr>
            <w:r>
              <w:rPr>
                <w:sz w:val="20"/>
              </w:rPr>
              <w:t>Filed with the SEC as Exhibit 10.11 to the annual report of the Registrant on Form 10-K, File No. 1-8061, for the fiscal year ended April 30, 2020, which exhibit is incorporated herein by reference.</w:t>
            </w:r>
          </w:p>
        </w:tc>
      </w:tr>
      <w:tr>
        <w:trPr/>
        <w:tc>
          <w:tcPr>
            <w:tcW w:w="416" w:type="dxa"/>
            <w:tcBorders/>
            <w:vAlign w:val="center"/>
          </w:tcPr>
          <w:p>
            <w:pPr>
              <w:pStyle w:val="TableContents"/>
              <w:bidi w:val="0"/>
              <w:spacing w:before="0" w:after="283"/>
              <w:jc w:val="both"/>
              <w:rPr>
                <w:sz w:val="20"/>
              </w:rPr>
            </w:pPr>
            <w:r>
              <w:rPr>
                <w:sz w:val="20"/>
              </w:rPr>
              <w:t>(24)</w:t>
            </w:r>
          </w:p>
        </w:tc>
        <w:tc>
          <w:tcPr>
            <w:tcW w:w="9789" w:type="dxa"/>
            <w:tcBorders/>
            <w:vAlign w:val="center"/>
          </w:tcPr>
          <w:p>
            <w:pPr>
              <w:pStyle w:val="TableContents"/>
              <w:bidi w:val="0"/>
              <w:spacing w:before="0" w:after="283"/>
              <w:jc w:val="both"/>
              <w:rPr>
                <w:sz w:val="20"/>
              </w:rPr>
            </w:pPr>
            <w:r>
              <w:rPr>
                <w:sz w:val="20"/>
              </w:rPr>
              <w:t>Filed with the SEC as Exhibit 4.2 to the annual report of the Registrant on Form 10-K, File No. 1-8061, for the fiscal year ended April 30, 2021, which exhibit is incorporated herein by reference.</w:t>
            </w:r>
          </w:p>
        </w:tc>
      </w:tr>
      <w:tr>
        <w:trPr/>
        <w:tc>
          <w:tcPr>
            <w:tcW w:w="416" w:type="dxa"/>
            <w:tcBorders/>
            <w:vAlign w:val="center"/>
          </w:tcPr>
          <w:p>
            <w:pPr>
              <w:pStyle w:val="TableContents"/>
              <w:bidi w:val="0"/>
              <w:spacing w:before="0" w:after="283"/>
              <w:jc w:val="left"/>
              <w:rPr>
                <w:sz w:val="20"/>
              </w:rPr>
            </w:pPr>
            <w:r>
              <w:rPr>
                <w:sz w:val="20"/>
              </w:rPr>
              <w:t>(25)</w:t>
            </w:r>
          </w:p>
        </w:tc>
        <w:tc>
          <w:tcPr>
            <w:tcW w:w="9789" w:type="dxa"/>
            <w:tcBorders/>
            <w:vAlign w:val="center"/>
          </w:tcPr>
          <w:p>
            <w:pPr>
              <w:pStyle w:val="TableContents"/>
              <w:bidi w:val="0"/>
              <w:spacing w:before="0" w:after="283"/>
              <w:jc w:val="both"/>
              <w:rPr>
                <w:sz w:val="20"/>
              </w:rPr>
            </w:pPr>
            <w:r>
              <w:rPr>
                <w:sz w:val="20"/>
              </w:rPr>
              <w:t>Filed with the SEC as Exhibit 10.1 to a current report of the Registrant on Form 8-K, File No. 1-8061, on October 9, 2024, which exhibit is incorporated herein by reference.</w:t>
            </w:r>
          </w:p>
        </w:tc>
      </w:tr>
      <w:tr>
        <w:trPr/>
        <w:tc>
          <w:tcPr>
            <w:tcW w:w="416" w:type="dxa"/>
            <w:tcBorders/>
            <w:vAlign w:val="center"/>
          </w:tcPr>
          <w:p>
            <w:pPr>
              <w:pStyle w:val="TableContents"/>
              <w:bidi w:val="0"/>
              <w:spacing w:before="0" w:after="283"/>
              <w:jc w:val="left"/>
              <w:rPr>
                <w:sz w:val="20"/>
              </w:rPr>
            </w:pPr>
            <w:r>
              <w:rPr>
                <w:sz w:val="20"/>
              </w:rPr>
              <w:t>(26)</w:t>
            </w:r>
          </w:p>
        </w:tc>
        <w:tc>
          <w:tcPr>
            <w:tcW w:w="9789" w:type="dxa"/>
            <w:tcBorders/>
            <w:vAlign w:val="center"/>
          </w:tcPr>
          <w:p>
            <w:pPr>
              <w:pStyle w:val="TableContents"/>
              <w:bidi w:val="0"/>
              <w:spacing w:before="0" w:after="283"/>
              <w:jc w:val="both"/>
              <w:rPr>
                <w:sz w:val="20"/>
              </w:rPr>
            </w:pPr>
            <w:r>
              <w:rPr>
                <w:sz w:val="20"/>
              </w:rPr>
              <w:t>Filed with the SEC as Exhibit 97 to the annual report of the Registrant on Form 10-K, File No. 1-8061, for the year ended April 30, 2024, which exhibit is incorporated herein by reference.</w:t>
            </w:r>
          </w:p>
        </w:tc>
      </w:tr>
      <w:tr>
        <w:trPr/>
        <w:tc>
          <w:tcPr>
            <w:tcW w:w="416" w:type="dxa"/>
            <w:tcBorders/>
            <w:vAlign w:val="center"/>
          </w:tcPr>
          <w:p>
            <w:pPr>
              <w:pStyle w:val="TableContents"/>
              <w:bidi w:val="0"/>
              <w:spacing w:before="0" w:after="283"/>
              <w:jc w:val="left"/>
              <w:rPr>
                <w:sz w:val="20"/>
              </w:rPr>
            </w:pPr>
            <w:r>
              <w:rPr>
                <w:sz w:val="20"/>
              </w:rPr>
              <w:t>(27)</w:t>
            </w:r>
          </w:p>
        </w:tc>
        <w:tc>
          <w:tcPr>
            <w:tcW w:w="9789" w:type="dxa"/>
            <w:tcBorders/>
            <w:vAlign w:val="center"/>
          </w:tcPr>
          <w:p>
            <w:pPr>
              <w:pStyle w:val="TableContents"/>
              <w:bidi w:val="0"/>
              <w:spacing w:before="0" w:after="283"/>
              <w:jc w:val="both"/>
              <w:rPr>
                <w:sz w:val="20"/>
              </w:rPr>
            </w:pPr>
            <w:r>
              <w:rPr>
                <w:sz w:val="20"/>
              </w:rPr>
              <w:t>Filed with the SEC as Exhibit 10.1 to a current report of the Registrant on Form 8-K, File No. 1-8061, on June 12, 2026, which exhibit is incorporated herein by reference.</w:t>
            </w:r>
          </w:p>
        </w:tc>
      </w:tr>
      <w:tr>
        <w:trPr/>
        <w:tc>
          <w:tcPr>
            <w:tcW w:w="416" w:type="dxa"/>
            <w:tcBorders/>
            <w:vAlign w:val="center"/>
          </w:tcPr>
          <w:p>
            <w:pPr>
              <w:pStyle w:val="TableContents"/>
              <w:bidi w:val="0"/>
              <w:spacing w:before="0" w:after="283"/>
              <w:jc w:val="left"/>
              <w:rPr>
                <w:sz w:val="20"/>
              </w:rPr>
            </w:pPr>
            <w:r>
              <w:rPr>
                <w:sz w:val="20"/>
              </w:rPr>
              <w:t>(28)</w:t>
            </w:r>
          </w:p>
        </w:tc>
        <w:tc>
          <w:tcPr>
            <w:tcW w:w="9789" w:type="dxa"/>
            <w:tcBorders/>
            <w:vAlign w:val="center"/>
          </w:tcPr>
          <w:p>
            <w:pPr>
              <w:pStyle w:val="TableContents"/>
              <w:bidi w:val="0"/>
              <w:spacing w:before="0" w:after="283"/>
              <w:jc w:val="both"/>
              <w:rPr>
                <w:sz w:val="20"/>
              </w:rPr>
            </w:pPr>
            <w:r>
              <w:rPr>
                <w:sz w:val="20"/>
              </w:rPr>
              <w:t>Filed with the SEC as Exhibit 10.2 to a current report of the Registrant on Form 8-K, File No. 1-8061, on June 12, 2026, which exhibit is incorporated herein by reference.</w:t>
            </w:r>
          </w:p>
        </w:tc>
      </w:tr>
      <w:tr>
        <w:trPr/>
        <w:tc>
          <w:tcPr>
            <w:tcW w:w="416" w:type="dxa"/>
            <w:tcBorders/>
            <w:vAlign w:val="center"/>
          </w:tcPr>
          <w:p>
            <w:pPr>
              <w:pStyle w:val="TableContents"/>
              <w:bidi w:val="0"/>
              <w:spacing w:before="0" w:after="283"/>
              <w:jc w:val="left"/>
              <w:rPr/>
            </w:pPr>
            <w:r>
              <w:rPr/>
              <w:t>(29)</w:t>
            </w:r>
          </w:p>
        </w:tc>
        <w:tc>
          <w:tcPr>
            <w:tcW w:w="9789" w:type="dxa"/>
            <w:tcBorders/>
            <w:vAlign w:val="center"/>
          </w:tcPr>
          <w:p>
            <w:pPr>
              <w:pStyle w:val="TableContents"/>
              <w:bidi w:val="0"/>
              <w:spacing w:before="0" w:after="283"/>
              <w:jc w:val="both"/>
              <w:rPr/>
            </w:pPr>
            <w:r>
              <w:rPr/>
              <w:t>Filed with the SEC as Exhibit 19 to the annual report of the Registrant on Form 10-K, File No. 1-8061, for the year ended April 30, 2025, which exhibit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 w:name="a_023"/>
      <w:bookmarkEnd w:id="31"/>
      <w:r>
        <w:rPr>
          <w:rFonts w:ascii="Times New Roman;Times;Serif" w:hAnsi="Times New Roman;Times;Serif"/>
          <w:b w:val="false"/>
          <w:i w:val="false"/>
          <w:caps w:val="false"/>
          <w:smallCaps w:val="false"/>
          <w:sz w:val="20"/>
          <w:u w:val="single"/>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2" w:name="a_024"/>
      <w:bookmarkEnd w:id="32"/>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05"/>
        <w:gridCol w:w="440"/>
        <w:gridCol w:w="3935"/>
      </w:tblGrid>
      <w:tr>
        <w:trPr/>
        <w:tc>
          <w:tcPr>
            <w:tcW w:w="105" w:type="dxa"/>
            <w:tcBorders/>
            <w:vAlign w:val="center"/>
          </w:tcPr>
          <w:p>
            <w:pPr>
              <w:pStyle w:val="TableContents"/>
              <w:bidi w:val="0"/>
              <w:spacing w:before="0" w:after="283"/>
              <w:jc w:val="left"/>
              <w:rPr/>
            </w:pPr>
            <w:r>
              <w:rPr/>
              <w:t> </w:t>
            </w:r>
          </w:p>
        </w:tc>
        <w:tc>
          <w:tcPr>
            <w:tcW w:w="4375" w:type="dxa"/>
            <w:gridSpan w:val="2"/>
            <w:tcBorders/>
            <w:vAlign w:val="center"/>
          </w:tcPr>
          <w:p>
            <w:pPr>
              <w:pStyle w:val="TableContents"/>
              <w:bidi w:val="0"/>
              <w:spacing w:before="0" w:after="283"/>
              <w:jc w:val="left"/>
              <w:rPr>
                <w:b/>
                <w:sz w:val="20"/>
              </w:rPr>
            </w:pPr>
            <w:r>
              <w:rPr>
                <w:b/>
                <w:sz w:val="20"/>
              </w:rPr>
              <w:t>FREQUENCY ELECTRONICS, INC.</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20"/>
              </w:rPr>
            </w:pPr>
            <w:r>
              <w:rPr>
                <w:sz w:val="20"/>
              </w:rPr>
              <w:t>By:  </w:t>
            </w:r>
          </w:p>
        </w:tc>
        <w:tc>
          <w:tcPr>
            <w:tcW w:w="39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McClelland</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20"/>
              </w:rPr>
            </w:pPr>
            <w:r>
              <w:rPr>
                <w:sz w:val="20"/>
              </w:rPr>
              <w:t>Thomas McClelland</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20"/>
              </w:rPr>
            </w:pPr>
            <w:r>
              <w:rPr>
                <w:sz w:val="20"/>
              </w:rPr>
              <w:t>President and Chief Executive Officer</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(Principal Executive Officer)  </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20"/>
              </w:rPr>
            </w:pPr>
            <w:r>
              <w:rPr>
                <w:sz w:val="20"/>
              </w:rPr>
              <w:t>By:  </w:t>
            </w:r>
          </w:p>
        </w:tc>
        <w:tc>
          <w:tcPr>
            <w:tcW w:w="393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Steven L. Bernstein</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sz w:val="20"/>
              </w:rPr>
            </w:pPr>
            <w:r>
              <w:rPr>
                <w:sz w:val="20"/>
              </w:rPr>
              <w:t>Steven L. Bernstein</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sz w:val="20"/>
              </w:rPr>
            </w:pPr>
            <w:r>
              <w:rPr>
                <w:sz w:val="20"/>
              </w:rPr>
              <w:t>Chief Financial Officer, Secretary and Treasurer</w:t>
            </w:r>
          </w:p>
        </w:tc>
      </w:tr>
      <w:tr>
        <w:trPr/>
        <w:tc>
          <w:tcPr>
            <w:tcW w:w="10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firstLine="720"/>
        <w:jc w:val="both"/>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3470"/>
        <w:gridCol w:w="90"/>
        <w:gridCol w:w="4610"/>
        <w:gridCol w:w="90"/>
        <w:gridCol w:w="1385"/>
      </w:tblGrid>
      <w:tr>
        <w:trPr/>
        <w:tc>
          <w:tcPr>
            <w:tcW w:w="3470" w:type="dxa"/>
            <w:tcBorders>
              <w:bottom w:val="single" w:sz="8" w:space="0" w:color="000000"/>
            </w:tcBorders>
            <w:vAlign w:val="center"/>
          </w:tcPr>
          <w:p>
            <w:pPr>
              <w:pStyle w:val="TableContents"/>
              <w:bidi w:val="0"/>
              <w:spacing w:before="0" w:after="283"/>
              <w:jc w:val="center"/>
              <w:rPr>
                <w:b/>
              </w:rPr>
            </w:pPr>
            <w:r>
              <w:rPr>
                <w:b/>
              </w:rPr>
              <w:t>Signature</w:t>
            </w:r>
          </w:p>
        </w:tc>
        <w:tc>
          <w:tcPr>
            <w:tcW w:w="90" w:type="dxa"/>
            <w:tcBorders/>
            <w:tcMar>
              <w:bottom w:w="0" w:type="dxa"/>
            </w:tcMar>
            <w:vAlign w:val="center"/>
          </w:tcPr>
          <w:p>
            <w:pPr>
              <w:pStyle w:val="TableContents"/>
              <w:bidi w:val="0"/>
              <w:spacing w:before="0" w:after="283"/>
              <w:jc w:val="center"/>
              <w:rPr/>
            </w:pPr>
            <w:r>
              <w:rPr/>
              <w:t> </w:t>
            </w:r>
          </w:p>
        </w:tc>
        <w:tc>
          <w:tcPr>
            <w:tcW w:w="4610" w:type="dxa"/>
            <w:tcBorders>
              <w:bottom w:val="single" w:sz="8" w:space="0" w:color="000000"/>
            </w:tcBorders>
            <w:vAlign w:val="center"/>
          </w:tcPr>
          <w:p>
            <w:pPr>
              <w:pStyle w:val="TableContents"/>
              <w:bidi w:val="0"/>
              <w:spacing w:before="0" w:after="283"/>
              <w:jc w:val="center"/>
              <w:rPr>
                <w:b/>
              </w:rPr>
            </w:pPr>
            <w:r>
              <w:rPr>
                <w:b/>
              </w:rPr>
              <w:t>Title</w:t>
            </w:r>
          </w:p>
        </w:tc>
        <w:tc>
          <w:tcPr>
            <w:tcW w:w="90" w:type="dxa"/>
            <w:tcBorders/>
            <w:tcMar>
              <w:bottom w:w="0" w:type="dxa"/>
            </w:tcMar>
            <w:vAlign w:val="center"/>
          </w:tcPr>
          <w:p>
            <w:pPr>
              <w:pStyle w:val="TableContents"/>
              <w:bidi w:val="0"/>
              <w:spacing w:before="0" w:after="283"/>
              <w:jc w:val="center"/>
              <w:rPr/>
            </w:pPr>
            <w:r>
              <w:rPr/>
              <w:t> </w:t>
            </w:r>
          </w:p>
        </w:tc>
        <w:tc>
          <w:tcPr>
            <w:tcW w:w="1385" w:type="dxa"/>
            <w:tcBorders>
              <w:bottom w:val="single" w:sz="8" w:space="0" w:color="000000"/>
            </w:tcBorders>
            <w:vAlign w:val="center"/>
          </w:tcPr>
          <w:p>
            <w:pPr>
              <w:pStyle w:val="TableContents"/>
              <w:bidi w:val="0"/>
              <w:spacing w:before="0" w:after="283"/>
              <w:jc w:val="center"/>
              <w:rPr>
                <w:b/>
              </w:rPr>
            </w:pPr>
            <w:r>
              <w:rPr>
                <w:b/>
              </w:rPr>
              <w:t>Date</w:t>
            </w:r>
          </w:p>
        </w:tc>
      </w:tr>
      <w:tr>
        <w:trPr/>
        <w:tc>
          <w:tcPr>
            <w:tcW w:w="34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bottom w:val="single" w:sz="8" w:space="0" w:color="000000"/>
            </w:tcBorders>
            <w:vAlign w:val="center"/>
          </w:tcPr>
          <w:p>
            <w:pPr>
              <w:pStyle w:val="TableContents"/>
              <w:bidi w:val="0"/>
              <w:spacing w:before="0" w:after="283"/>
              <w:jc w:val="left"/>
              <w:rPr/>
            </w:pPr>
            <w:r>
              <w:rPr/>
              <w:t>/s/ Jonathan Brolin</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Lead 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July 16, 2026</w:t>
            </w:r>
          </w:p>
        </w:tc>
      </w:tr>
      <w:tr>
        <w:trPr/>
        <w:tc>
          <w:tcPr>
            <w:tcW w:w="3470" w:type="dxa"/>
            <w:tcBorders/>
            <w:tcMar>
              <w:bottom w:w="0" w:type="dxa"/>
            </w:tcMar>
            <w:vAlign w:val="center"/>
          </w:tcPr>
          <w:p>
            <w:pPr>
              <w:pStyle w:val="TableContents"/>
              <w:bidi w:val="0"/>
              <w:spacing w:before="0" w:after="283"/>
              <w:jc w:val="left"/>
              <w:rPr/>
            </w:pPr>
            <w:r>
              <w:rPr/>
              <w:t>Jonathan Brolin</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bottom w:val="single" w:sz="8" w:space="0" w:color="000000"/>
            </w:tcBorders>
            <w:vAlign w:val="center"/>
          </w:tcPr>
          <w:p>
            <w:pPr>
              <w:pStyle w:val="TableContents"/>
              <w:bidi w:val="0"/>
              <w:spacing w:before="0" w:after="283"/>
              <w:jc w:val="left"/>
              <w:rPr/>
            </w:pPr>
            <w:r>
              <w:rPr/>
              <w:t>/s/ Richard Schwartz</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July 16, 2026</w:t>
            </w:r>
          </w:p>
        </w:tc>
      </w:tr>
      <w:tr>
        <w:trPr/>
        <w:tc>
          <w:tcPr>
            <w:tcW w:w="3470" w:type="dxa"/>
            <w:tcBorders/>
            <w:tcMar>
              <w:bottom w:w="0" w:type="dxa"/>
            </w:tcMar>
            <w:vAlign w:val="center"/>
          </w:tcPr>
          <w:p>
            <w:pPr>
              <w:pStyle w:val="TableContents"/>
              <w:bidi w:val="0"/>
              <w:spacing w:before="0" w:after="283"/>
              <w:jc w:val="left"/>
              <w:rPr/>
            </w:pPr>
            <w:r>
              <w:rPr/>
              <w:t>Richard Schwartz</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bottom w:val="single" w:sz="8" w:space="0" w:color="000000"/>
            </w:tcBorders>
            <w:vAlign w:val="center"/>
          </w:tcPr>
          <w:p>
            <w:pPr>
              <w:pStyle w:val="TableContents"/>
              <w:bidi w:val="0"/>
              <w:spacing w:before="0" w:after="283"/>
              <w:jc w:val="left"/>
              <w:rPr/>
            </w:pPr>
            <w:r>
              <w:rPr/>
              <w:t>/s/ Russell M. Sarachek</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Chairman of the Board</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July 16, 2026</w:t>
            </w:r>
          </w:p>
        </w:tc>
      </w:tr>
      <w:tr>
        <w:trPr/>
        <w:tc>
          <w:tcPr>
            <w:tcW w:w="3470" w:type="dxa"/>
            <w:tcBorders/>
            <w:tcMar>
              <w:bottom w:w="0" w:type="dxa"/>
            </w:tcMar>
            <w:vAlign w:val="center"/>
          </w:tcPr>
          <w:p>
            <w:pPr>
              <w:pStyle w:val="TableContents"/>
              <w:bidi w:val="0"/>
              <w:spacing w:before="0" w:after="283"/>
              <w:jc w:val="left"/>
              <w:rPr/>
            </w:pPr>
            <w:r>
              <w:rPr/>
              <w:t>Russell M. Sarachek</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bottom w:val="single" w:sz="8" w:space="0" w:color="000000"/>
            </w:tcBorders>
            <w:vAlign w:val="center"/>
          </w:tcPr>
          <w:p>
            <w:pPr>
              <w:pStyle w:val="TableContents"/>
              <w:bidi w:val="0"/>
              <w:spacing w:before="0" w:after="283"/>
              <w:jc w:val="left"/>
              <w:rPr/>
            </w:pPr>
            <w:r>
              <w:rPr/>
              <w:t>/s/ GEN Lance W. Lord, USAF, ret</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July 16, 2026</w:t>
            </w:r>
          </w:p>
        </w:tc>
      </w:tr>
      <w:tr>
        <w:trPr/>
        <w:tc>
          <w:tcPr>
            <w:tcW w:w="3470" w:type="dxa"/>
            <w:tcBorders/>
            <w:tcMar>
              <w:bottom w:w="0" w:type="dxa"/>
            </w:tcMar>
            <w:vAlign w:val="center"/>
          </w:tcPr>
          <w:p>
            <w:pPr>
              <w:pStyle w:val="TableContents"/>
              <w:bidi w:val="0"/>
              <w:spacing w:before="0" w:after="283"/>
              <w:jc w:val="left"/>
              <w:rPr/>
            </w:pPr>
            <w:r>
              <w:rPr/>
              <w:t>Lance W. Lord</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470" w:type="dxa"/>
            <w:tcBorders>
              <w:bottom w:val="single" w:sz="8" w:space="0" w:color="000000"/>
            </w:tcBorders>
            <w:vAlign w:val="center"/>
          </w:tcPr>
          <w:p>
            <w:pPr>
              <w:pStyle w:val="TableContents"/>
              <w:bidi w:val="0"/>
              <w:spacing w:before="0" w:after="283"/>
              <w:jc w:val="left"/>
              <w:rPr/>
            </w:pPr>
            <w:r>
              <w:rPr/>
              <w:t>/s/ Thomas McClelland</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xml:space="preserve">Director, President and Chief Executive Officer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July 16, 2026</w:t>
            </w:r>
          </w:p>
        </w:tc>
      </w:tr>
      <w:tr>
        <w:trPr/>
        <w:tc>
          <w:tcPr>
            <w:tcW w:w="3470" w:type="dxa"/>
            <w:tcBorders/>
            <w:tcMar>
              <w:bottom w:w="0" w:type="dxa"/>
            </w:tcMar>
            <w:vAlign w:val="center"/>
          </w:tcPr>
          <w:p>
            <w:pPr>
              <w:pStyle w:val="TableContents"/>
              <w:bidi w:val="0"/>
              <w:spacing w:before="0" w:after="283"/>
              <w:jc w:val="left"/>
              <w:rPr/>
            </w:pPr>
            <w:r>
              <w:rPr/>
              <w:t>Thomas McClelland</w:t>
            </w:r>
          </w:p>
        </w:tc>
        <w:tc>
          <w:tcPr>
            <w:tcW w:w="90" w:type="dxa"/>
            <w:tcBorders/>
            <w:tcMar>
              <w:bottom w:w="0" w:type="dxa"/>
            </w:tcMar>
            <w:vAlign w:val="center"/>
          </w:tcPr>
          <w:p>
            <w:pPr>
              <w:pStyle w:val="TableContents"/>
              <w:bidi w:val="0"/>
              <w:spacing w:before="0" w:after="283"/>
              <w:jc w:val="left"/>
              <w:rPr/>
            </w:pPr>
            <w:r>
              <w:rPr/>
              <w:t> </w:t>
            </w:r>
          </w:p>
        </w:tc>
        <w:tc>
          <w:tcPr>
            <w:tcW w:w="4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ind w:left="0" w:right="0" w:hanging="0"/>
        <w:jc w:val="right"/>
        <w:rPr>
          <w:b/>
        </w:rPr>
      </w:pPr>
      <w:bookmarkStart w:id="33" w:name="feimex3-1.htm"/>
      <w:bookmarkStart w:id="34" w:name="ksfeimex31"/>
      <w:bookmarkEnd w:id="33"/>
      <w:bookmarkEnd w:id="34"/>
      <w:r>
        <w:rPr>
          <w:b/>
        </w:rPr>
        <w:t>Exhibit 3.1</w:t>
      </w:r>
      <w:r>
        <w:br w:type="page"/>
      </w:r>
    </w:p>
    <w:p>
      <w:pPr>
        <w:pStyle w:val="TextBody"/>
        <w:bidi w:val="0"/>
        <w:jc w:val="right"/>
        <w:rPr/>
      </w:pPr>
      <w:r>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CERTIFICATE OF INCORPORATION</w:t>
        <w:br/>
        <w:br/>
        <w:t>OF</w:t>
        <w:br/>
        <w:br/>
        <w:t>FREQUENCY ELECTRONICS,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 order to form a corporation for the purposes hereinafter stated, under and pursuant to the provisions of the General Corporation Law of the State of Delaware, does hereby certify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name of the corporation is Frequency Electronics,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registered office of the corporation is to be located at 129 South State Street, in the City of Dover, in the County of Kent, in the State of Delaware. The name of its registered agent at that address is the United States Corporation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purpose of the corporation is to engage in any lawful act or activity for which a corporation may be organized under the General Corporation Law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in any manner the scope and generality of the foregoing, it is hereby provided that the corporation shall have the following purposes, object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manufacture, construct, assemble, or otherwise produce, design, develop, repair, maintain and experiment with, purchase or otherwise acquire, own, use, sell, lease, pledge or otherwise dispose of, import, export, and trade and deal in and with, either as principal or agent, electronic, electrical, mechanical, metallurgical and chemical apparatus, components, devices, appliances, machinery, instruments, equipment and systems for all applications, particularly (but not by way of limitation) those related to the field of electronics.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carry on and promote investigations, research, experimentation and development of any kind whatsoever in the field or science of electronics, electricity, metallurgy, physics, chemistry and any of the other arts or sciences; to furnish engineering, technical and advisory services and to engage in and carry on a general consultative and development business, including designing, planning, construction, repairing or engaging in any work upon any and all inventions, devices, improvements, machines, mechanical contrivences, tools, articles and things, or in the parts or accessories thereof or therefor; to develop or assist in the development of patents, inventions and improvements, either for itself or for others, and to turn the same to account; to own, lease or otherwise acquire, use, or dispose of laboratories, plants, factories, or workshops, for experimenting, manufacturing and development purposes; to devise and improve upon inventions and mechanical or other devices of any and all kinds.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manufacture, produce, assemble, receive, lease or in any manner acquire, hold, own, use, operate, install, maintain, service, repair, process, alter, improve, import, export, sell, lease, assign, transfer and generally to trade and deal in and with raw materials, natural or manufactured articles or products, machinery, equipment, devices, systems, parts, supplies, apparatus, goods, wares, merchandise and personal property of every kind, nature or description, tangible or intangible, used or capable of being used for any purpose whatsoever; and to engage and participate in any mercantile, manufacturing or trading business of any kind or character.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manage, develop, sell, assign, transfer, lease, mortgage, pledge or otherwise dispose of or turn to account or deal with all or any part of the property of the corporation and from time to time to vary any investment or employment of capital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borrow money, and to make and issue notes, bonds, debentures, obligations and evidences of indebtedness of all kinds, whether secured by mortgage, pledge or otherwise, without limit as to amount, and to secure the same by mortgage, pledge or otherwise; and generally to make and perform agreements and contracts of every kind and description, including contracts of guaranty and suretyship.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lend money for its corporate purposes, invest and reinvest its funds, and take, hold and deal with real and personal property as security for the payment of funds so loaned or invested.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same extent as natural persons might or could do, to purchase or otherwise acquire, and to hold, own, maintain, work, develop, sell, lease, exchange, hire, convey, mortgage or otherwise dispose of and deal in lands and leaseholds, and any interest, estate and rights in real property, and any personal or mixed property, and any franchises, rights, licenses or privileges necessary, convenient or appropriate for any of the purposes herein expressed.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apply for, obtain, register, purchase, lease or otherwise to acquire and to hold, own, use, develop, operate and introduce and to sell, assign, grant licenses or territorial rights in respect to, or otherwise to turn to account or dispose of, any copyrights, trade marks, trade names, brands, labels, patent rights, letters patent of the United States or of any other country or government, inventions, improvements and processes, whether used in connection with or secured under letters patent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with others in any corporation, partnership, limited partnership, joint venture, or other association of any kind, or in any transaction, undertaking or arrangement which the participating corporation would have power to conduct by itself, whether or not such participation involves sharing or delegation of control with or to others; and to be an incorporator, promoter or manager of other corporations of any type or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pensions and establish and carry out pension, profit sharing, stock option, stock purchase, stock bonus, retirement, benefit, incentive and commission plans, trusts and provisions for any or all of its directors, officers and employees, and for any or all of the directors, officers and employees of its subsidiaries; and to provide insurance for its benefit on the life of any of its directors, officers or employees, or on the life of any stockholder for the purpose of acquiring at his death shares of its stock owned by such stockholder.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acquire by purchase, subscription or otherwise, and to hold for investment or otherwise and to use, sell, assign, transfer, mortgage, pledge or otherwise deal with or dispose of stocks, bonds or any other obligations or securities of any corporation or corporations; to merge or consolidate with any corporation in such manner as may be permitted by law; to aid in any manner any corporation whose stocks, bonds or other obligations are held or in any manner guaranteed by this corporation, or in which this corporation is in any way interested; and to do any other acts or things for the preservation, protection, improvement or enhancement of the value of any such stock, bonds or other obligations; and while owner of any such stock, bonds or other obligations to exercise all the right, powers and privileges of ownership thereof, and to exercise any and all voting powers thereon; and to guarantee the payment of dividends upon any stock, the principal or interest or both, of any bonds or other obligations, and the performance of any contracts.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do all and everything necessary, suitable and proper for the accomplishment of any of the purposes or the attainment of any of the objects or the furtherance of any of the powers hereinbefore set forth, either alone or in association with other corporations, firms or individuals, and to do every other act or acts, thing or things incidental or appurtenant to or growing out of or connected with the aforesaid business or powers or any part or parts thereof, provided the same be not inconsistent with the laws under which this corporation is organized.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or purpose of the corporation is from time to time to do any one or more of the acts and things hereinabove set forth, and it shall have power to conduct and carry on its said business, or any part thereof, and to have one or more offices, and to exercise any or all of its corporate powers and rights, in the State of Delaware, and in the various other states, territories, colonies and dependencies of the United States, in the District of Columbia, and in all or any foreign countries.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enumeration herein of the objects and purposes of the corporation shall be construed as powers as well as objects and purposes and shall not be deemed to exclude by inference any powers, objects or purposes which the corporation is empowered to exercise, whether expressly by force of the laws of the State of Delaware now or hereafter in effect, or impliedly by the reasonable construction of the said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total number of shares of stock which the corporation shall have authority to issue is Two Million Six Hundred Thousand (2,600,000) Shares. Of such shares, Six Hundred Thousand (600,000) shall be Preferred Stock of the par value of One ($1.00) Dollar, and Two Million (2,000,000) shares shall be Common Stock of the par value of One ($1.00)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Preferred Stock may be issued by the directors of the corporation from time to time in series or otherwise and shall have such designations, preferences, voting powers and relative, participating, optional or other special rights, and qualifications, limitations or restrictions thereof as shall be stated or expressed in the resolution, or resolutions providing for the issue of such shares as may, from time to time, be adopted by the Board of Directors, to whom authority so to fix and determine the same is hereby expressly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name and address of the incorporator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M. Klineman</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 Madison Avenue</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number of directors of the corporation shall be such as from time to time shall be fixed by, or in the manner provided in the by-laws. Election of directors need not be by ballot unless the by-laws so provide.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of Directors shall have power without the assent or vote of the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make, alter, amend, change, add to or repeal the By-Laws of the corporation; to authorize and cause to be executed mortgages and liens upon all or any part of the property of the corporation; to determine the use and disposition of any surplus or net profits; and to fix the times for the declaration and payment of dividends.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determine from time to time whether, and to what extent, and at what times and places, and under what conditions and regulations, the accounts and books of the corporation (other than the stock ledger) or any of them, shall be open to the inspection of the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as binding upon the corporation and upon all the stockholders as though it had been approved or ratified by every stockholder of the corporation, whether or not the contract or act would otherwise be open to legal attack because of directors’ interest, or for any other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and to any by-laws from time to time made by the stockholders; provided, however, that no by-laws so made shall invalidate any prior act of the directors which would have been valid if such by-law had not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The corporation shall, to the full extent permitted by Section 145 of the Delaware General Corporation Law, as amended from time to time, indemnify all persons whom it may indemnify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The corporation reserves the right to amend, alter, change or repeal any provision contained in this certificate of incorporation in the manner now or hereafter prescribed by law, and all rights and powers conferred herein on stockholders, directors and officers are subject to this reserved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hereunto set my hand and seal, the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 MAY, 1968.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28" w:type="dxa"/>
          <w:right w:w="0" w:type="dxa"/>
        </w:tblCellMar>
      </w:tblPr>
      <w:tblGrid>
        <w:gridCol w:w="2150"/>
        <w:gridCol w:w="60"/>
        <w:gridCol w:w="2705"/>
      </w:tblGrid>
      <w:tr>
        <w:trPr/>
        <w:tc>
          <w:tcPr>
            <w:tcW w:w="2150" w:type="dxa"/>
            <w:tcBorders>
              <w:bottom w:val="single" w:sz="8" w:space="0" w:color="000000"/>
            </w:tcBorders>
            <w:vAlign w:val="center"/>
          </w:tcPr>
          <w:p>
            <w:pPr>
              <w:pStyle w:val="TableContents"/>
              <w:bidi w:val="0"/>
              <w:spacing w:before="0" w:after="283"/>
              <w:jc w:val="left"/>
              <w:rPr/>
            </w:pPr>
            <w:r>
              <w:rPr/>
              <w:t>/s/ David L. Auerbach</w:t>
            </w:r>
          </w:p>
        </w:tc>
        <w:tc>
          <w:tcPr>
            <w:tcW w:w="60" w:type="dxa"/>
            <w:tcBorders/>
            <w:tcMar>
              <w:bottom w:w="0" w:type="dxa"/>
            </w:tcMar>
            <w:vAlign w:val="center"/>
          </w:tcPr>
          <w:p>
            <w:pPr>
              <w:pStyle w:val="TableContents"/>
              <w:bidi w:val="0"/>
              <w:spacing w:before="0" w:after="283"/>
              <w:jc w:val="left"/>
              <w:rPr/>
            </w:pPr>
            <w:r>
              <w:rPr/>
              <w:t> </w:t>
            </w:r>
          </w:p>
        </w:tc>
        <w:tc>
          <w:tcPr>
            <w:tcW w:w="270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0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pPr>
            <w:r>
              <w:rPr/>
              <w:t>/s/ Kent M. Klineman (L.S.)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825"/>
        <w:gridCol w:w="320"/>
        <w:gridCol w:w="75"/>
      </w:tblGrid>
      <w:tr>
        <w:trPr/>
        <w:tc>
          <w:tcPr>
            <w:tcW w:w="2825" w:type="dxa"/>
            <w:tcBorders/>
            <w:vAlign w:val="center"/>
          </w:tcPr>
          <w:p>
            <w:pPr>
              <w:pStyle w:val="TableContents"/>
              <w:bidi w:val="0"/>
              <w:spacing w:before="0" w:after="283"/>
              <w:jc w:val="left"/>
              <w:rPr/>
            </w:pPr>
            <w:r>
              <w:rPr/>
              <w:t>STATE OF NEW YORK</w:t>
            </w:r>
          </w:p>
        </w:tc>
        <w:tc>
          <w:tcPr>
            <w:tcW w:w="3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ss.: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COUNTY OF NEW YORK</w:t>
            </w:r>
          </w:p>
        </w:tc>
        <w:tc>
          <w:tcPr>
            <w:tcW w:w="3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REMEMBERED, that on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May 1968, personally came before me, DAVID L. AUERBACH a Notary Public in and for the County and State aforesaid, KENT M. KLINEMAN party to the foregoing Certificate of Incorporation, known to me personally to be such, and severally acknowledged the said Certificate to be the act and deed of the signers respectively, and that the facts therein stated are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and seal of office the day and year aforesaid.</w:t>
      </w:r>
    </w:p>
    <w:p>
      <w:pPr>
        <w:pStyle w:val="TextBody"/>
        <w:bidi w:val="0"/>
        <w:spacing w:before="0" w:after="0"/>
        <w:ind w:left="0" w:right="0" w:firstLine="72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/s/ David L. Auerbach</w:t>
            </w:r>
          </w:p>
        </w:tc>
      </w:tr>
    </w:tbl>
    <w:p>
      <w:pPr>
        <w:pStyle w:val="TextBody"/>
        <w:bidi w:val="0"/>
        <w:spacing w:before="0" w:after="0"/>
        <w:ind w:left="5040" w:right="0" w:hanging="0"/>
        <w:jc w:val="both"/>
        <w:rPr>
          <w:caps w:val="false"/>
          <w:smallCaps w:val="false"/>
          <w:u w:val="single"/>
        </w:rPr>
      </w:pPr>
      <w:r>
        <w:rPr>
          <w:caps w:val="false"/>
          <w:smallCaps w:val="false"/>
          <w:u w:val="single"/>
        </w:rPr>
        <w:t> </w:t>
      </w:r>
    </w:p>
    <w:p>
      <w:pPr>
        <w:pStyle w:val="TextBody"/>
        <w:bidi w:val="0"/>
        <w:spacing w:before="0" w:after="0"/>
        <w:ind w:left="50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5" w:name="feimex3-2.htm"/>
      <w:bookmarkStart w:id="36" w:name="ksfeimex32"/>
      <w:bookmarkEnd w:id="35"/>
      <w:bookmarkEnd w:id="36"/>
      <w:r>
        <w:rPr>
          <w:b/>
        </w:rPr>
        <w:t>Exhibit 3.2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AMENDMENT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incORPORATION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FREQUENCY ELECTRONIcs, INC.</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certified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(hereinafter called the “corporation”) is FREQUENCY ELECTRONICS,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deleting Article FOURTH in its entirety and by substituting in lieu of said Article FOURTH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The total number of shares of stock which the corporation shall have authority to issue is Six Million Six Hundred Thousand (6,600,000) shares. Of such shares, Six Hundred Thousand (600,000) shall be Preferred Stock of the par value of One ($1.00) Dollar, and Six Million (6,000,000) shares shall be Common Stock of the par value of ($1.00) Dollar.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of Preferred Stock may be issued by the directors of the corporation from time to time in series or otherwise and shall have such designations, preferences, voting powers and relative, participating, optional or other special rights, and qualifications, limitations or restrictions thereof as shall be stated or expressed in the resolution, or resolutions providing for the issue of such shares as may, from time to time, be adopted by the Board of Directors, to whom authority so to fix and determine the same is herein expressly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amendment of the certificate of incorporation of the corporation herein certified was duly adopted, pursuant to the provisions of Section 242 of the General Corporation Law of the State of Delaware, by vote of a majority of the outstanding stock entitled to vote thereon. The capital of the corporation will not be reduced under or by reason of said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at New Hyde Park, New York, March 27, 1981.</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600"/>
        <w:gridCol w:w="60"/>
        <w:gridCol w:w="2690"/>
      </w:tblGrid>
      <w:tr>
        <w:trPr/>
        <w:tc>
          <w:tcPr>
            <w:tcW w:w="260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w:t>
            </w:r>
          </w:p>
        </w:tc>
        <w:tc>
          <w:tcPr>
            <w:tcW w:w="60" w:type="dxa"/>
            <w:tcBorders/>
            <w:vAlign w:val="center"/>
          </w:tcPr>
          <w:p>
            <w:pPr>
              <w:pStyle w:val="TableContents"/>
              <w:bidi w:val="0"/>
              <w:spacing w:before="0" w:after="283"/>
              <w:jc w:val="both"/>
              <w:rPr/>
            </w:pPr>
            <w:r>
              <w:rPr/>
              <w:t> </w:t>
            </w:r>
          </w:p>
        </w:tc>
        <w:tc>
          <w:tcPr>
            <w:tcW w:w="2690" w:type="dxa"/>
            <w:tcBorders/>
            <w:vAlign w:val="center"/>
          </w:tcPr>
          <w:p>
            <w:pPr>
              <w:pStyle w:val="TableContents"/>
              <w:bidi w:val="0"/>
              <w:spacing w:before="0" w:after="283"/>
              <w:jc w:val="both"/>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90" w:type="dxa"/>
            <w:tcBorders/>
            <w:vAlign w:val="center"/>
          </w:tcPr>
          <w:p>
            <w:pPr>
              <w:pStyle w:val="TableContents"/>
              <w:bidi w:val="0"/>
              <w:spacing w:before="0" w:after="283"/>
              <w:jc w:val="both"/>
              <w:rPr/>
            </w:pPr>
            <w:r>
              <w:rPr/>
              <w:t> </w:t>
            </w:r>
          </w:p>
        </w:tc>
      </w:tr>
      <w:tr>
        <w:trPr/>
        <w:tc>
          <w:tcPr>
            <w:tcW w:w="260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Harry Newman</w:t>
            </w:r>
          </w:p>
        </w:tc>
        <w:tc>
          <w:tcPr>
            <w:tcW w:w="60" w:type="dxa"/>
            <w:tcBorders/>
            <w:vAlign w:val="center"/>
          </w:tcPr>
          <w:p>
            <w:pPr>
              <w:pStyle w:val="TableContents"/>
              <w:bidi w:val="0"/>
              <w:spacing w:before="0" w:after="283"/>
              <w:jc w:val="both"/>
              <w:rPr/>
            </w:pPr>
            <w:r>
              <w:rPr/>
              <w:t> </w:t>
            </w:r>
          </w:p>
        </w:tc>
        <w:tc>
          <w:tcPr>
            <w:tcW w:w="269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B. Bloch</w:t>
            </w:r>
          </w:p>
        </w:tc>
      </w:tr>
      <w:tr>
        <w:trPr/>
        <w:tc>
          <w:tcPr>
            <w:tcW w:w="2600" w:type="dxa"/>
            <w:tcBorders/>
            <w:vAlign w:val="center"/>
          </w:tcPr>
          <w:p>
            <w:pPr>
              <w:pStyle w:val="TableContents"/>
              <w:bidi w:val="0"/>
              <w:spacing w:before="0" w:after="283"/>
              <w:jc w:val="both"/>
              <w:rPr>
                <w:b/>
                <w:sz w:val="20"/>
              </w:rPr>
            </w:pPr>
            <w:r>
              <w:rPr>
                <w:b/>
                <w:sz w:val="20"/>
              </w:rPr>
              <w:t>HARRY NEWMAN, Secretary</w:t>
            </w:r>
          </w:p>
        </w:tc>
        <w:tc>
          <w:tcPr>
            <w:tcW w:w="60" w:type="dxa"/>
            <w:tcBorders/>
            <w:vAlign w:val="center"/>
          </w:tcPr>
          <w:p>
            <w:pPr>
              <w:pStyle w:val="TableContents"/>
              <w:bidi w:val="0"/>
              <w:spacing w:before="0" w:after="283"/>
              <w:jc w:val="both"/>
              <w:rPr/>
            </w:pPr>
            <w:r>
              <w:rPr/>
              <w:t> </w:t>
            </w:r>
          </w:p>
        </w:tc>
        <w:tc>
          <w:tcPr>
            <w:tcW w:w="2690" w:type="dxa"/>
            <w:tcBorders/>
            <w:vAlign w:val="center"/>
          </w:tcPr>
          <w:p>
            <w:pPr>
              <w:pStyle w:val="TableContents"/>
              <w:bidi w:val="0"/>
              <w:spacing w:before="0" w:after="283"/>
              <w:jc w:val="both"/>
              <w:rPr>
                <w:b/>
                <w:sz w:val="20"/>
              </w:rPr>
            </w:pPr>
            <w:r>
              <w:rPr>
                <w:b/>
                <w:sz w:val="20"/>
              </w:rPr>
              <w:t>MARTIN B. BLOCH,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0"/>
        <w:gridCol w:w="440"/>
        <w:gridCol w:w="75"/>
      </w:tblGrid>
      <w:tr>
        <w:trPr/>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NEW YORK</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SS.:</w:t>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COUNTY OF NEW YORK</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REMEMBERED that on March 27, 1981, before me a Notary Public duly authorized by law to take acknowledgment of deeds, personally came, Martin B. Bloch and Harry Newman, respectively president and secretary of Frequency Electronics, Inc., and personally known by me to be such, duly signed the foregoing instrument before me and acknowledged that such signing is their act and deed, and that such instrument as executed is the act and deed of said corporation, and that the facts stated therein are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on March 27, 1981.</w:t>
      </w:r>
    </w:p>
    <w:p>
      <w:pPr>
        <w:pStyle w:val="TextBody"/>
        <w:bidi w:val="0"/>
        <w:spacing w:before="0" w:after="0"/>
        <w:ind w:left="0" w:right="0" w:hanging="0"/>
        <w:jc w:val="both"/>
        <w:rPr>
          <w:caps w:val="false"/>
          <w:smallCaps w:val="false"/>
        </w:rPr>
      </w:pPr>
      <w:r>
        <w:rPr>
          <w:caps w:val="false"/>
          <w:smallCaps w:val="false"/>
        </w:rPr>
        <w:t> </w:t>
      </w:r>
    </w:p>
    <w:tbl>
      <w:tblPr>
        <w:tblW w:w="1925" w:type="dxa"/>
        <w:jc w:val="left"/>
        <w:tblInd w:w="0" w:type="dxa"/>
        <w:tblLayout w:type="fixed"/>
        <w:tblCellMar>
          <w:top w:w="0" w:type="dxa"/>
          <w:left w:w="0" w:type="dxa"/>
          <w:bottom w:w="0" w:type="dxa"/>
          <w:right w:w="0" w:type="dxa"/>
        </w:tblCellMar>
      </w:tblPr>
      <w:tblGrid>
        <w:gridCol w:w="75"/>
        <w:gridCol w:w="1850"/>
      </w:tblGrid>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Arnold S. Schickler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right"/>
        <w:rPr/>
      </w:pPr>
      <w:r>
        <w:rPr/>
        <w:t> </w:t>
      </w:r>
    </w:p>
    <w:p>
      <w:pPr>
        <w:pStyle w:val="TextBody"/>
        <w:bidi w:val="0"/>
        <w:jc w:val="right"/>
        <w:rPr>
          <w:b/>
        </w:rPr>
      </w:pPr>
      <w:bookmarkStart w:id="37" w:name="feimex3-3.htm"/>
      <w:bookmarkStart w:id="38" w:name="ksfeimex33"/>
      <w:bookmarkEnd w:id="37"/>
      <w:bookmarkEnd w:id="38"/>
      <w:r>
        <w:rPr>
          <w:b/>
        </w:rPr>
        <w:t>Exhibit 3.3</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84033000154</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CERTIFICATE OF AMENDMENT</w:t>
        <w:br/>
        <w:br/>
        <w:t>OF</w:t>
        <w:br/>
        <w:br/>
        <w:t>CERTIFICATE OF INCORPORATION</w:t>
        <w:br/>
        <w:br/>
        <w:t>OF</w:t>
        <w:br/>
        <w:br/>
        <w:t>FREQUENCY ELECTRONICS,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a corporation organized and existing under the laws of the State of Delaware, does hereby certify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(hereinafter called the “Corporation”) is FREQUENCY ELECTRONICS, INC.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Corporation was filed with the Secretary of State on May 23, 1968.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amends the Certificate of Incorporation by deleting the existing Article NINTH and adding a new Article NINTH and TENTH, as set forth in Paragraphs 3 and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text of the Certificate of Incorporation, as heretofore amended, is further amended hereby by adding a new Article NINTH to read in its entirety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NINTH: The following provisions shall apply in addition to any other affirmative vote required by law or this certificate of incorporation:</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Section I</w:t>
        <w:br/>
        <w:t>CERTAIN BUSINESS COMBINATIONS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the holders of not less than three-fourths of the outstanding shares of Voting Stock (as hereinafter defined) and the affirmative vote of the holders of not less than a majority of the outstanding shares of stock of the Corporation, exclusive of shares beneficially owned by the Acquiring Person (as hereinafter defined) with which or by or on whose behalf, directly or indirectly, a Business Combination (as hereinafter defined) is proposed, voting as a single class, shall be required for the approval or authorization of such Business Combination. Notwithstanding the foregoing, the voting requirements set forth in the preceding sentence shall not be applicable (A) to any transaction between the Corporation and one or more of its wholly owned subsidiaries, or (B) if such Business Combination is approved by a majority of the Corporation’s Board of Directors prior to the Acquiring Person becoming such, or (C) if such Business Combination is approved by a vote of three-fourths of the Corporation’s Board of Directors, or (D) if all of the conditions set forth below are satisfied: (i) the cash or fair market value of the property, securities or other consideration to be received per share by holders of shares of each class of Voting Stock in such Business Combination as of the date of consummation thereof is an amount not less than the higher of (a) the Highest Per Share Price or the Highest Equivalent Price (as these terms are hereinafter defined) paid by such Acquiring Person in acquiring any of its holdings of Voting Stock, and (b) the Fair Market Price (as hereinafter defined) of such class of Voting Stock determined on the date the proposal for such Business Combination was first publicly announced, and such consideration shall be in the same form and of the same kind as the consideration paid by such Acquiring Person in acquiring the shares of Voting Stock already acquired by it (if the Acquiring Person had paid for shares of Voting Stock with varying forms of consideration, the form of consideration to be received by the holders of Voting Stock shall be the form used to acquire the largest number of shares of Voting Stock acquired by such Acquiring Person); (ii) after the Acquiring Person has become such and prior to the consummation of such Business Combination, there shall have been (a) no reduction in the annual rate of dividends paid on the common stock (except as necessary to reflect any subdivision of the common stock), and (b) an increase in such annual rate of dividends as necessary to reflect any reclassification (including any reverse stock split), recapitalization, reorganization or any similar transaction which has the effect of reducing the number of outstanding shares of the common stock; (iii) such Acquiring Person shall not have become the “beneficial owner” (as that term is defined in Rule 13d-3 of the General Rules and Regulations under the Securities Exchange Act of ]934) of any additional shares of Voting Stock except as part of the transaction which results in such Acquiring Person becoming an Acquiring Person;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after such Acquiring Person has become an Acquiring Person, such Acquiring Person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 and (v) 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the Corporation’s expense, at least 30 days prior to the consummation of such Business Combination (whether or not such proxy or information statement is required to be mailed pursuant to such Act or subsequent provisions).</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Section II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NINTH: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term “Business Combination” shall mean (a) any merger or consolidation of the Corporation or a subsidiary of the Corporation with or into an Acquiring Person, (b) any sale, lease, exchange, transfer or other disposition, including, without limitation, a mortgage or any other security device, in a single transaction or related series of transactions, of all or any Substantial Part (as hereinafter defined) of the assets either of the Corporation (including, without limitation, any voting securities of a subsidiary) or of a subsidiary of the Corporation to an Acquiring Person, (c) any merger or consolidation of an Acquiring Person with or into the Corporation or a subsidiary of the Corporation, (d) any sale, lease, exchange, transfer or other disposition, including, without limitation, a mortgage or other security device, in a single transaction or related series of transactions, of all or any Substantial Part of the assets of an Acquiring Person to the Corporation or a subsidiary of the Corporation, (e) the issuance of any securities of the Corporation or a subsidiary of the Corporation to an Acquiring Person, (f) any recapitalization, merger or consolidation that would have the effect of increasing the voting power of an Acquiring Person, (g) the adoption of any plan or proposal for the liquidation or dissolution of the Corporation proposed, directly or indirectly, by or on behalf of an Acquiring Person, (h) any merger or consolidation of the Corporation with a subsidiary of the Corporation proposed by or on behalf of an Acquiring Person, unless the surviving or consolidated corporation, as the case may be, has a provision in its certificate of incorporation substantially identical to this Article NINTH, (i) any agreement, contract or other arrangement providing for any of the transactions described in this definition of Business Combination, and (j) any other transaction with an Acquiring Person which requires the approval of the stockholders of the Corporation under the General Corporation Law of Delaware. A person who is an Acquiring Person as of (x) the time any definitive agreement relating to a Business Combination is entered into, (y) the record date for the determination of stockholders entitled to notice of and to vote on a Business Combination, or (z) immediately prior to the consummation of a Business Combination, shall be deemed an Acquiring Person for purposes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The term “Acquiring Person” shall mean and include any individual, corporation (other than the Corporation), partnership or other person or entity which, together with its (a) “affiliates” (as defined in Rule 12b-2 of the General Rules and Regulations under the Securities Exchange Act of 1934), “beneficially owns” (as defined in Rule 13d-3 of the General Rules and Regulations under the Securities Exchange Act of 1934), in the aggregate, 5% or more of the outstanding Voting Stock of the Corporation; and (b) any “affiliate” (as defined in Rule 12b-2 of the General Rules and Regulations under the Securities Exchange Act of 1934) of any such individual, corporation, partnership or other person or entity. Without limitation, any shares of common stock of the Corporation which any Acquiring Person has the right to acquire pursuant to any agreement, or upon exercise of conversion rights, warrants or options, or otherwise, shall be deemed “beneficially owned” by such Acquiring Person. For purposes of this Article, the Board of Directors shall have the power to determine, on the basis of information known to the Board, if and when there is an Acquiring Person. Any such determination shall be conclusive and binding for all purposes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Substantial Part</w:t>
      </w:r>
      <w:r>
        <w:rPr>
          <w:rFonts w:ascii="Times New Roman;Times;Serif" w:hAnsi="Times New Roman;Times;Serif"/>
          <w:b w:val="false"/>
          <w:i w:val="false"/>
          <w:caps w:val="false"/>
          <w:smallCaps w:val="false"/>
          <w:sz w:val="20"/>
        </w:rPr>
        <w:t>. The term “Substantial Part” shall mean an amount equal to more than 10% of the fair market value of the total consolidated assets of the Corporation and its subsidiaries taken as a whole as of the end of its most recent fiscal year ended prior to the time the determination is being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to Acquire</w:t>
      </w:r>
      <w:r>
        <w:rPr>
          <w:rFonts w:ascii="Times New Roman;Times;Serif" w:hAnsi="Times New Roman;Times;Serif"/>
          <w:b w:val="false"/>
          <w:i w:val="false"/>
          <w:caps w:val="false"/>
          <w:smallCaps w:val="false"/>
          <w:sz w:val="20"/>
        </w:rPr>
        <w:t>. Without limitation, any share of Voting Stock of the Corporation that any Acquiring Person has the right to acquire at any time (notwithstanding that Rule 13d-3 of the Exchange Act deems such shares to be beneficially owned only if such right may be exercised within 60 days) pursuant to any agreement, or upon exercise of conversion rights, warrants or options, or otherwise, shall be deemed to be beneficially owned by the Acquiring Person and to be outstanding for purposes of Paragraph 2 of this Section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Other Consideration to Be Received</w:t>
      </w:r>
      <w:r>
        <w:rPr>
          <w:rFonts w:ascii="Times New Roman;Times;Serif" w:hAnsi="Times New Roman;Times;Serif"/>
          <w:b w:val="false"/>
          <w:i w:val="false"/>
          <w:caps w:val="false"/>
          <w:smallCaps w:val="false"/>
          <w:sz w:val="20"/>
        </w:rPr>
        <w:t xml:space="preserve">. For the purposes of Section I of this Article NINTH, the term “other consideration to be received” shall include, without limitation, Common Stock, Preferred Stock or other capital of the Corporation retained by its existing Stockholders other than the Acquiring Person with which or by or on whose behalf, directly </w:t>
      </w:r>
      <w:r>
        <w:rPr>
          <w:rFonts w:ascii="Times New Roman;Times;Serif" w:hAnsi="Times New Roman;Times;Serif"/>
          <w:b/>
          <w:i w:val="false"/>
          <w:caps w:val="false"/>
          <w:smallCaps w:val="false"/>
          <w:sz w:val="20"/>
        </w:rPr>
        <w:t xml:space="preserve">or </w:t>
      </w:r>
      <w:r>
        <w:rPr>
          <w:rFonts w:ascii="Times New Roman;Times;Serif" w:hAnsi="Times New Roman;Times;Serif"/>
          <w:b w:val="false"/>
          <w:i w:val="false"/>
          <w:caps w:val="false"/>
          <w:smallCaps w:val="false"/>
          <w:sz w:val="20"/>
        </w:rPr>
        <w:t>indirectly, a Business Combination has been proposed or other parties to such Business Combination in the event of a Business Combination in which the Corporation is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The term “Voting Stock” shall mean all of the outstanding shares of capital stock of the Corporation entitled to vote in elections of directors (considered for this purpose as one class), and each reference to a percentage of shares of Voting Stock shall refer to such percentage of the votes entitled to be cast by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Time of Acquisition</w:t>
      </w:r>
      <w:r>
        <w:rPr>
          <w:rFonts w:ascii="Times New Roman;Times;Serif" w:hAnsi="Times New Roman;Times;Serif"/>
          <w:b w:val="false"/>
          <w:i w:val="false"/>
          <w:caps w:val="false"/>
          <w:smallCaps w:val="false"/>
          <w:sz w:val="20"/>
        </w:rPr>
        <w:t>. An Acquiring Person shall be deemed to have acquired shares of the Voting Stock of the Corporation at the time when such Acquiring Person became the Beneficial Owner thereof. The price paid by an Acquiring Person for such shares held by a person or entity at the time it became part of such Acquiring Person shall be deemed to be the higher of (a) the price paid upon the acquisition thereof by such person or entity and (b) tee market price of the shares in question at the time when such person or entity became part of such Acquiring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Highest Per Share Price; Highest Equivalent Price</w:t>
      </w:r>
      <w:r>
        <w:rPr>
          <w:rFonts w:ascii="Times New Roman;Times;Serif" w:hAnsi="Times New Roman;Times;Serif"/>
          <w:b w:val="false"/>
          <w:i w:val="false"/>
          <w:caps w:val="false"/>
          <w:smallCaps w:val="false"/>
          <w:sz w:val="20"/>
        </w:rPr>
        <w:t>. The terms “Highest Per Share Price” and “Highest Equivalent Price” as used in this Article NINTH shall mean the following: If there is only one class of capital stock of the Corporation issued and outstanding, the Highest Per Share Price shall mean the highest per share price that can be determined to have been paid at any time by the Acquiring Person by or on whose behalf, directly or indirectly, the Business Combination has been proposed for any share or shares of that class of capital stock. If there is more than one class of capital stock of the Corporation issued and outstanding, the Highest Equivalent Price shall mean, with respect to each class and series of capital stock of the Corporation, the highest per share price equivalent of the highest price that can be determined to have been paid at any time by such Acquiring Person for any share or shares of any class or series of capital stock of the Corporation. In determining the Highest Per Share Price and Highest Equivalent Price, all purchases by an Acquiring Person shall be taken into account regardless of whether the shares were purchased before or after the Acquiring Person became an Acquiring Person. Also, the Highest Per Share Price and the Highest Equivalent Price shall include any brokerage commissions, transfer taxes and soliciting dealers’ fees paid by the Acquiring Person with respect to the shares of capital stock of the Corporation acquired by the Acquiring Person. The Highest Per Share Price and the Highest Equivalent Price shall be appropriately adjusted to take into account stock dividends, subdivisions, combinations and reclassifications.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Fair Market Price</w:t>
      </w:r>
      <w:r>
        <w:rPr>
          <w:rFonts w:ascii="Times New Roman;Times;Serif" w:hAnsi="Times New Roman;Times;Serif"/>
          <w:b w:val="false"/>
          <w:i w:val="false"/>
          <w:caps w:val="false"/>
          <w:smallCaps w:val="false"/>
          <w:sz w:val="20"/>
        </w:rPr>
        <w:t>. The term “Fair Market Price” shall mean for any class of Voting Stock the highest closing ?ale price during the 30-day period immediately preceding the date in question of a share of such class of Voting Stock on the American Stock Exchange, or, if such class of Voting Stock is not listed on such Exchange, on the principal United States securities exchange registered under the Securities Exchange Act of 1934 on which such class of Voting Stock is listed, or, if such class of Voting Stock is not listed on any such exchange, the highest closing bid quotation with respect to a share of such class of Voting Stock during the 30-day period preceding the date in question on the National Association of Securities Dealers, Inc., Automated Quotations System or any system then in use, or if no such quotations are available, the fair market value on the date in question of a share of such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Section III</w:t>
        <w:br/>
        <w:t>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set forth in this Article NINTH may not be amended, altered, changed or repealed in any respect unless such action is approved by the affirmative vote of the holders of not less than three-fourths of the outstanding shares of Voting Stock of the Corporation at a meeting of the stockholders duly called for the consideration of such amendment, alteration, change or repeal, provided, however, that if such action has been proposed, directly or indirectly, on behalf of an Acquiring Person, it must also be approved by the affirmative vote of the holders of not less than three-fourths of the outstanding shares of Voting Stock held by the stockholders other than such Acquiring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text of the Certificate of Incorporation as heretofore amended is further amended by adding a new Article </w:t>
      </w: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to read in its entirety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TENTH: Subject to the provisions of Section III of Article NINTH hereof, the Corporation reserves the right to amend, alter, change or repeal any provision contained in this Certificate of Incorporation in the manner now or hereafter prescribed by law, and all rights and powers conferred herein on stockholders, directors and officers are subject to this reserved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capital of the Corporation will not be reduced under or by reason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was duly adopted by a vote of the stockholders in accordance with Section 242 of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said FREQUENCY ELECTRONICS, INC. has caused this Certificate to be signed by its President And attested by its Secretary, and its corporate seal to be hereunto affixed, this </w:t>
      </w:r>
      <w:r>
        <w:rPr>
          <w:rFonts w:ascii="Times New Roman;Times;Serif" w:hAnsi="Times New Roman;Times;Serif"/>
          <w:b w:val="false"/>
          <w:i w:val="false"/>
          <w:caps w:val="false"/>
          <w:smallCaps w:val="false"/>
          <w:sz w:val="20"/>
          <w:u w:val="single"/>
        </w:rPr>
        <w:t>17</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October</w:t>
      </w:r>
      <w:r>
        <w:rPr>
          <w:rFonts w:ascii="Times New Roman;Times;Serif" w:hAnsi="Times New Roman;Times;Serif"/>
          <w:b w:val="false"/>
          <w:i w:val="false"/>
          <w:caps w:val="false"/>
          <w:smallCaps w:val="false"/>
          <w:sz w:val="20"/>
        </w:rPr>
        <w:t>, 1984.</w:t>
      </w:r>
    </w:p>
    <w:p>
      <w:pPr>
        <w:pStyle w:val="TextBody"/>
        <w:bidi w:val="0"/>
        <w:spacing w:before="0" w:after="0"/>
        <w:ind w:left="0" w:right="0" w:firstLine="72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560"/>
        <w:gridCol w:w="2105"/>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10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B. Block</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pPr>
            <w:r>
              <w:rPr/>
              <w:t> </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Martin B Block President</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pPr>
            <w:r>
              <w:rPr/>
              <w:t> </w:t>
            </w:r>
          </w:p>
        </w:tc>
        <w:tc>
          <w:tcPr>
            <w:tcW w:w="21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Attest:</w:t>
            </w:r>
          </w:p>
        </w:tc>
        <w:tc>
          <w:tcPr>
            <w:tcW w:w="2105"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Harry Newman</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pPr>
            <w:r>
              <w:rPr/>
              <w:t> </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Harry Newman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Sworn to before me this </w:t>
      </w:r>
      <w:r>
        <w:rPr>
          <w:rFonts w:ascii="Times New Roman;Times;Serif" w:hAnsi="Times New Roman;Times;Serif"/>
          <w:b w:val="false"/>
          <w:i w:val="false"/>
          <w:caps w:val="false"/>
          <w:smallCaps w:val="false"/>
          <w:sz w:val="20"/>
          <w:u w:val="single"/>
        </w:rPr>
        <w:t>17</w:t>
      </w:r>
      <w:r>
        <w:rPr>
          <w:rFonts w:ascii="Times New Roman;Times;Serif" w:hAnsi="Times New Roman;Times;Serif"/>
          <w:b w:val="false"/>
          <w:i w:val="false"/>
          <w:caps w:val="false"/>
          <w:smallCaps w:val="false"/>
          <w:position w:val="7"/>
          <w:sz w:val="16"/>
          <w:sz w:val="20"/>
          <w:u w:val="single"/>
        </w:rPr>
        <w:t>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of October 1984.</w:t>
      </w:r>
    </w:p>
    <w:p>
      <w:pPr>
        <w:pStyle w:val="TextBody"/>
        <w:bidi w:val="0"/>
        <w:spacing w:before="0" w:after="0"/>
        <w:ind w:left="0" w:right="0" w:hanging="0"/>
        <w:jc w:val="both"/>
        <w:rPr>
          <w:caps w:val="false"/>
          <w:smallCaps w:val="false"/>
        </w:rPr>
      </w:pPr>
      <w:r>
        <w:rPr>
          <w:caps w:val="false"/>
          <w:smallCaps w:val="false"/>
        </w:rPr>
        <w:t> </w:t>
      </w:r>
    </w:p>
    <w:tbl>
      <w:tblPr>
        <w:tblW w:w="2360" w:type="dxa"/>
        <w:jc w:val="left"/>
        <w:tblInd w:w="0" w:type="dxa"/>
        <w:tblLayout w:type="fixed"/>
        <w:tblCellMar>
          <w:top w:w="0" w:type="dxa"/>
          <w:left w:w="0" w:type="dxa"/>
          <w:bottom w:w="28" w:type="dxa"/>
          <w:right w:w="0" w:type="dxa"/>
        </w:tblCellMar>
      </w:tblPr>
      <w:tblGrid>
        <w:gridCol w:w="2285"/>
        <w:gridCol w:w="75"/>
      </w:tblGrid>
      <w:tr>
        <w:trPr/>
        <w:tc>
          <w:tcPr>
            <w:tcW w:w="2285" w:type="dxa"/>
            <w:tcBorders>
              <w:bottom w:val="single" w:sz="8" w:space="0" w:color="000000"/>
            </w:tcBorders>
            <w:vAlign w:val="center"/>
          </w:tcPr>
          <w:p>
            <w:pPr>
              <w:pStyle w:val="TableContents"/>
              <w:bidi w:val="0"/>
              <w:spacing w:before="0" w:after="283"/>
              <w:jc w:val="left"/>
              <w:rPr/>
            </w:pPr>
            <w:r>
              <w:rPr/>
              <w:t>/s/ Katherine E. Biasotti</w:t>
            </w:r>
          </w:p>
        </w:tc>
        <w:tc>
          <w:tcPr>
            <w:tcW w:w="7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pPr>
            <w:r>
              <w:rPr/>
              <w:t>NOTARY PUBLIC</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right"/>
        <w:rPr>
          <w:b/>
        </w:rPr>
      </w:pPr>
      <w:bookmarkStart w:id="39" w:name="feimex3-4.htm"/>
      <w:bookmarkStart w:id="40" w:name="ksfeimex34"/>
      <w:bookmarkEnd w:id="39"/>
      <w:bookmarkEnd w:id="40"/>
      <w:r>
        <w:rPr>
          <w:b/>
        </w:rPr>
        <w:t>Exhibit 3.4</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certified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(hereinafter called the “Corporation”) 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is hereby amended as follows: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deleting Article FOURTH in its entirety and by substituting in lieu of said Article FOURTH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The total number of shares of stock which the Corporation shall have authority to issue is Twelve Million Six Hundred Thousand (12,600,000) shares. Of such shares, Six Hundred Thousand (600,000) shall be Preferred Stock of the par value of One ($1.00) Dollar and Twelve Million (12,000,000) shares shall be Common Stock of the par value of One ($1.00) Dollar.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Preferred Stock may be issued by the directors of the Corporation from time to time in series or otherwise and shall have such designations, preferences, voting powers and relative, participating, optional or other special rights and qualifications, limitations or restrictions thereof as shall be stated or expressed in the resolution or resolutions providing for the issue of such shares as may, from time to time, be adopted by the Board of Directors, to whom authority so to fix and determine the same is hereby expressly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amendment of the Certificate of Incorporation of the Corporation herein certified was duly adopted, pursuant to the provisions of Section 242 of the General Corporation Law of the State of Delaware, by vote of a majority of the outstanding stock entitled to vote thereon. The capital of the corporation will not be reduced under or by reason of said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at Mitchel Field, New York, October 15, 1986.</w:t>
      </w:r>
    </w:p>
    <w:p>
      <w:pPr>
        <w:pStyle w:val="TextBody"/>
        <w:bidi w:val="0"/>
        <w:spacing w:before="0" w:after="0"/>
        <w:ind w:left="0" w:right="0" w:firstLine="72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095"/>
        <w:gridCol w:w="60"/>
        <w:gridCol w:w="3170"/>
      </w:tblGrid>
      <w:tr>
        <w:trPr/>
        <w:tc>
          <w:tcPr>
            <w:tcW w:w="3095" w:type="dxa"/>
            <w:tcBorders/>
            <w:vAlign w:val="center"/>
          </w:tcPr>
          <w:p>
            <w:pPr>
              <w:pStyle w:val="TableContents"/>
              <w:bidi w:val="0"/>
              <w:spacing w:before="0" w:after="283"/>
              <w:jc w:val="left"/>
              <w:rPr/>
            </w:pPr>
            <w:r>
              <w:rPr/>
              <w:t>ATTEST: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pPr>
            <w:r>
              <w:rPr/>
              <w:t>/s/ Harry Newman</w:t>
            </w:r>
          </w:p>
        </w:tc>
        <w:tc>
          <w:tcPr>
            <w:tcW w:w="60" w:type="dxa"/>
            <w:tcBorders/>
            <w:vAlign w:val="center"/>
          </w:tcPr>
          <w:p>
            <w:pPr>
              <w:pStyle w:val="TableContents"/>
              <w:bidi w:val="0"/>
              <w:spacing w:before="0" w:after="283"/>
              <w:jc w:val="left"/>
              <w:rPr/>
            </w:pPr>
            <w:r>
              <w:rPr/>
              <w:t> </w:t>
            </w:r>
          </w:p>
        </w:tc>
        <w:tc>
          <w:tcPr>
            <w:tcW w:w="3170" w:type="dxa"/>
            <w:tcBorders>
              <w:bottom w:val="single" w:sz="8" w:space="0" w:color="000000"/>
            </w:tcBorders>
            <w:tcMar>
              <w:bottom w:w="28" w:type="dxa"/>
            </w:tcMar>
            <w:vAlign w:val="center"/>
          </w:tcPr>
          <w:p>
            <w:pPr>
              <w:pStyle w:val="TableContents"/>
              <w:bidi w:val="0"/>
              <w:spacing w:before="0" w:after="283"/>
              <w:jc w:val="left"/>
              <w:rPr/>
            </w:pPr>
            <w:r>
              <w:rPr/>
              <w:t>/s/ Martin B. Bloch</w:t>
            </w:r>
          </w:p>
        </w:tc>
      </w:tr>
      <w:tr>
        <w:trPr/>
        <w:tc>
          <w:tcPr>
            <w:tcW w:w="3095" w:type="dxa"/>
            <w:tcBorders/>
            <w:vAlign w:val="center"/>
          </w:tcPr>
          <w:p>
            <w:pPr>
              <w:pStyle w:val="TableContents"/>
              <w:bidi w:val="0"/>
              <w:spacing w:before="0" w:after="283"/>
              <w:jc w:val="left"/>
              <w:rPr/>
            </w:pPr>
            <w:r>
              <w:rPr/>
              <w:t>HARRY NEWMAN, Secretary</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MARTIN B. BLOCH, President</w:t>
            </w:r>
          </w:p>
        </w:tc>
      </w:tr>
    </w:tbl>
    <w:p>
      <w:pPr>
        <w:pStyle w:val="TextBody"/>
        <w:bidi w:val="0"/>
        <w:spacing w:before="0" w:after="0"/>
        <w:ind w:left="0" w:right="0" w:firstLine="72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825"/>
        <w:gridCol w:w="380"/>
        <w:gridCol w:w="75"/>
      </w:tblGrid>
      <w:tr>
        <w:trPr/>
        <w:tc>
          <w:tcPr>
            <w:tcW w:w="2825" w:type="dxa"/>
            <w:tcBorders/>
            <w:vAlign w:val="center"/>
          </w:tcPr>
          <w:p>
            <w:pPr>
              <w:pStyle w:val="TableContents"/>
              <w:bidi w:val="0"/>
              <w:spacing w:before="0" w:after="283"/>
              <w:jc w:val="left"/>
              <w:rPr/>
            </w:pPr>
            <w:r>
              <w:rPr/>
              <w:t>STATE F NEW YORK</w:t>
            </w:r>
          </w:p>
        </w:tc>
        <w:tc>
          <w:tcPr>
            <w:tcW w:w="38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s.s.: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COUNTY OF NEW YORK</w:t>
            </w:r>
          </w:p>
        </w:tc>
        <w:tc>
          <w:tcPr>
            <w:tcW w:w="38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REMEMBERED that on October 15, 1986, before me, a Notary Public duly authorized by law to take acknowledgment of deeds, personally came MARTIN B. BLOCH and HARRY NEWMAN, respectively President and Secretary of Frequency Electronics, Inc., and personally known by me to be such, duly signed the foregoing instrument before, and acknowledged that such signing is their act and deed and that such instrument as executed is the act and deed of said Corporation, and that the facts stated therein are true.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on October 15, 1986.</w:t>
      </w:r>
    </w:p>
    <w:p>
      <w:pPr>
        <w:pStyle w:val="TextBody"/>
        <w:bidi w:val="0"/>
        <w:spacing w:before="0" w:after="0"/>
        <w:ind w:left="0" w:right="0" w:firstLine="72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885"/>
        <w:gridCol w:w="60"/>
        <w:gridCol w:w="21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bottom w:val="single" w:sz="8" w:space="0" w:color="000000"/>
            </w:tcBorders>
            <w:tcMar>
              <w:bottom w:w="28" w:type="dxa"/>
            </w:tcMar>
            <w:vAlign w:val="center"/>
          </w:tcPr>
          <w:p>
            <w:pPr>
              <w:pStyle w:val="TableContents"/>
              <w:bidi w:val="0"/>
              <w:spacing w:before="0" w:after="283"/>
              <w:jc w:val="left"/>
              <w:rPr/>
            </w:pPr>
            <w:r>
              <w:rPr/>
              <w:t>/s/ Arnold S. Schickler</w:t>
            </w:r>
          </w:p>
        </w:tc>
      </w:tr>
      <w:tr>
        <w:trPr/>
        <w:tc>
          <w:tcPr>
            <w:tcW w:w="2885" w:type="dxa"/>
            <w:tcBorders/>
            <w:vAlign w:val="center"/>
          </w:tcPr>
          <w:p>
            <w:pPr>
              <w:pStyle w:val="TableContents"/>
              <w:bidi w:val="0"/>
              <w:spacing w:before="0" w:after="283"/>
              <w:jc w:val="left"/>
              <w:rPr/>
            </w:pPr>
            <w:r>
              <w:rPr/>
              <w:t>FEI 1986 Cert of Amendment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V&amp;S – 10/1/86</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right"/>
        <w:rPr>
          <w:b/>
        </w:rPr>
      </w:pPr>
      <w:bookmarkStart w:id="41" w:name="feimex3-5.htm"/>
      <w:bookmarkStart w:id="42" w:name="ksfeimex35"/>
      <w:bookmarkEnd w:id="41"/>
      <w:bookmarkEnd w:id="42"/>
      <w:r>
        <w:rPr>
          <w:b/>
        </w:rPr>
        <w:t>Exhibit 3.5</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RESTATED</w:t>
        <w:br/>
        <w:t>CERTIFICATE OF INCORPORATION</w:t>
        <w:br/>
        <w:t>OF</w:t>
        <w:br/>
        <w:t>FREQUENCY ELECTRONICS, INC.</w:t>
        <w:br/>
        <w:t>(Pursuant to Section 245)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certified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(hereinafter, the “Corporation”) 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May 23, 1968.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renumbering Article “Tenth” to read Article “Eleventh” and by adding a new Article “Tenth” to read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TENTH: No director of the Corporation shall be personally liable to the Corporation or any of its stockholders for monetary damages for breach of fiduciary duty as a director, provided, however, that this Article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Coproration Law is amended after the filing of this Amendment of the Certificate of Incorporation so as to authorize corporate action further eliminating or limiting the personal liability of directors, then the liability of each director of the Corporation shall be eliminated or limited to the fullest extent permitted by the law of the State of Delaware as the same exists from time to time.. This Article shall not eliminate or limit the liability of a director for any act or omission occurring prior to the time this Article became effective. Any repeal or modification of this paragraph by stockholders of the Corporation shall not adversely affect any elimination of or limitation on the personal liability of a director of the Corporation existing at the time of such repeal or modification. The personal liability of the directors of the Corporation is hereby eliminated to the fullest extent permitted by paragraph (7) of subsection (b) of §102 of the Delaware General Corporation Law, as the same may be amended and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Certificate of Incorporation of the Corporation is hereby restated in its entirety to reflect all amendments up to and including the amendment on the date hereof, as follows: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The name of the Corporation is Frequency Electronics, Inc.</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registered office of the Corporation is to be located at 229 South State Street, in the City of Dover, in the County of Kent, in the State of Delaware. The name of its registered agent at that address is the United States Corporation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purpose of the Corporation is to engage in any lawful act or activity for which a corporation may be organized under the General Corporation Law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in any manner the scope and generality of the foregoing, it is hereby provided that the Corporation shall have the following purposes, objects and powers: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manufacture, construct, assemble, or otherwise produce, design, develop, repair, maintain and experiment with, purchase or otherwise acquire, own, use, sell, lease, pledge or otherwise dispose of, import, export, and trade and deal in and with, either as principal or agent, electronic, electrical, mechanical, metallurgical and chemical apparatus, components, devices, appliances, machinery, instruments, equipment and systems for all applications, particularly (but not by way of limitation) those related to the field of electronics.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carry on and promote investigations, research, experimentation and development of any kind whatsoever in the field or science of electronics, electricity, metallurgy, physics, chemistry and any of the other arts or sciences; to furnish engineering, technical and advisory services and to engage in and carry on a general consultative and development business, including designing, planning, construction, repairing or engaging in any work upon any and all inventions, devices, improvements, machines, mechanical contrivances, tools, articles and things, or in the parts or accessories thereof or therefor; to develop or assist in the development of patents, inventions and improvements, either for itself or for others, and to turn the same to account; to own, lease or otherwise acquire, use, or dispose of laboratories, plants, factories, or workshops, for experimenting, manufacturing and development purposes; to devise and improve upon inventions and mechanical or other devices of any and all kinds.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manufacture, produce, assemble, receive, lease or in any manner acquire, hold, own, use, operate, install, maintain, service, repair, process, alter, improve, import, export, sell, lease, assign, transfer and generally to trade and deal in and with raw materials, natural or manufactured articles or products, machinery, equipment, devices, systems, parts, supplies, apparatus, goods, wares, merchandise and personal property of every kind, nature or description, tangible or intangible, used or capable of being used for any purpose whatsoever; and to engage and participate in any mercantile, manufacturing or trading business of any kind or character.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manage, develop, sell, assign, transfer, lease, mortgage, pledge or otherwise dispose of or turn to account or deal with all or any part of the property of the Corporation and from time to time to vary any investment or employment of capital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borrow money, and to make and issue notes, bonds, debentures, obligations and evidences of indebtedness of all kinds, whether secured by mortgage, pledge or otherwise, without limit as to amount, and to secure the same by mortgage, pledge or otherwise; and generally to make and perform agreements and contracts of every kind and description, including contracts of guaranty and suretyship.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lend money for its corporate purposes, invest and reinvest its funds, and take, hold and deal with real and personal property as security for the payment of funds so loaned or invested.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same extent as natural persons might or could do, to purchase or otherwise acquire, and to hold, own, maintain, work, develop, sell, lease, exchange, hire, convey, mortgage or otherwise dispose of and deal in lands and leasholds, and any interest, estate and rights in real property, and any personal or mixed property, and any franchises, rights, licenses or privileges necessary, convenient or appropriate for any of the purposes herein expressed.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apply for, obtain, register, purchase, lease or otherwise to acquire and to hold, own, use, develop, operate and introduce and to sell, assign, grant licenses or territorial rights in respect to, or otherwise to turn to account or dispose of, any copyrights, trademarks, trade names, brands, labels, patent rights, letters patent of the United States or of any other country or government, inventions, improvements and processes, whether used in connection with or secured under letters patent or otherwise.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with others in any corporation, partnership, limited partnership, joint venture, or other association of any kind, or in any transaction, undertaking or arrangement which the participating corporation would have power to conduct by itself, whether or not such participation involves sharing or delegation of control with or to others; and to be an incorporator, promoter or manager of other corporations of any type or kind.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pensions and establish and carry out pension, profit sharing, stock option, stock purchase, stock bonus, retirement, benefit, incentive and commission plans, trusts and provisions for any or all of its directors, officers and employees, and for any or all of the directors, officers and employees of its subsidiaries; and to provide insurance for its benefit on the life of any of its directors, officers or employees, or on the life of any stockholder for the purpose of acquiring at his death shares of its stock owned by such stockholder.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aquire by purchase, subscription or otherwise, and to hold for investment or otherwise and to use, sell, assign, transfer, mortgage, pledge or otherwise deal with or dispose of stocks, bonds or any other obligations or securities of any corporation or corporations; to merge or consolidate with any corporation in such manner as may be permitted by law; to aid in any manner any corporation whose stocks, bonds or other obligations are held or in any manner guaranteed by this Corporation, or in which this Corporation is in any way interested; and to do any other acts or things for the preservation, protection, improvement or enhancement of the value of any such stock, bonds or other obligations; and while owner of any such stock, bonds or other obligations to exercise all the right, powers and privileges of ownership therof, and to exercise any and all voting powers thereon; and to guarantee the payment of dividends upon any stock, the principal or interest or both, of any bonds or other obligations, and the performance of any contracts.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do all and everything necessary, suitable and proper for the accomplishment of any of the purposes or the attainment of any of the objects or the furtherance of any of the powers hereinbefore set forth, either alone or in association with other corporations, firms or individuals, and to do every other act or acts, thing or things incidental or appurtenant to or growing out of or connected with the aforesaid business or powers or any part or parts thereof, provided the same be not inconsistent with the laws under which this Corporation is organized.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or purpose of the Corporation is from time to time to do any one or more of the acts and things hereinabove set forth, and it shall have power to conduct and carry on its said business or any part thereof, and to have one or more offices, and to exercise any or all of its corporate powers and rights, in the State of Delaware, and in the various other states, territories, colonies and dependencies of the United States, in the District of Columbia, and in all or any foreign countries.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enumeration herein of the objects and purposes of the Corporation shall be construed as powers as well as objects and purposes and shall not be deemed to exclude by inference any powers, objects or purposes which the Corporation is empowered to exercise, whether expressly by force of the laws of the State of Delaware now or hereafter in effect, or impliedly by the reasonable construction of the said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total number of shares of stock which the Corporation shall have authority to issue is Twelve Million Six Hundred Thousand (12,600,000) shares. Of such shares, Six Hundred Thousand (600,000) shall be Preferred Stock of the par value of One ($1.00) Dollar and Twelve Million (12,000,000) shares shall be Common Stock of the par value of One ($1.00) Dollar.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Preferred Stock may be issued by the directors of the Corporation from time to time in series or otherwise and shall have such designations, preferences, voting powers and relative, participating, optional or other special rights and qualifications, limitations or restrictions thereof as shall be stated or expressed in the resolution or resolutions providing for the issue of such shares as may, from time to time, be adopted by the Board of Directors, to whom authority so to fix and determine the same is hereby expressly granted.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name and address of the incorporator is as follows: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M. Klineman</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 Madison Avenue</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The following provisions are inserted for the management of the busines and for the conduct of the affairs of the Corporation, and for further definition, limitation and regulation of the powers of the Corporation and of its directors and stockholders: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number of directors of the Corporation shall be such as from time to time shall be fixed by, or in the manner provided in the by-laws. Election of directors need not be by ballot unless the by-laws so provide.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of Directors shall have power without the assent or vote of the stockholders</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make, alter, amend, change, add to or repeal the By-Laws of the corporation; to authorize and cause to be executed mortgages and liens upon all or any part of the property of the Corporation; to determine the use and disposition of any surplus or net profits; and to fix the times for the declaration and payment of dividends.</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determine from time to time whether, and to what extent, and at what times and places, and under what conditions and regulations, the accounts and books of the Corporation (other than the stock ledger) or any of them, shall be open to the inspection of the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as binding upon the Corporation and upon all the stockholders as though it had been approved or ratified by every stockholder of the Corporation, whether or not the contract or act would otherwise be open to legal attack because of directors’ interest, or for any other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and to any by-laws from time to time made by the stockholders; provided, however, that no by-laws so made shall invalidate any prior act of the directors which would have been valid if such by-law had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The Corporation shall, to the full extent permitted by Section 145 of the Delaware General Corporation Law, as amended from time to time, indemnify all persons whom it may indemnify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The following provisions shall apply in addition to any other affirmative vote required by law or this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w:t>
        <w:br/>
        <w:br/>
        <w:t>CERTAIN BUSINESS COMBINATIONS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not less than three-fourths of the outstanding shares of Voting Stock (as hereinafter defined) and the affirmative vote of the holders of not less than a majority of the outstanding shares of stock of the Corporation, exclusive of shares beneficially owned by the Acquiring Person (as hereinafter defined) with which or by or on whose behalf, directly or indirectly, a Business Combination (as hereinafter defined) is proposed, voting as a single class, shall be required for the approval or authorization of such Business Combination. Notwithstanding the foregoing, the voting requirements set forth in the preceding sentence shall not be applicable (A) to any transaction between the Corporation and one or more of its wholly owned subsidiaries, or (B) if such Business Combination is approved by a majority of the Corporation’s Board of Directors prior to the Acquiring Person becoming such, or (C) if such Business Combination is approved by a vote of three-fourths of the Corporation’s Board of Directors, or (D) if all of the conditions set forth below are satisfied: (i) the cash or fair market value of the property, securities or other consideration to be received per share by holders of shares of each class of Voting Stock in such Business Combination as of the date of the consummation thereof is an amount not less that the higher of (a) the Highest Per Share Price or the Highest Equivalent Price (as these terms are hereinafter defined) paid by such Acquiring Person in acquiring any of its holdings of Voting Stock, and (b) the Fair Market Price (as hereinafter defined) of such class of Voting Stock determined on the date the proposal for such Business Combination was first publicly announced, and such consideration shall be in the same form and of the same kind as the consideration paid by such Acquiring Person in acquiring the shares of Voting Stock already acquired by it (if the Acquiring Person had paid for shares of Voting Stock with varying forms of consideration, the form of consideration to be received by the holders of Voting Stock shall be the form used to acquire the largest number of shares of Voting Stock acquired by such Acquiring Person); (ii) after the Acquiring Person has become such and prior to the consummation of such Business Combination, there shall have been (a) no reduction in the annual rate of dividends paid on the common stock (except as necessary to reflect any subdivision of the common stock), and (b) an increase in such annual rate of dividends as necessary to reflect any reclassification (including any reverse stock split), recapitalization, reorganization or any similar transaction which has the effect of reducing the number of outstanding shares of the common stock; (iii) such Acquiring Person shall not have become the “beneficial owner” (as that term is defined in Rule 13d-3 of the General Rules and Regulations under the Securities Exchange Act of 1934) of any additional shares of Voting Stock except as part of the transaction which results in such Acquiring Person, becoming an Acquiring Person; (iv) after such Acquiring Person has become an Acquiring Person, such Acquiring Person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 and (v) 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the Corporation’s expense, at least 30 days prior to the consummation of such Business Combination (whether or not such proxy or information statement is required to be mailed pursuant to such Act or subsequent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w:t>
        <w:br/>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NINTH: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term “Business Combination” shall mean (a) any merger or consolidation of the Corporation or a subsidiary of the Corporation with or into an Acquiring Person, (b) any sale, lease, exchange, transfer or other disposition, including, without limitation, a mortgage or any other security device, in a single transaction or related series of transactions, of all or any Substantial Part (as hereinafter defined) of the assets either of the Corporation (including, without limitation, any voting securities of a subsidiary) or of a subsidiary of the Corporation to an Acquiring Person, (c) any merger or consolidation of an Acquiring Person with or into the Corporation or a subsidiary of the Corporation, (d) any sale, lease, exchange, transfer or other disposition, including, without limitation, a mortgage or other security device, in a single transaction or related series of transactions, of all or any Substantial Part of the assets of an Acquiring Person to the Corporation or a subsidiary of the Corporation, (e) the issuance of any securities of the Corporation or a subsidiary of the Corporation to an Acquiring Person, (f) any recapitalization, merger or consolidation that would have the effect of increasing the voting power of an Acquiring Person, (g) the adoption of any plan or proposal for the liquidation or dissolution of the Corporation proposed, directly or indirectly, by or on behalf of an Acquiring Person, (h) any merger or consolidation of the Corporation with a subsidiary of the Corporation proposed by or on behalf of an Acquiring Person, unless the surviving or consolidated corporation, as the case may be, has a provision in its certificate of incorporation substantially identical to this Article NINTH, (i) any agreement, contract or other arrangement providing for any of the transactions described in this definition of Business Combination, and (j) any other transaction with an Acquiring Person which requires the approval of the stockholders of the Corporation under the General Corporation Law of Delaware. A person who is an Acquiring Person as of (x) the time any definitive agreement relating to a Business Combination is entered into, (y) the record date for the determination of stockholders entitled to notice of and to vote on a Business Combination, or (z) immediately prior to the consummation of a Business Combination, shall be deemed an Acquiring Person for purposes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The term “Acquiring Person” shall mean and include any individual, corporation (other than the Corporation), partnership or other person or entity which, together with its (a) “affiliates” (as defined in Rule 12b-2 of the General Rules and Regulations under the Securities Exchange Act of 1934), “beneficially owns” (as defined in Rule 13d-3 of the General Rules and Regulations under the Securities Exchange Act of 1934), in the aggregate, 5% or more of the outstanding Voting Stock of the Corporation; and (b) any “affiliate” (as defined in Rule 12b-2 of the General Rules and Regulations under the Securities Exchange Act of 1934) of any such individual, corporation, partnership or other person or entity. Without limitation, any shares of common stock of the Corporation which any Acquiring Person has the right to acquire pursuant to any agreement, or upon exercise of conversion rights, warrants or options, or otherwise, shall be deemed “beneficially owned” by such Acquiring Person. For purposes of this Article, the Board of Directors shall have the power to determine, on the basis of information known to the Board, if and when there is an Acquiring Person. Any such determination shall be conclusive and binding for all purposes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Substantial Part</w:t>
      </w:r>
      <w:r>
        <w:rPr>
          <w:rFonts w:ascii="Times New Roman;Times;Serif" w:hAnsi="Times New Roman;Times;Serif"/>
          <w:b w:val="false"/>
          <w:i w:val="false"/>
          <w:caps w:val="false"/>
          <w:smallCaps w:val="false"/>
          <w:sz w:val="20"/>
        </w:rPr>
        <w:t>. The term “Substantial Part” shall mean an amount equal to more than 10% of the fair market value of the total consolidated assets of the Corporation and its subsidiaries taken as a whole as of the end of its most recent fiscal year ended prior to the time the determination is being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to Acquire</w:t>
      </w:r>
      <w:r>
        <w:rPr>
          <w:rFonts w:ascii="Times New Roman;Times;Serif" w:hAnsi="Times New Roman;Times;Serif"/>
          <w:b w:val="false"/>
          <w:i w:val="false"/>
          <w:caps w:val="false"/>
          <w:smallCaps w:val="false"/>
          <w:sz w:val="20"/>
        </w:rPr>
        <w:t>. Without limitation, any share of Voting Stock of the Corporation that any Acquiring Person has the right to acquire at any time (notwithstanding that Rule 13d-3 of the Exchange Act deems such shares to be beneficially owned only if such right may be exercised within 60 days) pursuant to any agreement, or upon exercise of conversion rights, warrants or options, or otherwise, shall be deemed to be beneficially owned by the Acquiring Person to be outstanding for purposes of Paragraph 2 of this Section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Other Consideration to be Received</w:t>
      </w:r>
      <w:r>
        <w:rPr>
          <w:rFonts w:ascii="Times New Roman;Times;Serif" w:hAnsi="Times New Roman;Times;Serif"/>
          <w:b w:val="false"/>
          <w:i w:val="false"/>
          <w:caps w:val="false"/>
          <w:smallCaps w:val="false"/>
          <w:sz w:val="20"/>
        </w:rPr>
        <w:t>. For the purposes of Section I of this Article NINTH, the term “other consideration to be received” shall include, without limitation, Common Stock, Preferred Stock or other capital of the Corporation retained by its existing stockholders other than the Acquiring Person with which or by or on whose behalf, directly or indirectly, a Business Combination has been proposed or other parties to such Business Combination in the event of a Business Combination in which the Corporation is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The term “Voting Stock” shall mean all of the outstanding shares of capital stock of the Corporation entitled to vote in elections of directors (considered for this purpose as one class), and each reference to a percentage of shares of Voting Stock shall refer to such percentage of the votes entitled to be cast by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Time of Acquisition</w:t>
      </w:r>
      <w:r>
        <w:rPr>
          <w:rFonts w:ascii="Times New Roman;Times;Serif" w:hAnsi="Times New Roman;Times;Serif"/>
          <w:b w:val="false"/>
          <w:i w:val="false"/>
          <w:caps w:val="false"/>
          <w:smallCaps w:val="false"/>
          <w:sz w:val="20"/>
        </w:rPr>
        <w:t>. An Acquiring Person shall be deemed to have acquired shares of the Voting Stock of the Corporation at the time when such Acquiring Person became the Beneficial Owner thereof. The price paid by an Acquiring Person for such shares held by a person or entity at the time it became part of such Acquiring Person shall be deemed to be the higher of (a) the price paid upon the acquisition thereof by such person or entity and (b) the market price of the shares in question at the time when such person or entity became part of such Acquiring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Highest per share Price; Highest Equivalent Price</w:t>
      </w:r>
      <w:r>
        <w:rPr>
          <w:rFonts w:ascii="Times New Roman;Times;Serif" w:hAnsi="Times New Roman;Times;Serif"/>
          <w:b w:val="false"/>
          <w:i w:val="false"/>
          <w:caps w:val="false"/>
          <w:smallCaps w:val="false"/>
          <w:sz w:val="20"/>
        </w:rPr>
        <w:t>. The terms “Highest Per Share Price” and “Highest Equivalent Price” as used in this Article NINTH shall mean the following: If there is only one class of capital stock of the Corporation issued and outstanding, the Highest Per Share Price shall mean the highest per share price that can be determined to have been paid at any time by the Acquiring Person by or on whose behalf, directly or indirectly, the Business Combination has been proposed for any share or shares of that class of capital stock. If there is more than one class of capital stock of the Corporation issued and outstanding, the Highest Equivalent Price shall mean, with respect to each class and series of capital stock of the Corporation, the highest per share price equivalent of the highest price that can be determined to have been paid at any time by such Acquiring Person for any share or shares of any class or series of capital stock of the Corporation. In determining the Highest Per Share Price and Highest Equivalent Price, all purchases by an Acquiring Person shall be taken into account regardless of whether the shares were purchased before or after the Acquiring Person became an Acquiring Person. Also, the Highest Per Share Price and the Highest Equivalent Price shall include any brokerage commissions, transfer taxes and soliciting dealers’ fees paid by the Acquiring Person with respect to the shares of capital stock of the Corporation acquired by the Acquiring Person. The Highest Per Share Price and the Highest Equivalent Price shall be appropriately adjusted to take into account stock dividends, subdivisions, combinations and reclassifications.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Fair Market Price</w:t>
      </w:r>
      <w:r>
        <w:rPr>
          <w:rFonts w:ascii="Times New Roman;Times;Serif" w:hAnsi="Times New Roman;Times;Serif"/>
          <w:b w:val="false"/>
          <w:i w:val="false"/>
          <w:caps w:val="false"/>
          <w:smallCaps w:val="false"/>
          <w:sz w:val="20"/>
        </w:rPr>
        <w:t>. The term “Fair Market Price” shall mean for any class of Voting Stock the highest closing sale price during the 30-day period immediately preceding the date in question of a share of such class of Voting Stock on the American Stock Exchange, or, if such class of Voting Stock is not listed on such Exchange, on the principal United States securities exchange registered under the Securities Exchange Act of 1934 on which such class of Voting Stock is listed, or, if such class of Voting Stock is not listed on any such exchange, the highest closing bid quotation with respect to a share of such class of Voting Stock during the 30-day period preceding the date in question on the National Association of Securities Dealers, Inc. Automated Quotations System or any system then in use, or if no such quotation are available, the fair market value on the date in question of a share of such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III</w:t>
        <w:br/>
        <w:br/>
        <w:t>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set forth in this Article NINTH may not be amended, altered, changed or repealed in any respect unless such action is approved by the affirmative vote of the holders of not less than three-fourths of the outstanding shares of Voting Stock of the Corporation at a meeting of the stockholders duly called for the consideration of such amendement, alteration, change or repeal, provided, however, that if such action has been proposed, directly or indirectly, on behalf of an Acquiring Person, it must also be approved by the affirmative vote of the holders of not less than three-fourths of the outstanding shares of Voting Stock held by the stockholders other than such Acquiring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No director of the Corporation shall be personally liable to the Corporation or any of its stockholders for monetary damages for breach of fiduciary duty as a director, provided, however, that this Article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the filing of this Amendment of the Certificate of Incorporation so as to authorize corporate action further eliminating or limiting the personal liability of directors, then the liability of each director of the Corporation shall be eliminated or limited to the fullest extent permitted by the law of the State of Delaware as the same exists from time to time. This Article shall not eliminate or limit the liability of a director for any act or omission occurring prior to the time this Article became effective. Any repeal or modification of this paragraph by stockholders of the Corporation shall not adversely affect any elimination of or limitation on the personal liability of a director of the Corporation existing at the time of such repeal or modification. The personal liability of the directors of the Corporation is hereby eliminated to the fullest extent permitted by paragraph (7) of subsection (b) of §102 of the Delaware General Corporation Law, as the same may be amended and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Subject to the provisions of Section III of the Article NINTH hereof, the Corporation reserves the right to amend, alter, change or repeal any provision contained in this Certificate of Incorporation in the manner now or hereafter prescribed by law, and all rights and powers conferred herein on stockholders, directors and officers are subject to this reserved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amendment of the Certificate of Incorporation of the Corporation herein certified was duly adopted pursuant to the provisions of Section 242 of the General Corporation Law of the State of Delaware, by a vote of a majority of the outstanding stock entitled to vote thereon. The capital of the Corporation will not be reduced under or by reason of said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at Mitchel Field, New York, October 15, 1987.</w:t>
      </w:r>
    </w:p>
    <w:p>
      <w:pPr>
        <w:pStyle w:val="TextBody"/>
        <w:bidi w:val="0"/>
        <w:spacing w:before="0" w:after="0"/>
        <w:ind w:left="0" w:right="0" w:hanging="0"/>
        <w:jc w:val="both"/>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B. Bloch</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both"/>
              <w:rPr>
                <w:sz w:val="20"/>
              </w:rPr>
            </w:pPr>
            <w:r>
              <w:rPr>
                <w:sz w:val="20"/>
              </w:rPr>
              <w:t>Martin B. Bloch, President</w:t>
            </w:r>
          </w:p>
        </w:tc>
      </w:tr>
    </w:tbl>
    <w:p>
      <w:pPr>
        <w:pStyle w:val="TextBody"/>
        <w:bidi w:val="0"/>
        <w:spacing w:before="0" w:after="0"/>
        <w:ind w:left="0" w:right="0" w:hanging="0"/>
        <w:jc w:val="both"/>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2075"/>
        <w:gridCol w:w="75"/>
      </w:tblGrid>
      <w:tr>
        <w:trPr/>
        <w:tc>
          <w:tcPr>
            <w:tcW w:w="2075" w:type="dxa"/>
            <w:tcBorders/>
            <w:vAlign w:val="center"/>
          </w:tcPr>
          <w:p>
            <w:pPr>
              <w:pStyle w:val="TableContents"/>
              <w:bidi w:val="0"/>
              <w:spacing w:before="0" w:after="283"/>
              <w:jc w:val="both"/>
              <w:rPr>
                <w:sz w:val="20"/>
              </w:rPr>
            </w:pPr>
            <w:r>
              <w:rPr>
                <w:sz w:val="20"/>
              </w:rPr>
              <w:t>Attest:</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Harry Newman</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sz w:val="20"/>
              </w:rPr>
            </w:pPr>
            <w:r>
              <w:rPr>
                <w:sz w:val="20"/>
              </w:rPr>
              <w:t>Harry Newman,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985"/>
        <w:gridCol w:w="395"/>
      </w:tblGrid>
      <w:tr>
        <w:trPr/>
        <w:tc>
          <w:tcPr>
            <w:tcW w:w="1985" w:type="dxa"/>
            <w:tcBorders/>
            <w:vAlign w:val="center"/>
          </w:tcPr>
          <w:p>
            <w:pPr>
              <w:pStyle w:val="TableContents"/>
              <w:bidi w:val="0"/>
              <w:spacing w:before="0" w:after="283"/>
              <w:jc w:val="both"/>
              <w:rPr>
                <w:sz w:val="20"/>
              </w:rPr>
            </w:pPr>
            <w:r>
              <w:rPr>
                <w:sz w:val="20"/>
              </w:rPr>
              <w:t>STATE OF NEW YORK</w:t>
            </w:r>
          </w:p>
        </w:tc>
        <w:tc>
          <w:tcPr>
            <w:tcW w:w="395" w:type="dxa"/>
            <w:tcBorders/>
            <w:vAlign w:val="center"/>
          </w:tcPr>
          <w:p>
            <w:pPr>
              <w:pStyle w:val="TableContents"/>
              <w:bidi w:val="0"/>
              <w:spacing w:before="0" w:after="283"/>
              <w:jc w:val="both"/>
              <w:rPr>
                <w:sz w:val="20"/>
              </w:rPr>
            </w:pPr>
            <w:r>
              <w:rPr>
                <w:sz w:val="20"/>
              </w:rPr>
              <w:t>)</w:t>
            </w:r>
          </w:p>
        </w:tc>
      </w:tr>
      <w:tr>
        <w:trPr/>
        <w:tc>
          <w:tcPr>
            <w:tcW w:w="1985" w:type="dxa"/>
            <w:tcBorders/>
            <w:vAlign w:val="center"/>
          </w:tcPr>
          <w:p>
            <w:pPr>
              <w:pStyle w:val="TableContents"/>
              <w:bidi w:val="0"/>
              <w:spacing w:before="0" w:after="283"/>
              <w:jc w:val="both"/>
              <w:rPr>
                <w:sz w:val="20"/>
              </w:rPr>
            </w:pPr>
            <w:r>
              <w:rPr>
                <w:sz w:val="20"/>
              </w:rPr>
              <w:t>COUNTY OF NASSAU</w:t>
            </w:r>
          </w:p>
        </w:tc>
        <w:tc>
          <w:tcPr>
            <w:tcW w:w="395" w:type="dxa"/>
            <w:tcBorders/>
            <w:vAlign w:val="center"/>
          </w:tcPr>
          <w:p>
            <w:pPr>
              <w:pStyle w:val="TableContents"/>
              <w:bidi w:val="0"/>
              <w:spacing w:before="0" w:after="283"/>
              <w:jc w:val="both"/>
              <w:rPr>
                <w:sz w:val="20"/>
              </w:rPr>
            </w:pPr>
            <w:r>
              <w:rPr>
                <w:sz w:val="20"/>
              </w:rPr>
              <w:t>) 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REMEMBERED that on October 15, 1987, before me, a Notary Public duly authorized by law to take acknowledgement of deeds, personally came MARTIN B. BLOCH and HARRY NEWMAN, respectively President and Secretary of Frequency Electronics, Inc., and personally known to me to be such, duly signed the foregoing instrument before me, and acknowledged that such signing is their act and deed and that such instrument as executed is the act and deed of said Corporation, and that the facts stated therein are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on October 15, 1987</w:t>
      </w:r>
    </w:p>
    <w:p>
      <w:pPr>
        <w:pStyle w:val="TextBody"/>
        <w:bidi w:val="0"/>
        <w:spacing w:before="0" w:after="0"/>
        <w:ind w:left="0" w:right="0" w:hanging="0"/>
        <w:jc w:val="both"/>
        <w:rPr>
          <w:caps w:val="false"/>
          <w:smallCaps w:val="false"/>
        </w:rPr>
      </w:pPr>
      <w:r>
        <w:rPr>
          <w:caps w:val="false"/>
          <w:smallCaps w:val="false"/>
        </w:rPr>
        <w:t> </w:t>
      </w:r>
    </w:p>
    <w:tbl>
      <w:tblPr>
        <w:tblW w:w="1925" w:type="dxa"/>
        <w:jc w:val="left"/>
        <w:tblInd w:w="0" w:type="dxa"/>
        <w:tblLayout w:type="fixed"/>
        <w:tblCellMar>
          <w:top w:w="0" w:type="dxa"/>
          <w:left w:w="0" w:type="dxa"/>
          <w:bottom w:w="0" w:type="dxa"/>
          <w:right w:w="0" w:type="dxa"/>
        </w:tblCellMar>
      </w:tblPr>
      <w:tblGrid>
        <w:gridCol w:w="1850"/>
        <w:gridCol w:w="75"/>
      </w:tblGrid>
      <w:tr>
        <w:trPr/>
        <w:tc>
          <w:tcPr>
            <w:tcW w:w="185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Arnold S. Schickler</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both"/>
              <w:rPr>
                <w:sz w:val="20"/>
              </w:rPr>
            </w:pPr>
            <w:r>
              <w:rPr>
                <w:sz w:val="20"/>
              </w:rPr>
              <w:t>Notary Public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cert-amendment/restatement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3" w:name="feimex3-6.htm"/>
      <w:bookmarkStart w:id="44" w:name="ksfeimex36"/>
      <w:bookmarkEnd w:id="43"/>
      <w:bookmarkEnd w:id="44"/>
      <w:r>
        <w:rPr>
          <w:b/>
        </w:rPr>
        <w:t>Exhibit 3.6</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AMENDMENT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INCORPORATION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FREQUENCY ELECTRONICS,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certified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(hereinafter called “Corporation”) is: FREQUENCY ELECTRONICS,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is hereby amended as follows: By deleting Article Fourth in its entirety and by substituting in lieu of said Article Fourth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The total number of shares of stock which the Corporation shall have authority to issue is twenty million six hundred thousand (20,600,000) shares. Of such shares, six hundred thousand (600,000) shall be Preferred Stock of the par value of one dollar ($1.00) and twenty million (20,000,000) shares shall be Common Stock of the par value of one dollar ($1.00).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Preferred Stock may be issued by the Directors of the Corporation from time to time, in series or otherwise, and shall have such designations, preferences, voting powers and relative, participating, optional or other special rights and qualifications, limitations or restrictions thereof as shall be stated or expressed in the resolution or resolutions providing for the issue of such shares as may, from time to time, be adopted by the Board of Directors, to whom authority so to fix and determine the same is hereby expressly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Amendment of the Certificate of Incorporation of the Corporation, herein certified, was duly adopted, pursuant to the provisions of Section 242 General Corporation Law of the State of Delaware, by vote of a majority of the outstanding stock entitled to vote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capital of the Corporation will not be reduced under or by reason of said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at Mitchel Field, New York on October 25, 1989.</w:t>
      </w:r>
    </w:p>
    <w:p>
      <w:pPr>
        <w:pStyle w:val="TextBody"/>
        <w:bidi w:val="0"/>
        <w:spacing w:before="0" w:after="0"/>
        <w:ind w:left="576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095"/>
        <w:gridCol w:w="3170"/>
      </w:tblGrid>
      <w:tr>
        <w:trPr/>
        <w:tc>
          <w:tcPr>
            <w:tcW w:w="3095" w:type="dxa"/>
            <w:tcBorders/>
            <w:vAlign w:val="center"/>
          </w:tcPr>
          <w:p>
            <w:pPr>
              <w:pStyle w:val="TableContents"/>
              <w:bidi w:val="0"/>
              <w:spacing w:before="0" w:after="283"/>
              <w:jc w:val="left"/>
              <w:rPr>
                <w:sz w:val="4"/>
                <w:szCs w:val="4"/>
              </w:rPr>
            </w:pPr>
            <w:r>
              <w:rPr>
                <w:sz w:val="4"/>
                <w:szCs w:val="4"/>
              </w:rPr>
            </w:r>
          </w:p>
        </w:tc>
        <w:tc>
          <w:tcPr>
            <w:tcW w:w="3170" w:type="dxa"/>
            <w:tcBorders>
              <w:bottom w:val="single" w:sz="8" w:space="0" w:color="000000"/>
            </w:tcBorders>
            <w:tcMar>
              <w:bottom w:w="28" w:type="dxa"/>
            </w:tcMar>
            <w:vAlign w:val="center"/>
          </w:tcPr>
          <w:p>
            <w:pPr>
              <w:pStyle w:val="TableContents"/>
              <w:bidi w:val="0"/>
              <w:spacing w:before="0" w:after="283"/>
              <w:jc w:val="left"/>
              <w:rPr/>
            </w:pPr>
            <w:r>
              <w:rPr/>
              <w:t>/s/ Martin B. Bloch</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pPr>
            <w:r>
              <w:rPr/>
              <w:t>MARTIN B. BLOCH, President</w:t>
            </w:r>
          </w:p>
        </w:tc>
      </w:tr>
      <w:tr>
        <w:trPr/>
        <w:tc>
          <w:tcPr>
            <w:tcW w:w="309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ATTEST:</w:t>
            </w:r>
          </w:p>
        </w:tc>
        <w:tc>
          <w:tcPr>
            <w:tcW w:w="3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pPr>
            <w:r>
              <w:rPr/>
              <w:t>/s/ Harry Newman</w:t>
            </w:r>
          </w:p>
        </w:tc>
        <w:tc>
          <w:tcPr>
            <w:tcW w:w="3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HARRY NEWMAN, Secretary</w:t>
            </w:r>
          </w:p>
        </w:tc>
        <w:tc>
          <w:tcPr>
            <w:tcW w:w="3170" w:type="dxa"/>
            <w:tcBorders/>
            <w:vAlign w:val="center"/>
          </w:tcPr>
          <w:p>
            <w:pPr>
              <w:pStyle w:val="TableContents"/>
              <w:bidi w:val="0"/>
              <w:spacing w:before="0" w:after="283"/>
              <w:jc w:val="left"/>
              <w:rPr/>
            </w:pPr>
            <w:r>
              <w:rPr/>
              <w:t> </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555"/>
        <w:gridCol w:w="455"/>
        <w:gridCol w:w="75"/>
      </w:tblGrid>
      <w:tr>
        <w:trPr/>
        <w:tc>
          <w:tcPr>
            <w:tcW w:w="2555" w:type="dxa"/>
            <w:tcBorders/>
            <w:vAlign w:val="center"/>
          </w:tcPr>
          <w:p>
            <w:pPr>
              <w:pStyle w:val="TableContents"/>
              <w:bidi w:val="0"/>
              <w:spacing w:before="0" w:after="283"/>
              <w:jc w:val="left"/>
              <w:rPr/>
            </w:pPr>
            <w:r>
              <w:rPr/>
              <w:t>STATE OF NEW YORK</w:t>
            </w:r>
          </w:p>
        </w:tc>
        <w:tc>
          <w:tcPr>
            <w:tcW w:w="455"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ss.:</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COUNTY OF NASSAU</w:t>
            </w:r>
          </w:p>
        </w:tc>
        <w:tc>
          <w:tcPr>
            <w:tcW w:w="455"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REMEMBERED that on October , 1989, before me a Notary Public duly authorized by law to take acknowledgement of deeds, personally came MARTIN B. BLOCH and HARRY NEWMAN, respectively, President and Secretary of FREQUENCY ELECTRONICS, INC. and personally known by me to be such, duly signed the foregoing instrument before me, and acknowledged that such signing is their act and deed and that such instrument as executed is the act and deed of said Corporation, and that the facts stated therein are true.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on October 25, 1989.</w:t>
      </w:r>
    </w:p>
    <w:p>
      <w:pPr>
        <w:pStyle w:val="TextBody"/>
        <w:bidi w:val="0"/>
        <w:spacing w:before="0" w:after="0"/>
        <w:ind w:left="576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left"/>
              <w:rPr/>
            </w:pPr>
            <w:r>
              <w:rPr/>
              <w:t>/s/ Jeanne Lithgow</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Notary Public</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feimex21.htm"/>
      <w:bookmarkStart w:id="46" w:name="ksfeimex21"/>
      <w:bookmarkEnd w:id="45"/>
      <w:bookmarkEnd w:id="46"/>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952500" cy="952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&amp;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Headquarters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Charles Lindbergh Blvd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 11553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67"/>
        <w:gridCol w:w="60"/>
        <w:gridCol w:w="1357"/>
        <w:gridCol w:w="60"/>
        <w:gridCol w:w="6461"/>
      </w:tblGrid>
      <w:tr>
        <w:trPr/>
        <w:tc>
          <w:tcPr>
            <w:tcW w:w="226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Function</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Communications, Inc.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communication systems and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FEI Government Systems, Inc.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systems and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FEI-Elcom Tech, Inc.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Northvale, NJ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 Microwave products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Realty, Inc.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property holdings  </w:t>
            </w:r>
          </w:p>
        </w:tc>
      </w:tr>
      <w:tr>
        <w:trPr/>
        <w:tc>
          <w:tcPr>
            <w:tcW w:w="22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FEI-Zyfer, Inc.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Grove, CA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GPS time and frequency receivers, synchronization systems and secure  communication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feimex23-1.htm"/>
      <w:bookmarkStart w:id="48" w:name="ksfeimex231"/>
      <w:bookmarkEnd w:id="47"/>
      <w:bookmarkEnd w:id="4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July 15, 2026 with respect to the consolidated financial statements included in the Annual Report of Frequency Electronics, Inc. on Form 10-K for the year ended April 30, 2026. We consent to the incorporation by reference of said report in the Registration Statements of Frequency Electronics, Inc. on Forms S-8 (File No. 333-08901, File No. 333-40506, File No. 333-140938, File No. 333-156600, File No. 333-42233, File No. 333-188952, and File No. 333-282620).</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28" w:type="dxa"/>
          <w:right w:w="0" w:type="dxa"/>
        </w:tblCellMar>
      </w:tblPr>
      <w:tblGrid>
        <w:gridCol w:w="3140"/>
        <w:gridCol w:w="60"/>
        <w:gridCol w:w="75"/>
      </w:tblGrid>
      <w:tr>
        <w:trPr/>
        <w:tc>
          <w:tcPr>
            <w:tcW w:w="3140" w:type="dxa"/>
            <w:tcBorders>
              <w:bottom w:val="single" w:sz="8" w:space="0" w:color="000000"/>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/s/ GRANT THORNTON LLP.</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feimex31-1.htm"/>
      <w:bookmarkStart w:id="50" w:name="ksfeimex311"/>
      <w:bookmarkEnd w:id="49"/>
      <w:bookmarkEnd w:id="5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McClelland, certify that:</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spacing w:before="0" w:after="283"/>
              <w:jc w:val="both"/>
              <w:rPr/>
            </w:pPr>
            <w:r>
              <w:rPr/>
              <w:t>I have reviewed this Annual Report on Form 10-K of Frequency Electronics,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35"/>
        <w:gridCol w:w="3080"/>
        <w:gridCol w:w="75"/>
      </w:tblGrid>
      <w:tr>
        <w:trPr/>
        <w:tc>
          <w:tcPr>
            <w:tcW w:w="335" w:type="dxa"/>
            <w:tcBorders/>
            <w:vAlign w:val="center"/>
          </w:tcPr>
          <w:p>
            <w:pPr>
              <w:pStyle w:val="TableContents"/>
              <w:bidi w:val="0"/>
              <w:spacing w:before="0" w:after="283"/>
              <w:jc w:val="both"/>
              <w:rPr>
                <w:sz w:val="20"/>
              </w:rPr>
            </w:pPr>
            <w:r>
              <w:rPr>
                <w:sz w:val="20"/>
              </w:rPr>
              <w:t>By:</w:t>
            </w:r>
          </w:p>
        </w:tc>
        <w:tc>
          <w:tcPr>
            <w:tcW w:w="308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Thomas McClelland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sz w:val="20"/>
              </w:rPr>
            </w:pPr>
            <w:r>
              <w:rPr>
                <w:sz w:val="20"/>
              </w:rPr>
              <w:t>Thomas McClelland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sz w:val="20"/>
              </w:rPr>
            </w:pPr>
            <w:r>
              <w:rPr>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feimex31-2.htm"/>
      <w:bookmarkStart w:id="52" w:name="ksfeimex312"/>
      <w:bookmarkEnd w:id="51"/>
      <w:bookmarkEnd w:id="5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Steven L. Bernstein, certify that:</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spacing w:before="0" w:after="283"/>
              <w:jc w:val="both"/>
              <w:rPr/>
            </w:pPr>
            <w:r>
              <w:rPr/>
              <w:t>I have reviewed this Annual Report on Form 10-K of Frequency Electronics,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880"/>
        <w:gridCol w:w="75"/>
      </w:tblGrid>
      <w:tr>
        <w:trPr/>
        <w:tc>
          <w:tcPr>
            <w:tcW w:w="335" w:type="dxa"/>
            <w:tcBorders/>
            <w:vAlign w:val="center"/>
          </w:tcPr>
          <w:p>
            <w:pPr>
              <w:pStyle w:val="TableContents"/>
              <w:bidi w:val="0"/>
              <w:spacing w:before="0" w:after="283"/>
              <w:jc w:val="both"/>
              <w:rPr>
                <w:sz w:val="20"/>
              </w:rPr>
            </w:pPr>
            <w:r>
              <w:rPr>
                <w:sz w:val="20"/>
              </w:rPr>
              <w:t>By:</w:t>
            </w:r>
          </w:p>
        </w:tc>
        <w:tc>
          <w:tcPr>
            <w:tcW w:w="188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Steven L. Bernstein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sz w:val="20"/>
              </w:rPr>
            </w:pPr>
            <w:r>
              <w:rPr>
                <w:sz w:val="20"/>
              </w:rPr>
              <w:t>Steven L. Bernstein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feimex32.htm"/>
      <w:bookmarkStart w:id="54" w:name="ksfeimex321"/>
      <w:bookmarkEnd w:id="53"/>
      <w:bookmarkEnd w:id="54"/>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Frequency Electronics, Inc. (the “Company”) on Form 10-K for the fiscal year ended April 30, 2026 as filed with the Securities and Exchange Commission on the date hereof (the “Report”), I, Thomas McClelland, President and Chief Executive Officer of the Company, certify, pursuant to Section 18 U.S.C.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(2)</w:t>
            </w:r>
          </w:p>
        </w:tc>
        <w:tc>
          <w:tcPr>
            <w:tcW w:w="9933"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28" w:type="dxa"/>
          <w:right w:w="0" w:type="dxa"/>
        </w:tblCellMar>
      </w:tblPr>
      <w:tblGrid>
        <w:gridCol w:w="1940"/>
        <w:gridCol w:w="60"/>
        <w:gridCol w:w="1145"/>
      </w:tblGrid>
      <w:tr>
        <w:trPr/>
        <w:tc>
          <w:tcPr>
            <w:tcW w:w="1940" w:type="dxa"/>
            <w:tcBorders>
              <w:bottom w:val="single" w:sz="8" w:space="0" w:color="000000"/>
            </w:tcBorders>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Thomas McClelland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sz w:val="20"/>
              </w:rPr>
            </w:pPr>
            <w:r>
              <w:rPr>
                <w:sz w:val="20"/>
              </w:rPr>
              <w:t>July 16, 2026</w:t>
            </w:r>
          </w:p>
        </w:tc>
      </w:tr>
      <w:tr>
        <w:trPr/>
        <w:tc>
          <w:tcPr>
            <w:tcW w:w="1940" w:type="dxa"/>
            <w:tcBorders/>
            <w:tcMar>
              <w:bottom w:w="0" w:type="dxa"/>
            </w:tcMar>
            <w:vAlign w:val="center"/>
          </w:tcPr>
          <w:p>
            <w:pPr>
              <w:pStyle w:val="TableContents"/>
              <w:bidi w:val="0"/>
              <w:spacing w:before="0" w:after="283"/>
              <w:jc w:val="left"/>
              <w:rPr>
                <w:sz w:val="20"/>
              </w:rPr>
            </w:pPr>
            <w:r>
              <w:rPr>
                <w:sz w:val="20"/>
              </w:rPr>
              <w:t>Thomas McClelland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3145" w:type="dxa"/>
            <w:gridSpan w:val="3"/>
            <w:tcBorders/>
            <w:tcMar>
              <w:bottom w:w="0" w:type="dxa"/>
            </w:tcMar>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Frequency Electronics, Inc. (the “Company”) on Form 10-K for the fiscal year ended April 30, 2026 as filed with the Securities and Exchange Commission on the date hereof (the “Report”), I, Steven L. Bernstein, Chief Financial Officer of the Company, certify, pursuant to Section 18 U.S.C.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(2)</w:t>
            </w:r>
          </w:p>
        </w:tc>
        <w:tc>
          <w:tcPr>
            <w:tcW w:w="9933"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28" w:type="dxa"/>
          <w:right w:w="0" w:type="dxa"/>
        </w:tblCellMar>
      </w:tblPr>
      <w:tblGrid>
        <w:gridCol w:w="1865"/>
        <w:gridCol w:w="60"/>
        <w:gridCol w:w="1145"/>
      </w:tblGrid>
      <w:tr>
        <w:trPr/>
        <w:tc>
          <w:tcPr>
            <w:tcW w:w="1865" w:type="dxa"/>
            <w:tcBorders>
              <w:bottom w:val="single" w:sz="8" w:space="0" w:color="000000"/>
            </w:tcBorders>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Steven L. Bernstein</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sz w:val="20"/>
              </w:rPr>
            </w:pPr>
            <w:r>
              <w:rPr>
                <w:sz w:val="20"/>
              </w:rPr>
              <w:t>July 16, 2026</w:t>
            </w:r>
          </w:p>
        </w:tc>
      </w:tr>
      <w:tr>
        <w:trPr/>
        <w:tc>
          <w:tcPr>
            <w:tcW w:w="1865" w:type="dxa"/>
            <w:tcBorders/>
            <w:tcMar>
              <w:bottom w:w="0" w:type="dxa"/>
            </w:tcMar>
            <w:vAlign w:val="center"/>
          </w:tcPr>
          <w:p>
            <w:pPr>
              <w:pStyle w:val="TableContents"/>
              <w:bidi w:val="0"/>
              <w:spacing w:before="0" w:after="283"/>
              <w:jc w:val="left"/>
              <w:rPr>
                <w:sz w:val="20"/>
              </w:rPr>
            </w:pPr>
            <w:r>
              <w:rPr>
                <w:sz w:val="20"/>
              </w:rPr>
              <w:t>Steven L. Bernstein</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3070" w:type="dxa"/>
            <w:gridSpan w:val="3"/>
            <w:tcBorders/>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9020/000114420412011172/v303671_ex2-1.htm" TargetMode="External"/><Relationship Id="rId3" Type="http://schemas.openxmlformats.org/officeDocument/2006/relationships/hyperlink" Target="https://www.sec.gov/Archives/edgar/data/39020/000118518520000896/ex_191621.htm" TargetMode="External"/><Relationship Id="rId4" Type="http://schemas.openxmlformats.org/officeDocument/2006/relationships/hyperlink" Target="https://www.sec.gov/Archives/edgar/data/39020/000118518521000886/ex_260110.htm" TargetMode="External"/><Relationship Id="rId5" Type="http://schemas.openxmlformats.org/officeDocument/2006/relationships/hyperlink" Target="https://www.sec.gov/Archives/edgar/data/39020/000118518516005440/ex10-1.htm" TargetMode="External"/><Relationship Id="rId6" Type="http://schemas.openxmlformats.org/officeDocument/2006/relationships/hyperlink" Target="https://www.sec.gov/Archives/edgar/data/39020/000003902005000049/stockplan8k.txt" TargetMode="External"/><Relationship Id="rId7" Type="http://schemas.openxmlformats.org/officeDocument/2006/relationships/hyperlink" Target="https://www.sec.gov/Archives/edgar/data/39020/0000039020-98-000011.txt" TargetMode="External"/><Relationship Id="rId8" Type="http://schemas.openxmlformats.org/officeDocument/2006/relationships/hyperlink" Target="https://www.sec.gov/Archives/edgar/data/39020/000118518518001293/ex10-13.htm" TargetMode="External"/><Relationship Id="rId9" Type="http://schemas.openxmlformats.org/officeDocument/2006/relationships/hyperlink" Target="https://www.sec.gov/Archives/edgar/data/39020/000118518518001564/ex_122723.htm" TargetMode="External"/><Relationship Id="rId10" Type="http://schemas.openxmlformats.org/officeDocument/2006/relationships/hyperlink" Target="https://www.sec.gov/Archives/edgar/data/39020/000118518518001564/ex_122724.htm" TargetMode="External"/><Relationship Id="rId11" Type="http://schemas.openxmlformats.org/officeDocument/2006/relationships/hyperlink" Target="https://www.sec.gov/Archives/edgar/data/39020/000118518524000962/ex_731001.htm" TargetMode="External"/><Relationship Id="rId12" Type="http://schemas.openxmlformats.org/officeDocument/2006/relationships/hyperlink" Target="https://www.sec.gov/Archives/edgar/data/39020/000118518526002498/feimex10-1.htm" TargetMode="External"/><Relationship Id="rId13" Type="http://schemas.openxmlformats.org/officeDocument/2006/relationships/hyperlink" Target="https://www.sec.gov/Archives/edgar/data/39020/000118518526002498/feimex10-2.htm" TargetMode="External"/><Relationship Id="rId14" Type="http://schemas.openxmlformats.org/officeDocument/2006/relationships/hyperlink" Target="http://www.sec.gov/Archives/edgar/data/39020/000118518525000806/feimex19.htm" TargetMode="External"/><Relationship Id="rId15" Type="http://schemas.openxmlformats.org/officeDocument/2006/relationships/hyperlink" Target="https://www.sec.gov/Archives/edgar/data/39020/000118518524000753/ex_704865.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43954</Words>
  <Characters>240625</Characters>
  <CharactersWithSpaces>285968</CharactersWithSpaces>
  <Paragraphs>7063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