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ectPr>
          <w:pgSz w:w="11900" w:h="16838" w:orient="portrait"/>
          <w:cols w:equalWidth="0" w:num="1">
            <w:col w:w="11420"/>
          </w:cols>
          <w:pgMar w:left="240" w:top="553" w:right="239" w:bottom="1440" w:gutter="0" w:footer="0" w:header="0"/>
        </w:sectPr>
      </w:pPr>
    </w:p>
    <w:p>
      <w:pPr>
        <w:spacing w:after="0" w:line="28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QUARTERLY REPORT PURSUANT TO SECTION 13 or 15 (d) OF THE SECURITIES</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EXCHANGE ACT OF 1934</w:t>
      </w:r>
    </w:p>
    <w:p>
      <w:pPr>
        <w:spacing w:after="0" w:line="200" w:lineRule="exact"/>
        <w:rPr>
          <w:sz w:val="24"/>
          <w:szCs w:val="24"/>
          <w:color w:val="auto"/>
        </w:rPr>
      </w:pPr>
    </w:p>
    <w:p>
      <w:pPr>
        <w:sectPr>
          <w:pgSz w:w="11900" w:h="16838" w:orient="portrait"/>
          <w:cols w:equalWidth="0" w:num="3">
            <w:col w:w="1140" w:space="480"/>
            <w:col w:w="6500" w:space="580"/>
            <w:col w:w="2720"/>
          </w:cols>
          <w:pgMar w:left="240" w:top="553" w:right="239" w:bottom="1440" w:gutter="0" w:footer="0" w:header="0"/>
          <w:type w:val="continuous"/>
        </w:sectPr>
      </w:pP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October 31, 2007</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1420"/>
          </w:cols>
          <w:pgMar w:left="240" w:top="553" w:right="239" w:bottom="1440" w:gutter="0" w:footer="0" w:header="0"/>
          <w:type w:val="continuous"/>
        </w:sectPr>
      </w:pPr>
    </w:p>
    <w:p>
      <w:pPr>
        <w:spacing w:after="0" w:line="258"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TRANSITION REPORT PURSUANT TO SECTION 13 or 15 (d) OF THE SECURITIES</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EXCHANGE ACT OF 1934</w:t>
      </w:r>
    </w:p>
    <w:p>
      <w:pPr>
        <w:spacing w:after="0" w:line="200" w:lineRule="exact"/>
        <w:rPr>
          <w:sz w:val="24"/>
          <w:szCs w:val="24"/>
          <w:color w:val="auto"/>
        </w:rPr>
      </w:pPr>
    </w:p>
    <w:p>
      <w:pPr>
        <w:sectPr>
          <w:pgSz w:w="11900" w:h="16838" w:orient="portrait"/>
          <w:cols w:equalWidth="0" w:num="3">
            <w:col w:w="1140" w:space="480"/>
            <w:col w:w="6520" w:space="580"/>
            <w:col w:w="2700"/>
          </w:cols>
          <w:pgMar w:left="240" w:top="553" w:right="239" w:bottom="1440" w:gutter="0" w:footer="0" w:header="0"/>
          <w:type w:val="continuous"/>
        </w:sectPr>
      </w:pPr>
    </w:p>
    <w:p>
      <w:pPr>
        <w:spacing w:after="0" w:line="104" w:lineRule="exact"/>
        <w:rPr>
          <w:sz w:val="24"/>
          <w:szCs w:val="24"/>
          <w:color w:val="auto"/>
        </w:rPr>
      </w:pPr>
    </w:p>
    <w:p>
      <w:pPr>
        <w:ind w:left="3600"/>
        <w:spacing w:after="0"/>
        <w:rPr>
          <w:sz w:val="20"/>
          <w:szCs w:val="20"/>
          <w:color w:val="auto"/>
        </w:rPr>
      </w:pPr>
      <w:r>
        <w:rPr>
          <w:rFonts w:ascii="Arial" w:cs="Arial" w:eastAsia="Arial" w:hAnsi="Arial"/>
          <w:sz w:val="16"/>
          <w:szCs w:val="16"/>
          <w:color w:val="auto"/>
        </w:rPr>
        <w:t>For the transition period from __________ to __________</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1-8061</w:t>
      </w:r>
    </w:p>
    <w:p>
      <w:pPr>
        <w:sectPr>
          <w:pgSz w:w="11900" w:h="16838" w:orient="portrait"/>
          <w:cols w:equalWidth="0" w:num="1">
            <w:col w:w="11420"/>
          </w:cols>
          <w:pgMar w:left="240" w:top="553" w:right="239" w:bottom="1440" w:gutter="0" w:footer="0" w:header="0"/>
          <w:type w:val="continuous"/>
        </w:sect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FREQUENCY ELECTRONICS,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612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tcPr>
          <w:p>
            <w:pPr>
              <w:jc w:val="right"/>
              <w:ind w:right="130"/>
              <w:spacing w:after="0"/>
              <w:rPr>
                <w:sz w:val="20"/>
                <w:szCs w:val="20"/>
                <w:color w:val="auto"/>
              </w:rPr>
            </w:pPr>
            <w:r>
              <w:rPr>
                <w:rFonts w:ascii="Arial" w:cs="Arial" w:eastAsia="Arial" w:hAnsi="Arial"/>
                <w:sz w:val="18"/>
                <w:szCs w:val="18"/>
                <w:b w:val="1"/>
                <w:bCs w:val="1"/>
                <w:color w:val="auto"/>
              </w:rPr>
              <w:t>11-1986657</w:t>
            </w:r>
          </w:p>
        </w:tc>
      </w:tr>
      <w:tr>
        <w:trPr>
          <w:trHeight w:val="216"/>
        </w:trPr>
        <w:tc>
          <w:tcPr>
            <w:tcW w:w="6120" w:type="dxa"/>
            <w:vAlign w:val="bottom"/>
          </w:tcPr>
          <w:p>
            <w:pPr>
              <w:jc w:val="center"/>
              <w:ind w:right="1250"/>
              <w:spacing w:after="0"/>
              <w:rPr>
                <w:sz w:val="20"/>
                <w:szCs w:val="20"/>
                <w:color w:val="auto"/>
              </w:rPr>
            </w:pPr>
            <w:r>
              <w:rPr>
                <w:rFonts w:ascii="Arial" w:cs="Arial" w:eastAsia="Arial" w:hAnsi="Arial"/>
                <w:sz w:val="18"/>
                <w:szCs w:val="18"/>
                <w:color w:val="auto"/>
                <w:w w:val="93"/>
              </w:rPr>
              <w:t>(State or other jurisdiction of</w:t>
            </w:r>
          </w:p>
        </w:tc>
        <w:tc>
          <w:tcPr>
            <w:tcW w:w="2620" w:type="dxa"/>
            <w:vAlign w:val="bottom"/>
          </w:tcPr>
          <w:p>
            <w:pPr>
              <w:jc w:val="center"/>
              <w:ind w:left="1230"/>
              <w:spacing w:after="0"/>
              <w:rPr>
                <w:sz w:val="20"/>
                <w:szCs w:val="20"/>
                <w:color w:val="auto"/>
              </w:rPr>
            </w:pPr>
            <w:r>
              <w:rPr>
                <w:rFonts w:ascii="Arial" w:cs="Arial" w:eastAsia="Arial" w:hAnsi="Arial"/>
                <w:sz w:val="18"/>
                <w:szCs w:val="18"/>
                <w:color w:val="auto"/>
                <w:w w:val="92"/>
              </w:rPr>
              <w:t>(I.R.S. Employer</w:t>
            </w:r>
          </w:p>
        </w:tc>
      </w:tr>
      <w:tr>
        <w:trPr>
          <w:trHeight w:val="230"/>
        </w:trPr>
        <w:tc>
          <w:tcPr>
            <w:tcW w:w="6120" w:type="dxa"/>
            <w:vAlign w:val="bottom"/>
          </w:tcPr>
          <w:p>
            <w:pPr>
              <w:jc w:val="center"/>
              <w:ind w:right="1250"/>
              <w:spacing w:after="0"/>
              <w:rPr>
                <w:sz w:val="20"/>
                <w:szCs w:val="20"/>
                <w:color w:val="auto"/>
              </w:rPr>
            </w:pPr>
            <w:r>
              <w:rPr>
                <w:rFonts w:ascii="Arial" w:cs="Arial" w:eastAsia="Arial" w:hAnsi="Arial"/>
                <w:sz w:val="18"/>
                <w:szCs w:val="18"/>
                <w:color w:val="auto"/>
                <w:w w:val="93"/>
              </w:rPr>
              <w:t>incorporation or organization)</w:t>
            </w:r>
          </w:p>
        </w:tc>
        <w:tc>
          <w:tcPr>
            <w:tcW w:w="2620" w:type="dxa"/>
            <w:vAlign w:val="bottom"/>
          </w:tcPr>
          <w:p>
            <w:pPr>
              <w:jc w:val="center"/>
              <w:ind w:left="1230"/>
              <w:spacing w:after="0"/>
              <w:rPr>
                <w:sz w:val="20"/>
                <w:szCs w:val="20"/>
                <w:color w:val="auto"/>
              </w:rPr>
            </w:pPr>
            <w:r>
              <w:rPr>
                <w:rFonts w:ascii="Arial" w:cs="Arial" w:eastAsia="Arial" w:hAnsi="Arial"/>
                <w:sz w:val="18"/>
                <w:szCs w:val="18"/>
                <w:color w:val="auto"/>
                <w:w w:val="92"/>
              </w:rPr>
              <w:t>Identification No.)</w:t>
            </w:r>
          </w:p>
        </w:tc>
      </w:tr>
      <w:tr>
        <w:trPr>
          <w:trHeight w:val="445"/>
        </w:trPr>
        <w:tc>
          <w:tcPr>
            <w:tcW w:w="6120" w:type="dxa"/>
            <w:vAlign w:val="bottom"/>
          </w:tcPr>
          <w:p>
            <w:pPr>
              <w:jc w:val="center"/>
              <w:ind w:right="1250"/>
              <w:spacing w:after="0"/>
              <w:rPr>
                <w:sz w:val="20"/>
                <w:szCs w:val="20"/>
                <w:color w:val="auto"/>
              </w:rPr>
            </w:pPr>
            <w:r>
              <w:rPr>
                <w:rFonts w:ascii="Arial" w:cs="Arial" w:eastAsia="Arial" w:hAnsi="Arial"/>
                <w:sz w:val="18"/>
                <w:szCs w:val="18"/>
                <w:b w:val="1"/>
                <w:bCs w:val="1"/>
                <w:color w:val="auto"/>
              </w:rPr>
              <w:t>55 CHARLES LINDBERGH BLVD., MITCHEL FIELD, N.Y.</w:t>
            </w:r>
          </w:p>
        </w:tc>
        <w:tc>
          <w:tcPr>
            <w:tcW w:w="2620" w:type="dxa"/>
            <w:vAlign w:val="bottom"/>
          </w:tcPr>
          <w:p>
            <w:pPr>
              <w:jc w:val="right"/>
              <w:ind w:right="330"/>
              <w:spacing w:after="0"/>
              <w:rPr>
                <w:sz w:val="20"/>
                <w:szCs w:val="20"/>
                <w:color w:val="auto"/>
              </w:rPr>
            </w:pPr>
            <w:r>
              <w:rPr>
                <w:rFonts w:ascii="Arial" w:cs="Arial" w:eastAsia="Arial" w:hAnsi="Arial"/>
                <w:sz w:val="18"/>
                <w:szCs w:val="18"/>
                <w:b w:val="1"/>
                <w:bCs w:val="1"/>
                <w:color w:val="auto"/>
              </w:rPr>
              <w:t>11553</w:t>
            </w:r>
          </w:p>
        </w:tc>
      </w:tr>
      <w:tr>
        <w:trPr>
          <w:trHeight w:val="230"/>
        </w:trPr>
        <w:tc>
          <w:tcPr>
            <w:tcW w:w="6120" w:type="dxa"/>
            <w:vAlign w:val="bottom"/>
          </w:tcPr>
          <w:p>
            <w:pPr>
              <w:jc w:val="center"/>
              <w:ind w:right="1250"/>
              <w:spacing w:after="0"/>
              <w:rPr>
                <w:sz w:val="20"/>
                <w:szCs w:val="20"/>
                <w:color w:val="auto"/>
              </w:rPr>
            </w:pPr>
            <w:r>
              <w:rPr>
                <w:rFonts w:ascii="Arial" w:cs="Arial" w:eastAsia="Arial" w:hAnsi="Arial"/>
                <w:sz w:val="18"/>
                <w:szCs w:val="18"/>
                <w:color w:val="auto"/>
                <w:w w:val="92"/>
              </w:rPr>
              <w:t>(Address of principal executive offices)</w:t>
            </w:r>
          </w:p>
        </w:tc>
        <w:tc>
          <w:tcPr>
            <w:tcW w:w="2620" w:type="dxa"/>
            <w:vAlign w:val="bottom"/>
          </w:tcPr>
          <w:p>
            <w:pPr>
              <w:jc w:val="center"/>
              <w:ind w:left="125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p>
      <w:pPr>
        <w:spacing w:after="0" w:line="28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3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24" w:lineRule="exact"/>
        <w:rPr>
          <w:sz w:val="24"/>
          <w:szCs w:val="24"/>
          <w:color w:val="auto"/>
        </w:rPr>
      </w:pPr>
    </w:p>
    <w:p>
      <w:pPr>
        <w:ind w:left="660"/>
        <w:spacing w:after="0"/>
        <w:tabs>
          <w:tab w:leader="none" w:pos="3060" w:val="left"/>
          <w:tab w:leader="none" w:pos="50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Yes o No x</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December 10, 2007 - 8,703,219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720" w:type="dxa"/>
            <w:vAlign w:val="bottom"/>
          </w:tcPr>
          <w:p>
            <w:pPr>
              <w:jc w:val="center"/>
              <w:ind w:left="1630"/>
              <w:spacing w:after="0"/>
              <w:rPr>
                <w:sz w:val="20"/>
                <w:szCs w:val="20"/>
                <w:color w:val="auto"/>
              </w:rPr>
            </w:pPr>
            <w:r>
              <w:rPr>
                <w:rFonts w:ascii="Arial" w:cs="Arial" w:eastAsia="Arial" w:hAnsi="Arial"/>
                <w:sz w:val="18"/>
                <w:szCs w:val="18"/>
                <w:color w:val="auto"/>
                <w:w w:val="95"/>
              </w:rPr>
              <w:t>FREQUENCY ELECTRONICS, INC. and SUBSIDIARIES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9720" w:type="dxa"/>
            <w:vAlign w:val="bottom"/>
          </w:tcPr>
          <w:p>
            <w:pPr>
              <w:jc w:val="center"/>
              <w:ind w:left="1630"/>
              <w:spacing w:after="0"/>
              <w:rPr>
                <w:sz w:val="20"/>
                <w:szCs w:val="20"/>
                <w:color w:val="auto"/>
              </w:rPr>
            </w:pPr>
            <w:r>
              <w:rPr>
                <w:rFonts w:ascii="Arial" w:cs="Arial" w:eastAsia="Arial" w:hAnsi="Arial"/>
                <w:sz w:val="18"/>
                <w:szCs w:val="18"/>
                <w:color w:val="auto"/>
              </w:rPr>
              <w:t>INDEX</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9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360"/>
              <w:spacing w:after="0"/>
              <w:rPr>
                <w:sz w:val="20"/>
                <w:szCs w:val="20"/>
                <w:color w:val="auto"/>
              </w:rPr>
            </w:pPr>
            <w:r>
              <w:rPr>
                <w:rFonts w:ascii="Arial" w:cs="Arial" w:eastAsia="Arial" w:hAnsi="Arial"/>
                <w:sz w:val="18"/>
                <w:szCs w:val="18"/>
                <w:color w:val="auto"/>
              </w:rPr>
              <w:t>Page No.</w:t>
            </w:r>
          </w:p>
        </w:tc>
      </w:tr>
      <w:tr>
        <w:trPr>
          <w:trHeight w:val="237"/>
        </w:trPr>
        <w:tc>
          <w:tcPr>
            <w:tcW w:w="9720" w:type="dxa"/>
            <w:vAlign w:val="bottom"/>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1 - Financial Statements:</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Condensed Consolidated Balance Sheets -</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7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October 31, 2007 and April 30, 2007</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Condensed Consolidated Statements of Operations</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7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Six Months Ended October 31, 2007 and 2006</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Condensed Consolidated Statements of Operations</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7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Three Months Ended October 31, 2007 and 2006</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Condensed Consolidated Statements of Cash Flows</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720" w:type="dxa"/>
            <w:vAlign w:val="bottom"/>
            <w:shd w:val="clear" w:color="auto" w:fill="CCFFCC"/>
          </w:tcPr>
          <w:p>
            <w:pPr>
              <w:ind w:left="1300"/>
              <w:spacing w:after="0"/>
              <w:rPr>
                <w:sz w:val="20"/>
                <w:szCs w:val="20"/>
                <w:color w:val="auto"/>
              </w:rPr>
            </w:pPr>
            <w:r>
              <w:rPr>
                <w:rFonts w:ascii="Arial" w:cs="Arial" w:eastAsia="Arial" w:hAnsi="Arial"/>
                <w:sz w:val="18"/>
                <w:szCs w:val="18"/>
                <w:color w:val="auto"/>
              </w:rPr>
              <w:t>Six Months Ended October 31, 2007 and 2006</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Notes to Condensed Consolidated Financial Statements</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7-11</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2 - Management's Discussion and Analysis of Financial Condition and Results of Operations</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12-18</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4- Controls and Procedures</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Items 1, 1A, 2, 3 and 5 are omitted because they are not applicable</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4 - Submission of Matters to a Vote of Security Holders</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Item 6 - Exhibits</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Signatures</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w:t>
            </w: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7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Exhibits</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486"/>
        </w:trPr>
        <w:tc>
          <w:tcPr>
            <w:tcW w:w="9720" w:type="dxa"/>
            <w:vAlign w:val="bottom"/>
          </w:tcPr>
          <w:p>
            <w:pPr>
              <w:jc w:val="center"/>
              <w:ind w:left="1630"/>
              <w:spacing w:after="0"/>
              <w:rPr>
                <w:sz w:val="20"/>
                <w:szCs w:val="20"/>
                <w:color w:val="auto"/>
              </w:rPr>
            </w:pPr>
            <w:r>
              <w:rPr>
                <w:rFonts w:ascii="Arial" w:cs="Arial" w:eastAsia="Arial" w:hAnsi="Arial"/>
                <w:sz w:val="18"/>
                <w:szCs w:val="18"/>
                <w:color w:val="auto"/>
                <w:w w:val="84"/>
              </w:rPr>
              <w:t>Page 2</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97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120" w:type="dxa"/>
            <w:vAlign w:val="bottom"/>
            <w:gridSpan w:val="3"/>
          </w:tcPr>
          <w:p>
            <w:pPr>
              <w:jc w:val="center"/>
              <w:ind w:left="3230"/>
              <w:spacing w:after="0"/>
              <w:rPr>
                <w:sz w:val="20"/>
                <w:szCs w:val="20"/>
                <w:color w:val="auto"/>
              </w:rPr>
            </w:pPr>
            <w:r>
              <w:rPr>
                <w:rFonts w:ascii="Arial" w:cs="Arial" w:eastAsia="Arial" w:hAnsi="Arial"/>
                <w:sz w:val="18"/>
                <w:szCs w:val="18"/>
                <w:color w:val="auto"/>
                <w:w w:val="95"/>
              </w:rPr>
              <w:t>FREQUENCY ELECTRONICS, INC. and SUBSIDIARIES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240" w:type="dxa"/>
            <w:vAlign w:val="bottom"/>
          </w:tcPr>
          <w:p>
            <w:pPr>
              <w:spacing w:after="0"/>
              <w:rPr>
                <w:sz w:val="24"/>
                <w:szCs w:val="24"/>
                <w:color w:val="auto"/>
              </w:rPr>
            </w:pPr>
          </w:p>
        </w:tc>
        <w:tc>
          <w:tcPr>
            <w:tcW w:w="3880" w:type="dxa"/>
            <w:vAlign w:val="bottom"/>
            <w:gridSpan w:val="2"/>
          </w:tcPr>
          <w:p>
            <w:pPr>
              <w:jc w:val="center"/>
              <w:ind w:right="940"/>
              <w:spacing w:after="0"/>
              <w:rPr>
                <w:sz w:val="20"/>
                <w:szCs w:val="20"/>
                <w:color w:val="auto"/>
              </w:rPr>
            </w:pPr>
            <w:r>
              <w:rPr>
                <w:rFonts w:ascii="Arial" w:cs="Arial" w:eastAsia="Arial" w:hAnsi="Arial"/>
                <w:sz w:val="18"/>
                <w:szCs w:val="18"/>
                <w:color w:val="auto"/>
                <w:w w:val="88"/>
              </w:rPr>
              <w:t>Condensed Consolidated Balance Sheets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424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October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April 30,</w:t>
            </w:r>
          </w:p>
        </w:tc>
      </w:tr>
      <w:tr>
        <w:trPr>
          <w:trHeight w:val="270"/>
        </w:trPr>
        <w:tc>
          <w:tcPr>
            <w:tcW w:w="42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3"/>
                <w:szCs w:val="23"/>
                <w:color w:val="auto"/>
              </w:rPr>
            </w:pPr>
          </w:p>
        </w:tc>
      </w:tr>
      <w:tr>
        <w:trPr>
          <w:trHeight w:val="237"/>
        </w:trPr>
        <w:tc>
          <w:tcPr>
            <w:tcW w:w="4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(AUDITED)</w:t>
            </w:r>
          </w:p>
        </w:tc>
      </w:tr>
      <w:tr>
        <w:trPr>
          <w:trHeight w:val="243"/>
        </w:trPr>
        <w:tc>
          <w:tcPr>
            <w:tcW w:w="42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(NOTE A)</w:t>
            </w:r>
          </w:p>
        </w:tc>
      </w:tr>
      <w:tr>
        <w:trPr>
          <w:trHeight w:val="243"/>
        </w:trPr>
        <w:tc>
          <w:tcPr>
            <w:tcW w:w="42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jc w:val="right"/>
              <w:ind w:right="440"/>
              <w:spacing w:after="0"/>
              <w:rPr>
                <w:sz w:val="20"/>
                <w:szCs w:val="20"/>
                <w:color w:val="auto"/>
              </w:rPr>
            </w:pPr>
            <w:r>
              <w:rPr>
                <w:rFonts w:ascii="Arial" w:cs="Arial" w:eastAsia="Arial" w:hAnsi="Arial"/>
                <w:sz w:val="18"/>
                <w:szCs w:val="18"/>
                <w:color w:val="auto"/>
                <w:w w:val="95"/>
              </w:rPr>
              <w:t>(In thousands except share data)</w:t>
            </w:r>
          </w:p>
        </w:tc>
      </w:tr>
      <w:tr>
        <w:trPr>
          <w:trHeight w:val="243"/>
        </w:trPr>
        <w:tc>
          <w:tcPr>
            <w:tcW w:w="8120" w:type="dxa"/>
            <w:vAlign w:val="bottom"/>
            <w:gridSpan w:val="3"/>
          </w:tcPr>
          <w:p>
            <w:pPr>
              <w:ind w:left="370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7,666</w:t>
            </w:r>
          </w:p>
        </w:tc>
        <w:tc>
          <w:tcPr>
            <w:tcW w:w="140" w:type="dxa"/>
            <w:vAlign w:val="bottom"/>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1,336</w:t>
            </w:r>
          </w:p>
        </w:tc>
      </w:tr>
      <w:tr>
        <w:trPr>
          <w:trHeight w:val="243"/>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13,193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14,268</w:t>
            </w: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w w:val="91"/>
              </w:rPr>
              <w:t>Accounts receivable, net of allowance for doubtful accounts of $169 at October 31 and $276 at April 30, 2007</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17,003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15,626</w:t>
            </w:r>
          </w:p>
        </w:tc>
      </w:tr>
      <w:tr>
        <w:trPr>
          <w:trHeight w:val="243"/>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31,843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31,201</w:t>
            </w: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3,155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3,075</w:t>
            </w:r>
          </w:p>
        </w:tc>
      </w:tr>
      <w:tr>
        <w:trPr>
          <w:trHeight w:val="243"/>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75"/>
        </w:trPr>
        <w:tc>
          <w:tcPr>
            <w:tcW w:w="812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1,461</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1,501</w:t>
            </w:r>
          </w:p>
        </w:tc>
      </w:tr>
      <w:tr>
        <w:trPr>
          <w:trHeight w:val="237"/>
        </w:trPr>
        <w:tc>
          <w:tcPr>
            <w:tcW w:w="8120" w:type="dxa"/>
            <w:vAlign w:val="bottom"/>
            <w:tcBorders>
              <w:top w:val="single" w:sz="8" w:color="CCFFCC"/>
            </w:tcBorders>
            <w:gridSpan w:val="3"/>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74,321</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67,603</w:t>
            </w:r>
          </w:p>
        </w:tc>
        <w:tc>
          <w:tcPr>
            <w:tcW w:w="100" w:type="dxa"/>
            <w:vAlign w:val="bottom"/>
            <w:tcBorders>
              <w:top w:val="single" w:sz="8" w:color="CCFFCC"/>
            </w:tcBorders>
          </w:tcPr>
          <w:p>
            <w:pPr>
              <w:spacing w:after="0"/>
              <w:rPr>
                <w:sz w:val="20"/>
                <w:szCs w:val="20"/>
                <w:color w:val="auto"/>
              </w:rPr>
            </w:pPr>
          </w:p>
        </w:tc>
      </w:tr>
      <w:tr>
        <w:trPr>
          <w:trHeight w:val="243"/>
        </w:trPr>
        <w:tc>
          <w:tcPr>
            <w:tcW w:w="8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less accumulated depreciation and</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7,839</w:t>
            </w:r>
          </w:p>
        </w:tc>
      </w:tr>
      <w:tr>
        <w:trPr>
          <w:trHeight w:val="243"/>
        </w:trPr>
        <w:tc>
          <w:tcPr>
            <w:tcW w:w="81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r>
      <w:tr>
        <w:trPr>
          <w:trHeight w:val="243"/>
        </w:trPr>
        <w:tc>
          <w:tcPr>
            <w:tcW w:w="8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Goodwill and other intangible assets, net</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453</w:t>
            </w:r>
          </w:p>
        </w:tc>
      </w:tr>
      <w:tr>
        <w:trPr>
          <w:trHeight w:val="243"/>
        </w:trPr>
        <w:tc>
          <w:tcPr>
            <w:tcW w:w="8120" w:type="dxa"/>
            <w:vAlign w:val="bottom"/>
            <w:gridSpan w:val="3"/>
          </w:tcPr>
          <w:p>
            <w:pPr>
              <w:spacing w:after="0"/>
              <w:rPr>
                <w:sz w:val="20"/>
                <w:szCs w:val="20"/>
                <w:color w:val="auto"/>
              </w:rPr>
            </w:pPr>
            <w:r>
              <w:rPr>
                <w:rFonts w:ascii="Arial" w:cs="Arial" w:eastAsia="Arial" w:hAnsi="Arial"/>
                <w:sz w:val="18"/>
                <w:szCs w:val="18"/>
                <w:color w:val="auto"/>
              </w:rPr>
              <w:t>Cash surrender value of life insurance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7,055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6,815</w:t>
            </w:r>
          </w:p>
        </w:tc>
      </w:tr>
      <w:tr>
        <w:trPr>
          <w:trHeight w:val="243"/>
        </w:trPr>
        <w:tc>
          <w:tcPr>
            <w:tcW w:w="8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Investments in and loans receivable from affiliates</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7,354</w:t>
            </w:r>
          </w:p>
        </w:tc>
      </w:tr>
      <w:tr>
        <w:trPr>
          <w:trHeight w:val="270"/>
        </w:trPr>
        <w:tc>
          <w:tcPr>
            <w:tcW w:w="81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3"/>
                <w:szCs w:val="23"/>
                <w:color w:val="auto"/>
              </w:rPr>
            </w:pPr>
          </w:p>
        </w:tc>
      </w:tr>
      <w:tr>
        <w:trPr>
          <w:trHeight w:val="277"/>
        </w:trPr>
        <w:tc>
          <w:tcPr>
            <w:tcW w:w="8120" w:type="dxa"/>
            <w:vAlign w:val="bottom"/>
            <w:gridSpan w:val="3"/>
            <w:shd w:val="clear" w:color="auto" w:fill="CCFFCC"/>
          </w:tcPr>
          <w:p>
            <w:pPr>
              <w:ind w:left="5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98,443</w:t>
            </w:r>
          </w:p>
        </w:tc>
        <w:tc>
          <w:tcPr>
            <w:tcW w:w="140" w:type="dxa"/>
            <w:vAlign w:val="bottom"/>
            <w:shd w:val="clear" w:color="auto" w:fill="CCFFCC"/>
          </w:tcPr>
          <w:p>
            <w:pPr>
              <w:spacing w:after="0"/>
              <w:rPr>
                <w:sz w:val="24"/>
                <w:szCs w:val="24"/>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93,826</w:t>
            </w:r>
          </w:p>
        </w:tc>
      </w:tr>
      <w:tr>
        <w:trPr>
          <w:trHeight w:val="224"/>
        </w:trPr>
        <w:tc>
          <w:tcPr>
            <w:tcW w:w="4240" w:type="dxa"/>
            <w:vAlign w:val="bottom"/>
            <w:tcBorders>
              <w:top w:val="single" w:sz="8" w:color="CCFFCC"/>
            </w:tcBorders>
          </w:tcPr>
          <w:p>
            <w:pPr>
              <w:spacing w:after="0"/>
              <w:rPr>
                <w:sz w:val="19"/>
                <w:szCs w:val="19"/>
                <w:color w:val="auto"/>
              </w:rPr>
            </w:pPr>
          </w:p>
        </w:tc>
        <w:tc>
          <w:tcPr>
            <w:tcW w:w="2940" w:type="dxa"/>
            <w:vAlign w:val="bottom"/>
            <w:tcBorders>
              <w:top w:val="single" w:sz="8" w:color="CCFFCC"/>
            </w:tcBorders>
          </w:tcPr>
          <w:p>
            <w:pPr>
              <w:spacing w:after="0"/>
              <w:rPr>
                <w:sz w:val="19"/>
                <w:szCs w:val="19"/>
                <w:color w:val="auto"/>
              </w:rPr>
            </w:pPr>
          </w:p>
        </w:tc>
        <w:tc>
          <w:tcPr>
            <w:tcW w:w="94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8120" w:type="dxa"/>
            <w:vAlign w:val="bottom"/>
            <w:gridSpan w:val="3"/>
            <w:shd w:val="clear" w:color="auto" w:fill="CCFFCC"/>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Short-term credit obligations</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8,510</w:t>
            </w:r>
          </w:p>
        </w:tc>
        <w:tc>
          <w:tcPr>
            <w:tcW w:w="140" w:type="dxa"/>
            <w:vAlign w:val="bottom"/>
            <w:shd w:val="clear" w:color="auto" w:fill="CCFFCC"/>
          </w:tcPr>
          <w:p>
            <w:pPr>
              <w:spacing w:after="0"/>
              <w:rPr>
                <w:sz w:val="21"/>
                <w:szCs w:val="21"/>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5,011</w:t>
            </w:r>
          </w:p>
        </w:tc>
      </w:tr>
      <w:tr>
        <w:trPr>
          <w:trHeight w:val="243"/>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Accounts payable - trade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3,771</w:t>
            </w: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Accrued liabilities and other</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3,887</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3,980</w:t>
            </w:r>
          </w:p>
        </w:tc>
      </w:tr>
      <w:tr>
        <w:trPr>
          <w:trHeight w:val="243"/>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812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Dividend payable</w:t>
            </w:r>
          </w:p>
        </w:tc>
        <w:tc>
          <w:tcPr>
            <w:tcW w:w="2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w:t>
            </w:r>
          </w:p>
        </w:tc>
      </w:tr>
      <w:tr>
        <w:trPr>
          <w:trHeight w:val="237"/>
        </w:trPr>
        <w:tc>
          <w:tcPr>
            <w:tcW w:w="8120" w:type="dxa"/>
            <w:vAlign w:val="bottom"/>
            <w:tcBorders>
              <w:top w:val="single" w:sz="8" w:color="CCFFCC"/>
            </w:tcBorders>
            <w:gridSpan w:val="3"/>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15,458</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tcBorders>
              <w:top w:val="single" w:sz="8" w:color="CCFFCC"/>
            </w:tcBorders>
          </w:tcPr>
          <w:p>
            <w:pPr>
              <w:spacing w:after="0"/>
              <w:rPr>
                <w:sz w:val="20"/>
                <w:szCs w:val="20"/>
                <w:color w:val="auto"/>
              </w:rPr>
            </w:pPr>
          </w:p>
        </w:tc>
      </w:tr>
      <w:tr>
        <w:trPr>
          <w:trHeight w:val="243"/>
        </w:trPr>
        <w:tc>
          <w:tcPr>
            <w:tcW w:w="81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8,753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8,669</w:t>
            </w:r>
          </w:p>
        </w:tc>
      </w:tr>
      <w:tr>
        <w:trPr>
          <w:trHeight w:val="270"/>
        </w:trPr>
        <w:tc>
          <w:tcPr>
            <w:tcW w:w="8120" w:type="dxa"/>
            <w:vAlign w:val="bottom"/>
            <w:gridSpan w:val="3"/>
          </w:tcPr>
          <w:p>
            <w:pPr>
              <w:spacing w:after="0"/>
              <w:rPr>
                <w:sz w:val="20"/>
                <w:szCs w:val="20"/>
                <w:color w:val="auto"/>
              </w:rPr>
            </w:pPr>
            <w:r>
              <w:rPr>
                <w:rFonts w:ascii="Arial" w:cs="Arial" w:eastAsia="Arial" w:hAnsi="Arial"/>
                <w:sz w:val="18"/>
                <w:szCs w:val="18"/>
                <w:color w:val="auto"/>
              </w:rPr>
              <w:t>Deferred gain and other liabilities</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3"/>
                <w:szCs w:val="23"/>
                <w:color w:val="auto"/>
              </w:rPr>
            </w:pPr>
          </w:p>
        </w:tc>
      </w:tr>
      <w:tr>
        <w:trPr>
          <w:trHeight w:val="269"/>
        </w:trPr>
        <w:tc>
          <w:tcPr>
            <w:tcW w:w="8120" w:type="dxa"/>
            <w:vAlign w:val="bottom"/>
            <w:tcBorders>
              <w:bottom w:val="single" w:sz="8" w:color="CCFFCC"/>
            </w:tcBorders>
            <w:gridSpan w:val="3"/>
            <w:shd w:val="clear" w:color="auto" w:fill="CCFFC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24,788</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22,942</w:t>
            </w:r>
          </w:p>
        </w:tc>
      </w:tr>
      <w:tr>
        <w:trPr>
          <w:trHeight w:val="237"/>
        </w:trPr>
        <w:tc>
          <w:tcPr>
            <w:tcW w:w="812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Preferred stock - $1.00 par value</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Common stock - $1.00 par value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9,164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r>
      <w:tr>
        <w:trPr>
          <w:trHeight w:val="243"/>
        </w:trPr>
        <w:tc>
          <w:tcPr>
            <w:tcW w:w="81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47,670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47,138</w:t>
            </w:r>
          </w:p>
        </w:tc>
      </w:tr>
      <w:tr>
        <w:trPr>
          <w:trHeight w:val="270"/>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c>
          <w:tcPr>
            <w:tcW w:w="100" w:type="dxa"/>
            <w:vAlign w:val="bottom"/>
          </w:tcPr>
          <w:p>
            <w:pPr>
              <w:spacing w:after="0"/>
              <w:rPr>
                <w:sz w:val="23"/>
                <w:szCs w:val="23"/>
                <w:color w:val="auto"/>
              </w:rPr>
            </w:pPr>
          </w:p>
        </w:tc>
      </w:tr>
      <w:tr>
        <w:trPr>
          <w:trHeight w:val="237"/>
        </w:trPr>
        <w:tc>
          <w:tcPr>
            <w:tcW w:w="4240" w:type="dxa"/>
            <w:vAlign w:val="bottom"/>
            <w:shd w:val="clear" w:color="auto" w:fill="CCFFCC"/>
          </w:tcPr>
          <w:p>
            <w:pPr>
              <w:spacing w:after="0"/>
              <w:rPr>
                <w:sz w:val="20"/>
                <w:szCs w:val="20"/>
                <w:color w:val="auto"/>
              </w:rPr>
            </w:pPr>
          </w:p>
        </w:tc>
        <w:tc>
          <w:tcPr>
            <w:tcW w:w="29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71,295</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69,843</w:t>
            </w:r>
          </w:p>
        </w:tc>
      </w:tr>
      <w:tr>
        <w:trPr>
          <w:trHeight w:val="243"/>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Common stock reacquired and held in treasury</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-at cost, 460,721 shares at October 31, 2007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and 474,693 shares at April 30, 2007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(2,203)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(2,080)</w:t>
            </w:r>
          </w:p>
        </w:tc>
      </w:tr>
      <w:tr>
        <w:trPr>
          <w:trHeight w:val="275"/>
        </w:trPr>
        <w:tc>
          <w:tcPr>
            <w:tcW w:w="812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4,563</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3,121</w:t>
            </w:r>
          </w:p>
        </w:tc>
      </w:tr>
      <w:tr>
        <w:trPr>
          <w:trHeight w:val="264"/>
        </w:trPr>
        <w:tc>
          <w:tcPr>
            <w:tcW w:w="8120" w:type="dxa"/>
            <w:vAlign w:val="bottom"/>
            <w:tcBorders>
              <w:top w:val="single" w:sz="8" w:color="CCFFCC"/>
            </w:tcBorders>
            <w:gridSpan w:val="3"/>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FFC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1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70,884</w:t>
            </w:r>
          </w:p>
        </w:tc>
        <w:tc>
          <w:tcPr>
            <w:tcW w:w="100" w:type="dxa"/>
            <w:vAlign w:val="bottom"/>
            <w:tcBorders>
              <w:top w:val="single" w:sz="8" w:color="CCFFCC"/>
            </w:tcBorders>
          </w:tcPr>
          <w:p>
            <w:pPr>
              <w:spacing w:after="0"/>
              <w:rPr>
                <w:sz w:val="22"/>
                <w:szCs w:val="22"/>
                <w:color w:val="auto"/>
              </w:rPr>
            </w:pPr>
          </w:p>
        </w:tc>
      </w:tr>
      <w:tr>
        <w:trPr>
          <w:trHeight w:val="277"/>
        </w:trPr>
        <w:tc>
          <w:tcPr>
            <w:tcW w:w="8120" w:type="dxa"/>
            <w:vAlign w:val="bottom"/>
            <w:tcBorders>
              <w:bottom w:val="single" w:sz="8" w:color="CCFFCC"/>
            </w:tcBorders>
            <w:gridSpan w:val="3"/>
            <w:shd w:val="clear" w:color="auto" w:fill="CCFFCC"/>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CCFFCC"/>
            </w:tcBorders>
            <w:shd w:val="clear" w:color="auto" w:fill="CCFFCC"/>
          </w:tcPr>
          <w:p>
            <w:pPr>
              <w:spacing w:after="0"/>
              <w:rPr>
                <w:sz w:val="24"/>
                <w:szCs w:val="24"/>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98,443</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93,826</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200" w:type="dxa"/>
            <w:vAlign w:val="bottom"/>
            <w:gridSpan w:val="2"/>
          </w:tcPr>
          <w:p>
            <w:pPr>
              <w:jc w:val="center"/>
              <w:ind w:right="230"/>
              <w:spacing w:after="0"/>
              <w:rPr>
                <w:sz w:val="20"/>
                <w:szCs w:val="20"/>
                <w:color w:val="auto"/>
              </w:rPr>
            </w:pPr>
            <w:r>
              <w:rPr>
                <w:rFonts w:ascii="Arial" w:cs="Arial" w:eastAsia="Arial" w:hAnsi="Arial"/>
                <w:sz w:val="18"/>
                <w:szCs w:val="18"/>
                <w:color w:val="auto"/>
                <w:w w:val="95"/>
              </w:rPr>
              <w:t>FREQUENCY ELECTRONICS, INC. and SUBSIDIARIES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3280" w:type="dxa"/>
            <w:vAlign w:val="bottom"/>
          </w:tcPr>
          <w:p>
            <w:pPr>
              <w:spacing w:after="0"/>
              <w:rPr>
                <w:sz w:val="24"/>
                <w:szCs w:val="24"/>
                <w:color w:val="auto"/>
              </w:rPr>
            </w:pPr>
          </w:p>
        </w:tc>
        <w:tc>
          <w:tcPr>
            <w:tcW w:w="5200" w:type="dxa"/>
            <w:vAlign w:val="bottom"/>
            <w:gridSpan w:val="2"/>
          </w:tcPr>
          <w:p>
            <w:pPr>
              <w:jc w:val="center"/>
              <w:ind w:right="250"/>
              <w:spacing w:after="0"/>
              <w:rPr>
                <w:sz w:val="20"/>
                <w:szCs w:val="20"/>
                <w:color w:val="auto"/>
              </w:rPr>
            </w:pPr>
            <w:r>
              <w:rPr>
                <w:rFonts w:ascii="Arial" w:cs="Arial" w:eastAsia="Arial" w:hAnsi="Arial"/>
                <w:sz w:val="18"/>
                <w:szCs w:val="18"/>
                <w:color w:val="auto"/>
                <w:w w:val="88"/>
              </w:rPr>
              <w:t>Condensed Consolidated Statements of Operations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3280" w:type="dxa"/>
            <w:vAlign w:val="bottom"/>
          </w:tcPr>
          <w:p>
            <w:pPr>
              <w:spacing w:after="0"/>
              <w:rPr>
                <w:sz w:val="24"/>
                <w:szCs w:val="24"/>
                <w:color w:val="auto"/>
              </w:rPr>
            </w:pPr>
          </w:p>
        </w:tc>
        <w:tc>
          <w:tcPr>
            <w:tcW w:w="520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Six Months Ended October 31,</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5200" w:type="dxa"/>
            <w:vAlign w:val="bottom"/>
            <w:gridSpan w:val="2"/>
          </w:tcPr>
          <w:p>
            <w:pPr>
              <w:jc w:val="center"/>
              <w:ind w:right="250"/>
              <w:spacing w:after="0"/>
              <w:rPr>
                <w:sz w:val="20"/>
                <w:szCs w:val="20"/>
                <w:color w:val="auto"/>
              </w:rPr>
            </w:pPr>
            <w:r>
              <w:rPr>
                <w:rFonts w:ascii="Arial" w:cs="Arial" w:eastAsia="Arial" w:hAnsi="Arial"/>
                <w:sz w:val="18"/>
                <w:szCs w:val="18"/>
                <w:color w:val="auto"/>
                <w:w w:val="91"/>
              </w:rPr>
              <w:t>(Unaudited)</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6"/>
          </w:tcPr>
          <w:p>
            <w:pPr>
              <w:jc w:val="right"/>
              <w:ind w:right="300"/>
              <w:spacing w:after="0"/>
              <w:rPr>
                <w:sz w:val="20"/>
                <w:szCs w:val="20"/>
                <w:color w:val="auto"/>
              </w:rPr>
            </w:pPr>
            <w:r>
              <w:rPr>
                <w:rFonts w:ascii="Arial" w:cs="Arial" w:eastAsia="Arial" w:hAnsi="Arial"/>
                <w:sz w:val="18"/>
                <w:szCs w:val="18"/>
                <w:color w:val="auto"/>
                <w:w w:val="89"/>
              </w:rPr>
              <w:t>(In thousands except per share data)</w:t>
            </w:r>
          </w:p>
        </w:tc>
      </w:tr>
      <w:tr>
        <w:trPr>
          <w:trHeight w:val="243"/>
        </w:trPr>
        <w:tc>
          <w:tcPr>
            <w:tcW w:w="328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5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33,051</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28,634</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Cost of sales</w:t>
            </w:r>
          </w:p>
        </w:tc>
        <w:tc>
          <w:tcPr>
            <w:tcW w:w="50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3"/>
                <w:szCs w:val="23"/>
                <w:color w:val="auto"/>
              </w:rPr>
            </w:pPr>
          </w:p>
        </w:tc>
      </w:tr>
      <w:tr>
        <w:trPr>
          <w:trHeight w:val="237"/>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Gross margin</w:t>
            </w:r>
          </w:p>
        </w:tc>
        <w:tc>
          <w:tcPr>
            <w:tcW w:w="50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9,941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10,193</w:t>
            </w: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5,455</w:t>
            </w:r>
          </w:p>
        </w:tc>
      </w:tr>
      <w:tr>
        <w:trPr>
          <w:trHeight w:val="250"/>
        </w:trPr>
        <w:tc>
          <w:tcPr>
            <w:tcW w:w="3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 expense</w:t>
            </w:r>
          </w:p>
        </w:tc>
        <w:tc>
          <w:tcPr>
            <w:tcW w:w="506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3,986</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4,028</w:t>
            </w:r>
          </w:p>
        </w:tc>
      </w:tr>
      <w:tr>
        <w:trPr>
          <w:trHeight w:val="20"/>
        </w:trPr>
        <w:tc>
          <w:tcPr>
            <w:tcW w:w="3280" w:type="dxa"/>
            <w:vAlign w:val="bottom"/>
            <w:shd w:val="clear" w:color="auto" w:fill="CCFFCC"/>
          </w:tcPr>
          <w:p>
            <w:pPr>
              <w:spacing w:after="0" w:line="20" w:lineRule="exact"/>
              <w:rPr>
                <w:sz w:val="1"/>
                <w:szCs w:val="1"/>
                <w:color w:val="auto"/>
              </w:rPr>
            </w:pPr>
          </w:p>
        </w:tc>
        <w:tc>
          <w:tcPr>
            <w:tcW w:w="50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3280" w:type="dxa"/>
            <w:vAlign w:val="bottom"/>
          </w:tcPr>
          <w:p>
            <w:pPr>
              <w:ind w:left="340"/>
              <w:spacing w:after="0"/>
              <w:rPr>
                <w:sz w:val="20"/>
                <w:szCs w:val="20"/>
                <w:color w:val="auto"/>
              </w:rPr>
            </w:pPr>
            <w:r>
              <w:rPr>
                <w:rFonts w:ascii="Arial" w:cs="Arial" w:eastAsia="Arial" w:hAnsi="Arial"/>
                <w:sz w:val="18"/>
                <w:szCs w:val="18"/>
                <w:color w:val="auto"/>
              </w:rPr>
              <w:t>Operating (loss) profit</w:t>
            </w: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r>
      <w:tr>
        <w:trPr>
          <w:trHeight w:val="243"/>
        </w:trPr>
        <w:tc>
          <w:tcPr>
            <w:tcW w:w="3280" w:type="dxa"/>
            <w:vAlign w:val="bottom"/>
            <w:shd w:val="clear" w:color="auto" w:fill="CCFFCC"/>
          </w:tcPr>
          <w:p>
            <w:pPr>
              <w:spacing w:after="0"/>
              <w:rPr>
                <w:sz w:val="21"/>
                <w:szCs w:val="21"/>
                <w:color w:val="auto"/>
              </w:rPr>
            </w:pP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Other income (expense):</w:t>
            </w:r>
          </w:p>
        </w:tc>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Investment income</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579</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Equity (loss) income</w:t>
            </w:r>
          </w:p>
        </w:tc>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43"/>
        </w:trPr>
        <w:tc>
          <w:tcPr>
            <w:tcW w:w="3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w:t>
            </w:r>
          </w:p>
        </w:tc>
      </w:tr>
      <w:tr>
        <w:trPr>
          <w:trHeight w:val="270"/>
        </w:trPr>
        <w:tc>
          <w:tcPr>
            <w:tcW w:w="32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50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r>
      <w:tr>
        <w:trPr>
          <w:trHeight w:val="237"/>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w w:val="99"/>
              </w:rPr>
              <w:t>Income before provision for income taxes</w:t>
            </w:r>
          </w:p>
        </w:tc>
        <w:tc>
          <w:tcPr>
            <w:tcW w:w="50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2,993</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1,606</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3"/>
                <w:szCs w:val="23"/>
                <w:color w:val="auto"/>
              </w:rPr>
            </w:pPr>
          </w:p>
        </w:tc>
      </w:tr>
      <w:tr>
        <w:trPr>
          <w:trHeight w:val="277"/>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Net income</w:t>
            </w:r>
          </w:p>
        </w:tc>
        <w:tc>
          <w:tcPr>
            <w:tcW w:w="5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1,789</w:t>
            </w:r>
          </w:p>
        </w:tc>
        <w:tc>
          <w:tcPr>
            <w:tcW w:w="140" w:type="dxa"/>
            <w:vAlign w:val="bottom"/>
            <w:shd w:val="clear" w:color="auto" w:fill="CCFFCC"/>
          </w:tcPr>
          <w:p>
            <w:pPr>
              <w:spacing w:after="0"/>
              <w:rPr>
                <w:sz w:val="24"/>
                <w:szCs w:val="24"/>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1,085</w:t>
            </w:r>
          </w:p>
        </w:tc>
      </w:tr>
      <w:tr>
        <w:trPr>
          <w:trHeight w:val="224"/>
        </w:trPr>
        <w:tc>
          <w:tcPr>
            <w:tcW w:w="3280" w:type="dxa"/>
            <w:vAlign w:val="bottom"/>
            <w:tcBorders>
              <w:top w:val="single" w:sz="8" w:color="CCFFCC"/>
            </w:tcBorders>
          </w:tcPr>
          <w:p>
            <w:pPr>
              <w:spacing w:after="0"/>
              <w:rPr>
                <w:sz w:val="19"/>
                <w:szCs w:val="19"/>
                <w:color w:val="auto"/>
              </w:rPr>
            </w:pPr>
          </w:p>
        </w:tc>
        <w:tc>
          <w:tcPr>
            <w:tcW w:w="5060" w:type="dxa"/>
            <w:vAlign w:val="bottom"/>
            <w:tcBorders>
              <w:top w:val="single" w:sz="8" w:color="CCFFC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280" w:type="dxa"/>
            <w:vAlign w:val="bottom"/>
          </w:tcPr>
          <w:p>
            <w:pPr>
              <w:ind w:left="340"/>
              <w:spacing w:after="0"/>
              <w:rPr>
                <w:sz w:val="20"/>
                <w:szCs w:val="20"/>
                <w:color w:val="auto"/>
              </w:rPr>
            </w:pPr>
            <w:r>
              <w:rPr>
                <w:rFonts w:ascii="Arial" w:cs="Arial" w:eastAsia="Arial" w:hAnsi="Arial"/>
                <w:sz w:val="18"/>
                <w:szCs w:val="18"/>
                <w:color w:val="auto"/>
              </w:rPr>
              <w:t>Basic</w:t>
            </w:r>
          </w:p>
        </w:tc>
        <w:tc>
          <w:tcPr>
            <w:tcW w:w="50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5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FFCC"/>
          </w:tcPr>
          <w:p>
            <w:pPr>
              <w:spacing w:after="0"/>
              <w:rPr>
                <w:sz w:val="22"/>
                <w:szCs w:val="22"/>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0.12</w:t>
            </w:r>
          </w:p>
        </w:tc>
      </w:tr>
      <w:tr>
        <w:trPr>
          <w:trHeight w:val="224"/>
        </w:trPr>
        <w:tc>
          <w:tcPr>
            <w:tcW w:w="3280" w:type="dxa"/>
            <w:vAlign w:val="bottom"/>
            <w:tcBorders>
              <w:top w:val="single" w:sz="8" w:color="CCFFCC"/>
            </w:tcBorders>
          </w:tcPr>
          <w:p>
            <w:pPr>
              <w:spacing w:after="0"/>
              <w:rPr>
                <w:sz w:val="19"/>
                <w:szCs w:val="19"/>
                <w:color w:val="auto"/>
              </w:rPr>
            </w:pPr>
          </w:p>
        </w:tc>
        <w:tc>
          <w:tcPr>
            <w:tcW w:w="5060" w:type="dxa"/>
            <w:vAlign w:val="bottom"/>
            <w:tcBorders>
              <w:top w:val="single" w:sz="8" w:color="CCFFC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280" w:type="dxa"/>
            <w:vAlign w:val="bottom"/>
          </w:tcPr>
          <w:p>
            <w:pPr>
              <w:ind w:left="340"/>
              <w:spacing w:after="0"/>
              <w:rPr>
                <w:sz w:val="20"/>
                <w:szCs w:val="20"/>
                <w:color w:val="auto"/>
              </w:rPr>
            </w:pPr>
            <w:r>
              <w:rPr>
                <w:rFonts w:ascii="Arial" w:cs="Arial" w:eastAsia="Arial" w:hAnsi="Arial"/>
                <w:sz w:val="18"/>
                <w:szCs w:val="18"/>
                <w:color w:val="auto"/>
              </w:rPr>
              <w:t>Basic</w:t>
            </w:r>
          </w:p>
        </w:tc>
        <w:tc>
          <w:tcPr>
            <w:tcW w:w="50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8,697,080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8,584,409</w:t>
            </w:r>
          </w:p>
        </w:tc>
        <w:tc>
          <w:tcPr>
            <w:tcW w:w="10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28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506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8,783,792</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8,732,393</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condensed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200" w:type="dxa"/>
            <w:vAlign w:val="bottom"/>
            <w:gridSpan w:val="2"/>
          </w:tcPr>
          <w:p>
            <w:pPr>
              <w:jc w:val="center"/>
              <w:ind w:right="230"/>
              <w:spacing w:after="0"/>
              <w:rPr>
                <w:sz w:val="20"/>
                <w:szCs w:val="20"/>
                <w:color w:val="auto"/>
              </w:rPr>
            </w:pPr>
            <w:r>
              <w:rPr>
                <w:rFonts w:ascii="Arial" w:cs="Arial" w:eastAsia="Arial" w:hAnsi="Arial"/>
                <w:sz w:val="18"/>
                <w:szCs w:val="18"/>
                <w:color w:val="auto"/>
                <w:w w:val="95"/>
              </w:rPr>
              <w:t>FREQUENCY ELECTRONICS, INC. and SUBSIDIARIES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3280" w:type="dxa"/>
            <w:vAlign w:val="bottom"/>
          </w:tcPr>
          <w:p>
            <w:pPr>
              <w:spacing w:after="0"/>
              <w:rPr>
                <w:sz w:val="24"/>
                <w:szCs w:val="24"/>
                <w:color w:val="auto"/>
              </w:rPr>
            </w:pPr>
          </w:p>
        </w:tc>
        <w:tc>
          <w:tcPr>
            <w:tcW w:w="5200" w:type="dxa"/>
            <w:vAlign w:val="bottom"/>
            <w:gridSpan w:val="2"/>
          </w:tcPr>
          <w:p>
            <w:pPr>
              <w:jc w:val="center"/>
              <w:ind w:right="250"/>
              <w:spacing w:after="0"/>
              <w:rPr>
                <w:sz w:val="20"/>
                <w:szCs w:val="20"/>
                <w:color w:val="auto"/>
              </w:rPr>
            </w:pPr>
            <w:r>
              <w:rPr>
                <w:rFonts w:ascii="Arial" w:cs="Arial" w:eastAsia="Arial" w:hAnsi="Arial"/>
                <w:sz w:val="18"/>
                <w:szCs w:val="18"/>
                <w:color w:val="auto"/>
                <w:w w:val="88"/>
              </w:rPr>
              <w:t>Condensed Consolidated Statements of Operations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3280" w:type="dxa"/>
            <w:vAlign w:val="bottom"/>
          </w:tcPr>
          <w:p>
            <w:pPr>
              <w:spacing w:after="0"/>
              <w:rPr>
                <w:sz w:val="24"/>
                <w:szCs w:val="24"/>
                <w:color w:val="auto"/>
              </w:rPr>
            </w:pPr>
          </w:p>
        </w:tc>
        <w:tc>
          <w:tcPr>
            <w:tcW w:w="5200" w:type="dxa"/>
            <w:vAlign w:val="bottom"/>
            <w:gridSpan w:val="2"/>
          </w:tcPr>
          <w:p>
            <w:pPr>
              <w:jc w:val="center"/>
              <w:ind w:right="250"/>
              <w:spacing w:after="0"/>
              <w:rPr>
                <w:sz w:val="20"/>
                <w:szCs w:val="20"/>
                <w:color w:val="auto"/>
              </w:rPr>
            </w:pPr>
            <w:r>
              <w:rPr>
                <w:rFonts w:ascii="Arial" w:cs="Arial" w:eastAsia="Arial" w:hAnsi="Arial"/>
                <w:sz w:val="18"/>
                <w:szCs w:val="18"/>
                <w:color w:val="auto"/>
                <w:w w:val="90"/>
              </w:rPr>
              <w:t>Three Months Ended October 31,</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5200" w:type="dxa"/>
            <w:vAlign w:val="bottom"/>
            <w:gridSpan w:val="2"/>
          </w:tcPr>
          <w:p>
            <w:pPr>
              <w:jc w:val="center"/>
              <w:ind w:right="250"/>
              <w:spacing w:after="0"/>
              <w:rPr>
                <w:sz w:val="20"/>
                <w:szCs w:val="20"/>
                <w:color w:val="auto"/>
              </w:rPr>
            </w:pPr>
            <w:r>
              <w:rPr>
                <w:rFonts w:ascii="Arial" w:cs="Arial" w:eastAsia="Arial" w:hAnsi="Arial"/>
                <w:sz w:val="18"/>
                <w:szCs w:val="18"/>
                <w:color w:val="auto"/>
                <w:w w:val="91"/>
              </w:rPr>
              <w:t>(Unaudited)</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6"/>
          </w:tcPr>
          <w:p>
            <w:pPr>
              <w:jc w:val="right"/>
              <w:ind w:right="300"/>
              <w:spacing w:after="0"/>
              <w:rPr>
                <w:sz w:val="20"/>
                <w:szCs w:val="20"/>
                <w:color w:val="auto"/>
              </w:rPr>
            </w:pPr>
            <w:r>
              <w:rPr>
                <w:rFonts w:ascii="Arial" w:cs="Arial" w:eastAsia="Arial" w:hAnsi="Arial"/>
                <w:sz w:val="18"/>
                <w:szCs w:val="18"/>
                <w:color w:val="auto"/>
                <w:w w:val="89"/>
              </w:rPr>
              <w:t>(In thousands except per share data)</w:t>
            </w:r>
          </w:p>
        </w:tc>
      </w:tr>
      <w:tr>
        <w:trPr>
          <w:trHeight w:val="243"/>
        </w:trPr>
        <w:tc>
          <w:tcPr>
            <w:tcW w:w="328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5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17,494</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14,320</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Cost of sales</w:t>
            </w:r>
          </w:p>
        </w:tc>
        <w:tc>
          <w:tcPr>
            <w:tcW w:w="50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w:t>
            </w:r>
          </w:p>
        </w:tc>
        <w:tc>
          <w:tcPr>
            <w:tcW w:w="100" w:type="dxa"/>
            <w:vAlign w:val="bottom"/>
          </w:tcPr>
          <w:p>
            <w:pPr>
              <w:spacing w:after="0"/>
              <w:rPr>
                <w:sz w:val="23"/>
                <w:szCs w:val="23"/>
                <w:color w:val="auto"/>
              </w:rPr>
            </w:pPr>
          </w:p>
        </w:tc>
      </w:tr>
      <w:tr>
        <w:trPr>
          <w:trHeight w:val="237"/>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Gross margin</w:t>
            </w:r>
          </w:p>
        </w:tc>
        <w:tc>
          <w:tcPr>
            <w:tcW w:w="50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5,470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5,340</w:t>
            </w:r>
          </w:p>
        </w:tc>
      </w:tr>
      <w:tr>
        <w:trPr>
          <w:trHeight w:val="243"/>
        </w:trPr>
        <w:tc>
          <w:tcPr>
            <w:tcW w:w="328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2,674</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0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3"/>
                <w:szCs w:val="23"/>
                <w:color w:val="auto"/>
              </w:rPr>
            </w:pPr>
          </w:p>
        </w:tc>
      </w:tr>
      <w:tr>
        <w:trPr>
          <w:trHeight w:val="237"/>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Operating profit</w:t>
            </w:r>
          </w:p>
        </w:tc>
        <w:tc>
          <w:tcPr>
            <w:tcW w:w="50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Other income (expense):</w:t>
            </w:r>
          </w:p>
        </w:tc>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Investment income</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280</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Equity (loss) income</w:t>
            </w:r>
          </w:p>
        </w:tc>
        <w:tc>
          <w:tcPr>
            <w:tcW w:w="5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43"/>
        </w:trPr>
        <w:tc>
          <w:tcPr>
            <w:tcW w:w="3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expense</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r>
      <w:tr>
        <w:trPr>
          <w:trHeight w:val="270"/>
        </w:trPr>
        <w:tc>
          <w:tcPr>
            <w:tcW w:w="32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50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r>
      <w:tr>
        <w:trPr>
          <w:trHeight w:val="237"/>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w w:val="99"/>
              </w:rPr>
              <w:t>Income before provision for income taxes</w:t>
            </w:r>
          </w:p>
        </w:tc>
        <w:tc>
          <w:tcPr>
            <w:tcW w:w="50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368</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r>
      <w:tr>
        <w:trPr>
          <w:trHeight w:val="277"/>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Net income</w:t>
            </w:r>
          </w:p>
        </w:tc>
        <w:tc>
          <w:tcPr>
            <w:tcW w:w="5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FFCC"/>
          </w:tcPr>
          <w:p>
            <w:pPr>
              <w:spacing w:after="0"/>
              <w:rPr>
                <w:sz w:val="24"/>
                <w:szCs w:val="24"/>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w:t>
            </w:r>
          </w:p>
        </w:tc>
      </w:tr>
      <w:tr>
        <w:trPr>
          <w:trHeight w:val="224"/>
        </w:trPr>
        <w:tc>
          <w:tcPr>
            <w:tcW w:w="3280" w:type="dxa"/>
            <w:vAlign w:val="bottom"/>
            <w:tcBorders>
              <w:top w:val="single" w:sz="8" w:color="CCFFCC"/>
            </w:tcBorders>
          </w:tcPr>
          <w:p>
            <w:pPr>
              <w:spacing w:after="0"/>
              <w:rPr>
                <w:sz w:val="19"/>
                <w:szCs w:val="19"/>
                <w:color w:val="auto"/>
              </w:rPr>
            </w:pPr>
          </w:p>
        </w:tc>
        <w:tc>
          <w:tcPr>
            <w:tcW w:w="5060" w:type="dxa"/>
            <w:vAlign w:val="bottom"/>
            <w:tcBorders>
              <w:top w:val="single" w:sz="8" w:color="CCFFC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280" w:type="dxa"/>
            <w:vAlign w:val="bottom"/>
          </w:tcPr>
          <w:p>
            <w:pPr>
              <w:ind w:left="340"/>
              <w:spacing w:after="0"/>
              <w:rPr>
                <w:sz w:val="20"/>
                <w:szCs w:val="20"/>
                <w:color w:val="auto"/>
              </w:rPr>
            </w:pPr>
            <w:r>
              <w:rPr>
                <w:rFonts w:ascii="Arial" w:cs="Arial" w:eastAsia="Arial" w:hAnsi="Arial"/>
                <w:sz w:val="18"/>
                <w:szCs w:val="18"/>
                <w:color w:val="auto"/>
              </w:rPr>
              <w:t>Basic</w:t>
            </w:r>
          </w:p>
        </w:tc>
        <w:tc>
          <w:tcPr>
            <w:tcW w:w="50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5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FFCC"/>
          </w:tcPr>
          <w:p>
            <w:pPr>
              <w:spacing w:after="0"/>
              <w:rPr>
                <w:sz w:val="22"/>
                <w:szCs w:val="22"/>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0.02</w:t>
            </w:r>
          </w:p>
        </w:tc>
      </w:tr>
      <w:tr>
        <w:trPr>
          <w:trHeight w:val="224"/>
        </w:trPr>
        <w:tc>
          <w:tcPr>
            <w:tcW w:w="3280" w:type="dxa"/>
            <w:vAlign w:val="bottom"/>
            <w:tcBorders>
              <w:top w:val="single" w:sz="8" w:color="CCFFCC"/>
            </w:tcBorders>
          </w:tcPr>
          <w:p>
            <w:pPr>
              <w:spacing w:after="0"/>
              <w:rPr>
                <w:sz w:val="19"/>
                <w:szCs w:val="19"/>
                <w:color w:val="auto"/>
              </w:rPr>
            </w:pPr>
          </w:p>
        </w:tc>
        <w:tc>
          <w:tcPr>
            <w:tcW w:w="5060" w:type="dxa"/>
            <w:vAlign w:val="bottom"/>
            <w:tcBorders>
              <w:top w:val="single" w:sz="8" w:color="CCFFC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50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280" w:type="dxa"/>
            <w:vAlign w:val="bottom"/>
          </w:tcPr>
          <w:p>
            <w:pPr>
              <w:ind w:left="340"/>
              <w:spacing w:after="0"/>
              <w:rPr>
                <w:sz w:val="20"/>
                <w:szCs w:val="20"/>
                <w:color w:val="auto"/>
              </w:rPr>
            </w:pPr>
            <w:r>
              <w:rPr>
                <w:rFonts w:ascii="Arial" w:cs="Arial" w:eastAsia="Arial" w:hAnsi="Arial"/>
                <w:sz w:val="18"/>
                <w:szCs w:val="18"/>
                <w:color w:val="auto"/>
              </w:rPr>
              <w:t>Basic</w:t>
            </w:r>
          </w:p>
        </w:tc>
        <w:tc>
          <w:tcPr>
            <w:tcW w:w="50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8,699,133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8,592,113</w:t>
            </w:r>
          </w:p>
        </w:tc>
        <w:tc>
          <w:tcPr>
            <w:tcW w:w="100" w:type="dxa"/>
            <w:vAlign w:val="bottom"/>
          </w:tcPr>
          <w:p>
            <w:pPr>
              <w:spacing w:after="0"/>
              <w:rPr>
                <w:sz w:val="21"/>
                <w:szCs w:val="21"/>
                <w:color w:val="auto"/>
              </w:rPr>
            </w:pPr>
          </w:p>
        </w:tc>
      </w:tr>
      <w:tr>
        <w:trPr>
          <w:trHeight w:val="20"/>
        </w:trPr>
        <w:tc>
          <w:tcPr>
            <w:tcW w:w="3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28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506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8,783,992</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8,744,852</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120" w:type="dxa"/>
            <w:vAlign w:val="bottom"/>
          </w:tcPr>
          <w:p>
            <w:pPr>
              <w:jc w:val="center"/>
              <w:ind w:left="3230"/>
              <w:spacing w:after="0"/>
              <w:rPr>
                <w:sz w:val="20"/>
                <w:szCs w:val="20"/>
                <w:color w:val="auto"/>
              </w:rPr>
            </w:pPr>
            <w:r>
              <w:rPr>
                <w:rFonts w:ascii="Arial" w:cs="Arial" w:eastAsia="Arial" w:hAnsi="Arial"/>
                <w:sz w:val="18"/>
                <w:szCs w:val="18"/>
                <w:color w:val="auto"/>
                <w:w w:val="95"/>
              </w:rPr>
              <w:t>FREQUENCY ELECTRONICS, INC. and SUBSIDIARIES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8120" w:type="dxa"/>
            <w:vAlign w:val="bottom"/>
          </w:tcPr>
          <w:p>
            <w:pPr>
              <w:jc w:val="center"/>
              <w:ind w:left="3230"/>
              <w:spacing w:after="0"/>
              <w:rPr>
                <w:sz w:val="20"/>
                <w:szCs w:val="20"/>
                <w:color w:val="auto"/>
              </w:rPr>
            </w:pPr>
            <w:r>
              <w:rPr>
                <w:rFonts w:ascii="Arial" w:cs="Arial" w:eastAsia="Arial" w:hAnsi="Arial"/>
                <w:sz w:val="18"/>
                <w:szCs w:val="18"/>
                <w:color w:val="auto"/>
                <w:w w:val="89"/>
              </w:rPr>
              <w:t>Condensed Consolidated Statements of Cash Flows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8120" w:type="dxa"/>
            <w:vAlign w:val="bottom"/>
          </w:tcPr>
          <w:p>
            <w:pPr>
              <w:jc w:val="center"/>
              <w:ind w:left="3230"/>
              <w:spacing w:after="0"/>
              <w:rPr>
                <w:sz w:val="20"/>
                <w:szCs w:val="20"/>
                <w:color w:val="auto"/>
              </w:rPr>
            </w:pPr>
            <w:r>
              <w:rPr>
                <w:rFonts w:ascii="Arial" w:cs="Arial" w:eastAsia="Arial" w:hAnsi="Arial"/>
                <w:sz w:val="18"/>
                <w:szCs w:val="18"/>
                <w:color w:val="auto"/>
                <w:w w:val="91"/>
              </w:rPr>
              <w:t>Six Months Ended October 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120" w:type="dxa"/>
            <w:vAlign w:val="bottom"/>
          </w:tcPr>
          <w:p>
            <w:pPr>
              <w:jc w:val="center"/>
              <w:ind w:left="32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2006</w:t>
            </w:r>
          </w:p>
        </w:tc>
        <w:tc>
          <w:tcPr>
            <w:tcW w:w="100" w:type="dxa"/>
            <w:vAlign w:val="bottom"/>
          </w:tcPr>
          <w:p>
            <w:pPr>
              <w:spacing w:after="0"/>
              <w:rPr>
                <w:sz w:val="24"/>
                <w:szCs w:val="24"/>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81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1,789</w:t>
            </w:r>
          </w:p>
        </w:tc>
        <w:tc>
          <w:tcPr>
            <w:tcW w:w="1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Non-cash (income) charges to earnings,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1,785</w:t>
            </w:r>
          </w:p>
        </w:tc>
      </w:tr>
      <w:tr>
        <w:trPr>
          <w:trHeight w:val="250"/>
        </w:trPr>
        <w:tc>
          <w:tcPr>
            <w:tcW w:w="81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Net changes in operating assets and liabilities</w:t>
            </w: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1"/>
              </w:rPr>
              <w:t>(3,553)</w:t>
            </w:r>
          </w:p>
        </w:tc>
        <w:tc>
          <w:tcPr>
            <w:tcW w:w="8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(2,163)</w:t>
            </w:r>
          </w:p>
        </w:tc>
      </w:tr>
      <w:tr>
        <w:trPr>
          <w:trHeight w:val="20"/>
        </w:trPr>
        <w:tc>
          <w:tcPr>
            <w:tcW w:w="81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81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(2,585)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r>
      <w:tr>
        <w:trPr>
          <w:trHeight w:val="237"/>
        </w:trPr>
        <w:tc>
          <w:tcPr>
            <w:tcW w:w="8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48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60" w:type="dxa"/>
            <w:vAlign w:val="bottom"/>
            <w:tcBorders>
              <w:top w:val="single" w:sz="8" w:color="auto"/>
            </w:tcBorders>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Proceeds from sale of marketable securities</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and investments</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7,161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(935)</w:t>
            </w:r>
          </w:p>
        </w:tc>
      </w:tr>
      <w:tr>
        <w:trPr>
          <w:trHeight w:val="243"/>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Purchase of fixed assets</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1"/>
              </w:rPr>
              <w:t>(1,297)</w:t>
            </w: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(1,013)</w:t>
            </w:r>
          </w:p>
        </w:tc>
      </w:tr>
      <w:tr>
        <w:trPr>
          <w:trHeight w:val="270"/>
        </w:trPr>
        <w:tc>
          <w:tcPr>
            <w:tcW w:w="8120" w:type="dxa"/>
            <w:vAlign w:val="bottom"/>
          </w:tcPr>
          <w:p>
            <w:pPr>
              <w:ind w:left="180"/>
              <w:spacing w:after="0"/>
              <w:rPr>
                <w:sz w:val="20"/>
                <w:szCs w:val="20"/>
                <w:color w:val="auto"/>
              </w:rPr>
            </w:pPr>
            <w:r>
              <w:rPr>
                <w:rFonts w:ascii="Arial" w:cs="Arial" w:eastAsia="Arial" w:hAnsi="Arial"/>
                <w:sz w:val="18"/>
                <w:szCs w:val="18"/>
                <w:color w:val="auto"/>
              </w:rPr>
              <w:t>Other - net</w:t>
            </w:r>
          </w:p>
        </w:tc>
        <w:tc>
          <w:tcPr>
            <w:tcW w:w="22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r>
      <w:tr>
        <w:trPr>
          <w:trHeight w:val="244"/>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5,690</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2,201</w:t>
            </w:r>
          </w:p>
        </w:tc>
      </w:tr>
      <w:tr>
        <w:trPr>
          <w:trHeight w:val="20"/>
        </w:trPr>
        <w:tc>
          <w:tcPr>
            <w:tcW w:w="81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short-term credit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cash dividend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stock for treasury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980"/>
        <w:spacing w:after="0"/>
        <w:tabs>
          <w:tab w:leader="none" w:pos="2900" w:val="left"/>
        </w:tabs>
        <w:rPr>
          <w:sz w:val="20"/>
          <w:szCs w:val="20"/>
          <w:color w:val="auto"/>
        </w:rPr>
      </w:pPr>
      <w:r>
        <w:rPr>
          <w:rFonts w:ascii="Arial" w:cs="Arial" w:eastAsia="Arial" w:hAnsi="Arial"/>
          <w:sz w:val="18"/>
          <w:szCs w:val="18"/>
          <w:color w:val="auto"/>
        </w:rPr>
        <w:t>3,500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640" w:hanging="1592"/>
        <w:spacing w:after="0"/>
        <w:tabs>
          <w:tab w:leader="none" w:pos="2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(857)</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5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40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64"/>
        </w:trPr>
        <w:tc>
          <w:tcPr>
            <w:tcW w:w="1400" w:type="dxa"/>
            <w:vAlign w:val="bottom"/>
          </w:tcPr>
          <w:p>
            <w:pPr>
              <w:jc w:val="right"/>
              <w:spacing w:after="0"/>
              <w:rPr>
                <w:sz w:val="20"/>
                <w:szCs w:val="20"/>
                <w:color w:val="auto"/>
              </w:rPr>
            </w:pPr>
            <w:r>
              <w:rPr>
                <w:rFonts w:ascii="Arial" w:cs="Arial" w:eastAsia="Arial" w:hAnsi="Arial"/>
                <w:sz w:val="18"/>
                <w:szCs w:val="18"/>
                <w:color w:val="auto"/>
              </w:rPr>
              <w:t>2,479</w:t>
            </w:r>
          </w:p>
        </w:tc>
        <w:tc>
          <w:tcPr>
            <w:tcW w:w="200" w:type="dxa"/>
            <w:vAlign w:val="bottom"/>
          </w:tcPr>
          <w:p>
            <w:pPr>
              <w:spacing w:after="0"/>
              <w:rPr>
                <w:sz w:val="22"/>
                <w:szCs w:val="22"/>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(795)</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368" w:right="239" w:bottom="1440" w:gutter="0" w:footer="0" w:header="0"/>
          <w:type w:val="continuous"/>
        </w:sectPr>
      </w:pPr>
    </w:p>
    <w:p>
      <w:pPr>
        <w:spacing w:after="0" w:line="56" w:lineRule="exact"/>
        <w:rPr>
          <w:sz w:val="20"/>
          <w:szCs w:val="20"/>
          <w:color w:val="auto"/>
        </w:rPr>
      </w:pPr>
    </w:p>
    <w:p>
      <w:pPr>
        <w:jc w:val="right"/>
        <w:ind w:right="5620"/>
        <w:spacing w:after="0"/>
        <w:rPr>
          <w:sz w:val="20"/>
          <w:szCs w:val="20"/>
          <w:color w:val="auto"/>
        </w:rPr>
      </w:pPr>
      <w:r>
        <w:rPr>
          <w:rFonts w:ascii="Arial" w:cs="Arial" w:eastAsia="Arial" w:hAnsi="Arial"/>
          <w:sz w:val="15"/>
          <w:szCs w:val="15"/>
          <w:color w:val="auto"/>
        </w:rPr>
        <w:t>Net increase in cash and cash equivalents</w:t>
      </w:r>
    </w:p>
    <w:p>
      <w:pPr>
        <w:spacing w:after="0" w:line="71" w:lineRule="exact"/>
        <w:rPr>
          <w:sz w:val="20"/>
          <w:szCs w:val="20"/>
          <w:color w:val="auto"/>
        </w:rPr>
      </w:pPr>
    </w:p>
    <w:p>
      <w:pPr>
        <w:jc w:val="right"/>
        <w:ind w:right="5660"/>
        <w:spacing w:after="0"/>
        <w:rPr>
          <w:sz w:val="20"/>
          <w:szCs w:val="20"/>
          <w:color w:val="auto"/>
        </w:rPr>
      </w:pPr>
      <w:r>
        <w:rPr>
          <w:rFonts w:ascii="Arial" w:cs="Arial" w:eastAsia="Arial" w:hAnsi="Arial"/>
          <w:sz w:val="16"/>
          <w:szCs w:val="16"/>
          <w:color w:val="auto"/>
        </w:rPr>
        <w:t>before 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2" w:lineRule="exact"/>
        <w:rPr>
          <w:sz w:val="20"/>
          <w:szCs w:val="20"/>
          <w:color w:val="auto"/>
        </w:rPr>
      </w:pPr>
    </w:p>
    <w:p>
      <w:pPr>
        <w:jc w:val="right"/>
        <w:ind w:right="6300"/>
        <w:spacing w:after="0"/>
        <w:rPr>
          <w:sz w:val="20"/>
          <w:szCs w:val="20"/>
          <w:color w:val="auto"/>
        </w:rPr>
      </w:pPr>
      <w:r>
        <w:rPr>
          <w:rFonts w:ascii="Arial" w:cs="Arial" w:eastAsia="Arial" w:hAnsi="Arial"/>
          <w:sz w:val="16"/>
          <w:szCs w:val="16"/>
          <w:color w:val="auto"/>
        </w:rPr>
        <w:t>Effect of exchange rate changes</w:t>
      </w:r>
    </w:p>
    <w:p>
      <w:pPr>
        <w:spacing w:after="0" w:line="59" w:lineRule="exact"/>
        <w:rPr>
          <w:sz w:val="20"/>
          <w:szCs w:val="20"/>
          <w:color w:val="auto"/>
        </w:rPr>
      </w:pPr>
    </w:p>
    <w:p>
      <w:pPr>
        <w:jc w:val="right"/>
        <w:ind w:right="6360"/>
        <w:spacing w:after="0"/>
        <w:rPr>
          <w:sz w:val="20"/>
          <w:szCs w:val="20"/>
          <w:color w:val="auto"/>
        </w:rPr>
      </w:pPr>
      <w:r>
        <w:rPr>
          <w:rFonts w:ascii="Arial" w:cs="Arial" w:eastAsia="Arial" w:hAnsi="Arial"/>
          <w:sz w:val="16"/>
          <w:szCs w:val="16"/>
          <w:color w:val="auto"/>
        </w:rPr>
        <w:t>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color w:val="auto"/>
        </w:rPr>
        <w:t>5,584</w:t>
      </w:r>
      <w:r>
        <w:rPr>
          <w:sz w:val="20"/>
          <w:szCs w:val="20"/>
          <w:color w:val="auto"/>
        </w:rPr>
        <w:tab/>
      </w:r>
      <w:r>
        <w:rPr>
          <w:rFonts w:ascii="Arial" w:cs="Arial" w:eastAsia="Arial" w:hAnsi="Arial"/>
          <w:sz w:val="15"/>
          <w:szCs w:val="15"/>
          <w:color w:val="auto"/>
        </w:rPr>
        <w:t>2,113</w:t>
      </w:r>
    </w:p>
    <w:p>
      <w:pPr>
        <w:spacing w:after="0" w:line="200" w:lineRule="exact"/>
        <w:rPr>
          <w:sz w:val="20"/>
          <w:szCs w:val="20"/>
          <w:color w:val="auto"/>
        </w:rPr>
      </w:pPr>
    </w:p>
    <w:p>
      <w:pPr>
        <w:spacing w:after="0" w:line="384"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16"/>
          <w:szCs w:val="16"/>
          <w:color w:val="auto"/>
        </w:rPr>
        <w:t>746</w:t>
      </w:r>
      <w:r>
        <w:rPr>
          <w:sz w:val="20"/>
          <w:szCs w:val="20"/>
          <w:color w:val="auto"/>
        </w:rPr>
        <w:tab/>
      </w: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-621030</wp:posOffset>
            </wp:positionH>
            <wp:positionV relativeFrom="paragraph">
              <wp:posOffset>29210</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0" w:space="720"/>
            <w:col w:w="2100"/>
          </w:cols>
          <w:pgMar w:left="240" w:top="368" w:right="239" w:bottom="1440" w:gutter="0" w:footer="0" w:header="0"/>
          <w:type w:val="continuous"/>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Net increase in cash and cash equivalents</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6,330</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r>
      <w:tr>
        <w:trPr>
          <w:trHeight w:val="243"/>
        </w:trPr>
        <w:tc>
          <w:tcPr>
            <w:tcW w:w="834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2,639</w:t>
            </w:r>
          </w:p>
        </w:tc>
      </w:tr>
      <w:tr>
        <w:trPr>
          <w:trHeight w:val="237"/>
        </w:trPr>
        <w:tc>
          <w:tcPr>
            <w:tcW w:w="8340" w:type="dxa"/>
            <w:vAlign w:val="bottom"/>
            <w:shd w:val="clear" w:color="auto" w:fill="CCFFCC"/>
          </w:tcPr>
          <w:p>
            <w:pPr>
              <w:spacing w:after="0"/>
              <w:rPr>
                <w:sz w:val="20"/>
                <w:szCs w:val="20"/>
                <w:color w:val="auto"/>
              </w:rPr>
            </w:pPr>
          </w:p>
        </w:tc>
        <w:tc>
          <w:tcPr>
            <w:tcW w:w="540" w:type="dxa"/>
            <w:vAlign w:val="bottom"/>
            <w:tcBorders>
              <w:top w:val="single" w:sz="8" w:color="auto"/>
            </w:tcBorders>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540" w:type="dxa"/>
            <w:vAlign w:val="bottom"/>
            <w:tcBorders>
              <w:top w:val="single" w:sz="8" w:color="auto"/>
            </w:tcBorders>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7,666</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4,794</w:t>
            </w:r>
          </w:p>
        </w:tc>
      </w:tr>
      <w:tr>
        <w:trPr>
          <w:trHeight w:val="20"/>
        </w:trPr>
        <w:tc>
          <w:tcPr>
            <w:tcW w:w="8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A - CONSOLIDATED FINANCIAL STATEMENTS</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2007 and the results of its operations and cash flows for the six and three months ended October 31, 2007 and 2006. The April 30, 2007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2007 Annual Report to Stockholders. The results of operations for such interim periods are not necessarily indicative of the operating results for the full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Six months</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color w:val="auto"/>
                <w:w w:val="93"/>
              </w:rPr>
              <w:t>Three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Periods ended October 31,</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4920" w:type="dxa"/>
            <w:vAlign w:val="bottom"/>
          </w:tcPr>
          <w:p>
            <w:pPr>
              <w:spacing w:after="0"/>
              <w:rPr>
                <w:sz w:val="22"/>
                <w:szCs w:val="22"/>
                <w:color w:val="auto"/>
              </w:rPr>
            </w:pPr>
          </w:p>
        </w:tc>
        <w:tc>
          <w:tcPr>
            <w:tcW w:w="1620" w:type="dxa"/>
            <w:vAlign w:val="bottom"/>
            <w:gridSpan w:val="2"/>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2006</w:t>
            </w:r>
          </w:p>
        </w:tc>
        <w:tc>
          <w:tcPr>
            <w:tcW w:w="100" w:type="dxa"/>
            <w:vAlign w:val="bottom"/>
          </w:tcPr>
          <w:p>
            <w:pPr>
              <w:spacing w:after="0"/>
              <w:rPr>
                <w:sz w:val="22"/>
                <w:szCs w:val="22"/>
                <w:color w:val="auto"/>
              </w:rPr>
            </w:pPr>
          </w:p>
        </w:tc>
      </w:tr>
      <w:tr>
        <w:trPr>
          <w:trHeight w:val="23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Basic EPS Shares outstanding</w:t>
            </w: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40" w:type="dxa"/>
            <w:vAlign w:val="bottom"/>
            <w:tcBorders>
              <w:top w:val="single" w:sz="8" w:color="auto"/>
            </w:tcBorders>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 average)</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8,697,080</w:t>
            </w:r>
          </w:p>
        </w:tc>
        <w:tc>
          <w:tcPr>
            <w:tcW w:w="2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8,584,409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8,699,133</w:t>
            </w:r>
          </w:p>
        </w:tc>
        <w:tc>
          <w:tcPr>
            <w:tcW w:w="44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8,592,113</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86,712</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147,984</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84,859</w:t>
            </w:r>
          </w:p>
        </w:tc>
        <w:tc>
          <w:tcPr>
            <w:tcW w:w="44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152,739</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Diluted EPS Shares outstanding</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8,783,792</w:t>
            </w:r>
          </w:p>
        </w:tc>
        <w:tc>
          <w:tcPr>
            <w:tcW w:w="22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8,732,393</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8,783,992</w:t>
            </w:r>
          </w:p>
        </w:tc>
        <w:tc>
          <w:tcPr>
            <w:tcW w:w="440" w:type="dxa"/>
            <w:vAlign w:val="bottom"/>
            <w:shd w:val="clear" w:color="auto" w:fill="CCFFCC"/>
          </w:tcPr>
          <w:p>
            <w:pPr>
              <w:spacing w:after="0"/>
              <w:rPr>
                <w:sz w:val="22"/>
                <w:szCs w:val="22"/>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8,744,852</w:t>
            </w:r>
          </w:p>
        </w:tc>
      </w:tr>
      <w:tr>
        <w:trPr>
          <w:trHeight w:val="20"/>
        </w:trPr>
        <w:tc>
          <w:tcPr>
            <w:tcW w:w="49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computation of diluted earnings per share excludes those options with an exercise price in excess of the average market price of the Company’s common shares during the periods presented. The inclusion of such options in the computation of earnings per share would have been antidilutive. The number of excluded options were: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00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Six months</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color w:val="auto"/>
                <w:w w:val="93"/>
              </w:rPr>
              <w:t>Three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Periods ended October 31,</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2006</w:t>
            </w:r>
          </w:p>
        </w:tc>
        <w:tc>
          <w:tcPr>
            <w:tcW w:w="100" w:type="dxa"/>
            <w:vAlign w:val="bottom"/>
          </w:tcPr>
          <w:p>
            <w:pPr>
              <w:spacing w:after="0"/>
              <w:rPr>
                <w:sz w:val="22"/>
                <w:szCs w:val="22"/>
                <w:color w:val="auto"/>
              </w:rPr>
            </w:pPr>
          </w:p>
        </w:tc>
      </w:tr>
      <w:tr>
        <w:trPr>
          <w:trHeight w:val="244"/>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Options excluded</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949,425</w:t>
            </w:r>
          </w:p>
        </w:tc>
        <w:tc>
          <w:tcPr>
            <w:tcW w:w="4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571,550</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952,425</w:t>
            </w:r>
          </w:p>
        </w:tc>
        <w:tc>
          <w:tcPr>
            <w:tcW w:w="4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571,550</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C - ACCOUNTS RECEIVABLE</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Accounts receivable at October 31, 2007 and April 30, 2007 include costs and estimated earnings in excess of billings on uncompleted contracts accounted for on the percentage of completion basis of approximately $8,484,000 and $6,259,000, respectively. Such amounts represent revenue recognized on long-term contracts that had not been billed at the balance sheet dates. Such amounts are billed pursuant to contract terms.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NOTE D - INVENTORIES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which are reported net of reserves of $5,485,000 and $5,028,000 at October 31, 2007 and April 30, 2007, respectively, consist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October 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April 30,</w:t>
            </w:r>
          </w:p>
        </w:tc>
      </w:tr>
      <w:tr>
        <w:trPr>
          <w:trHeight w:val="230"/>
        </w:trPr>
        <w:tc>
          <w:tcPr>
            <w:tcW w:w="8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6"/>
          </w:tcPr>
          <w:p>
            <w:pPr>
              <w:ind w:left="780"/>
              <w:spacing w:after="0"/>
              <w:rPr>
                <w:sz w:val="20"/>
                <w:szCs w:val="20"/>
                <w:color w:val="auto"/>
              </w:rPr>
            </w:pPr>
            <w:r>
              <w:rPr>
                <w:rFonts w:ascii="Arial" w:cs="Arial" w:eastAsia="Arial" w:hAnsi="Arial"/>
                <w:sz w:val="18"/>
                <w:szCs w:val="18"/>
                <w:color w:val="auto"/>
              </w:rPr>
              <w:t>(In thousands)</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18,832</w:t>
            </w:r>
          </w:p>
        </w:tc>
        <w:tc>
          <w:tcPr>
            <w:tcW w:w="4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18,380</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Work in progress</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13,011</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Pr>
          <w:p>
            <w:pPr>
              <w:spacing w:after="0"/>
              <w:rPr>
                <w:sz w:val="23"/>
                <w:szCs w:val="23"/>
                <w:color w:val="auto"/>
              </w:rPr>
            </w:pPr>
          </w:p>
        </w:tc>
      </w:tr>
      <w:tr>
        <w:trPr>
          <w:trHeight w:val="277"/>
        </w:trPr>
        <w:tc>
          <w:tcPr>
            <w:tcW w:w="834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31,843</w:t>
            </w:r>
          </w:p>
        </w:tc>
        <w:tc>
          <w:tcPr>
            <w:tcW w:w="20" w:type="dxa"/>
            <w:vAlign w:val="bottom"/>
            <w:tcBorders>
              <w:bottom w:val="single" w:sz="8" w:color="CCFFCC"/>
            </w:tcBorders>
            <w:shd w:val="clear" w:color="auto" w:fill="CCFFCC"/>
          </w:tcPr>
          <w:p>
            <w:pPr>
              <w:spacing w:after="0"/>
              <w:rPr>
                <w:sz w:val="24"/>
                <w:szCs w:val="24"/>
                <w:color w:val="auto"/>
              </w:rPr>
            </w:pPr>
          </w:p>
        </w:tc>
        <w:tc>
          <w:tcPr>
            <w:tcW w:w="200" w:type="dxa"/>
            <w:vAlign w:val="bottom"/>
            <w:tcBorders>
              <w:bottom w:val="single" w:sz="8" w:color="CCFFCC"/>
            </w:tcBorders>
            <w:shd w:val="clear" w:color="auto" w:fill="CCFFCC"/>
          </w:tcPr>
          <w:p>
            <w:pPr>
              <w:spacing w:after="0"/>
              <w:rPr>
                <w:sz w:val="24"/>
                <w:szCs w:val="24"/>
                <w:color w:val="auto"/>
              </w:rPr>
            </w:pPr>
          </w:p>
        </w:tc>
        <w:tc>
          <w:tcPr>
            <w:tcW w:w="2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31,201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NOTE E - COMPREHENSIVE INCOME</w:t>
      </w:r>
    </w:p>
    <w:p>
      <w:pPr>
        <w:spacing w:after="0" w:line="2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six months ended October 31, 2007 and 2006, total comprehensive income was $3,231,000 and $1,501,000, respectively. Comprehensive income is composed of net income or loss for the period plus the impact of foreign currency translation adjustments and the change in the valuation allowance on marketable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NOTE F - EQUITY-BASED COMPENSATION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$271,000 and $277,000 was recognized during the six months ended October 31, 2007 and 2006, respectively, and $127,000 and $162,000, respectively, was recognized during the three month periods then ended. Such amounts include: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w:t>
      </w:r>
    </w:p>
    <w:p>
      <w:pPr>
        <w:spacing w:after="0" w:line="24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 This is the same attribution method that was used by the Company for purposes of its pro forma disclosures under FAS 123.</w:t>
      </w:r>
    </w:p>
    <w:p>
      <w:pPr>
        <w:spacing w:after="0" w:line="24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At October 31, 2007, unrecognized compensation cost for all the Company’s stock-based compensation awards was approximately $1.2 million. The unrecognized compensation cost for stock-based compensation awards at October 31, 2007 is expected to be recognized over a weighted average period of 2.8 years.</w:t>
      </w:r>
    </w:p>
    <w:p>
      <w:pPr>
        <w:spacing w:after="0" w:line="2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accordance with the provisions of the Securities and Exchange Commission’s (the “SEC”) Staff Accounting Bulletin No. 107 (“SAB 107”), which requires that compensation be classified in the same expense line items as cash compensation, during the six months ended October 31, 2007 and 2006, stock-based compensation expense included in cost of sales was $155,000 and $140,000, respectively and the amount charged to selling, general and administrative expense was $116,000 and $137,000, respectively. During the three months ended October 31, 2007 and 2006, stock-based compensation expense included in cost of sales was $73,000 and $87,000, respectively, and the amount charged to selling, general and administrative expense was $54,000 and $75,000, respectively.</w:t>
      </w:r>
    </w:p>
    <w:p>
      <w:pPr>
        <w:spacing w:after="0" w:line="2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weighted average fair value of each option has been estimated on the date of grant using the Black-Scholes options pricing model with the following weighted average assumptions used for grants in the six months ended October 31, 2007, and each of the years ended April 30, 2007, and 2006: dividend yield of 1.5%, 1.3%, and 1.4%, respectively; expected volatility of 38%, 40% and 59%, respectively; risk free interest rate of 4.6%, 5.0% and 4.1%, respectively, and expected lives of six and one-half years.</w:t>
      </w:r>
    </w:p>
    <w:p>
      <w:pPr>
        <w:spacing w:after="0" w:line="24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expected life assumption was determined based on the Company’s historical experience. For purposes of both FAS 123 and FAS 123(R), the expected volatility assumption was based on the historical volatility of the Company’s common stock. The dividend yield assumption was determined based upon the Company’s past history of dividend payments and its intention to make future dividend payments. The risk-free interest rate assumption was determined using the implied yield currently available for zero-coupon U.S. government issues with a remaining term equal to the expected life of the stock options.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7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 has various stock option plans for key management employees, including officers and directors who are employees. The plans include Nonqualified Stock Option (“NQSO”) plans, Incentive Stock Option ("ISO”) plans, and Stock Appreciation Rights (“SARs”). Under these plans, options and awards are granted at the discretion of the Stock Option committee at an exercise price not less than the fair market value of the Company's common stock on the date of grant. Under one NQSO plan the options are exercisable one year after the date of grant. Under the remaining plans the options/awards are exercisable over a four-year period beginning one year after the date of grant. The options/awards expire ten years after the date of grant and are subject to certain restrictions on transferability of the shares obtained on exercise. As of October 31, 2007, eligible employees had been granted awards to purchase approximately 283,000 shares of Company stock under SARs, all of which are outstanding and approximately 42,000 shares of which are exercisable. As of October 31, 2007, eligible employees had been granted options to purchase 1,182,500 shares of Company stock under ISO plans of which approximately 389,000 options are outstanding and approximately 320,000 of which are exercisable. Through October 31, 2007, eligible employees have been granted options to acquire 1,090,000 shares of Company stock under NQSO plans. Of the NQSO options, approximately 650,000 are both outstanding and exercisable (see tables below).</w:t>
      </w:r>
    </w:p>
    <w:p>
      <w:pPr>
        <w:spacing w:after="0" w:line="23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excess of the consideration received over the par value of the common stock or cost of treasury stock issued under both types of option plans has been recognized as an increase in additional paid-in capital prior to the adoption of FAS 123(R). Unrecognized compensation charges for nonvested awards relating to the SARs grant is approximately $966,000 which will be recognized during a weighted average period of 3.2 years. Unrecognized compensation charges for nonvested awards relating to the ISO plan is approximately $226,000 which will be recognized over a weighted average period of 1.3 years.</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the Company continues to maintain a stock repurchase program, no stock repurchases will be necessary to process stock exercises during the fiscal year. Shares issued to individuals as a result of stock exercises will be taken from available treasury stock.</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under these stock award plans, including the weighted average exercise prices of the options, are as follows:</w:t>
      </w:r>
    </w:p>
    <w:p>
      <w:pPr>
        <w:spacing w:after="0" w:line="27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Six months ended</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October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5715</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Wtd Avg</w:t>
            </w:r>
          </w:p>
        </w:tc>
      </w:tr>
      <w:tr>
        <w:trPr>
          <w:trHeight w:val="270"/>
        </w:trPr>
        <w:tc>
          <w:tcPr>
            <w:tcW w:w="83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23"/>
                <w:szCs w:val="23"/>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period</w:t>
            </w:r>
          </w:p>
        </w:tc>
        <w:tc>
          <w:tcPr>
            <w:tcW w:w="28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1,265,587</w:t>
            </w:r>
          </w:p>
        </w:tc>
        <w:tc>
          <w:tcPr>
            <w:tcW w:w="14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11.53</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110,875</w:t>
            </w:r>
          </w:p>
        </w:tc>
        <w:tc>
          <w:tcPr>
            <w:tcW w:w="1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(8,312)</w:t>
            </w:r>
          </w:p>
        </w:tc>
        <w:tc>
          <w:tcPr>
            <w:tcW w:w="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9.77</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Expired or canceled</w:t>
            </w:r>
          </w:p>
        </w:tc>
        <w:tc>
          <w:tcPr>
            <w:tcW w:w="2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(45,375)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end of period</w:t>
            </w:r>
          </w:p>
        </w:tc>
        <w:tc>
          <w:tcPr>
            <w:tcW w:w="280" w:type="dxa"/>
            <w:vAlign w:val="bottom"/>
            <w:tcBorders>
              <w:top w:val="single" w:sz="8" w:color="auto"/>
              <w:bottom w:val="single" w:sz="8" w:color="auto"/>
            </w:tcBorders>
            <w:shd w:val="clear" w:color="auto" w:fill="CCFFCC"/>
          </w:tcPr>
          <w:p>
            <w:pPr>
              <w:spacing w:after="0"/>
              <w:rPr>
                <w:sz w:val="24"/>
                <w:szCs w:val="24"/>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1,322,775</w:t>
            </w:r>
          </w:p>
        </w:tc>
        <w:tc>
          <w:tcPr>
            <w:tcW w:w="140" w:type="dxa"/>
            <w:vAlign w:val="bottom"/>
            <w:tcBorders>
              <w:bottom w:val="single" w:sz="8" w:color="CCFFCC"/>
            </w:tcBorders>
            <w:shd w:val="clear" w:color="auto" w:fill="CCFFCC"/>
          </w:tcPr>
          <w:p>
            <w:pPr>
              <w:spacing w:after="0"/>
              <w:rPr>
                <w:sz w:val="24"/>
                <w:szCs w:val="24"/>
                <w:color w:val="auto"/>
              </w:rPr>
            </w:pPr>
          </w:p>
        </w:tc>
        <w:tc>
          <w:tcPr>
            <w:tcW w:w="3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w:t>
            </w: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Exercisable at end of period</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Available for grant at end of period</w:t>
            </w:r>
          </w:p>
        </w:tc>
        <w:tc>
          <w:tcPr>
            <w:tcW w:w="280" w:type="dxa"/>
            <w:vAlign w:val="bottom"/>
            <w:tcBorders>
              <w:bottom w:val="single" w:sz="8" w:color="auto"/>
            </w:tcBorders>
            <w:shd w:val="clear" w:color="auto" w:fill="CCFFCC"/>
          </w:tcPr>
          <w:p>
            <w:pPr>
              <w:spacing w:after="0"/>
              <w:rPr>
                <w:sz w:val="22"/>
                <w:szCs w:val="22"/>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115,625</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of options granted during the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stock-based awards outstanding at October 31, 2007: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jc w:val="center"/>
              <w:ind w:left="890"/>
              <w:spacing w:after="0"/>
              <w:rPr>
                <w:sz w:val="20"/>
                <w:szCs w:val="20"/>
                <w:color w:val="auto"/>
              </w:rPr>
            </w:pPr>
            <w:r>
              <w:rPr>
                <w:rFonts w:ascii="Arial" w:cs="Arial" w:eastAsia="Arial" w:hAnsi="Arial"/>
                <w:sz w:val="18"/>
                <w:szCs w:val="18"/>
                <w:color w:val="auto"/>
                <w:w w:val="91"/>
              </w:rPr>
              <w:t>Options Outstanding</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Options Exercisable</w:t>
            </w:r>
          </w:p>
        </w:tc>
      </w:tr>
      <w:tr>
        <w:trPr>
          <w:trHeight w:val="195"/>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120"/>
              <w:spacing w:after="0" w:line="195" w:lineRule="exact"/>
              <w:rPr>
                <w:sz w:val="20"/>
                <w:szCs w:val="20"/>
                <w:color w:val="auto"/>
              </w:rPr>
            </w:pPr>
            <w:r>
              <w:rPr>
                <w:rFonts w:ascii="Arial" w:cs="Arial" w:eastAsia="Arial" w:hAnsi="Arial"/>
                <w:sz w:val="18"/>
                <w:szCs w:val="18"/>
                <w:color w:val="auto"/>
                <w:w w:val="92"/>
              </w:rPr>
              <w:t>Weighted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Number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 at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Exercisable at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30"/>
        </w:trPr>
        <w:tc>
          <w:tcPr>
            <w:tcW w:w="49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Actual Range of Exercise Prices</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10/31/07</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10/31/07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20"/>
                <w:szCs w:val="20"/>
                <w:color w:val="auto"/>
              </w:rPr>
            </w:pPr>
          </w:p>
        </w:tc>
      </w:tr>
      <w:tr>
        <w:trPr>
          <w:trHeight w:val="237"/>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$6.670 - 9.970</w:t>
            </w:r>
          </w:p>
        </w:tc>
        <w:tc>
          <w:tcPr>
            <w:tcW w:w="24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511,400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427,775</w:t>
            </w:r>
          </w:p>
        </w:tc>
        <w:tc>
          <w:tcPr>
            <w:tcW w:w="60" w:type="dxa"/>
            <w:vAlign w:val="bottom"/>
            <w:shd w:val="clear" w:color="auto" w:fill="CCFFCC"/>
          </w:tcPr>
          <w:p>
            <w:pPr>
              <w:spacing w:after="0"/>
              <w:rPr>
                <w:sz w:val="20"/>
                <w:szCs w:val="20"/>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7.58</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91"/>
              </w:rPr>
              <w:t>10.41 - 16.625</w:t>
            </w: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729,375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12.60</w:t>
            </w:r>
          </w:p>
        </w:tc>
        <w:tc>
          <w:tcPr>
            <w:tcW w:w="1120" w:type="dxa"/>
            <w:vAlign w:val="bottom"/>
          </w:tcPr>
          <w:p>
            <w:pPr>
              <w:jc w:val="right"/>
              <w:spacing w:after="0"/>
              <w:rPr>
                <w:sz w:val="20"/>
                <w:szCs w:val="20"/>
                <w:color w:val="auto"/>
              </w:rPr>
            </w:pPr>
            <w:r>
              <w:rPr>
                <w:rFonts w:ascii="Arial" w:cs="Arial" w:eastAsia="Arial" w:hAnsi="Arial"/>
                <w:sz w:val="18"/>
                <w:szCs w:val="18"/>
                <w:color w:val="auto"/>
              </w:rPr>
              <w:t>503,625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23.75</w:t>
            </w:r>
          </w:p>
        </w:tc>
        <w:tc>
          <w:tcPr>
            <w:tcW w:w="24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82,000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23.75</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82,000</w:t>
            </w: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under three reportable segments:</w:t>
      </w:r>
    </w:p>
    <w:p>
      <w:pPr>
        <w:spacing w:after="0" w:line="279"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monitoring systems.</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Chief Executive Officer measures segment performance based on total revenues and profits generated by each geographic center rather than on the specific types of customers or end-users or types of markets served.</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presents information about reported segments with reconciliation of segment amounts to consolidated amounts as reported in the statement of operations or the balance sheet for each of the periods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Six months</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Periods ended October 31,</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5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2006</w:t>
            </w:r>
          </w:p>
        </w:tc>
        <w:tc>
          <w:tcPr>
            <w:tcW w:w="10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25,372</w:t>
            </w:r>
          </w:p>
        </w:tc>
        <w:tc>
          <w:tcPr>
            <w:tcW w:w="140" w:type="dxa"/>
            <w:vAlign w:val="bottom"/>
            <w:shd w:val="clear" w:color="auto" w:fill="CCFFCC"/>
          </w:tcPr>
          <w:p>
            <w:pPr>
              <w:spacing w:after="0"/>
              <w:rPr>
                <w:sz w:val="21"/>
                <w:szCs w:val="21"/>
                <w:color w:val="auto"/>
              </w:rPr>
            </w:pPr>
          </w:p>
        </w:tc>
        <w:tc>
          <w:tcPr>
            <w:tcW w:w="48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20,205</w:t>
            </w:r>
          </w:p>
        </w:tc>
        <w:tc>
          <w:tcPr>
            <w:tcW w:w="88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13,607</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9,540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4,451</w:t>
            </w:r>
          </w:p>
        </w:tc>
        <w:tc>
          <w:tcPr>
            <w:tcW w:w="8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2,461</w:t>
            </w:r>
          </w:p>
        </w:tc>
        <w:tc>
          <w:tcPr>
            <w:tcW w:w="4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2,421</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4,291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4,738</w:t>
            </w:r>
          </w:p>
        </w:tc>
        <w:tc>
          <w:tcPr>
            <w:tcW w:w="880" w:type="dxa"/>
            <w:vAlign w:val="bottom"/>
            <w:shd w:val="clear" w:color="auto" w:fill="CCFFCC"/>
          </w:tcPr>
          <w:p>
            <w:pPr>
              <w:spacing w:after="0"/>
              <w:rPr>
                <w:sz w:val="21"/>
                <w:szCs w:val="21"/>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2,269</w:t>
            </w:r>
          </w:p>
        </w:tc>
        <w:tc>
          <w:tcPr>
            <w:tcW w:w="44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2,831</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less intersegment sales</w:t>
            </w:r>
          </w:p>
        </w:tc>
        <w:tc>
          <w:tcPr>
            <w:tcW w:w="30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(760)</w:t>
            </w:r>
          </w:p>
        </w:tc>
        <w:tc>
          <w:tcPr>
            <w:tcW w:w="88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(843)</w:t>
            </w:r>
          </w:p>
        </w:tc>
        <w:tc>
          <w:tcPr>
            <w:tcW w:w="44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r>
      <w:tr>
        <w:trPr>
          <w:trHeight w:val="20"/>
        </w:trPr>
        <w:tc>
          <w:tcPr>
            <w:tcW w:w="5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sales</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33,051</w:t>
            </w:r>
          </w:p>
        </w:tc>
        <w:tc>
          <w:tcPr>
            <w:tcW w:w="14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28,634</w:t>
            </w:r>
          </w:p>
        </w:tc>
        <w:tc>
          <w:tcPr>
            <w:tcW w:w="22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17,494</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14,320</w:t>
            </w:r>
          </w:p>
        </w:tc>
      </w:tr>
      <w:tr>
        <w:trPr>
          <w:trHeight w:val="224"/>
        </w:trPr>
        <w:tc>
          <w:tcPr>
            <w:tcW w:w="516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80" w:type="dxa"/>
            <w:vAlign w:val="bottom"/>
            <w:tcBorders>
              <w:top w:val="single" w:sz="8" w:color="CCFFC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profit:</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FEI-NY</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w:t>
            </w:r>
          </w:p>
        </w:tc>
        <w:tc>
          <w:tcPr>
            <w:tcW w:w="880" w:type="dxa"/>
            <w:vAlign w:val="bottom"/>
            <w:shd w:val="clear" w:color="auto" w:fill="CCFFCC"/>
          </w:tcPr>
          <w:p>
            <w:pPr>
              <w:spacing w:after="0"/>
              <w:rPr>
                <w:sz w:val="21"/>
                <w:szCs w:val="21"/>
                <w:color w:val="auto"/>
              </w:rPr>
            </w:pPr>
          </w:p>
        </w:tc>
        <w:tc>
          <w:tcPr>
            <w:tcW w:w="7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FEI-Zyfer</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8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(276)</w:t>
            </w:r>
          </w:p>
        </w:tc>
        <w:tc>
          <w:tcPr>
            <w:tcW w:w="80" w:type="dxa"/>
            <w:vAlign w:val="bottom"/>
            <w:tcBorders>
              <w:bottom w:val="single" w:sz="8" w:color="CCFFCC"/>
            </w:tcBorders>
            <w:shd w:val="clear" w:color="auto" w:fill="CCFFCC"/>
          </w:tcPr>
          <w:p>
            <w:pPr>
              <w:spacing w:after="0"/>
              <w:rPr>
                <w:sz w:val="21"/>
                <w:szCs w:val="21"/>
                <w:color w:val="auto"/>
              </w:rPr>
            </w:pPr>
          </w:p>
        </w:tc>
        <w:tc>
          <w:tcPr>
            <w:tcW w:w="4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(271)</w:t>
            </w:r>
          </w:p>
        </w:tc>
        <w:tc>
          <w:tcPr>
            <w:tcW w:w="8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(165)</w:t>
            </w:r>
          </w:p>
        </w:tc>
        <w:tc>
          <w:tcPr>
            <w:tcW w:w="4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r>
      <w:tr>
        <w:trPr>
          <w:trHeight w:val="20"/>
        </w:trPr>
        <w:tc>
          <w:tcPr>
            <w:tcW w:w="516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Consolidated operating (loss) profit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710</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0"/>
        </w:trPr>
        <w:tc>
          <w:tcPr>
            <w:tcW w:w="5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5720" w:type="dxa"/>
            <w:vAlign w:val="bottom"/>
            <w:gridSpan w:val="2"/>
          </w:tcPr>
          <w:p>
            <w:pPr>
              <w:jc w:val="right"/>
              <w:ind w:right="810"/>
              <w:spacing w:after="0"/>
              <w:rPr>
                <w:sz w:val="20"/>
                <w:szCs w:val="20"/>
                <w:color w:val="auto"/>
              </w:rPr>
            </w:pPr>
            <w:r>
              <w:rPr>
                <w:rFonts w:ascii="Arial" w:cs="Arial" w:eastAsia="Arial" w:hAnsi="Arial"/>
                <w:sz w:val="18"/>
                <w:szCs w:val="18"/>
                <w:color w:val="auto"/>
              </w:rPr>
              <w:t>FREQUENCY ELECTRONICS, INC. and SUBSIDIARIES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2"/>
        </w:trPr>
        <w:tc>
          <w:tcPr>
            <w:tcW w:w="3080" w:type="dxa"/>
            <w:vAlign w:val="bottom"/>
          </w:tcPr>
          <w:p>
            <w:pPr>
              <w:spacing w:after="0"/>
              <w:rPr>
                <w:sz w:val="24"/>
                <w:szCs w:val="24"/>
                <w:color w:val="auto"/>
              </w:rPr>
            </w:pPr>
          </w:p>
        </w:tc>
        <w:tc>
          <w:tcPr>
            <w:tcW w:w="5720" w:type="dxa"/>
            <w:vAlign w:val="bottom"/>
            <w:gridSpan w:val="2"/>
          </w:tcPr>
          <w:p>
            <w:pPr>
              <w:jc w:val="right"/>
              <w:ind w:right="990"/>
              <w:spacing w:after="0"/>
              <w:rPr>
                <w:sz w:val="20"/>
                <w:szCs w:val="20"/>
                <w:color w:val="auto"/>
              </w:rPr>
            </w:pPr>
            <w:r>
              <w:rPr>
                <w:rFonts w:ascii="Arial" w:cs="Arial" w:eastAsia="Arial" w:hAnsi="Arial"/>
                <w:sz w:val="18"/>
                <w:szCs w:val="18"/>
                <w:color w:val="auto"/>
              </w:rPr>
              <w:t>Notes to Condensed Consolidated Financial Statements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080" w:type="dxa"/>
            <w:vAlign w:val="bottom"/>
          </w:tcPr>
          <w:p>
            <w:pPr>
              <w:spacing w:after="0"/>
              <w:rPr>
                <w:sz w:val="20"/>
                <w:szCs w:val="20"/>
                <w:color w:val="auto"/>
              </w:rPr>
            </w:pPr>
          </w:p>
        </w:tc>
        <w:tc>
          <w:tcPr>
            <w:tcW w:w="5720" w:type="dxa"/>
            <w:vAlign w:val="bottom"/>
            <w:gridSpan w:val="2"/>
          </w:tcPr>
          <w:p>
            <w:pPr>
              <w:jc w:val="right"/>
              <w:ind w:right="2390"/>
              <w:spacing w:after="0"/>
              <w:rPr>
                <w:sz w:val="20"/>
                <w:szCs w:val="20"/>
                <w:color w:val="auto"/>
              </w:rPr>
            </w:pPr>
            <w:r>
              <w:rPr>
                <w:rFonts w:ascii="Arial" w:cs="Arial" w:eastAsia="Arial" w:hAnsi="Arial"/>
                <w:sz w:val="18"/>
                <w:szCs w:val="18"/>
                <w:color w:val="auto"/>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0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October 31, 2007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April 30, 2007</w:t>
            </w:r>
          </w:p>
        </w:tc>
      </w:tr>
      <w:tr>
        <w:trPr>
          <w:trHeight w:val="237"/>
        </w:trPr>
        <w:tc>
          <w:tcPr>
            <w:tcW w:w="3080" w:type="dxa"/>
            <w:vAlign w:val="bottom"/>
          </w:tcPr>
          <w:p>
            <w:pPr>
              <w:spacing w:after="0"/>
              <w:rPr>
                <w:sz w:val="20"/>
                <w:szCs w:val="20"/>
                <w:color w:val="auto"/>
              </w:rPr>
            </w:pPr>
            <w:r>
              <w:rPr>
                <w:rFonts w:ascii="Arial" w:cs="Arial" w:eastAsia="Arial" w:hAnsi="Arial"/>
                <w:sz w:val="18"/>
                <w:szCs w:val="18"/>
                <w:color w:val="auto"/>
              </w:rPr>
              <w:t>Identifiable assets:</w:t>
            </w:r>
          </w:p>
        </w:tc>
        <w:tc>
          <w:tcPr>
            <w:tcW w:w="52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FEI-NY</w:t>
            </w:r>
          </w:p>
        </w:tc>
        <w:tc>
          <w:tcPr>
            <w:tcW w:w="572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54,159</w:t>
            </w:r>
          </w:p>
        </w:tc>
        <w:tc>
          <w:tcPr>
            <w:tcW w:w="140" w:type="dxa"/>
            <w:vAlign w:val="bottom"/>
            <w:shd w:val="clear" w:color="auto" w:fill="CCFFCC"/>
          </w:tcPr>
          <w:p>
            <w:pPr>
              <w:spacing w:after="0"/>
              <w:rPr>
                <w:sz w:val="21"/>
                <w:szCs w:val="21"/>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49,868</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14,470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13,750</w:t>
            </w:r>
          </w:p>
        </w:tc>
      </w:tr>
      <w:tr>
        <w:trPr>
          <w:trHeight w:val="243"/>
        </w:trPr>
        <w:tc>
          <w:tcPr>
            <w:tcW w:w="30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FEI-Zyfer</w:t>
            </w:r>
          </w:p>
        </w:tc>
        <w:tc>
          <w:tcPr>
            <w:tcW w:w="526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6,312</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5,366</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less intercompany balances</w:t>
            </w: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(11,773)</w:t>
            </w:r>
          </w:p>
        </w:tc>
      </w:tr>
      <w:tr>
        <w:trPr>
          <w:trHeight w:val="275"/>
        </w:trPr>
        <w:tc>
          <w:tcPr>
            <w:tcW w:w="30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Corporate</w:t>
            </w:r>
          </w:p>
        </w:tc>
        <w:tc>
          <w:tcPr>
            <w:tcW w:w="526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38,017</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36,615</w:t>
            </w:r>
          </w:p>
        </w:tc>
      </w:tr>
      <w:tr>
        <w:trPr>
          <w:trHeight w:val="237"/>
        </w:trPr>
        <w:tc>
          <w:tcPr>
            <w:tcW w:w="3080" w:type="dxa"/>
            <w:vAlign w:val="bottom"/>
            <w:tcBorders>
              <w:top w:val="single" w:sz="8" w:color="CCFFCC"/>
            </w:tcBorders>
          </w:tcPr>
          <w:p>
            <w:pPr>
              <w:ind w:left="340"/>
              <w:spacing w:after="0"/>
              <w:rPr>
                <w:sz w:val="20"/>
                <w:szCs w:val="20"/>
                <w:color w:val="auto"/>
              </w:rPr>
            </w:pPr>
            <w:r>
              <w:rPr>
                <w:rFonts w:ascii="Arial" w:cs="Arial" w:eastAsia="Arial" w:hAnsi="Arial"/>
                <w:sz w:val="18"/>
                <w:szCs w:val="18"/>
                <w:color w:val="auto"/>
              </w:rPr>
              <w:t>Consolidated identifiable assets</w:t>
            </w:r>
          </w:p>
        </w:tc>
        <w:tc>
          <w:tcPr>
            <w:tcW w:w="5260" w:type="dxa"/>
            <w:vAlign w:val="bottom"/>
            <w:tcBorders>
              <w:top w:val="single" w:sz="8" w:color="CCFFC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98,443</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93,826</w:t>
            </w:r>
          </w:p>
        </w:tc>
        <w:tc>
          <w:tcPr>
            <w:tcW w:w="100" w:type="dxa"/>
            <w:vAlign w:val="bottom"/>
            <w:tcBorders>
              <w:top w:val="single" w:sz="8" w:color="CCFFCC"/>
            </w:tcBorders>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H - RECENTLY ISSUED ACCOUNTING PRONOUNCEMENTS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2006, the FASB issued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FIN 48 is effective for the Company beginning in fiscal year 2008. The adoption of the provisions of FIN 48 has not had a material impact on the Company’s financial statements.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Such adoption is not expected to have a material impact on the Company’s financial statements since the Company utilizes fair value measures wherever required by current GAAP.</w:t>
      </w:r>
    </w:p>
    <w:p>
      <w:pPr>
        <w:spacing w:after="0" w:line="24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SEC issued Staff Accounting Bulletin No. 108 (“SAB 108”) in September 2006. SAB 108 expresses the views of the SEC staff regarding the process of quantifying the materiality of financial misstatements. SAB 108 requires both the balance sheet (iron curtain) and income statement (rollover) approaches be used when quantifying the materiality of misstatement amounts. In addition, SAB 108 contains guidance on correcting errors under the dual approach and provides transition guidance for correcting errors existing in prior years. SAB 108 is now effective for the Company and, for the fiscal year ended April 30, 2007, there was no impact on the Company’s consolidated financial statements from application of this bulletin.</w:t>
      </w:r>
    </w:p>
    <w:p>
      <w:pPr>
        <w:spacing w:after="0" w:line="22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Company is currently evaluating the potential impact of FAS 159 on its financial position and results of operations.</w:t>
      </w:r>
    </w:p>
    <w:p>
      <w:pPr>
        <w:spacing w:after="0" w:line="21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December 2007, the FASB issued Statements No. 141(R), “Business Combinations”, and No. 160, “Noncontrolling Interests in Consolidated Financial Statements.” Effective for fiscal years beginning after December 15, 2008, these statements revise and converge internationally the accounting for business combinations and the reporting of noncontrolling interests in consolidated financial statements. The adoption of these statements is not expected to have a material impact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228600</wp:posOffset>
            </wp:positionV>
            <wp:extent cx="111061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April 30, 2007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4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0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For contracts in the Company’s Gillam-FEI and FEI-Zyfer segments, smaller contracts or orders in the FEI-NY segment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Stock-based Compensation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$271,000 and $277,000 was recognized during the six months ended October 31, 2007 and 2006, respectively, and $127,000 and $162,000, respectively, was recognized during the three month periods then ended. Such costs include: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below sets forth for the respective periods of fiscal years 2008 and 2007 the percentage of consolidated net sales represented by certain items in the Company’s consolidated statements of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98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w w:val="98"/>
              </w:rPr>
              <w:t>Six months</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color w:val="auto"/>
                <w:w w:val="91"/>
              </w:rPr>
              <w:t>Three months</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Periods ended October 31,</w:t>
            </w:r>
          </w:p>
        </w:tc>
        <w:tc>
          <w:tcPr>
            <w:tcW w:w="9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64"/>
        </w:trPr>
        <w:tc>
          <w:tcPr>
            <w:tcW w:w="5160" w:type="dxa"/>
            <w:vAlign w:val="bottom"/>
          </w:tcPr>
          <w:p>
            <w:pPr>
              <w:spacing w:after="0"/>
              <w:rPr>
                <w:sz w:val="22"/>
                <w:szCs w:val="22"/>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2006</w:t>
            </w:r>
          </w:p>
        </w:tc>
        <w:tc>
          <w:tcPr>
            <w:tcW w:w="16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Sales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FEI-NY</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76.8%</w:t>
            </w:r>
          </w:p>
        </w:tc>
        <w:tc>
          <w:tcPr>
            <w:tcW w:w="3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70.6%</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77.8%</w:t>
            </w:r>
          </w:p>
        </w:tc>
        <w:tc>
          <w:tcPr>
            <w:tcW w:w="44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Gillam-FEI</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FEI-Zyfer</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19.8</w:t>
            </w: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Less intersegment sales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0"/>
        </w:trPr>
        <w:tc>
          <w:tcPr>
            <w:tcW w:w="5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68.7</w:t>
            </w:r>
          </w:p>
        </w:tc>
        <w:tc>
          <w:tcPr>
            <w:tcW w:w="44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r>
      <w:tr>
        <w:trPr>
          <w:trHeight w:val="20"/>
        </w:trPr>
        <w:tc>
          <w:tcPr>
            <w:tcW w:w="5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Gross Margin</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31.3</w:t>
            </w:r>
          </w:p>
        </w:tc>
        <w:tc>
          <w:tcPr>
            <w:tcW w:w="44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37.3</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w:t>
            </w:r>
          </w:p>
        </w:tc>
        <w:tc>
          <w:tcPr>
            <w:tcW w:w="3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14.1</w:t>
            </w:r>
          </w:p>
        </w:tc>
        <w:tc>
          <w:tcPr>
            <w:tcW w:w="15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10.4</w:t>
            </w:r>
          </w:p>
        </w:tc>
        <w:tc>
          <w:tcPr>
            <w:tcW w:w="4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Operating (Loss) Profit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income, net</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10.3</w:t>
            </w:r>
          </w:p>
        </w:tc>
        <w:tc>
          <w:tcPr>
            <w:tcW w:w="3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w:t>
            </w:r>
          </w:p>
        </w:tc>
        <w:tc>
          <w:tcPr>
            <w:tcW w:w="15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w:t>
            </w:r>
          </w:p>
        </w:tc>
        <w:tc>
          <w:tcPr>
            <w:tcW w:w="4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Pretax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w:t>
            </w:r>
          </w:p>
        </w:tc>
        <w:tc>
          <w:tcPr>
            <w:tcW w:w="15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51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(Note: All dollar amounts in following tables are in thousands, except Net Sales which are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91"/>
        </w:trPr>
        <w:tc>
          <w:tcPr>
            <w:tcW w:w="6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Six months</w:t>
            </w: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64"/>
        </w:trPr>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w w:val="96"/>
              </w:rPr>
              <w:t>Periods ended October 31,</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r>
      <w:tr>
        <w:trPr>
          <w:trHeight w:val="264"/>
        </w:trPr>
        <w:tc>
          <w:tcPr>
            <w:tcW w:w="6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2006</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Change</w:t>
            </w:r>
          </w:p>
        </w:tc>
        <w:tc>
          <w:tcPr>
            <w:tcW w:w="38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2006</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r>
      <w:tr>
        <w:trPr>
          <w:trHeight w:val="237"/>
        </w:trPr>
        <w:tc>
          <w:tcPr>
            <w:tcW w:w="1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FEI-NY</w:t>
            </w:r>
          </w:p>
        </w:tc>
        <w:tc>
          <w:tcPr>
            <w:tcW w:w="24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430"/>
              <w:spacing w:after="0"/>
              <w:rPr>
                <w:sz w:val="20"/>
                <w:szCs w:val="20"/>
                <w:color w:val="auto"/>
              </w:rPr>
            </w:pPr>
            <w:r>
              <w:rPr>
                <w:rFonts w:ascii="Arial" w:cs="Arial" w:eastAsia="Arial" w:hAnsi="Arial"/>
                <w:sz w:val="18"/>
                <w:szCs w:val="18"/>
                <w:color w:val="auto"/>
              </w:rPr>
              <w:t>5.2</w:t>
            </w: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w:t>
            </w:r>
          </w:p>
        </w:tc>
      </w:tr>
      <w:tr>
        <w:trPr>
          <w:trHeight w:val="243"/>
        </w:trPr>
        <w:tc>
          <w:tcPr>
            <w:tcW w:w="1420" w:type="dxa"/>
            <w:vAlign w:val="bottom"/>
            <w:gridSpan w:val="2"/>
          </w:tcPr>
          <w:p>
            <w:pPr>
              <w:spacing w:after="0"/>
              <w:rPr>
                <w:sz w:val="20"/>
                <w:szCs w:val="20"/>
                <w:color w:val="auto"/>
              </w:rPr>
            </w:pPr>
            <w:r>
              <w:rPr>
                <w:rFonts w:ascii="Arial" w:cs="Arial" w:eastAsia="Arial" w:hAnsi="Arial"/>
                <w:sz w:val="18"/>
                <w:szCs w:val="18"/>
                <w:color w:val="auto"/>
              </w:rPr>
              <w:t>Gillam-FEI</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2"/>
          </w:tcPr>
          <w:p>
            <w:pPr>
              <w:jc w:val="right"/>
              <w:ind w:right="430"/>
              <w:spacing w:after="0"/>
              <w:rPr>
                <w:sz w:val="20"/>
                <w:szCs w:val="20"/>
                <w:color w:val="auto"/>
              </w:rPr>
            </w:pPr>
            <w:r>
              <w:rPr>
                <w:rFonts w:ascii="Arial" w:cs="Arial" w:eastAsia="Arial" w:hAnsi="Arial"/>
                <w:sz w:val="18"/>
                <w:szCs w:val="18"/>
                <w:color w:val="auto"/>
              </w:rPr>
              <w:t>0.3</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1"/>
                <w:szCs w:val="21"/>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FEI-Zyfer</w:t>
            </w:r>
          </w:p>
        </w:tc>
        <w:tc>
          <w:tcPr>
            <w:tcW w:w="2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370"/>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FFCC"/>
          </w:tcPr>
          <w:p>
            <w:pPr>
              <w:spacing w:after="0"/>
              <w:rPr>
                <w:sz w:val="21"/>
                <w:szCs w:val="21"/>
                <w:color w:val="auto"/>
              </w:rPr>
            </w:pPr>
          </w:p>
        </w:tc>
        <w:tc>
          <w:tcPr>
            <w:tcW w:w="7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w w:val="97"/>
              </w:rPr>
              <w:t>(0.6)</w:t>
            </w:r>
          </w:p>
        </w:tc>
        <w:tc>
          <w:tcPr>
            <w:tcW w:w="6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w:t>
            </w:r>
          </w:p>
        </w:tc>
      </w:tr>
      <w:tr>
        <w:trPr>
          <w:trHeight w:val="270"/>
        </w:trPr>
        <w:tc>
          <w:tcPr>
            <w:tcW w:w="1420" w:type="dxa"/>
            <w:vAlign w:val="bottom"/>
            <w:gridSpan w:val="2"/>
          </w:tcPr>
          <w:p>
            <w:pPr>
              <w:spacing w:after="0"/>
              <w:rPr>
                <w:sz w:val="20"/>
                <w:szCs w:val="20"/>
                <w:color w:val="auto"/>
              </w:rPr>
            </w:pPr>
            <w:r>
              <w:rPr>
                <w:rFonts w:ascii="Arial" w:cs="Arial" w:eastAsia="Arial" w:hAnsi="Arial"/>
                <w:sz w:val="18"/>
                <w:szCs w:val="18"/>
                <w:color w:val="auto"/>
                <w:w w:val="92"/>
              </w:rPr>
              <w:t>Intersegment sales</w:t>
            </w:r>
          </w:p>
        </w:tc>
        <w:tc>
          <w:tcPr>
            <w:tcW w:w="2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3"/>
                <w:szCs w:val="23"/>
                <w:color w:val="auto"/>
              </w:rPr>
            </w:pPr>
          </w:p>
        </w:tc>
        <w:tc>
          <w:tcPr>
            <w:tcW w:w="880" w:type="dxa"/>
            <w:vAlign w:val="bottom"/>
            <w:gridSpan w:val="2"/>
          </w:tcPr>
          <w:p>
            <w:pPr>
              <w:jc w:val="right"/>
              <w:ind w:right="37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3"/>
                <w:szCs w:val="23"/>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(0.4)</w:t>
            </w: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257"/>
        </w:trPr>
        <w:tc>
          <w:tcPr>
            <w:tcW w:w="680" w:type="dxa"/>
            <w:vAlign w:val="bottom"/>
            <w:shd w:val="clear" w:color="auto" w:fill="CCFFCC"/>
          </w:tcPr>
          <w:p>
            <w:pPr>
              <w:spacing w:after="0"/>
              <w:rPr>
                <w:sz w:val="22"/>
                <w:szCs w:val="22"/>
                <w:color w:val="auto"/>
              </w:rPr>
            </w:pPr>
          </w:p>
        </w:tc>
        <w:tc>
          <w:tcPr>
            <w:tcW w:w="740" w:type="dxa"/>
            <w:vAlign w:val="bottom"/>
            <w:shd w:val="clear" w:color="auto" w:fill="CCFFCC"/>
          </w:tcPr>
          <w:p>
            <w:pPr>
              <w:spacing w:after="0"/>
              <w:rPr>
                <w:sz w:val="22"/>
                <w:szCs w:val="22"/>
                <w:color w:val="auto"/>
              </w:rPr>
            </w:pPr>
          </w:p>
        </w:tc>
        <w:tc>
          <w:tcPr>
            <w:tcW w:w="2280" w:type="dxa"/>
            <w:vAlign w:val="bottom"/>
            <w:gridSpan w:val="2"/>
            <w:shd w:val="clear" w:color="auto" w:fill="CCFFCC"/>
          </w:tcPr>
          <w:p>
            <w:pPr>
              <w:spacing w:after="0"/>
              <w:rPr>
                <w:sz w:val="22"/>
                <w:szCs w:val="22"/>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FFCC"/>
          </w:tcPr>
          <w:p>
            <w:pPr>
              <w:spacing w:after="0"/>
              <w:rPr>
                <w:sz w:val="22"/>
                <w:szCs w:val="22"/>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ind w:right="430"/>
              <w:spacing w:after="0"/>
              <w:rPr>
                <w:sz w:val="20"/>
                <w:szCs w:val="20"/>
                <w:color w:val="auto"/>
              </w:rPr>
            </w:pPr>
            <w:r>
              <w:rPr>
                <w:rFonts w:ascii="Arial" w:cs="Arial" w:eastAsia="Arial" w:hAnsi="Arial"/>
                <w:sz w:val="18"/>
                <w:szCs w:val="18"/>
                <w:color w:val="auto"/>
              </w:rPr>
              <w:t>4.4</w:t>
            </w: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14.3</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3.2</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w:t>
            </w:r>
          </w:p>
        </w:tc>
      </w:tr>
      <w:tr>
        <w:trPr>
          <w:trHeight w:val="20"/>
        </w:trPr>
        <w:tc>
          <w:tcPr>
            <w:tcW w:w="68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illustrated in the table above, the 15% and 22% increases in revenues for the six and three month periods ended October 31, 2007, respectively, compared to the same periods of fiscal year 2007, were driven by the improvement in revenues in the FEI-NY segment by 26% and 43%, respectively. Revenues from space programs increased by greater than 50% over the revenue rate realized in the prior fiscal year. Similarly, revenues from U.S. Government/Department of Defense (“DOD”) non-satellite sales, which are recorded in both the FEI-NY and FEI-Zyfer segments, were 15% higher than the revenue rate realized in the prior year. Sales to wireless infrastructure equipment manufacturers were approximately 10% lower from the record revenue rate recorded in fiscal year 2007. Revenues in the Gillam-FEI segment improved 7% and 2%, respectively, from the same periods of fiscal year 2007 due primarily to the rise in the value of the euro to the dollar. Euro-denominated sales were relatively flat year-to-year. The Company anticipates that second half fiscal year 2008 revenues for Gillam-FEI will increase in terms of both dollars and euros. Revenues for the FEI-Zyfer segment declined by 9% and 20%, respectively, for the six and three months ended October 31, 2007 compared to the same periods of fiscal year 2007. Sequentially, first half fiscal year 2008 revenues exceeded revenues for the second half of fiscal year 2007 by more than 50%. The Company expects FEI-Zyfer revenues for fiscal year 2008 to be greater than that realized in fiscal year 2007. The Company expects revenues from both U.S. Government and commercial satellite programs to show continued strength in the second half of fiscal year 2008 and should comprise 40% to 45% of total revenues for the fiscal year. Revenues from wireless equipment manufacturers are dependent on new contracts for network buildouts by wireless providers and the timing of such awards is uncertain. The Company expects telecommunication revenues to be between 30% and 35% of total revenues for fiscal year 2008.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Gross margin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91"/>
        </w:trPr>
        <w:tc>
          <w:tcPr>
            <w:tcW w:w="106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w w:val="92"/>
              </w:rPr>
              <w:t>Six months</w:t>
            </w: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w:t>
            </w: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10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Periods ended October 31,</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64"/>
        </w:trPr>
        <w:tc>
          <w:tcPr>
            <w:tcW w:w="10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2007</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2006</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34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2007</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2006</w:t>
            </w: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38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9,941</w:t>
            </w:r>
          </w:p>
        </w:tc>
        <w:tc>
          <w:tcPr>
            <w:tcW w:w="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10,193</w:t>
            </w:r>
          </w:p>
        </w:tc>
        <w:tc>
          <w:tcPr>
            <w:tcW w:w="320" w:type="dxa"/>
            <w:vAlign w:val="bottom"/>
            <w:shd w:val="clear" w:color="auto" w:fill="CCFFCC"/>
          </w:tcPr>
          <w:p>
            <w:pPr>
              <w:spacing w:after="0"/>
              <w:rPr>
                <w:sz w:val="20"/>
                <w:szCs w:val="20"/>
                <w:color w:val="auto"/>
              </w:rPr>
            </w:pPr>
          </w:p>
        </w:tc>
        <w:tc>
          <w:tcPr>
            <w:tcW w:w="10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w w:val="96"/>
              </w:rPr>
              <w:t>($252)</w:t>
            </w:r>
          </w:p>
        </w:tc>
        <w:tc>
          <w:tcPr>
            <w:tcW w:w="7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5,470</w:t>
            </w:r>
          </w:p>
        </w:tc>
        <w:tc>
          <w:tcPr>
            <w:tcW w:w="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5,340</w:t>
            </w: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w w:val="99"/>
              </w:rPr>
              <w:t>130</w:t>
            </w:r>
          </w:p>
        </w:tc>
        <w:tc>
          <w:tcPr>
            <w:tcW w:w="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w:t>
            </w:r>
          </w:p>
        </w:tc>
      </w:tr>
      <w:tr>
        <w:trPr>
          <w:trHeight w:val="243"/>
        </w:trPr>
        <w:tc>
          <w:tcPr>
            <w:tcW w:w="3800" w:type="dxa"/>
            <w:vAlign w:val="bottom"/>
            <w:gridSpan w:val="3"/>
          </w:tcPr>
          <w:p>
            <w:pPr>
              <w:spacing w:after="0"/>
              <w:rPr>
                <w:sz w:val="20"/>
                <w:szCs w:val="20"/>
                <w:color w:val="auto"/>
              </w:rPr>
            </w:pPr>
            <w:r>
              <w:rPr>
                <w:rFonts w:ascii="Arial" w:cs="Arial" w:eastAsia="Arial" w:hAnsi="Arial"/>
                <w:sz w:val="18"/>
                <w:szCs w:val="18"/>
                <w:color w:val="auto"/>
              </w:rPr>
              <w:t>GM Rate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Gross margin rates for the six and three months ended October 31, 2007, respectively, were lower than those realized during the same periods of fiscal year 2007 primarily reflecting the higher engineering costs incurred on certain of the Company’s long-term satellite contracts. A higher level of spending on engineering costs began in the second half of fiscal year 2007. While the rate of spending during fiscal year 2008 has abated from the levels incurred in fiscal year 2007, the current level is still higher than historical averages. As the Company completes the lower margin programs on which these costs are applied, the gross margin rate is expected to improve over the balance of fiscal year 2008. As revenues increase and engineering costs return to more normal levels, the Company expects the gross margin rate to approach its target of 40%.</w:t>
      </w:r>
    </w:p>
    <w:p>
      <w:pPr>
        <w:spacing w:after="0" w:line="2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Also, for the six months ended October 31, 2007 and 2006, gross margin was reduced by $155,000 and $140,000, respectively, and for the three months then ended, was reduced by $73,000 and $87,000, respectively, due to the inclusion in cost of sales of the charge for stock compensation expense as required by FAS 123(R).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Six months</w:t>
            </w: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w w:val="97"/>
              </w:rPr>
              <w:t>Three months</w:t>
            </w: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color w:val="auto"/>
              </w:rPr>
              <w:t>Periods ended October 31,</w:t>
            </w: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80" w:type="dxa"/>
            <w:vAlign w:val="bottom"/>
            <w:shd w:val="clear" w:color="auto" w:fill="CCFFCC"/>
          </w:tcPr>
          <w:p>
            <w:pPr>
              <w:jc w:val="right"/>
              <w:ind w:right="61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6,371</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5,455</w:t>
            </w:r>
          </w:p>
        </w:tc>
        <w:tc>
          <w:tcPr>
            <w:tcW w:w="5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916</w:t>
            </w: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3,285</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ind w:left="320"/>
              <w:spacing w:after="0"/>
              <w:rPr>
                <w:sz w:val="20"/>
                <w:szCs w:val="20"/>
                <w:color w:val="auto"/>
              </w:rPr>
            </w:pPr>
            <w:r>
              <w:rPr>
                <w:rFonts w:ascii="Arial" w:cs="Arial" w:eastAsia="Arial" w:hAnsi="Arial"/>
                <w:sz w:val="18"/>
                <w:szCs w:val="18"/>
                <w:color w:val="auto"/>
                <w:w w:val="88"/>
              </w:rPr>
              <w:t>2,674</w:t>
            </w:r>
          </w:p>
        </w:tc>
        <w:tc>
          <w:tcPr>
            <w:tcW w:w="70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611</w:t>
            </w: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w:t>
            </w:r>
          </w:p>
        </w:tc>
      </w:tr>
    </w:tbl>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six and three months ended October 31, 2007 and 2006, selling and administrative expenses were 19% of revenues which achieved the Company’s target for such expenses. The primary increases in expenses in the fiscal year 2008 periods were related to compensation, including additional personnel, normal salary increases and accruals for incentive compensation, partially offset by reduced accruals for deferred compensation costs. In addition, during the second quarter of fiscal year 2008, FEI-Zyfer moved to a new facility which increased administrative costs at that segment.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Included in selling and administrative expenses for the six months ended October 31, 2007 and 2006, is $116,000 and $137,000, respectively, and for the three month periods then ended, $54,000 and $75,000, respectively, related to stock compensation expense as described above and in the footnotes to the financial statements.</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fiscal year 2008 revenues at current or increasing levels, the Company expects selling and administrative expenses to remain at 20% or less of revenues.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Six months</w:t>
            </w: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w w:val="90"/>
              </w:rPr>
              <w:t>Three months</w:t>
            </w: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color w:val="auto"/>
              </w:rPr>
              <w:t>Periods ended October 31,</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3,986</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4,028</w:t>
            </w:r>
          </w:p>
        </w:tc>
        <w:tc>
          <w:tcPr>
            <w:tcW w:w="8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1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($ 42)</w:t>
            </w: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1,809</w:t>
            </w: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2,647</w:t>
            </w:r>
          </w:p>
        </w:tc>
        <w:tc>
          <w:tcPr>
            <w:tcW w:w="8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1040" w:type="dxa"/>
            <w:vAlign w:val="bottom"/>
            <w:shd w:val="clear" w:color="auto" w:fill="CCFFCC"/>
          </w:tcPr>
          <w:p>
            <w:pPr>
              <w:jc w:val="right"/>
              <w:ind w:right="431"/>
              <w:spacing w:after="0"/>
              <w:rPr>
                <w:sz w:val="20"/>
                <w:szCs w:val="20"/>
                <w:color w:val="auto"/>
              </w:rPr>
            </w:pPr>
            <w:r>
              <w:rPr>
                <w:rFonts w:ascii="Arial" w:cs="Arial" w:eastAsia="Arial" w:hAnsi="Arial"/>
                <w:sz w:val="18"/>
                <w:szCs w:val="18"/>
                <w:color w:val="auto"/>
                <w:w w:val="96"/>
              </w:rPr>
              <w:t>($838)</w:t>
            </w:r>
          </w:p>
        </w:tc>
        <w:tc>
          <w:tcPr>
            <w:tcW w:w="7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w:t>
            </w:r>
          </w:p>
        </w:tc>
      </w:tr>
    </w:tbl>
    <w:p>
      <w:pPr>
        <w:spacing w:after="0" w:line="25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Research and development expenditures represent investments that keep the Company’s products at the leading edge of time and frequency technology and enhance competitiveness for future sales. An exceptional level of engineering spending and development work on the Company’s satellite payload products began in the second quarter of fiscal year 2007 and continued through the first quarter of fiscal year 2008. As of the second quarter of fiscal year 2008, the initial effort to increase production throughput has been largely achieved and research and development spending has returned to a more normal level. For the quarter ended October 31, 2007, spending on research and development was 10.3% of revenues which is within the Company’s normal target range.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0"/>
              </w:rPr>
              <w:t>Operating (Loss) Profit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561"/>
        </w:trPr>
        <w:tc>
          <w:tcPr>
            <w:tcW w:w="1160" w:type="dxa"/>
            <w:vAlign w:val="bottom"/>
            <w:tcBorders>
              <w:top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w w:val="98"/>
              </w:rPr>
              <w:t>Six months</w:t>
            </w: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Three months</w:t>
            </w: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Periods ended October 31,</w:t>
            </w: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1160" w:type="dxa"/>
            <w:vAlign w:val="bottom"/>
          </w:tcPr>
          <w:p>
            <w:pPr>
              <w:spacing w:after="0"/>
              <w:rPr>
                <w:sz w:val="22"/>
                <w:szCs w:val="22"/>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56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5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1160" w:type="dxa"/>
            <w:vAlign w:val="bottom"/>
          </w:tcPr>
          <w:p>
            <w:pPr>
              <w:spacing w:after="0"/>
              <w:rPr>
                <w:sz w:val="20"/>
                <w:szCs w:val="20"/>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($416)</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12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w w:val="98"/>
              </w:rPr>
              <w:t>($1,126)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70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357</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1879%</w:t>
            </w:r>
          </w:p>
        </w:tc>
      </w:tr>
    </w:tbl>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Reduced engineering costs on satellite payload programs and lower research and development spending during the three month period ended October 31, 2007, resulted in significantly improved operating margins. Sequentially, the operating profit in the second quarter of fiscal year 2008 was almost $1.2 million greater than the loss recorded for the first quarter of the current fiscal year. The Company anticipates that as sales are maintained at or increase above current levels and as engineering and development costs are lowered from previous elevated levels, it will generate an operating profit for the full fiscal year 2008.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Other income (expense)</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07"/>
        </w:trPr>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Six months</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64"/>
        </w:trPr>
        <w:tc>
          <w:tcPr>
            <w:tcW w:w="18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w w:val="91"/>
              </w:rPr>
              <w:t>Periods ended October 31,</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r>
      <w:tr>
        <w:trPr>
          <w:trHeight w:val="264"/>
        </w:trPr>
        <w:tc>
          <w:tcPr>
            <w:tcW w:w="18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2006</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r>
      <w:tr>
        <w:trPr>
          <w:trHeight w:val="237"/>
        </w:trPr>
        <w:tc>
          <w:tcPr>
            <w:tcW w:w="1820" w:type="dxa"/>
            <w:vAlign w:val="bottom"/>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2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3,763</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579</w:t>
            </w: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8"/>
              </w:rPr>
              <w:t>3,184</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520</w:t>
            </w:r>
          </w:p>
        </w:tc>
        <w:tc>
          <w:tcPr>
            <w:tcW w:w="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280</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240</w:t>
            </w:r>
          </w:p>
        </w:tc>
        <w:tc>
          <w:tcPr>
            <w:tcW w:w="38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Equity (loss) income</w:t>
            </w: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(136)</w:t>
            </w:r>
          </w:p>
        </w:tc>
        <w:tc>
          <w:tcPr>
            <w:tcW w:w="3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43"/>
        </w:trPr>
        <w:tc>
          <w:tcPr>
            <w:tcW w:w="182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(234)</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(139)</w:t>
            </w:r>
          </w:p>
        </w:tc>
        <w:tc>
          <w:tcPr>
            <w:tcW w:w="38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(662%)</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Other income, net</w:t>
            </w:r>
          </w:p>
        </w:tc>
        <w:tc>
          <w:tcPr>
            <w:tcW w:w="1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0"/>
        </w:trPr>
        <w:tc>
          <w:tcPr>
            <w:tcW w:w="1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1820" w:type="dxa"/>
            <w:vAlign w:val="bottom"/>
            <w:shd w:val="clear" w:color="auto" w:fill="CCFFCC"/>
          </w:tcPr>
          <w:p>
            <w:pPr>
              <w:spacing w:after="0"/>
              <w:rPr>
                <w:sz w:val="20"/>
                <w:szCs w:val="20"/>
                <w:color w:val="auto"/>
              </w:rPr>
            </w:pPr>
          </w:p>
        </w:tc>
        <w:tc>
          <w:tcPr>
            <w:tcW w:w="1880" w:type="dxa"/>
            <w:vAlign w:val="bottom"/>
            <w:shd w:val="clear" w:color="auto" w:fill="CCFFCC"/>
          </w:tcPr>
          <w:p>
            <w:pPr>
              <w:spacing w:after="0"/>
              <w:rPr>
                <w:sz w:val="20"/>
                <w:szCs w:val="20"/>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3,409</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FFCC"/>
          </w:tcPr>
          <w:p>
            <w:pPr>
              <w:spacing w:after="0"/>
              <w:rPr>
                <w:sz w:val="20"/>
                <w:szCs w:val="20"/>
                <w:color w:val="auto"/>
              </w:rPr>
            </w:pPr>
          </w:p>
        </w:tc>
        <w:tc>
          <w:tcPr>
            <w:tcW w:w="360" w:type="dxa"/>
            <w:vAlign w:val="bottom"/>
            <w:shd w:val="clear" w:color="auto" w:fill="CCFFCC"/>
          </w:tcPr>
          <w:p>
            <w:pPr>
              <w:jc w:val="right"/>
              <w:ind w:right="20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8"/>
              </w:rPr>
              <w:t>2,513</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377</w:t>
            </w:r>
          </w:p>
        </w:tc>
        <w:tc>
          <w:tcPr>
            <w:tcW w:w="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349</w:t>
            </w: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r>
    </w:tbl>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During the six months ended October 31, 2007, the Company reduced its investment in Morion, Inc. from 36.6% to 8% by selling shares to a major Russian bank. The Company received proceeds of approximately $5.8 million and realized a gain of approximately $3.0 million. Such gain was included in investment income for the first quarter of fiscal year 2008. During the second quarter of fiscal year 2008, the Company recognized net gains on marketable securities of approximately $281,000 while no such gains were recorded during the same period of the prior fiscal year. Such gains were partially offset by lower dividend and interest income on marketable securities during the fiscal year 2008 periods.</w:t>
      </w:r>
    </w:p>
    <w:p>
      <w:pPr>
        <w:spacing w:after="0" w:line="2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result of the reduced investment in Morion, the Company no longer records its share of Morion’s earnings on the equity method, as it did in the fiscal year 2007 periods. The equity losses in the fiscal year 2008 periods represent its share of the quarterly losses recorded by Elcom Technologies in which the Company acquired a 25% interest during the third quarter of fiscal year 2007.</w:t>
      </w:r>
    </w:p>
    <w:p>
      <w:pPr>
        <w:spacing w:after="0" w:line="2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interest expense for the six and three month periods ended October 31, 2007 resulted primarily from an increase in borrowings under the Company’s line of credit during the fiscal year 2008 period compared to the same periods of fiscal year 2007.</w:t>
      </w:r>
    </w:p>
    <w:p>
      <w:pPr>
        <w:spacing w:after="0" w:line="2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the provisions of sale and leaseback accounting, a portion of the gain realized on a fiscal year 2005 real estate transaction is deferred and recognized in income over the initial lease term. Under the caption “Other income, net” the Company recognized deferred gain of $176,000 and $88,000, respectively, for the six and three months ended October 31, 2007 and 2006. In the fiscal year 2008 periods, such income was partially offset by certain nonrecurring expenses at the FEI-NY and Gillam-FEI segments, including certain business interruption costs and foreign currency exchange losses. Other insignificant income and expense items are also recorded under this caption.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rPr>
              <w:t>Six months</w:t>
            </w: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Three months</w:t>
            </w: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color w:val="auto"/>
              </w:rPr>
              <w:t>Periods ended October 31,</w:t>
            </w: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Change</w:t>
            </w:r>
          </w:p>
        </w:tc>
        <w:tc>
          <w:tcPr>
            <w:tcW w:w="4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1,789</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ind w:left="320"/>
              <w:spacing w:after="0"/>
              <w:rPr>
                <w:sz w:val="20"/>
                <w:szCs w:val="20"/>
                <w:color w:val="auto"/>
              </w:rPr>
            </w:pPr>
            <w:r>
              <w:rPr>
                <w:rFonts w:ascii="Arial" w:cs="Arial" w:eastAsia="Arial" w:hAnsi="Arial"/>
                <w:sz w:val="18"/>
                <w:szCs w:val="18"/>
                <w:color w:val="auto"/>
                <w:w w:val="88"/>
              </w:rPr>
              <w:t>1,085</w:t>
            </w:r>
          </w:p>
        </w:tc>
        <w:tc>
          <w:tcPr>
            <w:tcW w:w="56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704</w:t>
            </w:r>
          </w:p>
        </w:tc>
        <w:tc>
          <w:tcPr>
            <w:tcW w:w="7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409</w:t>
            </w:r>
          </w:p>
        </w:tc>
        <w:tc>
          <w:tcPr>
            <w:tcW w:w="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w:t>
            </w:r>
          </w:p>
        </w:tc>
        <w:tc>
          <w:tcPr>
            <w:tcW w:w="70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222</w:t>
            </w:r>
          </w:p>
        </w:tc>
        <w:tc>
          <w:tcPr>
            <w:tcW w:w="7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w:t>
            </w: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for the six months ended October 31, 2007, was positively impacted by the investment gain recorded on the sale of a portion of the Company’s investment in Morion which offset the operating loss for the first half of the fiscal year. For the second quarter of fiscal year 2008, the operating profit generated by higher revenues and lower costs, generated a higher net income. The Company expects to realize improved gross and operating margins in the second half of fiscal year 2008 and anticipates that it will report a profit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8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As of April 30, 2007, the Company’s European subsidiaries had available net operating loss carryforwards of approximately $1.3 million and the Company’s U.S. subsidiaries had operating loss carryforwards of approximately $700,000, which will offset future taxable income. During fiscal year 2008, the Company’s effective tax rate is expected to be higher than in prior years as a result of the gain recognized on the Morion transaction.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tax basis in its Morion investment was less than its book basis resulting in greater taxable income than that recorded for financial reporting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balance sheet continues to reflect a strong working capital position of $59 million at October 31, 2007, which is comparable to working capital at April 30, 2007. Included in working capital at October 31, 2007 is $20.8 million of cash, cash equivalents and marketable securities which are offset by $8.5 million in borrowings under its bank line of credit. The Company’s current ratio at October 31, 2007 is 4.8 to 1.</w:t>
      </w: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six months ended October 31, 2007, the Company used approximately $2.6 million in cash from operations compared to positive cash flow of $707,000 in the same period of fiscal year 2007. However, for the second quarter of fiscal year 2008, the Company generated positive cash flow from operations of approximately $1.8 million. The most significant uses of cash in the fiscal year 2008 periods was the growth in unbilled accounts receivable and the payment of trade accounts payable. For the full fiscal year 2008, the Company expects to generate positive cash flow from operating activities, particularly as billing milestones are achieved on certain of its large production contracts.</w:t>
      </w:r>
    </w:p>
    <w:p>
      <w:pPr>
        <w:spacing w:after="0" w:line="24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Net cash provided by investing activities for the six months ended October 31, 2007, was $5.7 million compared to $2.2 million for the same period of fiscal year 2007. During the fiscal year 2008 period, the Company received net proceeds of $5.6 million from the sale of a portion of its investment in Morion and an additional $1.3 million on the sale or redemption of other marketable securities, net of purchases. The principal source of cash in the fiscal year 2007 period was the sale or redemption of certain marketable securities, net of purchases, aggregating $3.2 million. During the six months ended October 31, 2007 and 2006, the Company also acquired capital equipment for approximately $1.3 million and $1.0 million, respectively. The Company may continue to acquire or sell marketable securities as dictated by its investment strategies as well as by the cash requirements for its development activities. Capital equipment purchases for all of fiscal year 2008 are expected to aggregate approximately $3.0 million. Internally generated cash is adequate to acquire this level of capital equipment although the Company may also enter into long-term capital leases at favorable interest rates.</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for the six months ended October 31, 2007, was $2.5 million compared to a use of cash of $795,000 during the comparable fiscal year 2007 period. Included in both fiscal periods is payment of the Company’s semiannual dividend in the amount of $869,000 and $857,000, respectively. During the six months ended October 31, 2007, the Company borrowed $3.5 million under its line of credit to fund current operations rather than liquidating additional marketable securities. In the same period of the prior fiscal year, the Company borrowed $1.6 million under the line of credit and repaid such borrowing early in the second quarter of fiscal year 2007.</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October 31, 2007, the Company acquired 22,312 shares of its stock under this authorization at an aggregate cost of $233,000.</w:t>
      </w:r>
    </w:p>
    <w:p>
      <w:pPr>
        <w:spacing w:after="0" w:line="20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2008,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at least 10% of revenues to achieve its development goals. Internally generated cash will be adequate to fund these development efforts.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October 31, 2007, the Company’s backlog amounted to approximately $39 million compared to $44 million at April 30, 2007. Of this backlog, approximately 80% is realizable in the next twelve months.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07"/>
        </w:trPr>
        <w:tc>
          <w:tcPr>
            <w:tcW w:w="500" w:type="dxa"/>
            <w:vAlign w:val="bottom"/>
          </w:tcPr>
          <w:p>
            <w:pPr>
              <w:spacing w:after="0"/>
              <w:rPr>
                <w:sz w:val="24"/>
                <w:szCs w:val="24"/>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As of October 31, 2007</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5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1 Year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1 to 3 Years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3 to 5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37"/>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4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6,934</w:t>
            </w:r>
          </w:p>
        </w:tc>
        <w:tc>
          <w:tcPr>
            <w:tcW w:w="160" w:type="dxa"/>
            <w:vAlign w:val="bottom"/>
            <w:tcBorders>
              <w:right w:val="single" w:sz="8" w:color="CCFFCC"/>
            </w:tcBorders>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2,390</w:t>
            </w:r>
          </w:p>
        </w:tc>
        <w:tc>
          <w:tcPr>
            <w:tcW w:w="24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1,034</w:t>
            </w:r>
          </w:p>
        </w:tc>
      </w:tr>
      <w:tr>
        <w:trPr>
          <w:trHeight w:val="243"/>
        </w:trPr>
        <w:tc>
          <w:tcPr>
            <w:tcW w:w="4920" w:type="dxa"/>
            <w:vAlign w:val="bottom"/>
            <w:gridSpan w:val="3"/>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8,753</w:t>
            </w: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7,844</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15,687</w:t>
            </w:r>
          </w:p>
        </w:tc>
        <w:tc>
          <w:tcPr>
            <w:tcW w:w="160" w:type="dxa"/>
            <w:vAlign w:val="bottom"/>
            <w:tcBorders>
              <w:right w:val="single" w:sz="8" w:color="CCFFCC"/>
            </w:tcBorders>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3,185</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2,550</w:t>
            </w:r>
          </w:p>
        </w:tc>
        <w:tc>
          <w:tcPr>
            <w:tcW w:w="240" w:type="dxa"/>
            <w:vAlign w:val="bottom"/>
            <w:tcBorders>
              <w:lef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8,878</w:t>
            </w:r>
          </w:p>
        </w:tc>
      </w:tr>
      <w:tr>
        <w:trPr>
          <w:trHeight w:val="20"/>
        </w:trPr>
        <w:tc>
          <w:tcPr>
            <w:tcW w:w="500" w:type="dxa"/>
            <w:vAlign w:val="bottom"/>
            <w:tcBorders>
              <w:top w:val="single" w:sz="8" w:color="CCFFCC"/>
            </w:tcBorders>
            <w:shd w:val="clear" w:color="auto" w:fill="CCFFCC"/>
          </w:tcPr>
          <w:p>
            <w:pPr>
              <w:spacing w:after="0" w:line="20" w:lineRule="exact"/>
              <w:rPr>
                <w:sz w:val="1"/>
                <w:szCs w:val="1"/>
                <w:color w:val="auto"/>
              </w:rPr>
            </w:pPr>
          </w:p>
        </w:tc>
        <w:tc>
          <w:tcPr>
            <w:tcW w:w="180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*Deferred Compensation liability reflects payments due to current retirees receiving benefits. The amount of $7,844 in the more than 5 years column includes benefits due to participants in the plan who are not yet receiving benefits although some participants may opt to retire and begin receiving benefits within the next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224790</wp:posOffset>
            </wp:positionV>
            <wp:extent cx="111061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is exposed to market risk related to changes in interest rates and market values of securities. The Company's investments in fixed income and equity securities were approximately $13.2 million and $42,000, respectively, at October 31, 2007.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October 31, 2007, a 10% change in market interest rates would not have a material effect on the fair value of the Company's fixed income securities or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October 31, 2007, the amount related to foreign currency exchange rates is a $4,745,000 unrealized gain.</w:t>
      </w:r>
    </w:p>
    <w:p>
      <w:pPr>
        <w:spacing w:after="0" w:line="24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 to ensure that information required to be disclosed by the Company in the reports that it files or submits under the Exchange Act is recorded, processed, summarized and reported, within the time periods specified in the SEC’s rules and forms and (ii) to ensure that information required to be disclosed by the Company in the reports that it submits under the Exchange Act is accumulated and communicated to its management, including the Company’s principal executive and principal financial officers, or persons performing similar functions, as appropriate, to allow timely decisions regarding required disclosure.</w:t>
      </w:r>
    </w:p>
    <w:p>
      <w:pPr>
        <w:spacing w:after="0" w:line="2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ITEMS 1, 1A, 2, 3 and 5 are omitted because they are not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September 26, 2007, at the Annual Meeting of Stockholders, the following matters were approved by the shareholders of the Company:</w:t>
      </w:r>
    </w:p>
    <w:p>
      <w:pPr>
        <w:spacing w:after="0" w:line="29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the following six directors: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BROKER NON-</w:t>
            </w:r>
          </w:p>
        </w:tc>
      </w:tr>
      <w:tr>
        <w:trPr>
          <w:trHeight w:val="230"/>
        </w:trPr>
        <w:tc>
          <w:tcPr>
            <w:tcW w:w="6520" w:type="dxa"/>
            <w:vAlign w:val="bottom"/>
            <w:tcBorders>
              <w:bottom w:val="single" w:sz="8" w:color="auto"/>
            </w:tcBorders>
          </w:tcPr>
          <w:p>
            <w:pPr>
              <w:ind w:left="28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FOR</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WITHHELD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VOTES</w:t>
            </w:r>
          </w:p>
        </w:tc>
        <w:tc>
          <w:tcPr>
            <w:tcW w:w="100" w:type="dxa"/>
            <w:vAlign w:val="bottom"/>
          </w:tcPr>
          <w:p>
            <w:pPr>
              <w:spacing w:after="0"/>
              <w:rPr>
                <w:sz w:val="20"/>
                <w:szCs w:val="20"/>
                <w:color w:val="auto"/>
              </w:rPr>
            </w:pPr>
          </w:p>
        </w:tc>
      </w:tr>
      <w:tr>
        <w:trPr>
          <w:trHeight w:val="237"/>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Joseph P. Franklin</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2,866,189</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2,545,610</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Martin B. Bloch</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2,874,027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2,537,772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Joel Girsky</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5,149,647</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262,152</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E. Donald Shapiro</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5,150,731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261,068</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S. Robert Foley, Jr.</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5,150,434</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261,365</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Richard Schwartz</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5,050,860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360,939</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256" w:lineRule="exact"/>
        <w:rPr>
          <w:sz w:val="20"/>
          <w:szCs w:val="20"/>
          <w:color w:val="auto"/>
        </w:rPr>
      </w:pPr>
    </w:p>
    <w:p>
      <w:pPr>
        <w:ind w:left="980" w:right="1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Holtz Rubenstein Reminick LLP as independent auditors for fiscal year 2008. The results of the voting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FOR</w:t>
            </w:r>
          </w:p>
        </w:tc>
        <w:tc>
          <w:tcPr>
            <w:tcW w:w="420" w:type="dxa"/>
            <w:vAlign w:val="bottom"/>
          </w:tcPr>
          <w:p>
            <w:pPr>
              <w:spacing w:after="0"/>
              <w:rPr>
                <w:sz w:val="20"/>
                <w:szCs w:val="20"/>
                <w:color w:val="auto"/>
              </w:rPr>
            </w:pPr>
          </w:p>
        </w:tc>
        <w:tc>
          <w:tcPr>
            <w:tcW w:w="24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AGAINST</w:t>
            </w:r>
          </w:p>
        </w:tc>
        <w:tc>
          <w:tcPr>
            <w:tcW w:w="400" w:type="dxa"/>
            <w:vAlign w:val="bottom"/>
          </w:tcPr>
          <w:p>
            <w:pPr>
              <w:spacing w:after="0"/>
              <w:rPr>
                <w:sz w:val="20"/>
                <w:szCs w:val="20"/>
                <w:color w:val="auto"/>
              </w:rPr>
            </w:pPr>
          </w:p>
        </w:tc>
        <w:tc>
          <w:tcPr>
            <w:tcW w:w="25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ABSTAIN</w:t>
            </w:r>
          </w:p>
        </w:tc>
        <w:tc>
          <w:tcPr>
            <w:tcW w:w="400" w:type="dxa"/>
            <w:vAlign w:val="bottom"/>
          </w:tcPr>
          <w:p>
            <w:pPr>
              <w:spacing w:after="0"/>
              <w:rPr>
                <w:sz w:val="20"/>
                <w:szCs w:val="20"/>
                <w:color w:val="auto"/>
              </w:rPr>
            </w:pPr>
          </w:p>
        </w:tc>
        <w:tc>
          <w:tcPr>
            <w:tcW w:w="2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BROKER NON-VOTES</w:t>
            </w:r>
          </w:p>
        </w:tc>
        <w:tc>
          <w:tcPr>
            <w:tcW w:w="220" w:type="dxa"/>
            <w:vAlign w:val="bottom"/>
          </w:tcPr>
          <w:p>
            <w:pPr>
              <w:spacing w:after="0"/>
              <w:rPr>
                <w:sz w:val="20"/>
                <w:szCs w:val="20"/>
                <w:color w:val="auto"/>
              </w:rPr>
            </w:pPr>
          </w:p>
        </w:tc>
      </w:tr>
      <w:tr>
        <w:trPr>
          <w:trHeight w:val="237"/>
        </w:trPr>
        <w:tc>
          <w:tcPr>
            <w:tcW w:w="250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rPr>
              <w:t>5,359,928</w:t>
            </w:r>
          </w:p>
        </w:tc>
        <w:tc>
          <w:tcPr>
            <w:tcW w:w="2900" w:type="dxa"/>
            <w:vAlign w:val="bottom"/>
            <w:gridSpan w:val="2"/>
            <w:shd w:val="clear" w:color="auto" w:fill="CCFFCC"/>
          </w:tcPr>
          <w:p>
            <w:pPr>
              <w:jc w:val="right"/>
              <w:ind w:right="810"/>
              <w:spacing w:after="0"/>
              <w:rPr>
                <w:sz w:val="20"/>
                <w:szCs w:val="20"/>
                <w:color w:val="auto"/>
              </w:rPr>
            </w:pPr>
            <w:r>
              <w:rPr>
                <w:rFonts w:ascii="Arial" w:cs="Arial" w:eastAsia="Arial" w:hAnsi="Arial"/>
                <w:sz w:val="18"/>
                <w:szCs w:val="18"/>
                <w:color w:val="auto"/>
              </w:rPr>
              <w:t>50,192</w:t>
            </w:r>
          </w:p>
        </w:tc>
        <w:tc>
          <w:tcPr>
            <w:tcW w:w="2900" w:type="dxa"/>
            <w:vAlign w:val="bottom"/>
            <w:gridSpan w:val="2"/>
            <w:shd w:val="clear" w:color="auto" w:fill="CCFFCC"/>
          </w:tcPr>
          <w:p>
            <w:pPr>
              <w:jc w:val="right"/>
              <w:ind w:right="850"/>
              <w:spacing w:after="0"/>
              <w:rPr>
                <w:sz w:val="20"/>
                <w:szCs w:val="20"/>
                <w:color w:val="auto"/>
              </w:rPr>
            </w:pPr>
            <w:r>
              <w:rPr>
                <w:rFonts w:ascii="Arial" w:cs="Arial" w:eastAsia="Arial" w:hAnsi="Arial"/>
                <w:sz w:val="18"/>
                <w:szCs w:val="18"/>
                <w:color w:val="auto"/>
              </w:rPr>
              <w:t>1,675</w:t>
            </w:r>
          </w:p>
        </w:tc>
        <w:tc>
          <w:tcPr>
            <w:tcW w:w="2900" w:type="dxa"/>
            <w:vAlign w:val="bottom"/>
            <w:gridSpan w:val="2"/>
            <w:shd w:val="clear" w:color="auto" w:fill="CCFFCC"/>
          </w:tcPr>
          <w:p>
            <w:pPr>
              <w:jc w:val="right"/>
              <w:ind w:right="101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FFCC"/>
          </w:tcPr>
          <w:p>
            <w:pPr>
              <w:spacing w:after="0"/>
              <w:rPr>
                <w:sz w:val="20"/>
                <w:szCs w:val="20"/>
                <w:color w:val="auto"/>
              </w:rPr>
            </w:pPr>
          </w:p>
        </w:tc>
      </w:tr>
      <w:tr>
        <w:trPr>
          <w:trHeight w:val="486"/>
        </w:trPr>
        <w:tc>
          <w:tcPr>
            <w:tcW w:w="2500" w:type="dxa"/>
            <w:vAlign w:val="bottom"/>
          </w:tcPr>
          <w:p>
            <w:pPr>
              <w:spacing w:after="0"/>
              <w:rPr>
                <w:sz w:val="20"/>
                <w:szCs w:val="20"/>
                <w:color w:val="auto"/>
              </w:rPr>
            </w:pPr>
            <w:r>
              <w:rPr>
                <w:rFonts w:ascii="Arial" w:cs="Arial" w:eastAsia="Arial" w:hAnsi="Arial"/>
                <w:sz w:val="18"/>
                <w:szCs w:val="18"/>
                <w:color w:val="auto"/>
              </w:rPr>
              <w:t>ITEM 6 - Exhibits</w:t>
            </w:r>
          </w:p>
        </w:tc>
        <w:tc>
          <w:tcPr>
            <w:tcW w:w="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56"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w:t>
      </w:r>
    </w:p>
    <w:p>
      <w:pPr>
        <w:spacing w:after="0" w:line="279"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w:t>
      </w:r>
    </w:p>
    <w:p>
      <w:pPr>
        <w:spacing w:after="0" w:line="279" w:lineRule="exact"/>
        <w:rPr>
          <w:sz w:val="20"/>
          <w:szCs w:val="20"/>
          <w:color w:val="auto"/>
        </w:rPr>
      </w:pPr>
    </w:p>
    <w:p>
      <w:pPr>
        <w:ind w:left="1460" w:right="100" w:hanging="647"/>
        <w:spacing w:after="0" w:line="277" w:lineRule="auto"/>
        <w:tabs>
          <w:tab w:leader="none" w:pos="1440" w:val="left"/>
        </w:tabs>
        <w:rPr>
          <w:sz w:val="20"/>
          <w:szCs w:val="20"/>
          <w:color w:val="auto"/>
        </w:rPr>
      </w:pPr>
      <w:r>
        <w:rPr>
          <w:rFonts w:ascii="Arial" w:cs="Arial" w:eastAsia="Arial" w:hAnsi="Arial"/>
          <w:sz w:val="18"/>
          <w:szCs w:val="18"/>
          <w:color w:val="auto"/>
        </w:rPr>
        <w:t>32.1-</w:t>
        <w:tab/>
        <w:t>Certification by the Chief Executive Officer Pursuant to 18 U.S.C. Section 1350 Adopted Pursuant to Section 906 of the Sarbanes-Oxley Act of 2002.</w:t>
      </w:r>
    </w:p>
    <w:p>
      <w:pPr>
        <w:spacing w:after="0" w:line="224" w:lineRule="exact"/>
        <w:rPr>
          <w:sz w:val="20"/>
          <w:szCs w:val="20"/>
          <w:color w:val="auto"/>
        </w:rPr>
      </w:pPr>
    </w:p>
    <w:p>
      <w:pPr>
        <w:ind w:left="1460" w:right="140" w:hanging="647"/>
        <w:spacing w:after="0" w:line="277" w:lineRule="auto"/>
        <w:tabs>
          <w:tab w:leader="none" w:pos="1440" w:val="left"/>
        </w:tabs>
        <w:rPr>
          <w:sz w:val="20"/>
          <w:szCs w:val="20"/>
          <w:color w:val="auto"/>
        </w:rPr>
      </w:pPr>
      <w:r>
        <w:rPr>
          <w:rFonts w:ascii="Arial" w:cs="Arial" w:eastAsia="Arial" w:hAnsi="Arial"/>
          <w:sz w:val="18"/>
          <w:szCs w:val="18"/>
          <w:color w:val="auto"/>
        </w:rPr>
        <w:t>32.2-</w:t>
        <w:tab/>
        <w:t>Certification by the Chief Financial Officer Pursuant to 18 U.S.C. Section 1350 Adopted Pursuant to Section 906 of the Sarbanes-Oxley Act of 2002.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center"/>
        <w:ind w:right="-15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FREQUENCY ELECTRONICS, INC.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17, 2007</w:t>
      </w:r>
      <w:r>
        <w:rPr>
          <w:sz w:val="20"/>
          <w:szCs w:val="20"/>
          <w:color w:val="auto"/>
        </w:rPr>
        <w:tab/>
      </w:r>
      <w:r>
        <w:rPr>
          <w:rFonts w:ascii="Arial" w:cs="Arial" w:eastAsia="Arial" w:hAnsi="Arial"/>
          <w:sz w:val="18"/>
          <w:szCs w:val="18"/>
          <w:color w:val="auto"/>
        </w:rPr>
        <w:t>BY /s/ Alan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81280</wp:posOffset>
            </wp:positionV>
            <wp:extent cx="281686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Alan Miller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Treasurer and</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duly authorized officer)</w:t>
      </w: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95" w:right="3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certify that:</w:t>
      </w:r>
    </w:p>
    <w:p>
      <w:pPr>
        <w:spacing w:after="0" w:line="27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79"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800" w:hanging="4"/>
        <w:spacing w:after="0" w:line="342" w:lineRule="auto"/>
        <w:tabs>
          <w:tab w:leader="none" w:pos="915"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7" w:lineRule="exact"/>
        <w:rPr>
          <w:rFonts w:ascii="Arial" w:cs="Arial" w:eastAsia="Arial" w:hAnsi="Arial"/>
          <w:sz w:val="16"/>
          <w:szCs w:val="16"/>
          <w:color w:val="auto"/>
        </w:rPr>
      </w:pPr>
    </w:p>
    <w:p>
      <w:pPr>
        <w:jc w:val="both"/>
        <w:ind w:left="660" w:right="260" w:hanging="4"/>
        <w:spacing w:after="0" w:line="264" w:lineRule="auto"/>
        <w:tabs>
          <w:tab w:leader="none" w:pos="90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ind w:left="660"/>
              <w:spacing w:after="0"/>
              <w:rPr>
                <w:sz w:val="20"/>
                <w:szCs w:val="20"/>
                <w:color w:val="auto"/>
              </w:rPr>
            </w:pPr>
            <w:r>
              <w:rPr>
                <w:rFonts w:ascii="Arial" w:cs="Arial" w:eastAsia="Arial" w:hAnsi="Arial"/>
                <w:sz w:val="18"/>
                <w:szCs w:val="18"/>
                <w:color w:val="auto"/>
                <w:w w:val="94"/>
              </w:rPr>
              <w:t>(b) Any fraud, whether or not material, that involves management or other employees who have a</w:t>
            </w:r>
          </w:p>
        </w:tc>
        <w:tc>
          <w:tcPr>
            <w:tcW w:w="3420" w:type="dxa"/>
            <w:vAlign w:val="bottom"/>
          </w:tcPr>
          <w:p>
            <w:pPr>
              <w:ind w:left="280"/>
              <w:spacing w:after="0"/>
              <w:rPr>
                <w:sz w:val="20"/>
                <w:szCs w:val="20"/>
                <w:color w:val="auto"/>
              </w:rPr>
            </w:pPr>
            <w:r>
              <w:rPr>
                <w:rFonts w:ascii="Arial" w:cs="Arial" w:eastAsia="Arial" w:hAnsi="Arial"/>
                <w:sz w:val="18"/>
                <w:szCs w:val="18"/>
                <w:color w:val="auto"/>
                <w:w w:val="97"/>
              </w:rPr>
              <w:t>significant role in the registrant’s internal</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control over financial reporting.</w:t>
            </w:r>
          </w:p>
        </w:tc>
        <w:tc>
          <w:tcPr>
            <w:tcW w:w="39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743"/>
        </w:trPr>
        <w:tc>
          <w:tcPr>
            <w:tcW w:w="4080" w:type="dxa"/>
            <w:vAlign w:val="bottom"/>
          </w:tcPr>
          <w:p>
            <w:pPr>
              <w:spacing w:after="0"/>
              <w:rPr>
                <w:sz w:val="20"/>
                <w:szCs w:val="20"/>
                <w:color w:val="auto"/>
              </w:rPr>
            </w:pPr>
            <w:r>
              <w:rPr>
                <w:rFonts w:ascii="Arial" w:cs="Arial" w:eastAsia="Arial" w:hAnsi="Arial"/>
                <w:sz w:val="18"/>
                <w:szCs w:val="18"/>
                <w:color w:val="auto"/>
              </w:rPr>
              <w:t>/s/ Martin Bloch</w:t>
            </w:r>
          </w:p>
        </w:tc>
        <w:tc>
          <w:tcPr>
            <w:tcW w:w="3920" w:type="dxa"/>
            <w:vAlign w:val="bottom"/>
          </w:tcPr>
          <w:p>
            <w:pPr>
              <w:ind w:left="2240"/>
              <w:spacing w:after="0"/>
              <w:rPr>
                <w:sz w:val="20"/>
                <w:szCs w:val="20"/>
                <w:color w:val="auto"/>
              </w:rPr>
            </w:pPr>
            <w:r>
              <w:rPr>
                <w:rFonts w:ascii="Arial" w:cs="Arial" w:eastAsia="Arial" w:hAnsi="Arial"/>
                <w:sz w:val="18"/>
                <w:szCs w:val="18"/>
                <w:color w:val="auto"/>
              </w:rPr>
              <w:t>December 17, 2007</w:t>
            </w:r>
          </w:p>
        </w:tc>
        <w:tc>
          <w:tcPr>
            <w:tcW w:w="3420" w:type="dxa"/>
            <w:vAlign w:val="bottom"/>
          </w:tcPr>
          <w:p>
            <w:pPr>
              <w:spacing w:after="0"/>
              <w:rPr>
                <w:sz w:val="24"/>
                <w:szCs w:val="24"/>
                <w:color w:val="auto"/>
              </w:rPr>
            </w:pPr>
          </w:p>
        </w:tc>
      </w:tr>
      <w:tr>
        <w:trPr>
          <w:trHeight w:val="132"/>
        </w:trPr>
        <w:tc>
          <w:tcPr>
            <w:tcW w:w="4080" w:type="dxa"/>
            <w:vAlign w:val="bottom"/>
            <w:tcBorders>
              <w:bottom w:val="single" w:sz="8" w:color="808080"/>
            </w:tcBorders>
          </w:tcPr>
          <w:p>
            <w:pPr>
              <w:spacing w:after="0"/>
              <w:rPr>
                <w:sz w:val="11"/>
                <w:szCs w:val="11"/>
                <w:color w:val="auto"/>
              </w:rPr>
            </w:pPr>
          </w:p>
        </w:tc>
        <w:tc>
          <w:tcPr>
            <w:tcW w:w="3920" w:type="dxa"/>
            <w:vAlign w:val="bottom"/>
          </w:tcPr>
          <w:p>
            <w:pPr>
              <w:spacing w:after="0"/>
              <w:rPr>
                <w:sz w:val="11"/>
                <w:szCs w:val="11"/>
                <w:color w:val="auto"/>
              </w:rPr>
            </w:pPr>
          </w:p>
        </w:tc>
        <w:tc>
          <w:tcPr>
            <w:tcW w:w="3420" w:type="dxa"/>
            <w:vAlign w:val="bottom"/>
          </w:tcPr>
          <w:p>
            <w:pPr>
              <w:spacing w:after="0"/>
              <w:rPr>
                <w:sz w:val="11"/>
                <w:szCs w:val="11"/>
                <w:color w:val="auto"/>
              </w:rPr>
            </w:pPr>
          </w:p>
        </w:tc>
      </w:tr>
      <w:tr>
        <w:trPr>
          <w:trHeight w:val="307"/>
        </w:trPr>
        <w:tc>
          <w:tcPr>
            <w:tcW w:w="4080" w:type="dxa"/>
            <w:vAlign w:val="bottom"/>
          </w:tcPr>
          <w:p>
            <w:pPr>
              <w:spacing w:after="0"/>
              <w:rPr>
                <w:sz w:val="20"/>
                <w:szCs w:val="20"/>
                <w:color w:val="auto"/>
              </w:rPr>
            </w:pPr>
            <w:r>
              <w:rPr>
                <w:rFonts w:ascii="Arial" w:cs="Arial" w:eastAsia="Arial" w:hAnsi="Arial"/>
                <w:sz w:val="18"/>
                <w:szCs w:val="18"/>
                <w:color w:val="auto"/>
              </w:rPr>
              <w:t>Martin B. Bloch</w:t>
            </w:r>
          </w:p>
        </w:tc>
        <w:tc>
          <w:tcPr>
            <w:tcW w:w="39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9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605"/>
        </w:trPr>
        <w:tc>
          <w:tcPr>
            <w:tcW w:w="408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-751840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certify that</w:t>
      </w:r>
    </w:p>
    <w:p>
      <w:pPr>
        <w:spacing w:after="0" w:line="27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79"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800" w:hanging="4"/>
        <w:spacing w:after="0" w:line="342" w:lineRule="auto"/>
        <w:tabs>
          <w:tab w:leader="none" w:pos="915"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7" w:lineRule="exact"/>
        <w:rPr>
          <w:rFonts w:ascii="Arial" w:cs="Arial" w:eastAsia="Arial" w:hAnsi="Arial"/>
          <w:sz w:val="16"/>
          <w:szCs w:val="16"/>
          <w:color w:val="auto"/>
        </w:rPr>
      </w:pPr>
    </w:p>
    <w:p>
      <w:pPr>
        <w:jc w:val="both"/>
        <w:ind w:left="660" w:right="260" w:hanging="4"/>
        <w:spacing w:after="0" w:line="264" w:lineRule="auto"/>
        <w:tabs>
          <w:tab w:leader="none" w:pos="90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right="200" w:hanging="4"/>
        <w:spacing w:after="0" w:line="277" w:lineRule="auto"/>
        <w:tabs>
          <w:tab w:leader="none" w:pos="90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ind w:left="660"/>
              <w:spacing w:after="0"/>
              <w:rPr>
                <w:sz w:val="20"/>
                <w:szCs w:val="20"/>
                <w:color w:val="auto"/>
              </w:rPr>
            </w:pPr>
            <w:r>
              <w:rPr>
                <w:rFonts w:ascii="Arial" w:cs="Arial" w:eastAsia="Arial" w:hAnsi="Arial"/>
                <w:sz w:val="18"/>
                <w:szCs w:val="18"/>
                <w:color w:val="auto"/>
                <w:w w:val="94"/>
              </w:rPr>
              <w:t>(b) Any fraud, whether or not material, that involves management or other employees who have a</w:t>
            </w:r>
          </w:p>
        </w:tc>
        <w:tc>
          <w:tcPr>
            <w:tcW w:w="3420" w:type="dxa"/>
            <w:vAlign w:val="bottom"/>
          </w:tcPr>
          <w:p>
            <w:pPr>
              <w:ind w:left="280"/>
              <w:spacing w:after="0"/>
              <w:rPr>
                <w:sz w:val="20"/>
                <w:szCs w:val="20"/>
                <w:color w:val="auto"/>
              </w:rPr>
            </w:pPr>
            <w:r>
              <w:rPr>
                <w:rFonts w:ascii="Arial" w:cs="Arial" w:eastAsia="Arial" w:hAnsi="Arial"/>
                <w:sz w:val="18"/>
                <w:szCs w:val="18"/>
                <w:color w:val="auto"/>
                <w:w w:val="97"/>
              </w:rPr>
              <w:t>significant role in the registrant’s internal</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control over financial reporting.</w:t>
            </w:r>
          </w:p>
        </w:tc>
        <w:tc>
          <w:tcPr>
            <w:tcW w:w="39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702"/>
        </w:trPr>
        <w:tc>
          <w:tcPr>
            <w:tcW w:w="4080" w:type="dxa"/>
            <w:vAlign w:val="bottom"/>
          </w:tcPr>
          <w:p>
            <w:pPr>
              <w:spacing w:after="0"/>
              <w:rPr>
                <w:sz w:val="20"/>
                <w:szCs w:val="20"/>
                <w:color w:val="auto"/>
              </w:rPr>
            </w:pPr>
            <w:r>
              <w:rPr>
                <w:rFonts w:ascii="Arial" w:cs="Arial" w:eastAsia="Arial" w:hAnsi="Arial"/>
                <w:sz w:val="18"/>
                <w:szCs w:val="18"/>
                <w:color w:val="auto"/>
              </w:rPr>
              <w:t>/s/ Alan Miller</w:t>
            </w:r>
          </w:p>
        </w:tc>
        <w:tc>
          <w:tcPr>
            <w:tcW w:w="3920" w:type="dxa"/>
            <w:vAlign w:val="bottom"/>
          </w:tcPr>
          <w:p>
            <w:pPr>
              <w:ind w:left="2240"/>
              <w:spacing w:after="0"/>
              <w:rPr>
                <w:sz w:val="20"/>
                <w:szCs w:val="20"/>
                <w:color w:val="auto"/>
              </w:rPr>
            </w:pPr>
            <w:r>
              <w:rPr>
                <w:rFonts w:ascii="Arial" w:cs="Arial" w:eastAsia="Arial" w:hAnsi="Arial"/>
                <w:sz w:val="18"/>
                <w:szCs w:val="18"/>
                <w:color w:val="auto"/>
              </w:rPr>
              <w:t>December 17, 2007</w:t>
            </w:r>
          </w:p>
        </w:tc>
        <w:tc>
          <w:tcPr>
            <w:tcW w:w="3420" w:type="dxa"/>
            <w:vAlign w:val="bottom"/>
          </w:tcPr>
          <w:p>
            <w:pPr>
              <w:spacing w:after="0"/>
              <w:rPr>
                <w:sz w:val="24"/>
                <w:szCs w:val="24"/>
                <w:color w:val="auto"/>
              </w:rPr>
            </w:pPr>
          </w:p>
        </w:tc>
      </w:tr>
      <w:tr>
        <w:trPr>
          <w:trHeight w:val="118"/>
        </w:trPr>
        <w:tc>
          <w:tcPr>
            <w:tcW w:w="4080" w:type="dxa"/>
            <w:vAlign w:val="bottom"/>
            <w:tcBorders>
              <w:bottom w:val="single" w:sz="8" w:color="808080"/>
            </w:tcBorders>
          </w:tcPr>
          <w:p>
            <w:pPr>
              <w:spacing w:after="0"/>
              <w:rPr>
                <w:sz w:val="10"/>
                <w:szCs w:val="10"/>
                <w:color w:val="auto"/>
              </w:rPr>
            </w:pPr>
          </w:p>
        </w:tc>
        <w:tc>
          <w:tcPr>
            <w:tcW w:w="3920" w:type="dxa"/>
            <w:vAlign w:val="bottom"/>
          </w:tcPr>
          <w:p>
            <w:pPr>
              <w:spacing w:after="0"/>
              <w:rPr>
                <w:sz w:val="10"/>
                <w:szCs w:val="10"/>
                <w:color w:val="auto"/>
              </w:rPr>
            </w:pPr>
          </w:p>
        </w:tc>
        <w:tc>
          <w:tcPr>
            <w:tcW w:w="3420" w:type="dxa"/>
            <w:vAlign w:val="bottom"/>
          </w:tcPr>
          <w:p>
            <w:pPr>
              <w:spacing w:after="0"/>
              <w:rPr>
                <w:sz w:val="10"/>
                <w:szCs w:val="10"/>
                <w:color w:val="auto"/>
              </w:rPr>
            </w:pPr>
          </w:p>
        </w:tc>
      </w:tr>
      <w:tr>
        <w:trPr>
          <w:trHeight w:val="307"/>
        </w:trPr>
        <w:tc>
          <w:tcPr>
            <w:tcW w:w="4080" w:type="dxa"/>
            <w:vAlign w:val="bottom"/>
          </w:tcPr>
          <w:p>
            <w:pPr>
              <w:spacing w:after="0"/>
              <w:rPr>
                <w:sz w:val="20"/>
                <w:szCs w:val="20"/>
                <w:color w:val="auto"/>
              </w:rPr>
            </w:pPr>
            <w:r>
              <w:rPr>
                <w:rFonts w:ascii="Arial" w:cs="Arial" w:eastAsia="Arial" w:hAnsi="Arial"/>
                <w:sz w:val="18"/>
                <w:szCs w:val="18"/>
                <w:color w:val="auto"/>
              </w:rPr>
              <w:t>Alan L. Miller</w:t>
            </w:r>
          </w:p>
        </w:tc>
        <w:tc>
          <w:tcPr>
            <w:tcW w:w="39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9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659"/>
        </w:trPr>
        <w:tc>
          <w:tcPr>
            <w:tcW w:w="408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-786130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October 31, 2007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26"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2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/s/ Martin Bloch</w:t>
      </w:r>
      <w:r>
        <w:rPr>
          <w:sz w:val="20"/>
          <w:szCs w:val="20"/>
          <w:color w:val="auto"/>
        </w:rPr>
        <w:tab/>
      </w:r>
      <w:r>
        <w:rPr>
          <w:rFonts w:ascii="Arial" w:cs="Arial" w:eastAsia="Arial" w:hAnsi="Arial"/>
          <w:sz w:val="15"/>
          <w:szCs w:val="15"/>
          <w:color w:val="auto"/>
        </w:rPr>
        <w:t>December 17,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Frequency Electronics, Inc. (the “Company”) on Form 10-Q for the period ended October 31, 2007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35"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/s/ Alan Miller</w:t>
      </w:r>
      <w:r>
        <w:rPr>
          <w:sz w:val="20"/>
          <w:szCs w:val="20"/>
          <w:color w:val="auto"/>
        </w:rPr>
        <w:tab/>
      </w:r>
      <w:r>
        <w:rPr>
          <w:rFonts w:ascii="Arial" w:cs="Arial" w:eastAsia="Arial" w:hAnsi="Arial"/>
          <w:sz w:val="15"/>
          <w:szCs w:val="15"/>
          <w:color w:val="auto"/>
        </w:rPr>
        <w:t>December 17,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2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869"/>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2019-12-13T01:36:45Z</dcterms:created>
  <dcterms:modified xsi:type="dcterms:W3CDTF">2019-12-13T01:36:45Z</dcterms:modified>
</cp:coreProperties>
</file>