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9" w:lineRule="exact"/>
        <w:rPr>
          <w:sz w:val="24"/>
          <w:szCs w:val="24"/>
          <w:color w:val="auto"/>
        </w:rPr>
      </w:pPr>
    </w:p>
    <w:p>
      <w:pPr>
        <w:ind w:left="1440" w:hanging="206"/>
        <w:spacing w:after="0"/>
        <w:tabs>
          <w:tab w:leader="none" w:pos="1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31,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jc w:val="center"/>
        <w:ind w:left="3520" w:right="1220" w:hanging="2296"/>
        <w:spacing w:after="0" w:line="500" w:lineRule="auto"/>
        <w:tabs>
          <w:tab w:leader="none" w:pos="143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5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11-1986657</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550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FEIM</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7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93" w:right="339" w:bottom="1440" w:gutter="0" w:footer="0" w:header="0"/>
        </w:sectPr>
      </w:pPr>
    </w:p>
    <w:p>
      <w:pPr>
        <w:spacing w:after="0" w:line="135"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580" w:space="720"/>
            <w:col w:w="4940"/>
          </w:cols>
          <w:pgMar w:left="320" w:top="493"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December 10, 2025 – 9,777,647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80" w:type="dxa"/>
            <w:vAlign w:val="bottom"/>
            <w:gridSpan w:val="9"/>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gridSpan w:val="9"/>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96"/>
        </w:trPr>
        <w:tc>
          <w:tcPr>
            <w:tcW w:w="10240" w:type="dxa"/>
            <w:vAlign w:val="bottom"/>
            <w:gridSpan w:val="19"/>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218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8"/>
              </w:rPr>
              <w:t>Item 1 - Financial Statements:</w:t>
            </w:r>
          </w:p>
        </w:tc>
        <w:tc>
          <w:tcPr>
            <w:tcW w:w="7900" w:type="dxa"/>
            <w:vAlign w:val="bottom"/>
            <w:gridSpan w:val="10"/>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 October 31, 2025 (unaudited) and April 30, 2025</w:t>
            </w:r>
          </w:p>
        </w:tc>
        <w:tc>
          <w:tcPr>
            <w:tcW w:w="3260" w:type="dxa"/>
            <w:vAlign w:val="bottom"/>
            <w:gridSpan w:val="5"/>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 Three and Six Months Ended October 31, 2025 and 2024 (unaudited)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Six Months ended October 31, 2025 and 2024 (unaudited)</w:t>
            </w:r>
          </w:p>
        </w:tc>
        <w:tc>
          <w:tcPr>
            <w:tcW w:w="1080" w:type="dxa"/>
            <w:vAlign w:val="bottom"/>
            <w:gridSpan w:val="2"/>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 Three and Six Months Ended October 31, 2025 and 2024</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5040" w:type="dxa"/>
            <w:vAlign w:val="bottom"/>
            <w:gridSpan w:val="6"/>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8-15</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00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16-22</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7080" w:type="dxa"/>
            <w:vAlign w:val="bottom"/>
            <w:tcBorders>
              <w:top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300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0000EE"/>
                <w:w w:val="98"/>
              </w:rPr>
              <w:t>Item 4 - Controls and Procedures</w:t>
            </w:r>
          </w:p>
        </w:tc>
        <w:tc>
          <w:tcPr>
            <w:tcW w:w="2580" w:type="dxa"/>
            <w:vAlign w:val="bottom"/>
            <w:tcBorders>
              <w:top w:val="single" w:sz="8" w:color="0000EE"/>
            </w:tcBorders>
          </w:tcPr>
          <w:p>
            <w:pPr>
              <w:spacing w:after="0"/>
              <w:rPr>
                <w:sz w:val="24"/>
                <w:szCs w:val="24"/>
                <w:color w:val="auto"/>
              </w:rPr>
            </w:pPr>
          </w:p>
        </w:tc>
        <w:tc>
          <w:tcPr>
            <w:tcW w:w="5100" w:type="dxa"/>
            <w:vAlign w:val="bottom"/>
            <w:gridSpan w:val="8"/>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453"/>
        </w:trPr>
        <w:tc>
          <w:tcPr>
            <w:tcW w:w="102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60" w:type="dxa"/>
            <w:vAlign w:val="bottom"/>
          </w:tcPr>
          <w:p>
            <w:pPr>
              <w:spacing w:after="0"/>
              <w:rPr>
                <w:sz w:val="24"/>
                <w:szCs w:val="24"/>
                <w:color w:val="auto"/>
              </w:rPr>
            </w:pPr>
          </w:p>
        </w:tc>
        <w:tc>
          <w:tcPr>
            <w:tcW w:w="100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EE"/>
              </w:rPr>
              <w:t>Item 1A – Risk Factors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00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5000" w:type="dxa"/>
            <w:vAlign w:val="bottom"/>
            <w:tcBorders>
              <w:top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0000EE"/>
              </w:rPr>
              <w:t>Item 5 – Other Information</w:t>
            </w:r>
          </w:p>
        </w:tc>
        <w:tc>
          <w:tcPr>
            <w:tcW w:w="5080" w:type="dxa"/>
            <w:vAlign w:val="bottom"/>
            <w:gridSpan w:val="7"/>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960" w:type="dxa"/>
            <w:vAlign w:val="bottom"/>
            <w:tcBorders>
              <w:top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0000EE"/>
              </w:rPr>
              <w:t>Item 6 - Exhibits</w:t>
            </w:r>
          </w:p>
        </w:tc>
        <w:tc>
          <w:tcPr>
            <w:tcW w:w="8120" w:type="dxa"/>
            <w:vAlign w:val="bottom"/>
            <w:gridSpan w:val="11"/>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22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rPr>
              <w:t>Signatures</w:t>
            </w:r>
          </w:p>
        </w:tc>
        <w:tc>
          <w:tcPr>
            <w:tcW w:w="8860" w:type="dxa"/>
            <w:vAlign w:val="bottom"/>
            <w:gridSpan w:val="13"/>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568"/>
        </w:trPr>
        <w:tc>
          <w:tcPr>
            <w:tcW w:w="16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6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62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2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(In thousands, except par 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6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16"/>
        </w:trPr>
        <w:tc>
          <w:tcPr>
            <w:tcW w:w="84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$102 at October 31, 2025 and $110 at April 30, 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17,914</w:t>
            </w:r>
          </w:p>
        </w:tc>
        <w:tc>
          <w:tcPr>
            <w:tcW w:w="0" w:type="dxa"/>
            <w:vAlign w:val="bottom"/>
          </w:tcPr>
          <w:p>
            <w:pPr>
              <w:spacing w:after="0"/>
              <w:rPr>
                <w:sz w:val="1"/>
                <w:szCs w:val="1"/>
                <w:color w:val="auto"/>
              </w:rPr>
            </w:pPr>
          </w:p>
        </w:tc>
      </w:tr>
      <w:tr>
        <w:trPr>
          <w:trHeight w:val="216"/>
        </w:trPr>
        <w:tc>
          <w:tcPr>
            <w:tcW w:w="84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23,487</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09"/>
        </w:trPr>
        <w:tc>
          <w:tcPr>
            <w:tcW w:w="8460" w:type="dxa"/>
            <w:vAlign w:val="bottom"/>
            <w:tcBorders>
              <w:top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12,045</w:t>
            </w: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of life insurance and assets held in trust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10,882</w:t>
            </w: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30"/>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84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provision accrual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84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30"/>
        </w:trPr>
        <w:tc>
          <w:tcPr>
            <w:tcW w:w="84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13,607</w:t>
            </w:r>
          </w:p>
        </w:tc>
        <w:tc>
          <w:tcPr>
            <w:tcW w:w="0" w:type="dxa"/>
            <w:vAlign w:val="bottom"/>
          </w:tcPr>
          <w:p>
            <w:pPr>
              <w:spacing w:after="0"/>
              <w:rPr>
                <w:sz w:val="1"/>
                <w:szCs w:val="1"/>
                <w:color w:val="auto"/>
              </w:rPr>
            </w:pPr>
          </w:p>
        </w:tc>
      </w:tr>
      <w:tr>
        <w:trPr>
          <w:trHeight w:val="209"/>
        </w:trPr>
        <w:tc>
          <w:tcPr>
            <w:tcW w:w="8460" w:type="dxa"/>
            <w:vAlign w:val="bottom"/>
            <w:tcBorders>
              <w:top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7,933</w:t>
            </w:r>
          </w:p>
        </w:tc>
        <w:tc>
          <w:tcPr>
            <w:tcW w:w="0" w:type="dxa"/>
            <w:vAlign w:val="bottom"/>
          </w:tcPr>
          <w:p>
            <w:pPr>
              <w:spacing w:after="0"/>
              <w:rPr>
                <w:sz w:val="1"/>
                <w:szCs w:val="1"/>
                <w:color w:val="auto"/>
              </w:rPr>
            </w:pPr>
          </w:p>
        </w:tc>
      </w:tr>
      <w:tr>
        <w:trPr>
          <w:trHeight w:val="229"/>
        </w:trPr>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46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9,818 shares issued and 9,773 shares outstanding at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October 31, 2025; 9,717 shares issued and 9,704 shares outstanding at April 30, 2025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9,717</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42,475</w:t>
            </w:r>
          </w:p>
        </w:tc>
        <w:tc>
          <w:tcPr>
            <w:tcW w:w="0" w:type="dxa"/>
            <w:vAlign w:val="bottom"/>
          </w:tcPr>
          <w:p>
            <w:pPr>
              <w:spacing w:after="0"/>
              <w:rPr>
                <w:sz w:val="1"/>
                <w:szCs w:val="1"/>
                <w:color w:val="auto"/>
              </w:rPr>
            </w:pPr>
          </w:p>
        </w:tc>
      </w:tr>
      <w:tr>
        <w:trPr>
          <w:trHeight w:val="216"/>
        </w:trPr>
        <w:tc>
          <w:tcPr>
            <w:tcW w:w="84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198"/>
        </w:trPr>
        <w:tc>
          <w:tcPr>
            <w:tcW w:w="846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 at cost (45 shares at October 31, 2025 and 13 shares at April 30,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shd w:val="clear" w:color="auto" w:fill="CCEEFF"/>
          </w:tcPr>
          <w:p>
            <w:pPr>
              <w:spacing w:after="0"/>
              <w:rPr>
                <w:sz w:val="21"/>
                <w:szCs w:val="21"/>
                <w:color w:val="auto"/>
              </w:rPr>
            </w:pPr>
          </w:p>
        </w:tc>
        <w:tc>
          <w:tcPr>
            <w:tcW w:w="6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58,455</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92,255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1280" w:type="dxa"/>
            <w:vAlign w:val="bottom"/>
            <w:tcBorders>
              <w:top w:val="single" w:sz="8" w:color="0000EE"/>
            </w:tcBorders>
          </w:tcPr>
          <w:p>
            <w:pPr>
              <w:spacing w:after="0"/>
              <w:rPr>
                <w:sz w:val="24"/>
                <w:szCs w:val="24"/>
                <w:color w:val="auto"/>
              </w:rPr>
            </w:pPr>
          </w:p>
        </w:tc>
        <w:tc>
          <w:tcPr>
            <w:tcW w:w="7420" w:type="dxa"/>
            <w:vAlign w:val="bottom"/>
            <w:gridSpan w:val="9"/>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Condensed Consolidated Statements of Operations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 October</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23"/>
        </w:trPr>
        <w:tc>
          <w:tcPr>
            <w:tcW w:w="5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98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80" w:type="dxa"/>
            <w:vAlign w:val="bottom"/>
            <w:tcBorders>
              <w:top w:val="single" w:sz="8" w:color="auto"/>
            </w:tcBorders>
          </w:tcPr>
          <w:p>
            <w:pPr>
              <w:spacing w:after="0"/>
              <w:rPr>
                <w:sz w:val="2"/>
                <w:szCs w:val="2"/>
                <w:color w:val="auto"/>
              </w:rPr>
            </w:pPr>
          </w:p>
        </w:tc>
        <w:tc>
          <w:tcPr>
            <w:tcW w:w="24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17,127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30,898</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10,591</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19,321</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16,580</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3,623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on investments</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(benefit) provision for income taxes</w:t>
            </w: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63"/>
        </w:trPr>
        <w:tc>
          <w:tcPr>
            <w:tcW w:w="3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tcPr>
          <w:p>
            <w:pPr>
              <w:spacing w:after="0"/>
              <w:rPr>
                <w:sz w:val="22"/>
                <w:szCs w:val="22"/>
                <w:color w:val="auto"/>
              </w:rPr>
            </w:pPr>
          </w:p>
        </w:tc>
        <w:tc>
          <w:tcPr>
            <w:tcW w:w="20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income per share</w:t>
            </w:r>
          </w:p>
        </w:tc>
        <w:tc>
          <w:tcPr>
            <w:tcW w:w="2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9,760</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9,585</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9,741</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charges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fixed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dividend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(4,454)</w:t>
            </w:r>
          </w:p>
        </w:tc>
        <w:tc>
          <w:tcPr>
            <w:tcW w:w="24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09"/>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24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(1,389)</w:t>
            </w:r>
          </w:p>
        </w:tc>
        <w:tc>
          <w:tcPr>
            <w:tcW w:w="24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(848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623"/>
        </w:trPr>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9"/>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(9,729</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26"/>
        </w:trPr>
        <w:tc>
          <w:tcPr>
            <w:tcW w:w="24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(1,709)</w:t>
            </w:r>
          </w:p>
        </w:tc>
        <w:tc>
          <w:tcPr>
            <w:tcW w:w="24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0" w:type="dxa"/>
            <w:vAlign w:val="bottom"/>
          </w:tcPr>
          <w:p>
            <w:pPr>
              <w:spacing w:after="0"/>
              <w:rPr>
                <w:sz w:val="1"/>
                <w:szCs w:val="1"/>
                <w:color w:val="auto"/>
              </w:rPr>
            </w:pPr>
          </w:p>
        </w:tc>
      </w:tr>
      <w:tr>
        <w:trPr>
          <w:trHeight w:val="445"/>
        </w:trPr>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6,085</w:t>
            </w:r>
          </w:p>
        </w:tc>
        <w:tc>
          <w:tcPr>
            <w:tcW w:w="240" w:type="dxa"/>
            <w:vAlign w:val="bottom"/>
          </w:tcPr>
          <w:p>
            <w:pPr>
              <w:spacing w:after="0"/>
              <w:rPr>
                <w:sz w:val="24"/>
                <w:szCs w:val="24"/>
                <w:color w:val="auto"/>
              </w:rPr>
            </w:pPr>
          </w:p>
        </w:tc>
        <w:tc>
          <w:tcPr>
            <w:tcW w:w="9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19,265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8240" w:space="440"/>
            <w:col w:w="2520"/>
          </w:cols>
          <w:pgMar w:left="320" w:top="229" w:right="37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1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gridSpan w:val="1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gridSpan w:val="16"/>
          </w:tcPr>
          <w:p>
            <w:pPr>
              <w:jc w:val="center"/>
              <w:ind w:right="740"/>
              <w:spacing w:after="0"/>
              <w:rPr>
                <w:sz w:val="20"/>
                <w:szCs w:val="20"/>
                <w:color w:val="auto"/>
              </w:rPr>
            </w:pPr>
            <w:r>
              <w:rPr>
                <w:rFonts w:ascii="Times New Roman" w:cs="Times New Roman" w:eastAsia="Times New Roman" w:hAnsi="Times New Roman"/>
                <w:sz w:val="18"/>
                <w:szCs w:val="18"/>
                <w:color w:val="auto"/>
                <w:w w:val="99"/>
              </w:rPr>
              <w:t>Condensed Consolidated Statements of Changes in Stockholders’ Equity</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11"/>
          </w:tcPr>
          <w:p>
            <w:pPr>
              <w:jc w:val="center"/>
              <w:ind w:right="480"/>
              <w:spacing w:after="0"/>
              <w:rPr>
                <w:sz w:val="20"/>
                <w:szCs w:val="20"/>
                <w:color w:val="auto"/>
              </w:rPr>
            </w:pPr>
            <w:r>
              <w:rPr>
                <w:rFonts w:ascii="Times New Roman" w:cs="Times New Roman" w:eastAsia="Times New Roman" w:hAnsi="Times New Roman"/>
                <w:sz w:val="18"/>
                <w:szCs w:val="18"/>
                <w:color w:val="auto"/>
                <w:w w:val="99"/>
              </w:rPr>
              <w:t>Three and Six Months Ended October 31, 2025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7"/>
          </w:tcPr>
          <w:p>
            <w:pPr>
              <w:jc w:val="center"/>
              <w:ind w:left="270"/>
              <w:spacing w:after="0"/>
              <w:rPr>
                <w:sz w:val="20"/>
                <w:szCs w:val="20"/>
                <w:color w:val="auto"/>
              </w:rPr>
            </w:pPr>
            <w:r>
              <w:rPr>
                <w:rFonts w:ascii="Times New Roman" w:cs="Times New Roman" w:eastAsia="Times New Roman" w:hAnsi="Times New Roman"/>
                <w:sz w:val="18"/>
                <w:szCs w:val="18"/>
                <w:color w:val="auto"/>
                <w:w w:val="99"/>
              </w:rPr>
              <w:t>(In thousands, except share data)</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color w:val="auto"/>
              </w:rPr>
              <w:t>(Unaudited)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8"/>
        </w:trPr>
        <w:tc>
          <w:tcPr>
            <w:tcW w:w="1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April 30,</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9,716,999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42,475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3,659</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13,088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$ 55,620</w:t>
            </w:r>
          </w:p>
        </w:tc>
        <w:tc>
          <w:tcPr>
            <w:tcW w:w="0" w:type="dxa"/>
            <w:vAlign w:val="bottom"/>
          </w:tcPr>
          <w:p>
            <w:pPr>
              <w:spacing w:after="0"/>
              <w:rPr>
                <w:sz w:val="1"/>
                <w:szCs w:val="1"/>
                <w:color w:val="auto"/>
              </w:rPr>
            </w:pPr>
          </w:p>
        </w:tc>
      </w:tr>
      <w:tr>
        <w:trPr>
          <w:trHeight w:val="198"/>
        </w:trPr>
        <w:tc>
          <w:tcPr>
            <w:tcW w:w="1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Contribution of</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stock to</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401(k) plan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12,405</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198"/>
        </w:trPr>
        <w:tc>
          <w:tcPr>
            <w:tcW w:w="1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54,866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198"/>
        </w:trPr>
        <w:tc>
          <w:tcPr>
            <w:tcW w:w="1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Shares withheld</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on employee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taxes 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vested equity</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21,910</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(583)</w:t>
            </w:r>
          </w:p>
        </w:tc>
        <w:tc>
          <w:tcPr>
            <w:tcW w:w="106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9"/>
        </w:trPr>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178"/>
        </w:trPr>
        <w:tc>
          <w:tcPr>
            <w:tcW w:w="12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 at July</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9,784,270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9,784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43,056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4,293</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34,998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(814)</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$ 56,319</w:t>
            </w:r>
          </w:p>
        </w:tc>
        <w:tc>
          <w:tcPr>
            <w:tcW w:w="0" w:type="dxa"/>
            <w:vAlign w:val="bottom"/>
          </w:tcPr>
          <w:p>
            <w:pPr>
              <w:spacing w:after="0"/>
              <w:rPr>
                <w:sz w:val="1"/>
                <w:szCs w:val="1"/>
                <w:color w:val="auto"/>
              </w:rPr>
            </w:pPr>
          </w:p>
        </w:tc>
      </w:tr>
      <w:tr>
        <w:trPr>
          <w:trHeight w:val="198"/>
        </w:trPr>
        <w:tc>
          <w:tcPr>
            <w:tcW w:w="1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of</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to</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401(k) plan</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8"/>
        </w:trPr>
        <w:tc>
          <w:tcPr>
            <w:tcW w:w="1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27,308</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198"/>
        </w:trPr>
        <w:tc>
          <w:tcPr>
            <w:tcW w:w="1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withheld</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 employee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equity</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10,219</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0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1,801</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178"/>
        </w:trPr>
        <w:tc>
          <w:tcPr>
            <w:tcW w:w="1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31,</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9,818,346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9,818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43,732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6,094</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45,217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(1,189)</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58,455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42"/>
        </w:trPr>
        <w:tc>
          <w:tcPr>
            <w:tcW w:w="1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gridSpan w:val="1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gridSpan w:val="16"/>
          </w:tcPr>
          <w:p>
            <w:pPr>
              <w:jc w:val="center"/>
              <w:ind w:right="740"/>
              <w:spacing w:after="0"/>
              <w:rPr>
                <w:sz w:val="20"/>
                <w:szCs w:val="20"/>
                <w:color w:val="auto"/>
              </w:rPr>
            </w:pPr>
            <w:r>
              <w:rPr>
                <w:rFonts w:ascii="Times New Roman" w:cs="Times New Roman" w:eastAsia="Times New Roman" w:hAnsi="Times New Roman"/>
                <w:sz w:val="18"/>
                <w:szCs w:val="18"/>
                <w:color w:val="auto"/>
                <w:w w:val="99"/>
              </w:rPr>
              <w:t>Condensed Consolidated Statements of Changes in Stockholders’ Equity</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11"/>
          </w:tcPr>
          <w:p>
            <w:pPr>
              <w:jc w:val="center"/>
              <w:ind w:right="480"/>
              <w:spacing w:after="0"/>
              <w:rPr>
                <w:sz w:val="20"/>
                <w:szCs w:val="20"/>
                <w:color w:val="auto"/>
              </w:rPr>
            </w:pPr>
            <w:r>
              <w:rPr>
                <w:rFonts w:ascii="Times New Roman" w:cs="Times New Roman" w:eastAsia="Times New Roman" w:hAnsi="Times New Roman"/>
                <w:sz w:val="18"/>
                <w:szCs w:val="18"/>
                <w:color w:val="auto"/>
                <w:w w:val="99"/>
              </w:rPr>
              <w:t>Three and Six Months Ended October 31, 2024</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7"/>
          </w:tcPr>
          <w:p>
            <w:pPr>
              <w:jc w:val="center"/>
              <w:ind w:left="270"/>
              <w:spacing w:after="0"/>
              <w:rPr>
                <w:sz w:val="20"/>
                <w:szCs w:val="20"/>
                <w:color w:val="auto"/>
              </w:rPr>
            </w:pPr>
            <w:r>
              <w:rPr>
                <w:rFonts w:ascii="Times New Roman" w:cs="Times New Roman" w:eastAsia="Times New Roman" w:hAnsi="Times New Roman"/>
                <w:sz w:val="18"/>
                <w:szCs w:val="18"/>
                <w:color w:val="auto"/>
                <w:w w:val="99"/>
              </w:rPr>
              <w:t>(In thousands, except share data)</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rPr>
              <w:t>(Unaudited)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00" w:type="dxa"/>
            <w:vAlign w:val="bottom"/>
          </w:tcPr>
          <w:p>
            <w:pPr>
              <w:spacing w:after="0"/>
              <w:rPr>
                <w:sz w:val="21"/>
                <w:szCs w:val="21"/>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12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8"/>
        </w:trPr>
        <w:tc>
          <w:tcPr>
            <w:tcW w:w="1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April 30,</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9,511,560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9,512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50,334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(20,027)</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$ 39,816</w:t>
            </w:r>
          </w:p>
        </w:tc>
      </w:tr>
      <w:tr>
        <w:trPr>
          <w:trHeight w:val="198"/>
        </w:trPr>
        <w:tc>
          <w:tcPr>
            <w:tcW w:w="1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Contribution of</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stock to</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401(k) plan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26,457</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r>
      <w:tr>
        <w:trPr>
          <w:trHeight w:val="198"/>
        </w:trPr>
        <w:tc>
          <w:tcPr>
            <w:tcW w:w="1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27,815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r>
      <w:tr>
        <w:trPr>
          <w:trHeight w:val="198"/>
        </w:trPr>
        <w:tc>
          <w:tcPr>
            <w:tcW w:w="1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Shares withheld</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on employee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taxes 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vested equity</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4,569</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06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98"/>
        </w:trPr>
        <w:tc>
          <w:tcPr>
            <w:tcW w:w="1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stock</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appreciation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 net of</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tendered for</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price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Dividends</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payable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(9,567)</w:t>
            </w:r>
          </w:p>
        </w:tc>
      </w:tr>
      <w:tr>
        <w:trPr>
          <w:trHeight w:val="230"/>
        </w:trPr>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2,430</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2,430</w:t>
            </w:r>
          </w:p>
        </w:tc>
      </w:tr>
      <w:tr>
        <w:trPr>
          <w:trHeight w:val="178"/>
        </w:trPr>
        <w:tc>
          <w:tcPr>
            <w:tcW w:w="12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 at July</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9,567,651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41,296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(17,597)</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$ 33,202</w:t>
            </w:r>
          </w:p>
        </w:tc>
      </w:tr>
      <w:tr>
        <w:trPr>
          <w:trHeight w:val="198"/>
        </w:trPr>
        <w:tc>
          <w:tcPr>
            <w:tcW w:w="1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of</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to</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401(k) plan</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17,577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r>
      <w:tr>
        <w:trPr>
          <w:trHeight w:val="198"/>
        </w:trPr>
        <w:tc>
          <w:tcPr>
            <w:tcW w:w="1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32,127</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r>
      <w:tr>
        <w:trPr>
          <w:trHeight w:val="198"/>
        </w:trPr>
        <w:tc>
          <w:tcPr>
            <w:tcW w:w="1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withheld</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 employee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equity</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7,893</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1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Dividends</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payable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9,567</w:t>
            </w:r>
          </w:p>
        </w:tc>
      </w:tr>
      <w:tr>
        <w:trPr>
          <w:trHeight w:val="216"/>
        </w:trPr>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w:t>
            </w:r>
          </w:p>
        </w:tc>
      </w:tr>
      <w:tr>
        <w:trPr>
          <w:trHeight w:val="23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2,654</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2,654</w:t>
            </w:r>
          </w:p>
        </w:tc>
      </w:tr>
      <w:tr>
        <w:trPr>
          <w:trHeight w:val="178"/>
        </w:trPr>
        <w:tc>
          <w:tcPr>
            <w:tcW w:w="1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1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31,</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61"/>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9,617,355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41,683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(14,943)</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36,192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216" w:right="3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October 31, 2025 and the results of its operations, changes in stockholders’ equity for the three and six months ended October 31, 2025 and 2024, and cash flows for the six months ended October 31, 2025 and 2024. The April 30, 2025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on Form 10-K for the fiscal year ended April 30, 2025, filed on July 18, 2025 with the Securities and Exchange Commission (the “Form 10-K”). The results of operations for such interim periods are not necessarily indicative of the operating results for the full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earnings per share (“EPS”)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2025 and 2024, respectively, were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Basic EPS shares outstanding (weighted average)</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Periods ended October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Borders>
              <w:top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80" w:type="dxa"/>
            <w:vAlign w:val="bottom"/>
            <w:tcBorders>
              <w:top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60" w:type="dxa"/>
            <w:vAlign w:val="bottom"/>
            <w:tcBorders>
              <w:top w:val="single" w:sz="8" w:color="auto"/>
            </w:tcBorders>
          </w:tcPr>
          <w:p>
            <w:pPr>
              <w:spacing w:after="0"/>
              <w:rPr>
                <w:sz w:val="19"/>
                <w:szCs w:val="19"/>
                <w:color w:val="auto"/>
              </w:rPr>
            </w:pPr>
          </w:p>
        </w:tc>
      </w:tr>
      <w:tr>
        <w:trPr>
          <w:trHeight w:val="223"/>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421"/>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9,759,646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9,585,357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9,741,405</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9,561,848</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9,759,646</w:t>
            </w: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9,585,357</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7"/>
              </w:rPr>
              <w:t>9,741,405</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9,561,848</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-462280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-179070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229" w:right="339" w:bottom="1440" w:gutter="0" w:footer="0" w:header="0"/>
          <w:type w:val="continuous"/>
        </w:sect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October 31, 2025 there were no shares to exclude from the calculation of dilutive securities. For the three and six months ended October 31, 2024 dilutive securities are excluded from the calculation of EPS since the inclusion of such shares would be antidilutive. The exercisable shares excluded for the three and six months ended October 31, 2024 were 76,000 shares in both periods.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22, 2024, the Company’s Board of Directors declared a special cash dividend of $1.00 per share of common stock. The special dividend was paid on August 29, 2024, to stockholders of record as of the close of business on August 8, 2024. The total amount of the special dividend payment was approximately $9.6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CONTRACT ASSETS AND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Contract assets primarily relate to the Company’s rights to consideration for work completed but not billed at the reporting date on contracts with customers. Contract assets are transferred to accounts receivable when the rights become unconditional. Contract liabilities primarily relate to contracts where advance payments or deposits have been received, but performance obligations have not yet been satisfied, and therefore, revenue has not been recognized. During the three and six months ended October 31, 2025, we recognized $3.3 million and $7.4 million, respectively, of our contract liabilities at April 30, 2025 as revenue. During the three and six months ended October 31, 2024, we recognized $8.3 million and $16.0 million, respectively, of our contract liabilities at April 30, 2024 as revenue. If contract losses are anticipated, a loss provision is recorded for the full amount of such losses when they are determinable.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–EMPLOYEE BENEFIT PLANS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October 31, 2025, the Company made contributions of 6,768 and 19,173 shares, respectively, of its common stock to the Company’s profit-sharing plan and trust under Section 401(k) of the Internal Revenue Code. During the three and six months ended October 31, 2024, the Company made contributions of 17,577 and 44,034 shares, respectively, of its common stock to the Company’s profit-sharing plan and trust under Section 401(k) of the Internal Revenue Code. Such contributions are in accordance with the Company’s discretionary match of employee voluntary contributions to this plan.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Deferred compensation expense charged to selling and administrative expenses during the three and six months ended October 31, 2025, was approximately $131,000 and $264,000, respectively, inclusive of approximately $22,000 and 46,000, respectively, of interest expense. Payments made related to deferred compensation were approximately $183,000 and $366,000, respectively, for the same periods. Deferred compensation expense charged to selling and administrative expenses during the three and six months ended October 31, 2024, was approximately $140,000 and $283,000, respectively, inclusive of approximately $26,000 and $53,000, respectively, of interest expense. Payments made related to deferred compensation were approximately $179,000 and $358,000, respectively, for the same periods.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 The life insurance policies amounted to $7.2 million at October 31, 2025 and $7.0 million at April 30, 2025. The business account and U.S.debt securities within the trust are valued on a Level 1 basis and amounted to $3.7 million and $3.5 million at October 31, 2025 and April 30, 2025, respectively. The fixed income corporate debt securities within the trust are valued on a Level 2 basis and amounted to $0.5 million at October 31, 2025 and $0.4 million at April 30, 2025. Level 2 securities are valued at the closing prices and are consistent with quoted prices of similar assets reported in active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which are reported at the lower of cost or net realizable value,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86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8,444</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manufacturing and research and development (“R&amp;D”) facilities, which expire at various times through 2030 and are operating leases. Contractual arrangements are evaluated at inception to determine if the agreement contains a lease. The leases contain renewal options, early termination, rent abatement, and escalation clauses that are factored into our determination of lease payments when appropriate. We include options to extend or terminate leases in the right-of-use (“ROU”) operating lease asset and liability when it is reasonably certain we will exercise these options. As of October 31, 2025,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twelve months or less to be recorded on a straight-line basis over the lease term without being recognized on the consolidated balance sheet. The Company has also elected the practical expedient to account for lease and non-lease components as a single component.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ROU assets and liabilities recorded on the respective consolidated balance sheets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Operating lease liabilities, non-current portion</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2,083</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34"/>
        </w:trPr>
        <w:tc>
          <w:tcPr>
            <w:tcW w:w="400" w:type="dxa"/>
            <w:vAlign w:val="bottom"/>
          </w:tcPr>
          <w:p>
            <w:pPr>
              <w:spacing w:after="0"/>
              <w:rPr>
                <w:sz w:val="20"/>
                <w:szCs w:val="20"/>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6,315</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23"/>
        </w:trPr>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3"/>
              </w:rPr>
              <w:t>8,398</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Total operating lease expense was $0.6 million and $1.1 million for the three and six months ended October 31, 2025, respectively, the majority of which is included in cost of revenues and the remaining amount in selling and administrative expenses on the unaudited condensed consolidated statements of operations. Total operating lease expense was $0.5 million and $0.9 million for the three and six months ended October 31, 2024, respectively, the majority of which is included in cost of revenues and the remaining amount in selling and administrative expenses on the unaudited condensed consolidated statements of operations. During the six months ended October 31, 2025, the Company recorded incremental ROU assets and lease liabilities of approximately $0.4 million arising from a new lease for FEI-NY, which commenced during the quarter ended October 31, 2025. There were no ROU assets or lease liabilities that were recorded for any leases that had not commenced as of October 31, 2025. During the six months ended October 31, 2024, the Company did not record any incremental ROU assets and lease liabilities as there were no leases that commenced during the six months ended October 30, 2024.</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maturities of lease liabilities at October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6740" w:type="dxa"/>
            <w:vAlign w:val="bottom"/>
            <w:gridSpan w:val="2"/>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8"/>
              </w:rPr>
              <w:t>Fiscal Year Ending April 30,</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660" w:type="dxa"/>
            <w:vAlign w:val="bottom"/>
          </w:tcPr>
          <w:p>
            <w:pPr>
              <w:spacing w:after="0"/>
              <w:rPr>
                <w:sz w:val="20"/>
                <w:szCs w:val="20"/>
                <w:color w:val="auto"/>
              </w:rPr>
            </w:pPr>
          </w:p>
        </w:tc>
        <w:tc>
          <w:tcPr>
            <w:tcW w:w="6740" w:type="dxa"/>
            <w:vAlign w:val="bottom"/>
            <w:gridSpan w:val="2"/>
          </w:tcPr>
          <w:p>
            <w:pPr>
              <w:jc w:val="center"/>
              <w:ind w:right="2800"/>
              <w:spacing w:after="0"/>
              <w:rPr>
                <w:sz w:val="20"/>
                <w:szCs w:val="20"/>
                <w:color w:val="auto"/>
              </w:rPr>
            </w:pPr>
            <w:r>
              <w:rPr>
                <w:rFonts w:ascii="Times New Roman" w:cs="Times New Roman" w:eastAsia="Times New Roman" w:hAnsi="Times New Roman"/>
                <w:sz w:val="18"/>
                <w:szCs w:val="18"/>
                <w:color w:val="auto"/>
                <w:w w:val="99"/>
              </w:rPr>
              <w:t>(in thousands)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6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2,388</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2,535</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1,677</w:t>
            </w: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(1,314)</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6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(2,083)</w:t>
            </w:r>
          </w:p>
        </w:tc>
      </w:tr>
      <w:tr>
        <w:trPr>
          <w:trHeight w:val="223"/>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63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October 31, 2025 and 2024, the weighted-average remaining lease term for all operating leases was 4.31 years and 4.70 years, respectively. The Company does not generally have access to the rate implicit in the leases and therefore selected a rate that is reflective of companies with similar credit ratings for secured debt as the discount rate. The weighted average discount rate for operating leases as of October 31, 2025 and 2024, was 7.08% and 6.38%, respectively.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980" w:hanging="320"/>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75"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 owned subsidiary, FEI-Elcom. FEI-Elcom, in addition to its own product line, provides design and technical support for the FEI-NY segment’s communication satellite business.</w:t>
      </w:r>
    </w:p>
    <w:p>
      <w:pPr>
        <w:spacing w:after="0" w:line="161" w:lineRule="exact"/>
        <w:rPr>
          <w:rFonts w:ascii="Times New Roman" w:cs="Times New Roman" w:eastAsia="Times New Roman" w:hAnsi="Times New Roman"/>
          <w:sz w:val="18"/>
          <w:szCs w:val="18"/>
          <w:color w:val="auto"/>
        </w:rPr>
      </w:pPr>
    </w:p>
    <w:p>
      <w:pPr>
        <w:jc w:val="both"/>
        <w:ind w:left="980" w:right="20" w:hanging="320"/>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chief operating decision maker (“CODM”) views the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“Note 1. Summary of Accounting Policies” to the consolidated financial statements included in the Form 10-K. Our Chief Executive Officer (“CEO”) serves as our CODM who evaluates the segment performance and allocates resources to them based on operating income which is defined as income before investment income, interest expense, other expenses, and income taxes. Operating income by segment is used to monitor segment results compared to prior periods, forecasted results, and the annual plan.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tables below present segment revenues, significant segment expenses, which consist of segment cost of revenues and segment R&amp;D expenses, and segment operating income for each reportable segment and on a consolidated basis as reported in the consolidated statements of operations for the three and six months ended October 31, 2025 and 2024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21,148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7,065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10,783</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w:t>
            </w:r>
          </w:p>
        </w:tc>
        <w:tc>
          <w:tcPr>
            <w:tcW w:w="3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30,939</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4,176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6,266</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cost of revenues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(811)</w:t>
            </w:r>
          </w:p>
        </w:tc>
        <w:tc>
          <w:tcPr>
            <w:tcW w:w="3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cost of revenues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19,321</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w:t>
            </w:r>
          </w:p>
        </w:tc>
        <w:tc>
          <w:tcPr>
            <w:tcW w:w="3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research and development expenses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FEI-NY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FEI-Zyfer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1,773</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intersegment operating income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3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Included in the determination of operating income is selling, general, and administrative expenses of $2.6 million and $2.4 million for the three months ended October 31, 2025 and 2024, respectively, for the FEI-NY segment, and $0.8 million for both the three months ended October 31, 2025 and 2024, for the FEI-Zyfer segment. Included in the determination of operating income is selling, general, and administrative expenses of $5.3 million and $4.6 million for the six months ended October 31, 2025 and 2024, respectively, for the FEI-NY segment, and $1.6 million and $1.3 million for the six months ended October 31, 2025 and 2024, respectively, for the FEI-Zyfer segment.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tables below present the identifiable assets of each reportable segment and on a consolidated basis as reported in the consolidated balance sheets as of October 31, 2025 and April 30, 2025 and the depreciation and amortization charges related to these identifiable assets for the three and six months then ended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30,142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30,887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7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FEI-NY</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FEI-Zyfer</w:t>
            </w:r>
          </w:p>
        </w:tc>
        <w:tc>
          <w:tcPr>
            <w:tcW w:w="8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depreciation and amortization expense</w:t>
            </w: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revenue recognized over time as Percentage of Completion (“POC”) and Passage of Title (“POT”) was approximately $14.8 million and $2.3 million, respectively, of the $17.1 million reported for the three months ended October 31, 2025. Total revenue recognized over time as POC and POT was approximately $27.3 million and $3.7 million, respectively, of the $30.9 million reported for the six months ended October 31, 2025. Total revenue recognized over time as POC and POT was approximately $15.1 million and $0.7 million, respectively, of the $15.8 million reported for the three months ended October 31, 2024. Total revenue recognized over time as POC and POT was approximately $29.6 million and $1.3 million, respectively, of the $30.9 million reported for the six months ended October 31,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by segment and product line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6"/>
                <w:szCs w:val="16"/>
                <w:color w:val="auto"/>
              </w:rPr>
            </w:pPr>
          </w:p>
        </w:tc>
        <w:tc>
          <w:tcPr>
            <w:tcW w:w="106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6"/>
                <w:szCs w:val="16"/>
                <w:color w:val="auto"/>
              </w:rPr>
            </w:pPr>
          </w:p>
        </w:tc>
        <w:tc>
          <w:tcPr>
            <w:tcW w:w="116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POT</w:t>
            </w:r>
          </w:p>
        </w:tc>
        <w:tc>
          <w:tcPr>
            <w:tcW w:w="160" w:type="dxa"/>
            <w:vAlign w:val="bottom"/>
          </w:tcPr>
          <w:p>
            <w:pPr>
              <w:spacing w:after="0"/>
              <w:rPr>
                <w:sz w:val="16"/>
                <w:szCs w:val="16"/>
                <w:color w:val="auto"/>
              </w:rPr>
            </w:pPr>
          </w:p>
        </w:tc>
        <w:tc>
          <w:tcPr>
            <w:tcW w:w="9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r>
      <w:tr>
        <w:trPr>
          <w:trHeight w:val="210"/>
        </w:trPr>
        <w:tc>
          <w:tcPr>
            <w:tcW w:w="328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FEI-NY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FEI-Zyfer</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4,559</w:t>
            </w:r>
          </w:p>
        </w:tc>
      </w:tr>
      <w:tr>
        <w:trPr>
          <w:trHeight w:val="230"/>
        </w:trPr>
        <w:tc>
          <w:tcPr>
            <w:tcW w:w="32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Less: intersegment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6"/>
                <w:szCs w:val="16"/>
                <w:color w:val="auto"/>
              </w:rPr>
            </w:pPr>
          </w:p>
        </w:tc>
        <w:tc>
          <w:tcPr>
            <w:tcW w:w="106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6"/>
                <w:szCs w:val="16"/>
                <w:color w:val="auto"/>
              </w:rPr>
            </w:pPr>
          </w:p>
        </w:tc>
        <w:tc>
          <w:tcPr>
            <w:tcW w:w="116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POT</w:t>
            </w:r>
          </w:p>
        </w:tc>
        <w:tc>
          <w:tcPr>
            <w:tcW w:w="160" w:type="dxa"/>
            <w:vAlign w:val="bottom"/>
          </w:tcPr>
          <w:p>
            <w:pPr>
              <w:spacing w:after="0"/>
              <w:rPr>
                <w:sz w:val="16"/>
                <w:szCs w:val="16"/>
                <w:color w:val="auto"/>
              </w:rPr>
            </w:pPr>
          </w:p>
        </w:tc>
        <w:tc>
          <w:tcPr>
            <w:tcW w:w="9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r>
      <w:tr>
        <w:trPr>
          <w:trHeight w:val="210"/>
        </w:trPr>
        <w:tc>
          <w:tcPr>
            <w:tcW w:w="32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FEI-NY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FEI-Zyfer</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7,804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8,831</w:t>
            </w:r>
          </w:p>
        </w:tc>
      </w:tr>
      <w:tr>
        <w:trPr>
          <w:trHeight w:val="229"/>
        </w:trPr>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 intersegment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30,898</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8"/>
        </w:trPr>
        <w:tc>
          <w:tcPr>
            <w:tcW w:w="3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128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562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20" w:type="dxa"/>
            <w:vAlign w:val="bottom"/>
            <w:gridSpan w:val="7"/>
          </w:tcPr>
          <w:p>
            <w:pPr>
              <w:jc w:val="right"/>
              <w:ind w:right="108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1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(Unaudited)</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2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31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11,893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18,752</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29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30,939</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investment in Morion, Inc., a privately-held Russian company, which manufactures high precision quartz resonators and crystal oscillators. The Company has also previously licensed certain technology to Morion.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However, due to the Russia-Ukraine conflict and resulting sanctions, the future status of FEI’s investment in Morion became uncertain and accordingly, such investment was entirely written off in fiscal year 2022. Accordingly, the carrying value of this investment was $0 as of October 31, 2025 and April 30,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October 31, 2025 and 2024, the Company did not acquire any product from Morion. During the three and six months ended October 31, 2025 and 2024, the Company did not receive dividends from Morion.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purchases of materials from Morion consisted primarily of quartz crystal blanks, which were used in the fabrication of quartz resonators. However, on October 30, 2024, the U.S. Department of Treasury’s Office of Foreign Assets Control designated Morion as a Specially Designated National, resulting in the blocking of all Morion property and property interests. As a result, the Company has terminated all commercial relationships with Morion, including the licensing of technology to Morion and the purchase of any products from Morion. The Company has established alternate sources of supply with respect to items previously acquired from Morion. The Company is also capable of fabricating the crystal blanks in-house.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RESTRICTED CASH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October 31, 2025 and April 30, 2025, restricted cash consisted of approximately $1.4 million, in both periods, primarily related to a letter of credit required for contractual restrictions during the period of performance for one of the Company’s contracts. Restricted cash is classified as current or non-current based on the remaining performance period of the contract.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cash and cash equivalents and restricted cash from the condensed consolidated balance sheets to the condensed consolidated statements of cash flows is shown below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86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2,992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9"/>
                <w:szCs w:val="19"/>
                <w:color w:val="auto"/>
              </w:rPr>
            </w:pP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1,384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4,376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The amendments in ASU 2023-09 aim to enhance the transparency and decision usefulness of income tax disclosures. ASU 2023-09 will be effective for the Company’s Annual Report on Form 10-K for the year ending April 30, 2026, with early adoption permitted. The Company is currently evaluating the impact of this update on its consolidated financial statements.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DEFERRED INCOME TAXES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4, 2025, President Trump signed H.R.1, the One Big Beautiful Bill Act (“OBBBA”) into law. In accordance with U.S. GAAP, the Company accounted for the tax effects of changes in tax law in the period of enactment during the first quarter of fiscal year 2026. The OBBBA made changes to the U.S. tax code, including, but not limited to: (1) allowing taxpayers to fully deduct domestic research expenditures for tax years beginning after December 31, 2024, (2) provides a catch-up relief provision for taxpayers to accelerate deductions for unamortized domestic research expenditures,</w:t>
      </w:r>
    </w:p>
    <w:p>
      <w:pPr>
        <w:spacing w:after="0" w:line="3" w:lineRule="exact"/>
        <w:rPr>
          <w:sz w:val="20"/>
          <w:szCs w:val="20"/>
          <w:color w:val="auto"/>
        </w:rPr>
      </w:pPr>
    </w:p>
    <w:p>
      <w:pPr>
        <w:jc w:val="both"/>
        <w:ind w:firstLine="8"/>
        <w:spacing w:after="0" w:line="255"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permanent provision for 100% bonus depreciation deductions for most tangible personal property with a recovery period of 20 years or less, acquired and placed in service after January 19, 2025, and (4) for tax years beginning after December 31, 2024, restores Adjusted Taxable Income by adding back amortization and depreciation to calculate the limitation on interest deductions (effectively returning to EBITDA).</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In general, the favorable research and expenditure provisions and permanent bonus depreciation provision will allow the Company to accelerate deductions and reduce cash taxes. The enactment of the OBBBA did not have a material impact on our provision or effective tax rate as of October 31, 2025. We continue to evaluate the OBBBA and its requirements, as well as its application to our business and its impact on cash taxes and our effective tax rate.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October 31, 2025, the Company maintains a valuation allowance of $1.4 million primarily against certain deferred tax assets, including state tax credits and capital losses because the realization of these tax attributes requires sufficient taxable income be sourced to the respective state jurisdiction and capital gain income is required to utilize capital losses. If these estimates and assumptions change in the future, the Company may be required to adjust its existing valuation allowance resulting in a change to deferred income tax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PRODUCT WARRANTIES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generally provides its customers with a one-year warranty regarding the manufactured quality and functionality of its products. The Company establishes warranty reserves based on its product history, current information on repair costs and annual sales levels. As of October 31, 2025 and April 30, 2025, respectively, changes in the carrying amount of accrued product warranty costs, reported in accrued expenses on the consolidated balance sheets, were as follows (in thousands):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costs incurred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warranty accrual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ind w:left="760"/>
              <w:spacing w:after="0" w:line="191" w:lineRule="exact"/>
              <w:rPr>
                <w:sz w:val="20"/>
                <w:szCs w:val="20"/>
                <w:color w:val="auto"/>
              </w:rPr>
            </w:pPr>
            <w:r>
              <w:rPr>
                <w:rFonts w:ascii="Times New Roman" w:cs="Times New Roman" w:eastAsia="Times New Roman" w:hAnsi="Times New Roman"/>
                <w:sz w:val="18"/>
                <w:szCs w:val="18"/>
                <w:color w:val="auto"/>
                <w:w w:val="88"/>
              </w:rPr>
              <w:t>567</w:t>
            </w:r>
          </w:p>
        </w:tc>
        <w:tc>
          <w:tcPr>
            <w:tcW w:w="2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542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4"/>
        </w:trPr>
        <w:tc>
          <w:tcPr>
            <w:tcW w:w="10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40" w:type="dxa"/>
            <w:vAlign w:val="bottom"/>
          </w:tcPr>
          <w:p>
            <w:pPr>
              <w:spacing w:after="0"/>
              <w:rPr>
                <w:sz w:val="20"/>
                <w:szCs w:val="20"/>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557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4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-608330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-325120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Quarterly Report on Form 10-Q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our inability to integrate operations and personnel, actions by significant customers or competitors, general domestic and international economic conditions, reliance on key customers, including the U.S government, continued acceptance of the Company’s products in the marketplace, competitive factors, new products and technological changes, product prices and raw material costs, dependence upon third-party vendors, other supply chain related issues, increasing costs for materials, operating related expenses, competitive developments, changes in manufacturing and transportation costs, the availability of capital, the outcome of any litigation and arbitration proceedings, and failure to maintain an effective system of internal controls over financial reporting. The factors listed above are not exhaustive. Other sections of this Form 10-Q and in Part I, Item 1A (Risk Factors) of the Company’s Annual Report on Form 10-K for the fiscal year ended April 30, 2025 (the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its most critical accounting policies to be the recognition of revenue and costs on production contracts and the valuation of inventory. Both of these areas require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and six months ended October 31,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Revenues are reported in operating results predominantly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estimates for future business. Any changes arising from revised estimates are reflected in cost of revenues in the period the revision is made.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and significant judgment is required in determining our provision for income taxes, our deferred tax assets and liabilities and any valuation allowance recorded against our net deferred tax assets that are not more likely than not to be realized. We monitor the realizability of our deferred tax assets taking into account all relevant factors at each reporting period. In completing our assessment of realizability of our deferred tax assets, we consider our history of income (loss) measured at pre-tax income (loss) adjusted for permanent book-tax differences on a jurisdictional basis, volatility in actual earnings, excess tax benefits related to stock-based compensation in recent prior years and impacts of the timing of reversal of existing temporary differences. We also rely on our assessment of the Company’s projected future results of business operations, including uncertainty in future operating results relative to historical results, volatility in the market price of our common stock and its performance over time, variable macroeconomic conditions impacting our ability to forecast future taxable income, and changes in business that may affect the existence and magnitude of future taxable income. Our valuation allowance assessment is based on our best estimate of future results considering all available information.</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provision for or benefit from income taxes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three and six months ended October 31, 2025 and 2024, respectively, the percentage of consolidated revenues represented by certain items in the Company’s condensed consolidated statements of operations or notes to the condensed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6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7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76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31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31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41.3</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28.8</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1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61.8</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51.8</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62.5</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76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1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21.2</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21.4</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1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7.0</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1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66"/>
        </w:trPr>
        <w:tc>
          <w:tcPr>
            <w:tcW w:w="7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1"/>
        </w:trPr>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6"/>
          </w:tcPr>
          <w:p>
            <w:pPr>
              <w:jc w:val="right"/>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8"/>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2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09"/>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(1,346)</w:t>
            </w: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4,559</w:t>
            </w:r>
          </w:p>
        </w:tc>
        <w:tc>
          <w:tcPr>
            <w:tcW w:w="4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2,506</w:t>
            </w:r>
          </w:p>
        </w:tc>
        <w:tc>
          <w:tcPr>
            <w:tcW w:w="340" w:type="dxa"/>
            <w:vAlign w:val="bottom"/>
          </w:tcPr>
          <w:p>
            <w:pPr>
              <w:spacing w:after="0"/>
              <w:rPr>
                <w:sz w:val="18"/>
                <w:szCs w:val="18"/>
                <w:color w:val="auto"/>
              </w:rPr>
            </w:pPr>
          </w:p>
        </w:tc>
        <w:tc>
          <w:tcPr>
            <w:tcW w:w="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8,831</w:t>
            </w:r>
          </w:p>
        </w:tc>
        <w:tc>
          <w:tcPr>
            <w:tcW w:w="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w:t>
            </w:r>
          </w:p>
        </w:tc>
        <w:tc>
          <w:tcPr>
            <w:tcW w:w="32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4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184.8</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(427)</w:t>
            </w: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c>
          <w:tcPr>
            <w:tcW w:w="3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0" w:type="dxa"/>
            <w:vAlign w:val="bottom"/>
            <w:shd w:val="clear" w:color="auto" w:fill="CCEEFF"/>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1,307</w:t>
            </w: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30,939</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30,898</w:t>
            </w:r>
          </w:p>
        </w:tc>
        <w:tc>
          <w:tcPr>
            <w:tcW w:w="22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October 31, 2025, revenues from commercial and U.S. Government communication satellite programs accounted for approximately 27% of consolidated revenues compared to approximately 59% of consolidated revenues during this same period in the prior fiscal year. Revenues are recognized primarily over time under the percentage-of-completion (“POC”) method. Revenues from the satellite market are recorded in the FEI-NY segment. Revenues from non-space U.S. Government/Department of Defense (“DOD”) customers, which are recorded in both the FEI-NY and FEI-Zyfer segments, accounted for approximately 70% of consolidated revenues for the three months ended October, 31, 2025 compared to approximately 37% of consolidated revenue during the same period in the prior fiscal year. Other commercial and industrial revenues for the three months ended October 31, 2025 accounted for approximately 3% of consolidated revenue compared to 4% in the same period of the prior fiscal year.</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revenue for the three months ended October, 31, 2025 was higher than revenues in the prior period due to an increase in non-space DOD products, in the FEI-Zyfer segment. This increase was in both shipment-based products as well as products accounted for under the POC method.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six months ended October 31, 2025, revenues from commercial and U.S. Government communication satellite programs accounted for approximately 36% of consolidated revenues compared to approximately 57% of consolidated revenues during this same period in the prior fiscal year. Revenues from non-space U.S. Government/DOD customers accounted for approximately 61% of consolidated revenues for the six months ended October, 31, 2025 compared to approximately 39% of consolidated revenue during the same period in the prior fiscal year. Other commercial and industrial revenues for the six months ended October 31, 2025 accounted for approximately 3% of consolidated revenue compared to 4% in the same period of the prior fiscal year. The slight increase in revenue for this six month period, compared to the same period in the previous fiscal year, was attributable to the FEI-Zyfer segment and the increased demand for non-space DOD products.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6"/>
        </w:trPr>
        <w:tc>
          <w:tcPr>
            <w:tcW w:w="108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1"/>
        </w:trPr>
        <w:tc>
          <w:tcPr>
            <w:tcW w:w="10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5"/>
          </w:tcPr>
          <w:p>
            <w:pPr>
              <w:jc w:val="right"/>
              <w:ind w:right="40"/>
              <w:spacing w:after="0" w:line="201"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8"/>
        </w:trPr>
        <w:tc>
          <w:tcPr>
            <w:tcW w:w="10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108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10"/>
        </w:trPr>
        <w:tc>
          <w:tcPr>
            <w:tcW w:w="10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7,619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 (1,083)</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$ 11,618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$ 14,318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 (2,700)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4"/>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margin rate</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1100" w:type="dxa"/>
            <w:vAlign w:val="bottom"/>
          </w:tcPr>
          <w:p>
            <w:pPr>
              <w:spacing w:after="0"/>
              <w:rPr>
                <w:sz w:val="20"/>
                <w:szCs w:val="20"/>
                <w:color w:val="auto"/>
              </w:rPr>
            </w:pPr>
          </w:p>
        </w:tc>
        <w:tc>
          <w:tcPr>
            <w:tcW w:w="1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37.5%</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and six months ended October 31, 2025, both gross margin (“GM”) and GM Rate decreased compared to the same periods in the prior fiscal year. The decrease in GM and GM Rate were attributable to a change in the mix of high margin production satellite programs in the prior year periods versus lower margin programs with significant non-recurring engineering (“NRE”) effort during the three and six months ended October 31, 2025.</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1"/>
        </w:trPr>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60" w:type="dxa"/>
            <w:vAlign w:val="bottom"/>
            <w:gridSpan w:val="4"/>
          </w:tcPr>
          <w:p>
            <w:pPr>
              <w:jc w:val="center"/>
              <w:ind w:left="690"/>
              <w:spacing w:after="0" w:line="201"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8"/>
        </w:trPr>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09"/>
        </w:trPr>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235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7,207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6,234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973</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October 31, 2025 and 2024, selling, general, and administrative (“SG&amp;A”) expenses were approximately 21% of consolidated revenues in both periods. For the six months ended October 31, 2025 and 2024, SG&amp;A expenses were approximately 23% and 20%, respectively, of consolidated revenues. The increase in SG&amp;A expenses during the three months ended October 31, 2025 was due to fluctuations in the various expense accounts that make up SG&amp;A. For the six months ended October 31, 2025 an increase in payroll related expenses, including stock-based compensation, and investments in the future growth of the Company, including expansion into Colorado and Quantum sensing, resulted in increased SG&amp;A expenses. These increased SG&amp;A expenses are expected to continue through the remainder of fiscal year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1"/>
        </w:trPr>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60" w:type="dxa"/>
            <w:vAlign w:val="bottom"/>
            <w:gridSpan w:val="3"/>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8"/>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09"/>
        </w:trPr>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1,613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3,101</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(769)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expenditures represent investments intended to keep the Company’s products at the leading edge of time and frequency technology and enhance future competitiveness. Fluctuations in R&amp;D expenditures will occur in some periods due to current operational needs supporting ongoing programs. The Company plans to continue to invest in R&amp;D in the future to keep its products at the state of the 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1"/>
        </w:trPr>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60" w:type="dxa"/>
            <w:vAlign w:val="bottom"/>
            <w:gridSpan w:val="3"/>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8"/>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10"/>
        </w:trPr>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2,618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(904)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4,983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(2,904)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 months ended October 31, 2025, operating income decreased due to lower gross margin and increased SG&amp;A as described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1"/>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5"/>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8"/>
        </w:trPr>
        <w:tc>
          <w:tcPr>
            <w:tcW w:w="12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1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78"/>
        </w:trPr>
        <w:tc>
          <w:tcPr>
            <w:tcW w:w="12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Investment</w:t>
            </w: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4"/>
        </w:trPr>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net  $</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68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(24.6)%</w:t>
            </w:r>
          </w:p>
        </w:tc>
        <w:tc>
          <w:tcPr>
            <w:tcW w:w="82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w:t>
            </w:r>
          </w:p>
        </w:tc>
        <w:tc>
          <w:tcPr>
            <w:tcW w:w="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(13.1)%</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0"/>
                <w:szCs w:val="20"/>
                <w:color w:val="auto"/>
              </w:rPr>
            </w:pP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(13.2)</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8"/>
        </w:trPr>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w:t>
            </w:r>
          </w:p>
        </w:tc>
        <w:tc>
          <w:tcPr>
            <w:tcW w:w="8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1200" w:type="dxa"/>
            <w:vAlign w:val="bottom"/>
          </w:tcPr>
          <w:p>
            <w:pPr>
              <w:spacing w:after="0"/>
              <w:rPr>
                <w:sz w:val="19"/>
                <w:szCs w:val="19"/>
                <w:color w:val="auto"/>
              </w:rPr>
            </w:pPr>
          </w:p>
        </w:tc>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5"/>
              </w:rPr>
              <w:t>(68.0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60" w:type="dxa"/>
            <w:vAlign w:val="bottom"/>
          </w:tcPr>
          <w:p>
            <w:pPr>
              <w:spacing w:after="0"/>
              <w:rPr>
                <w:sz w:val="19"/>
                <w:szCs w:val="19"/>
                <w:color w:val="auto"/>
              </w:rPr>
            </w:pPr>
          </w:p>
        </w:tc>
        <w:tc>
          <w:tcPr>
            <w:tcW w:w="76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5"/>
              </w:rPr>
              <w:t>(33.5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1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is derived from various sources. The other income (expense), net can come from reclaiming of metal, refunds, interest on deferred trust assets, or the sale of a fixed asset. Interest expense is related to the deferred compensation payments made to retired employees. The majority of the approximately $0.2 million and $0.4 million of investment income for the three and six months ended October 31, 2025, respectively, was from interest income and unrealized gains on assets held in the Frequency Electronics, Inc. Deferred Compensation Trust.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 Provision for Income Tax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1"/>
        </w:trPr>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0" w:type="dxa"/>
            <w:vAlign w:val="bottom"/>
            <w:gridSpan w:val="8"/>
          </w:tcPr>
          <w:p>
            <w:pPr>
              <w:jc w:val="center"/>
              <w:ind w:right="720"/>
              <w:spacing w:after="0" w:line="201"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8"/>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445"/>
        </w:trPr>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Periods ended October 31,</w:t>
            </w: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09"/>
        </w:trPr>
        <w:tc>
          <w:tcPr>
            <w:tcW w:w="3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 on pre-tax book income:</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4, 2025, President Trump signed the OBBBA into law. In accordance with U.S. GAAP, the Company accounted for the tax effects of changes in tax law in the period of enactment during the first quarter of fiscal year 2026. The OBBBA made changes to the U.S. tax code, including, but not limited to: (1) allowing taxpayers to fully deduct domestic research expenditures for tax years beginning after December 31, 2024, (2) provides a catch-up relief provision for taxpayers to accelerate deductions for unamortized domestic research expenditures, (3) a permanent provision for 100% bonus depreciation deductions for most tangible personal property with a recovery period of 20 years or less, acquired and placed in service after January 19, 2025, and (4) for tax years beginning after December 31, 2024, restores Adjusted Taxable Income by adding back amortization and depreciation to calculate the limitation on interest deductions (effectively returning to EBITDA).</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2026 is 21.69%. This calculation reflects an estimated income tax expense based on our current fiscal year annual pretax income forecast which includes non-deductible expenses, estimated research and development credits, and state income taxes. The estimate of the annual effective tax rate is based on evaluations of possible future events and may be subject to revision in future reporting periods.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ending October 31, 2025, the Company recorded an income tax benefit of $30,644 which includes a discrete income tax benefit of $418,766. The discrete income tax benefit is primarily due to stock compensation windfall deductions and a remeasurement of the net deferred tax asset due to a new state filing. The calculation of the overall income tax provision consists of current U.S. federal and state income taxes. For the three months ending October 31, 2024, the Company recorded an income tax provision of $138,592 which included a discrete tax income benefit of $9,577.</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October 31, 2025, the Company recorded an income tax benefit of $107,915 which includes a discrete tax benefit of $612,685. The discrete income tax benefit is primarily due to stock compensation windfall deductions and a remeasurement of the net deferred tax asset due to a new state filing. The calculation of the overall income tax provision consists of current U.S. federal and state income taxes. For the six months ended October 31, 2024, the Company recorded an income tax provision of $271,522 which includes a discrete tax benefit of $4,222.</w:t>
      </w:r>
    </w:p>
    <w:p>
      <w:pPr>
        <w:sectPr>
          <w:pgSz w:w="11900" w:h="16838" w:orient="portrait"/>
          <w:cols w:equalWidth="0" w:num="1">
            <w:col w:w="11240"/>
          </w:cols>
          <w:pgMar w:left="320" w:top="229" w:right="339" w:bottom="144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October 31, 2025 was an income tax benefit of 1.73% on pretax income of $1.8 million compared to an income tax provision of 4.96% on pretax income of $2.8 million in the comparable prior fiscal year period. The effective tax rate for the three months ended October 31, 2025 differs from the U.S. federal statutory rate of 21% primarily due to non-deductible expenses, state income taxes, R&amp;D credits and discrete items.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October 31, 2025 was an income tax benefit of 4.64% on pretax income of $2.3 million compared to an income tax provision of 5.07% on pretax income of $5.4 million in the comparable prior fiscal year period. The effective tax rate for the six months ended October 31, 2025 differs from the U.S. federal statutory rate of 21% primarily due to non-deductible expenses, state income taxes, R&amp;D credits and discrete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continue to reflect a strong working capital position of approximately $31.3 million at October 31, 2025 and approximately $29.7 million at April 30, 2025. Included in working capital at October 31, 2025 and April 30, 2025 was $3.0 million and $4.7 million, respectively, of cash and cash equivalents. The Company’s current ratio was 2.6 to 1 at October 31, 2025 compared to 2.3 to 1 as of April 30, 2025.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October 31, 2025 and 2024 was approximately $0.6 million and $2.4 million, respectively. The decrease in net cash provided by operating activities in the first six months of fiscal 2026 as compared to the prior fiscal year period was primarily due to timing of billings and cash collections and a decrease in net income. For the six months ended October 31, 2025 and 2024, the Company incurred approximately $2.7 million and $2.5 million, respectively, of non-cash operating expenses including amortization of ROU assets, depreciation and amortization, inventory net realizable value adjustments, deferred compensation, and accruals for employee benefit programs.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October 31, 2025 and 2024 was approximately $1.4 million and $0.8 million, respectively, all relating to purchases of capital expenditures.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October 31, 2025 was $1.0 million, all related to purchase of treasury stock. Net cash used in financing activities for the six months ended October 31, 2024 was $9.7 million, of which $9.6 million was related to the payout of a special cash dividend of $1.00 per share of common stock paid on August 29, 2024.</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2005, the Company’s Board of Directors authorized the repurchase of up to $5.0 million worth of shares of the Company’s common stock. On September 9, 2025, the Company’s Board of Directors approved a new share repurchase authorization in the amount of $20.0 million. Under this new share repurchase authorization, the Company’s shares of common stock may be purchased on a discretionary basis from time to time, subject to general business and market conditions and other investment opportunities, through open market purchases, privately negotiated transactions or other means. This repurchase program may be suspended or discontinued at any time without notice. The new share repurchase authorization replaced the Company’s existing share repurchase authorization under which approximately $0.6 million remained. This new share repurchase authorization does not have an expiration date.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October 31, 2025, the Company acquired 10,219 shares at a weighted average share price of $36.72 per share. The Company acquired these shares to satisfy tax withholding requirements upon the vesting of previously granted RSU awards. As of October 31, 2025, the Company had repurchased approximately $0.4 million of its common stock out of the $20.0 million authorized under the new share repurchase authorization. During the three months ended October 31, 2024, the Company repurchased 7,893 shares of outstanding common stock at $12.62 per share, respectively.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continue to expend resources for R&amp;D to develop, improve and acquire products for space applications, guidance and targeting systems, and communication systems that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October 31, 2025, the Company’s consolidated funded backlog was approximately $82 million compared to approximately $70 million at April 30, 2025. Approximately 69% of the backlog, as of October 31, 2025, is expected to be realized in the next twelve months.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future revenues or profits (losses) which may be realized when the results of such contracts are reported.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short-term operating and investment needs through at least December 12, 2026 and its long-term operation and investment needs for the foreseeable future thereafter.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October 31, 2025, the Company’s disclosure controls and procedures were effective at a reasonable assurance level.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ended October 31, 2025 that has materially affected, or are reasonably likely to materially affect, the Company’s internal control over financial reporting.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Form 10-K, there are a number of risks and uncertainties that could have a material adverse effect on the Company’s business, financial position, results of operations and/or cash flows. There are no material updates or changes to the Company’s risk factors since the filing of the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share repurchase activity for the quarter ended October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dollar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that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as part of</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may 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publicly</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 paid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 or</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 or</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 (2)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program</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program</w:t>
            </w: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1 - 31, 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1 - 30, 2025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tcPr>
          <w:p>
            <w:pPr>
              <w:spacing w:after="0"/>
              <w:rPr>
                <w:sz w:val="18"/>
                <w:szCs w:val="18"/>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1 - 31, 2025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19,624,758</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19,624,758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2005, the Company’s Board of Directors authorized the repurchase of up to $5.0 million worth of shares of the Company’s common stock. On September 9, 2025, the Company’s Board of Directors approved a new share repurchase authorization in the amount of $20.0 million. Under this new share repurchase authorization, the Company’s shares of common stock may be purchased on a discretionary basis from time to time, subject to general business and market conditions and other investment opportunities, through open market purchases, privately negotiated transactions or other means. This repurchase program may be suspended or discontinued at any time without notice. The new share repurchase authorization replaced the Company’s existing share repurchase authorization under which approximately $0.6 million remained. This new share repurchase authorization does not have an expiration date.</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with respect to stock-based awards to satisfy required tax withholding obligations for the month of October 2025. There were no shares withheld or otherwise repurchased during the months of August 2025 and September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2025,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31.1 -</w:t>
            </w: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by the Chief Executive Officer pursuant to Rule 13a-14(a) or 15d-14(a) under the Securities Exchange Act of 1934, as adopted</w:t>
            </w:r>
          </w:p>
        </w:tc>
      </w:tr>
      <w:tr>
        <w:trPr>
          <w:trHeight w:val="196"/>
        </w:trPr>
        <w:tc>
          <w:tcPr>
            <w:tcW w:w="114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by the Chief Financial Officer pursuant to Rule 13a-14(a) or 15d-14(a) under the Securities Exchange Act of 1934, as adopted</w:t>
            </w:r>
          </w:p>
        </w:tc>
      </w:tr>
      <w:tr>
        <w:trPr>
          <w:trHeight w:val="196"/>
        </w:trPr>
        <w:tc>
          <w:tcPr>
            <w:tcW w:w="114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32 -</w:t>
            </w: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Certifications by the Chief Executive Officer and Chief Financial Officer pursuant to 18 U.S.C. Section 1350, as adopted pursuant to</w:t>
            </w: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6640" w:type="dxa"/>
            <w:vAlign w:val="bottom"/>
            <w:gridSpan w:val="2"/>
          </w:tcPr>
          <w:p>
            <w:pPr>
              <w:spacing w:after="0"/>
              <w:rPr>
                <w:sz w:val="17"/>
                <w:szCs w:val="17"/>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materials from the Frequency Electronics, Inc. Quarterly Report on Form 10-Q for the quarter ended October 31, 2025</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formatted in eXtensible Business Reporting Language (XBRL): (i) Cover Page, (ii) Condensed Consolidated Balance Sheets, (iii)</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(iv) Condensed Consolidated Statements of Cash</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Flows, (v) Condensed Consolidated Statements of Changes in Stockholders’ Equity and (vi) Notes to Condensed Consolidated Financial</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Statements. The instance document does not appear in the Interactive Data File because its XBRL tags are embedded within Inline XBRL</w:t>
            </w:r>
          </w:p>
        </w:tc>
      </w:tr>
      <w:tr>
        <w:trPr>
          <w:trHeight w:val="234"/>
        </w:trPr>
        <w:tc>
          <w:tcPr>
            <w:tcW w:w="114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Interaction Data File (formatted as inline XBRL and contained in Exhibit 101).</w:t>
            </w:r>
          </w:p>
        </w:tc>
      </w:tr>
      <w:tr>
        <w:trPr>
          <w:trHeight w:val="547"/>
        </w:trPr>
        <w:tc>
          <w:tcPr>
            <w:tcW w:w="11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3"/>
          </w:tcPr>
          <w:p>
            <w:pPr>
              <w:ind w:left="440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15, 2025</w:t>
      </w:r>
    </w:p>
    <w:p>
      <w:pPr>
        <w:spacing w:after="0" w:line="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200"/>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Secretary and Treasurer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1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December 15, 2025</w:t>
            </w: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McClelland</w:t>
            </w:r>
          </w:p>
        </w:tc>
        <w:tc>
          <w:tcPr>
            <w:tcW w:w="1980" w:type="dxa"/>
            <w:vAlign w:val="bottom"/>
          </w:tcPr>
          <w:p>
            <w:pPr>
              <w:spacing w:after="0"/>
              <w:rPr>
                <w:sz w:val="16"/>
                <w:szCs w:val="16"/>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98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8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December 15, 2025</w:t>
            </w: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c>
          <w:tcPr>
            <w:tcW w:w="1980" w:type="dxa"/>
            <w:vAlign w:val="bottom"/>
          </w:tcPr>
          <w:p>
            <w:pPr>
              <w:spacing w:after="0"/>
              <w:rPr>
                <w:sz w:val="16"/>
                <w:szCs w:val="16"/>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198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8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2025 as filed with the Securities and Exchange Commission on the date hereof (the “Report”), I, Thomas McClelland,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2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December 15, 2025</w:t>
            </w: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McClelland</w:t>
            </w:r>
          </w:p>
        </w:tc>
        <w:tc>
          <w:tcPr>
            <w:tcW w:w="25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500" w:type="dxa"/>
            <w:vAlign w:val="bottom"/>
          </w:tcPr>
          <w:p>
            <w:pPr>
              <w:spacing w:after="0"/>
              <w:rPr>
                <w:sz w:val="20"/>
                <w:szCs w:val="20"/>
                <w:color w:val="auto"/>
              </w:rPr>
            </w:pPr>
          </w:p>
        </w:tc>
      </w:tr>
      <w:tr>
        <w:trPr>
          <w:trHeight w:val="432"/>
        </w:trPr>
        <w:tc>
          <w:tcPr>
            <w:tcW w:w="39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2025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December 15, 2025</w:t>
            </w: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c>
          <w:tcPr>
            <w:tcW w:w="198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19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2025-12-15T19:44:50Z</dcterms:created>
  <dcterms:modified xsi:type="dcterms:W3CDTF">2025-12-15T19:44:50Z</dcterms:modified>
</cp:coreProperties>
</file>