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266700</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WASHINGTON, D.C. 20549</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FORM 10-Q</w:t>
      </w:r>
    </w:p>
    <w:p>
      <w:pPr>
        <w:spacing w:after="0" w:line="24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56" w:lineRule="exact"/>
        <w:rPr>
          <w:sz w:val="24"/>
          <w:szCs w:val="24"/>
          <w:color w:val="auto"/>
        </w:rPr>
      </w:pPr>
    </w:p>
    <w:p>
      <w:pPr>
        <w:ind w:left="4080" w:right="1660" w:hanging="3424"/>
        <w:spacing w:after="0" w:line="530" w:lineRule="auto"/>
        <w:tabs>
          <w:tab w:leader="none" w:pos="1135" w:val="left"/>
        </w:tabs>
        <w:numPr>
          <w:ilvl w:val="0"/>
          <w:numId w:val="1"/>
        </w:numPr>
        <w:rPr>
          <w:rFonts w:ascii="Arial" w:cs="Arial" w:eastAsia="Arial" w:hAnsi="Arial"/>
          <w:sz w:val="18"/>
          <w:szCs w:val="18"/>
          <w:color w:val="auto"/>
        </w:rPr>
      </w:pPr>
      <w:r>
        <w:rPr>
          <w:rFonts w:ascii="Arial" w:cs="Arial" w:eastAsia="Arial" w:hAnsi="Arial"/>
          <w:sz w:val="18"/>
          <w:szCs w:val="18"/>
          <w:color w:val="auto"/>
        </w:rPr>
        <w:t>QUARTERLY REPORT PURSUANT TO SECTION 13 or 15 (d) OF THE SECURITIES EXCHANGE ACT OF 1934 For the Quarterly Period ended July 31, 2011</w:t>
      </w: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22" w:lineRule="exact"/>
        <w:rPr>
          <w:sz w:val="24"/>
          <w:szCs w:val="24"/>
          <w:color w:val="auto"/>
        </w:rPr>
      </w:pPr>
    </w:p>
    <w:p>
      <w:pPr>
        <w:ind w:left="3600" w:right="1640" w:hanging="2944"/>
        <w:spacing w:after="0" w:line="527" w:lineRule="auto"/>
        <w:tabs>
          <w:tab w:leader="none" w:pos="1136"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TRANSITION REPORT PURSUANT TO SECTION 13 or 15 (d) OF THE SECURITIES EXCHANGE ACT OF 1934 For the transition period from __________ to __________</w:t>
      </w:r>
    </w:p>
    <w:p>
      <w:pPr>
        <w:ind w:left="4660"/>
        <w:spacing w:after="0"/>
        <w:rPr>
          <w:rFonts w:ascii="MS PGothic" w:cs="MS PGothic" w:eastAsia="MS PGothic" w:hAnsi="MS PGothic"/>
          <w:sz w:val="18"/>
          <w:szCs w:val="18"/>
          <w:color w:val="auto"/>
        </w:rPr>
      </w:pPr>
      <w:r>
        <w:rPr>
          <w:rFonts w:ascii="Arial" w:cs="Arial" w:eastAsia="Arial" w:hAnsi="Arial"/>
          <w:sz w:val="18"/>
          <w:szCs w:val="18"/>
          <w:color w:val="auto"/>
        </w:rPr>
        <w:t>Commission File No. 1-8061</w:t>
      </w:r>
    </w:p>
    <w:p>
      <w:pPr>
        <w:spacing w:after="0" w:line="23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FREQUENCY ELECTRONICS, INC.</w:t>
      </w:r>
    </w:p>
    <w:p>
      <w:pPr>
        <w:spacing w:after="0" w:line="1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32" w:lineRule="exact"/>
        <w:rPr>
          <w:sz w:val="24"/>
          <w:szCs w:val="24"/>
          <w:color w:val="auto"/>
        </w:rPr>
      </w:pPr>
    </w:p>
    <w:tbl>
      <w:tblPr>
        <w:tblLayout w:type="fixed"/>
        <w:tblInd w:w="0" w:type="dxa"/>
        <w:tblCellMar>
          <w:top w:w="0" w:type="dxa"/>
          <w:left w:w="0" w:type="dxa"/>
          <w:bottom w:w="0" w:type="dxa"/>
          <w:right w:w="0" w:type="dxa"/>
        </w:tblCellMar>
      </w:tblPr>
      <w:tr>
        <w:trPr>
          <w:trHeight w:val="220"/>
        </w:trPr>
        <w:tc>
          <w:tcPr>
            <w:tcW w:w="6260" w:type="dxa"/>
            <w:vAlign w:val="bottom"/>
          </w:tcPr>
          <w:p>
            <w:pPr>
              <w:jc w:val="center"/>
              <w:ind w:right="670"/>
              <w:spacing w:after="0"/>
              <w:rPr>
                <w:sz w:val="20"/>
                <w:szCs w:val="20"/>
                <w:color w:val="auto"/>
              </w:rPr>
            </w:pPr>
            <w:r>
              <w:rPr>
                <w:rFonts w:ascii="Arial" w:cs="Arial" w:eastAsia="Arial" w:hAnsi="Arial"/>
                <w:sz w:val="18"/>
                <w:szCs w:val="18"/>
                <w:b w:val="1"/>
                <w:bCs w:val="1"/>
                <w:color w:val="auto"/>
                <w:w w:val="93"/>
              </w:rPr>
              <w:t>Delaware</w:t>
            </w:r>
          </w:p>
        </w:tc>
        <w:tc>
          <w:tcPr>
            <w:tcW w:w="3740" w:type="dxa"/>
            <w:vAlign w:val="bottom"/>
          </w:tcPr>
          <w:p>
            <w:pPr>
              <w:jc w:val="right"/>
              <w:ind w:right="790"/>
              <w:spacing w:after="0"/>
              <w:rPr>
                <w:sz w:val="20"/>
                <w:szCs w:val="20"/>
                <w:color w:val="auto"/>
              </w:rPr>
            </w:pPr>
            <w:r>
              <w:rPr>
                <w:rFonts w:ascii="Arial" w:cs="Arial" w:eastAsia="Arial" w:hAnsi="Arial"/>
                <w:sz w:val="18"/>
                <w:szCs w:val="18"/>
                <w:b w:val="1"/>
                <w:bCs w:val="1"/>
                <w:color w:val="auto"/>
              </w:rPr>
              <w:t>11-1986657</w:t>
            </w:r>
          </w:p>
        </w:tc>
      </w:tr>
      <w:tr>
        <w:trPr>
          <w:trHeight w:val="216"/>
        </w:trPr>
        <w:tc>
          <w:tcPr>
            <w:tcW w:w="6260" w:type="dxa"/>
            <w:vAlign w:val="bottom"/>
          </w:tcPr>
          <w:p>
            <w:pPr>
              <w:jc w:val="center"/>
              <w:ind w:right="670"/>
              <w:spacing w:after="0"/>
              <w:rPr>
                <w:sz w:val="20"/>
                <w:szCs w:val="20"/>
                <w:color w:val="auto"/>
              </w:rPr>
            </w:pPr>
            <w:r>
              <w:rPr>
                <w:rFonts w:ascii="Arial" w:cs="Arial" w:eastAsia="Arial" w:hAnsi="Arial"/>
                <w:sz w:val="18"/>
                <w:szCs w:val="18"/>
                <w:color w:val="auto"/>
                <w:w w:val="93"/>
              </w:rPr>
              <w:t>(State or other jurisdiction of</w:t>
            </w:r>
          </w:p>
        </w:tc>
        <w:tc>
          <w:tcPr>
            <w:tcW w:w="3740" w:type="dxa"/>
            <w:vAlign w:val="bottom"/>
          </w:tcPr>
          <w:p>
            <w:pPr>
              <w:jc w:val="center"/>
              <w:ind w:left="1030"/>
              <w:spacing w:after="0"/>
              <w:rPr>
                <w:sz w:val="20"/>
                <w:szCs w:val="20"/>
                <w:color w:val="auto"/>
              </w:rPr>
            </w:pPr>
            <w:r>
              <w:rPr>
                <w:rFonts w:ascii="Arial" w:cs="Arial" w:eastAsia="Arial" w:hAnsi="Arial"/>
                <w:sz w:val="18"/>
                <w:szCs w:val="18"/>
                <w:color w:val="auto"/>
                <w:w w:val="94"/>
              </w:rPr>
              <w:t>(I.R.S. Employer Identification No.)</w:t>
            </w:r>
          </w:p>
        </w:tc>
      </w:tr>
      <w:tr>
        <w:trPr>
          <w:trHeight w:val="230"/>
        </w:trPr>
        <w:tc>
          <w:tcPr>
            <w:tcW w:w="6260" w:type="dxa"/>
            <w:vAlign w:val="bottom"/>
          </w:tcPr>
          <w:p>
            <w:pPr>
              <w:jc w:val="center"/>
              <w:ind w:right="670"/>
              <w:spacing w:after="0"/>
              <w:rPr>
                <w:sz w:val="20"/>
                <w:szCs w:val="20"/>
                <w:color w:val="auto"/>
              </w:rPr>
            </w:pPr>
            <w:r>
              <w:rPr>
                <w:rFonts w:ascii="Arial" w:cs="Arial" w:eastAsia="Arial" w:hAnsi="Arial"/>
                <w:sz w:val="18"/>
                <w:szCs w:val="18"/>
                <w:color w:val="auto"/>
                <w:w w:val="93"/>
              </w:rPr>
              <w:t>incorporation or organization)</w:t>
            </w:r>
          </w:p>
        </w:tc>
        <w:tc>
          <w:tcPr>
            <w:tcW w:w="3740" w:type="dxa"/>
            <w:vAlign w:val="bottom"/>
          </w:tcPr>
          <w:p>
            <w:pPr>
              <w:spacing w:after="0"/>
              <w:rPr>
                <w:sz w:val="20"/>
                <w:szCs w:val="20"/>
                <w:color w:val="auto"/>
              </w:rPr>
            </w:pPr>
          </w:p>
        </w:tc>
      </w:tr>
      <w:tr>
        <w:trPr>
          <w:trHeight w:val="418"/>
        </w:trPr>
        <w:tc>
          <w:tcPr>
            <w:tcW w:w="6260" w:type="dxa"/>
            <w:vAlign w:val="bottom"/>
          </w:tcPr>
          <w:p>
            <w:pPr>
              <w:jc w:val="center"/>
              <w:ind w:right="670"/>
              <w:spacing w:after="0"/>
              <w:rPr>
                <w:sz w:val="20"/>
                <w:szCs w:val="20"/>
                <w:color w:val="auto"/>
              </w:rPr>
            </w:pPr>
            <w:r>
              <w:rPr>
                <w:rFonts w:ascii="Arial" w:cs="Arial" w:eastAsia="Arial" w:hAnsi="Arial"/>
                <w:sz w:val="18"/>
                <w:szCs w:val="18"/>
                <w:b w:val="1"/>
                <w:bCs w:val="1"/>
                <w:color w:val="auto"/>
              </w:rPr>
              <w:t>55 CHARLES LINDBERGH BLVD., MITCHEL FIELD, N.Y.</w:t>
            </w:r>
          </w:p>
        </w:tc>
        <w:tc>
          <w:tcPr>
            <w:tcW w:w="3740" w:type="dxa"/>
            <w:vAlign w:val="bottom"/>
          </w:tcPr>
          <w:p>
            <w:pPr>
              <w:jc w:val="right"/>
              <w:ind w:right="1010"/>
              <w:spacing w:after="0"/>
              <w:rPr>
                <w:sz w:val="20"/>
                <w:szCs w:val="20"/>
                <w:color w:val="auto"/>
              </w:rPr>
            </w:pPr>
            <w:r>
              <w:rPr>
                <w:rFonts w:ascii="Arial" w:cs="Arial" w:eastAsia="Arial" w:hAnsi="Arial"/>
                <w:sz w:val="18"/>
                <w:szCs w:val="18"/>
                <w:b w:val="1"/>
                <w:bCs w:val="1"/>
                <w:color w:val="auto"/>
              </w:rPr>
              <w:t>11553</w:t>
            </w:r>
          </w:p>
        </w:tc>
      </w:tr>
      <w:tr>
        <w:trPr>
          <w:trHeight w:val="230"/>
        </w:trPr>
        <w:tc>
          <w:tcPr>
            <w:tcW w:w="6260" w:type="dxa"/>
            <w:vAlign w:val="bottom"/>
          </w:tcPr>
          <w:p>
            <w:pPr>
              <w:jc w:val="center"/>
              <w:ind w:right="670"/>
              <w:spacing w:after="0"/>
              <w:rPr>
                <w:sz w:val="20"/>
                <w:szCs w:val="20"/>
                <w:color w:val="auto"/>
              </w:rPr>
            </w:pPr>
            <w:r>
              <w:rPr>
                <w:rFonts w:ascii="Arial" w:cs="Arial" w:eastAsia="Arial" w:hAnsi="Arial"/>
                <w:sz w:val="18"/>
                <w:szCs w:val="18"/>
                <w:color w:val="auto"/>
                <w:w w:val="92"/>
              </w:rPr>
              <w:t>(Address of principal executive offices)</w:t>
            </w:r>
          </w:p>
        </w:tc>
        <w:tc>
          <w:tcPr>
            <w:tcW w:w="3740" w:type="dxa"/>
            <w:vAlign w:val="bottom"/>
          </w:tcPr>
          <w:p>
            <w:pPr>
              <w:jc w:val="center"/>
              <w:ind w:left="1010"/>
              <w:spacing w:after="0"/>
              <w:rPr>
                <w:sz w:val="20"/>
                <w:szCs w:val="20"/>
                <w:color w:val="auto"/>
              </w:rPr>
            </w:pPr>
            <w:r>
              <w:rPr>
                <w:rFonts w:ascii="Arial" w:cs="Arial" w:eastAsia="Arial" w:hAnsi="Arial"/>
                <w:sz w:val="18"/>
                <w:szCs w:val="18"/>
                <w:color w:val="auto"/>
                <w:w w:val="94"/>
              </w:rPr>
              <w:t>(Zip Code)</w:t>
            </w:r>
          </w:p>
        </w:tc>
      </w:tr>
      <w:tr>
        <w:trPr>
          <w:trHeight w:val="459"/>
        </w:trPr>
        <w:tc>
          <w:tcPr>
            <w:tcW w:w="6260" w:type="dxa"/>
            <w:vAlign w:val="bottom"/>
          </w:tcPr>
          <w:p>
            <w:pP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516-794-4500</w:t>
            </w:r>
          </w:p>
        </w:tc>
        <w:tc>
          <w:tcPr>
            <w:tcW w:w="3740" w:type="dxa"/>
            <w:vAlign w:val="bottom"/>
          </w:tcPr>
          <w:p>
            <w:pPr>
              <w:spacing w:after="0"/>
              <w:rPr>
                <w:sz w:val="24"/>
                <w:szCs w:val="24"/>
                <w:color w:val="auto"/>
              </w:rPr>
            </w:pPr>
          </w:p>
        </w:tc>
      </w:tr>
    </w:tbl>
    <w:p>
      <w:pPr>
        <w:spacing w:after="0" w:line="229"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 (d)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8"/>
          <w:szCs w:val="18"/>
          <w:color w:val="auto"/>
        </w:rPr>
        <w:t>☐</w:t>
      </w:r>
    </w:p>
    <w:p>
      <w:pPr>
        <w:spacing w:after="0" w:line="211"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x No </w:t>
      </w:r>
      <w:r>
        <w:rPr>
          <w:rFonts w:ascii="MS PGothic" w:cs="MS PGothic" w:eastAsia="MS PGothic" w:hAnsi="MS PGothic"/>
          <w:sz w:val="18"/>
          <w:szCs w:val="18"/>
          <w:color w:val="auto"/>
        </w:rPr>
        <w:t>☐</w:t>
      </w:r>
    </w:p>
    <w:p>
      <w:pPr>
        <w:spacing w:after="0" w:line="211" w:lineRule="exact"/>
        <w:rPr>
          <w:sz w:val="24"/>
          <w:szCs w:val="24"/>
          <w:color w:val="auto"/>
        </w:rPr>
      </w:pPr>
    </w:p>
    <w:p>
      <w:pPr>
        <w:jc w:val="both"/>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141" w:lineRule="exact"/>
        <w:rPr>
          <w:sz w:val="24"/>
          <w:szCs w:val="24"/>
          <w:color w:val="auto"/>
        </w:rPr>
      </w:pPr>
    </w:p>
    <w:p>
      <w:pPr>
        <w:ind w:left="2880" w:right="640" w:hanging="4577"/>
        <w:spacing w:after="0" w:line="239" w:lineRule="exact"/>
        <w:tabs>
          <w:tab w:leader="none" w:pos="286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Non-accelerated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Smaller Reporting Company x (do not check if a smaller reporting company)</w:t>
      </w:r>
    </w:p>
    <w:p>
      <w:pPr>
        <w:spacing w:after="0" w:line="230"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8" w:lineRule="exact"/>
        <w:rPr>
          <w:sz w:val="24"/>
          <w:szCs w:val="24"/>
          <w:color w:val="auto"/>
        </w:rPr>
      </w:pPr>
    </w:p>
    <w:p>
      <w:pPr>
        <w:ind w:left="340"/>
        <w:spacing w:after="0" w:line="207" w:lineRule="exact"/>
        <w:tabs>
          <w:tab w:leader="none" w:pos="100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No x</w:t>
      </w:r>
    </w:p>
    <w:p>
      <w:pPr>
        <w:spacing w:after="0" w:line="24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APPLICABLE ONLY TO CORPORATE ISSUERS:</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The number of shares outstanding of Registrant's Common Stock, par value $1.00 as of September 9, 2011 – 8,310,907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90170</wp:posOffset>
            </wp:positionV>
            <wp:extent cx="7250430" cy="450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450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509905</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440" w:type="dxa"/>
            <w:vAlign w:val="bottom"/>
          </w:tcPr>
          <w:p>
            <w:pPr>
              <w:jc w:val="center"/>
              <w:ind w:left="1270"/>
              <w:spacing w:after="0"/>
              <w:rPr>
                <w:sz w:val="20"/>
                <w:szCs w:val="20"/>
                <w:color w:val="auto"/>
              </w:rPr>
            </w:pPr>
            <w:r>
              <w:rPr>
                <w:rFonts w:ascii="Arial" w:cs="Arial" w:eastAsia="Arial" w:hAnsi="Arial"/>
                <w:sz w:val="18"/>
                <w:szCs w:val="18"/>
                <w:color w:val="auto"/>
                <w:w w:val="95"/>
              </w:rPr>
              <w:t>FREQUENCY ELECTRONICS, INC. and SUBSIDIARIES</w:t>
            </w:r>
          </w:p>
        </w:tc>
        <w:tc>
          <w:tcPr>
            <w:tcW w:w="2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440" w:type="dxa"/>
            <w:vAlign w:val="bottom"/>
          </w:tcPr>
          <w:p>
            <w:pPr>
              <w:jc w:val="center"/>
              <w:ind w:left="1270"/>
              <w:spacing w:after="0"/>
              <w:rPr>
                <w:sz w:val="20"/>
                <w:szCs w:val="20"/>
                <w:color w:val="auto"/>
              </w:rPr>
            </w:pPr>
            <w:r>
              <w:rPr>
                <w:rFonts w:ascii="Arial" w:cs="Arial" w:eastAsia="Arial" w:hAnsi="Arial"/>
                <w:sz w:val="18"/>
                <w:szCs w:val="18"/>
                <w:color w:val="auto"/>
              </w:rPr>
              <w:t>INDEX</w:t>
            </w:r>
          </w:p>
        </w:tc>
        <w:tc>
          <w:tcPr>
            <w:tcW w:w="2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440" w:type="dxa"/>
            <w:vAlign w:val="bottom"/>
          </w:tcPr>
          <w:p>
            <w:pPr>
              <w:spacing w:after="0"/>
              <w:rPr>
                <w:sz w:val="24"/>
                <w:szCs w:val="24"/>
                <w:color w:val="auto"/>
              </w:rPr>
            </w:pPr>
          </w:p>
        </w:tc>
        <w:tc>
          <w:tcPr>
            <w:tcW w:w="2160" w:type="dxa"/>
            <w:vAlign w:val="bottom"/>
          </w:tcPr>
          <w:p>
            <w:pPr>
              <w:ind w:left="1380"/>
              <w:spacing w:after="0"/>
              <w:rPr>
                <w:sz w:val="20"/>
                <w:szCs w:val="20"/>
                <w:color w:val="auto"/>
              </w:rPr>
            </w:pPr>
            <w:r>
              <w:rPr>
                <w:rFonts w:ascii="Arial" w:cs="Arial" w:eastAsia="Arial" w:hAnsi="Arial"/>
                <w:sz w:val="18"/>
                <w:szCs w:val="18"/>
                <w:color w:val="auto"/>
              </w:rPr>
              <w:t>Page No.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Part I. Financial Information:</w:t>
            </w:r>
          </w:p>
        </w:tc>
        <w:tc>
          <w:tcPr>
            <w:tcW w:w="21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44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FFCC"/>
          </w:tcPr>
          <w:p>
            <w:pPr>
              <w:ind w:left="320"/>
              <w:spacing w:after="0"/>
              <w:rPr>
                <w:sz w:val="20"/>
                <w:szCs w:val="20"/>
                <w:color w:val="auto"/>
              </w:rPr>
            </w:pPr>
            <w:r>
              <w:rPr>
                <w:rFonts w:ascii="Arial" w:cs="Arial" w:eastAsia="Arial" w:hAnsi="Arial"/>
                <w:sz w:val="18"/>
                <w:szCs w:val="18"/>
                <w:color w:val="auto"/>
                <w:w w:val="91"/>
              </w:rPr>
              <w:t>Item 1</w:t>
            </w:r>
          </w:p>
        </w:tc>
        <w:tc>
          <w:tcPr>
            <w:tcW w:w="8440" w:type="dxa"/>
            <w:vAlign w:val="bottom"/>
            <w:shd w:val="clear" w:color="auto" w:fill="CCFFCC"/>
          </w:tcPr>
          <w:p>
            <w:pPr>
              <w:ind w:left="20"/>
              <w:spacing w:after="0"/>
              <w:rPr>
                <w:sz w:val="20"/>
                <w:szCs w:val="20"/>
                <w:color w:val="auto"/>
              </w:rPr>
            </w:pPr>
            <w:r>
              <w:rPr>
                <w:rFonts w:ascii="Arial" w:cs="Arial" w:eastAsia="Arial" w:hAnsi="Arial"/>
                <w:sz w:val="18"/>
                <w:szCs w:val="18"/>
                <w:color w:val="auto"/>
              </w:rPr>
              <w:t>- Financial Statements:</w:t>
            </w:r>
          </w:p>
        </w:tc>
        <w:tc>
          <w:tcPr>
            <w:tcW w:w="21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gridSpan w:val="2"/>
          </w:tcPr>
          <w:p>
            <w:pPr>
              <w:spacing w:after="0"/>
              <w:rPr>
                <w:sz w:val="18"/>
                <w:szCs w:val="18"/>
                <w:color w:val="auto"/>
              </w:rPr>
            </w:pPr>
          </w:p>
        </w:tc>
        <w:tc>
          <w:tcPr>
            <w:tcW w:w="2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gridSpan w:val="2"/>
            <w:shd w:val="clear" w:color="auto" w:fill="CCFFCC"/>
          </w:tcPr>
          <w:p>
            <w:pPr>
              <w:ind w:left="640"/>
              <w:spacing w:after="0"/>
              <w:rPr>
                <w:sz w:val="20"/>
                <w:szCs w:val="20"/>
                <w:color w:val="auto"/>
              </w:rPr>
            </w:pPr>
            <w:r>
              <w:rPr>
                <w:rFonts w:ascii="Arial" w:cs="Arial" w:eastAsia="Arial" w:hAnsi="Arial"/>
                <w:sz w:val="18"/>
                <w:szCs w:val="18"/>
                <w:color w:val="auto"/>
              </w:rPr>
              <w:t>Condensed Consolidated Balance Sheets - July 31, 2011 and April 30, 2011</w:t>
            </w:r>
          </w:p>
        </w:tc>
        <w:tc>
          <w:tcPr>
            <w:tcW w:w="2160" w:type="dxa"/>
            <w:vAlign w:val="bottom"/>
            <w:shd w:val="clear" w:color="auto" w:fill="CCFFCC"/>
          </w:tcPr>
          <w:p>
            <w:pPr>
              <w:jc w:val="center"/>
              <w:ind w:left="1170"/>
              <w:spacing w:after="0"/>
              <w:rPr>
                <w:sz w:val="20"/>
                <w:szCs w:val="20"/>
                <w:color w:val="auto"/>
              </w:rPr>
            </w:pPr>
            <w:r>
              <w:rPr>
                <w:rFonts w:ascii="Arial" w:cs="Arial" w:eastAsia="Arial" w:hAnsi="Arial"/>
                <w:sz w:val="18"/>
                <w:szCs w:val="18"/>
                <w:color w:val="auto"/>
                <w:w w:val="99"/>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gridSpan w:val="2"/>
          </w:tcPr>
          <w:p>
            <w:pPr>
              <w:spacing w:after="0"/>
              <w:rPr>
                <w:sz w:val="18"/>
                <w:szCs w:val="18"/>
                <w:color w:val="auto"/>
              </w:rPr>
            </w:pPr>
          </w:p>
        </w:tc>
        <w:tc>
          <w:tcPr>
            <w:tcW w:w="2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gridSpan w:val="2"/>
            <w:shd w:val="clear" w:color="auto" w:fill="CCFFCC"/>
          </w:tcPr>
          <w:p>
            <w:pPr>
              <w:ind w:left="640"/>
              <w:spacing w:after="0"/>
              <w:rPr>
                <w:sz w:val="20"/>
                <w:szCs w:val="20"/>
                <w:color w:val="auto"/>
              </w:rPr>
            </w:pPr>
            <w:r>
              <w:rPr>
                <w:rFonts w:ascii="Arial" w:cs="Arial" w:eastAsia="Arial" w:hAnsi="Arial"/>
                <w:sz w:val="18"/>
                <w:szCs w:val="18"/>
                <w:color w:val="auto"/>
              </w:rPr>
              <w:t>Condensed Consolidated Statements of Operations Three Months Ended July 31, 2011 and 2010</w:t>
            </w:r>
          </w:p>
        </w:tc>
        <w:tc>
          <w:tcPr>
            <w:tcW w:w="2160" w:type="dxa"/>
            <w:vAlign w:val="bottom"/>
            <w:shd w:val="clear" w:color="auto" w:fill="CCFFCC"/>
          </w:tcPr>
          <w:p>
            <w:pPr>
              <w:jc w:val="center"/>
              <w:ind w:left="1170"/>
              <w:spacing w:after="0"/>
              <w:rPr>
                <w:sz w:val="20"/>
                <w:szCs w:val="20"/>
                <w:color w:val="auto"/>
              </w:rPr>
            </w:pPr>
            <w:r>
              <w:rPr>
                <w:rFonts w:ascii="Arial" w:cs="Arial" w:eastAsia="Arial" w:hAnsi="Arial"/>
                <w:sz w:val="18"/>
                <w:szCs w:val="18"/>
                <w:color w:val="auto"/>
                <w:w w:val="99"/>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gridSpan w:val="2"/>
          </w:tcPr>
          <w:p>
            <w:pPr>
              <w:spacing w:after="0"/>
              <w:rPr>
                <w:sz w:val="18"/>
                <w:szCs w:val="18"/>
                <w:color w:val="auto"/>
              </w:rPr>
            </w:pPr>
          </w:p>
        </w:tc>
        <w:tc>
          <w:tcPr>
            <w:tcW w:w="2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gridSpan w:val="2"/>
            <w:shd w:val="clear" w:color="auto" w:fill="CCFFCC"/>
          </w:tcPr>
          <w:p>
            <w:pPr>
              <w:ind w:left="640"/>
              <w:spacing w:after="0"/>
              <w:rPr>
                <w:sz w:val="20"/>
                <w:szCs w:val="20"/>
                <w:color w:val="auto"/>
              </w:rPr>
            </w:pPr>
            <w:r>
              <w:rPr>
                <w:rFonts w:ascii="Arial" w:cs="Arial" w:eastAsia="Arial" w:hAnsi="Arial"/>
                <w:sz w:val="18"/>
                <w:szCs w:val="18"/>
                <w:color w:val="auto"/>
              </w:rPr>
              <w:t>Condensed Consolidated Statements of Cash Flows Three Months Ended July 31, 2011 and 2010</w:t>
            </w:r>
          </w:p>
        </w:tc>
        <w:tc>
          <w:tcPr>
            <w:tcW w:w="2160" w:type="dxa"/>
            <w:vAlign w:val="bottom"/>
            <w:shd w:val="clear" w:color="auto" w:fill="CCFFCC"/>
          </w:tcPr>
          <w:p>
            <w:pPr>
              <w:jc w:val="center"/>
              <w:ind w:left="1170"/>
              <w:spacing w:after="0"/>
              <w:rPr>
                <w:sz w:val="20"/>
                <w:szCs w:val="20"/>
                <w:color w:val="auto"/>
              </w:rPr>
            </w:pPr>
            <w:r>
              <w:rPr>
                <w:rFonts w:ascii="Arial" w:cs="Arial" w:eastAsia="Arial" w:hAnsi="Arial"/>
                <w:sz w:val="18"/>
                <w:szCs w:val="18"/>
                <w:color w:val="auto"/>
                <w:w w:val="99"/>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gridSpan w:val="2"/>
          </w:tcPr>
          <w:p>
            <w:pPr>
              <w:spacing w:after="0"/>
              <w:rPr>
                <w:sz w:val="18"/>
                <w:szCs w:val="18"/>
                <w:color w:val="auto"/>
              </w:rPr>
            </w:pPr>
          </w:p>
        </w:tc>
        <w:tc>
          <w:tcPr>
            <w:tcW w:w="2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gridSpan w:val="2"/>
            <w:shd w:val="clear" w:color="auto" w:fill="CCFFCC"/>
          </w:tcPr>
          <w:p>
            <w:pPr>
              <w:ind w:left="640"/>
              <w:spacing w:after="0"/>
              <w:rPr>
                <w:sz w:val="20"/>
                <w:szCs w:val="20"/>
                <w:color w:val="auto"/>
              </w:rPr>
            </w:pPr>
            <w:r>
              <w:rPr>
                <w:rFonts w:ascii="Arial" w:cs="Arial" w:eastAsia="Arial" w:hAnsi="Arial"/>
                <w:sz w:val="18"/>
                <w:szCs w:val="18"/>
                <w:color w:val="auto"/>
              </w:rPr>
              <w:t>Notes to Condensed Consolidated Financial Statements</w:t>
            </w:r>
          </w:p>
        </w:tc>
        <w:tc>
          <w:tcPr>
            <w:tcW w:w="2160" w:type="dxa"/>
            <w:vAlign w:val="bottom"/>
            <w:shd w:val="clear" w:color="auto" w:fill="CCFFCC"/>
          </w:tcPr>
          <w:p>
            <w:pPr>
              <w:jc w:val="center"/>
              <w:ind w:left="1170"/>
              <w:spacing w:after="0"/>
              <w:rPr>
                <w:sz w:val="20"/>
                <w:szCs w:val="20"/>
                <w:color w:val="auto"/>
              </w:rPr>
            </w:pPr>
            <w:r>
              <w:rPr>
                <w:rFonts w:ascii="Arial" w:cs="Arial" w:eastAsia="Arial" w:hAnsi="Arial"/>
                <w:sz w:val="18"/>
                <w:szCs w:val="18"/>
                <w:color w:val="auto"/>
                <w:w w:val="94"/>
              </w:rPr>
              <w:t>6-10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44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FFCC"/>
          </w:tcPr>
          <w:p>
            <w:pPr>
              <w:ind w:left="320"/>
              <w:spacing w:after="0"/>
              <w:rPr>
                <w:sz w:val="20"/>
                <w:szCs w:val="20"/>
                <w:color w:val="auto"/>
              </w:rPr>
            </w:pPr>
            <w:r>
              <w:rPr>
                <w:rFonts w:ascii="Arial" w:cs="Arial" w:eastAsia="Arial" w:hAnsi="Arial"/>
                <w:sz w:val="18"/>
                <w:szCs w:val="18"/>
                <w:color w:val="auto"/>
                <w:w w:val="91"/>
              </w:rPr>
              <w:t>Item 2</w:t>
            </w:r>
          </w:p>
        </w:tc>
        <w:tc>
          <w:tcPr>
            <w:tcW w:w="8440" w:type="dxa"/>
            <w:vAlign w:val="bottom"/>
            <w:shd w:val="clear" w:color="auto" w:fill="CCFFCC"/>
          </w:tcPr>
          <w:p>
            <w:pPr>
              <w:ind w:left="20"/>
              <w:spacing w:after="0"/>
              <w:rPr>
                <w:sz w:val="20"/>
                <w:szCs w:val="20"/>
                <w:color w:val="auto"/>
              </w:rPr>
            </w:pPr>
            <w:r>
              <w:rPr>
                <w:rFonts w:ascii="Arial" w:cs="Arial" w:eastAsia="Arial" w:hAnsi="Arial"/>
                <w:sz w:val="18"/>
                <w:szCs w:val="18"/>
                <w:color w:val="auto"/>
              </w:rPr>
              <w:t>- Management's Discussion and Analysis of Financial Condition and Results of Operations</w:t>
            </w:r>
          </w:p>
        </w:tc>
        <w:tc>
          <w:tcPr>
            <w:tcW w:w="2160" w:type="dxa"/>
            <w:vAlign w:val="bottom"/>
            <w:shd w:val="clear" w:color="auto" w:fill="CCFFCC"/>
          </w:tcPr>
          <w:p>
            <w:pPr>
              <w:jc w:val="center"/>
              <w:ind w:left="1170"/>
              <w:spacing w:after="0"/>
              <w:rPr>
                <w:sz w:val="20"/>
                <w:szCs w:val="20"/>
                <w:color w:val="auto"/>
              </w:rPr>
            </w:pPr>
            <w:r>
              <w:rPr>
                <w:rFonts w:ascii="Arial" w:cs="Arial" w:eastAsia="Arial" w:hAnsi="Arial"/>
                <w:sz w:val="18"/>
                <w:szCs w:val="18"/>
                <w:color w:val="auto"/>
                <w:w w:val="91"/>
              </w:rPr>
              <w:t>10-16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44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FFCC"/>
          </w:tcPr>
          <w:p>
            <w:pPr>
              <w:ind w:left="320"/>
              <w:spacing w:after="0"/>
              <w:rPr>
                <w:sz w:val="20"/>
                <w:szCs w:val="20"/>
                <w:color w:val="auto"/>
              </w:rPr>
            </w:pPr>
            <w:r>
              <w:rPr>
                <w:rFonts w:ascii="Arial" w:cs="Arial" w:eastAsia="Arial" w:hAnsi="Arial"/>
                <w:sz w:val="18"/>
                <w:szCs w:val="18"/>
                <w:color w:val="auto"/>
                <w:w w:val="91"/>
              </w:rPr>
              <w:t>Item 3</w:t>
            </w:r>
          </w:p>
        </w:tc>
        <w:tc>
          <w:tcPr>
            <w:tcW w:w="8440" w:type="dxa"/>
            <w:vAlign w:val="bottom"/>
            <w:shd w:val="clear" w:color="auto" w:fill="CCFFCC"/>
          </w:tcPr>
          <w:p>
            <w:pPr>
              <w:ind w:left="20"/>
              <w:spacing w:after="0"/>
              <w:rPr>
                <w:sz w:val="20"/>
                <w:szCs w:val="20"/>
                <w:color w:val="auto"/>
              </w:rPr>
            </w:pPr>
            <w:r>
              <w:rPr>
                <w:rFonts w:ascii="Arial" w:cs="Arial" w:eastAsia="Arial" w:hAnsi="Arial"/>
                <w:sz w:val="18"/>
                <w:szCs w:val="18"/>
                <w:color w:val="auto"/>
              </w:rPr>
              <w:t>– Quantitative and Qualitative Disclosures about Market Risk</w:t>
            </w:r>
          </w:p>
        </w:tc>
        <w:tc>
          <w:tcPr>
            <w:tcW w:w="2160" w:type="dxa"/>
            <w:vAlign w:val="bottom"/>
            <w:shd w:val="clear" w:color="auto" w:fill="CCFFCC"/>
          </w:tcPr>
          <w:p>
            <w:pPr>
              <w:jc w:val="center"/>
              <w:ind w:left="1170"/>
              <w:spacing w:after="0"/>
              <w:rPr>
                <w:sz w:val="20"/>
                <w:szCs w:val="20"/>
                <w:color w:val="auto"/>
              </w:rPr>
            </w:pPr>
            <w:r>
              <w:rPr>
                <w:rFonts w:ascii="Arial" w:cs="Arial" w:eastAsia="Arial" w:hAnsi="Arial"/>
                <w:sz w:val="18"/>
                <w:szCs w:val="18"/>
                <w:color w:val="auto"/>
                <w:w w:val="89"/>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gridSpan w:val="2"/>
          </w:tcPr>
          <w:p>
            <w:pPr>
              <w:spacing w:after="0"/>
              <w:rPr>
                <w:sz w:val="18"/>
                <w:szCs w:val="18"/>
                <w:color w:val="auto"/>
              </w:rPr>
            </w:pPr>
          </w:p>
        </w:tc>
        <w:tc>
          <w:tcPr>
            <w:tcW w:w="2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gridSpan w:val="2"/>
            <w:shd w:val="clear" w:color="auto" w:fill="CCFFCC"/>
          </w:tcPr>
          <w:p>
            <w:pPr>
              <w:ind w:left="320"/>
              <w:spacing w:after="0"/>
              <w:rPr>
                <w:sz w:val="20"/>
                <w:szCs w:val="20"/>
                <w:color w:val="auto"/>
              </w:rPr>
            </w:pPr>
            <w:r>
              <w:rPr>
                <w:rFonts w:ascii="Arial" w:cs="Arial" w:eastAsia="Arial" w:hAnsi="Arial"/>
                <w:sz w:val="18"/>
                <w:szCs w:val="18"/>
                <w:color w:val="auto"/>
              </w:rPr>
              <w:t>Item 4- Controls and Procedures</w:t>
            </w:r>
          </w:p>
        </w:tc>
        <w:tc>
          <w:tcPr>
            <w:tcW w:w="2160" w:type="dxa"/>
            <w:vAlign w:val="bottom"/>
            <w:shd w:val="clear" w:color="auto" w:fill="CCFFCC"/>
          </w:tcPr>
          <w:p>
            <w:pPr>
              <w:jc w:val="center"/>
              <w:ind w:left="1170"/>
              <w:spacing w:after="0"/>
              <w:rPr>
                <w:sz w:val="20"/>
                <w:szCs w:val="20"/>
                <w:color w:val="auto"/>
              </w:rPr>
            </w:pPr>
            <w:r>
              <w:rPr>
                <w:rFonts w:ascii="Arial" w:cs="Arial" w:eastAsia="Arial" w:hAnsi="Arial"/>
                <w:sz w:val="18"/>
                <w:szCs w:val="18"/>
                <w:color w:val="auto"/>
                <w:w w:val="91"/>
              </w:rPr>
              <w:t>16-17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240" w:type="dxa"/>
            <w:vAlign w:val="bottom"/>
            <w:gridSpan w:val="2"/>
          </w:tcPr>
          <w:p>
            <w:pPr>
              <w:spacing w:after="0"/>
              <w:rPr>
                <w:sz w:val="18"/>
                <w:szCs w:val="18"/>
                <w:color w:val="auto"/>
              </w:rPr>
            </w:pPr>
          </w:p>
        </w:tc>
        <w:tc>
          <w:tcPr>
            <w:tcW w:w="2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4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Part II. Other Information:</w:t>
            </w:r>
          </w:p>
        </w:tc>
        <w:tc>
          <w:tcPr>
            <w:tcW w:w="21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44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FFCC"/>
          </w:tcPr>
          <w:p>
            <w:pPr>
              <w:ind w:left="320"/>
              <w:spacing w:after="0"/>
              <w:rPr>
                <w:sz w:val="20"/>
                <w:szCs w:val="20"/>
                <w:color w:val="auto"/>
              </w:rPr>
            </w:pPr>
            <w:r>
              <w:rPr>
                <w:rFonts w:ascii="Arial" w:cs="Arial" w:eastAsia="Arial" w:hAnsi="Arial"/>
                <w:sz w:val="18"/>
                <w:szCs w:val="18"/>
                <w:color w:val="auto"/>
                <w:w w:val="91"/>
              </w:rPr>
              <w:t>Item 6</w:t>
            </w:r>
          </w:p>
        </w:tc>
        <w:tc>
          <w:tcPr>
            <w:tcW w:w="8440" w:type="dxa"/>
            <w:vAlign w:val="bottom"/>
            <w:shd w:val="clear" w:color="auto" w:fill="CCFFCC"/>
          </w:tcPr>
          <w:p>
            <w:pPr>
              <w:ind w:left="20"/>
              <w:spacing w:after="0"/>
              <w:rPr>
                <w:sz w:val="20"/>
                <w:szCs w:val="20"/>
                <w:color w:val="auto"/>
              </w:rPr>
            </w:pPr>
            <w:r>
              <w:rPr>
                <w:rFonts w:ascii="Arial" w:cs="Arial" w:eastAsia="Arial" w:hAnsi="Arial"/>
                <w:sz w:val="18"/>
                <w:szCs w:val="18"/>
                <w:color w:val="auto"/>
              </w:rPr>
              <w:t>- Exhibits</w:t>
            </w:r>
          </w:p>
        </w:tc>
        <w:tc>
          <w:tcPr>
            <w:tcW w:w="2160" w:type="dxa"/>
            <w:vAlign w:val="bottom"/>
            <w:shd w:val="clear" w:color="auto" w:fill="CCFFCC"/>
          </w:tcPr>
          <w:p>
            <w:pPr>
              <w:jc w:val="center"/>
              <w:ind w:left="1170"/>
              <w:spacing w:after="0"/>
              <w:rPr>
                <w:sz w:val="20"/>
                <w:szCs w:val="20"/>
                <w:color w:val="auto"/>
              </w:rPr>
            </w:pPr>
            <w:r>
              <w:rPr>
                <w:rFonts w:ascii="Arial" w:cs="Arial" w:eastAsia="Arial" w:hAnsi="Arial"/>
                <w:sz w:val="18"/>
                <w:szCs w:val="18"/>
                <w:color w:val="auto"/>
                <w:w w:val="89"/>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gridSpan w:val="2"/>
          </w:tcPr>
          <w:p>
            <w:pPr>
              <w:spacing w:after="0"/>
              <w:rPr>
                <w:sz w:val="18"/>
                <w:szCs w:val="18"/>
                <w:color w:val="auto"/>
              </w:rPr>
            </w:pPr>
          </w:p>
        </w:tc>
        <w:tc>
          <w:tcPr>
            <w:tcW w:w="2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gridSpan w:val="2"/>
            <w:shd w:val="clear" w:color="auto" w:fill="CCFFCC"/>
          </w:tcPr>
          <w:p>
            <w:pPr>
              <w:ind w:left="320"/>
              <w:spacing w:after="0"/>
              <w:rPr>
                <w:sz w:val="20"/>
                <w:szCs w:val="20"/>
                <w:color w:val="auto"/>
              </w:rPr>
            </w:pPr>
            <w:r>
              <w:rPr>
                <w:rFonts w:ascii="Arial" w:cs="Arial" w:eastAsia="Arial" w:hAnsi="Arial"/>
                <w:sz w:val="18"/>
                <w:szCs w:val="18"/>
                <w:color w:val="auto"/>
              </w:rPr>
              <w:t>Signatures</w:t>
            </w:r>
          </w:p>
        </w:tc>
        <w:tc>
          <w:tcPr>
            <w:tcW w:w="2160" w:type="dxa"/>
            <w:vAlign w:val="bottom"/>
            <w:shd w:val="clear" w:color="auto" w:fill="CCFFCC"/>
          </w:tcPr>
          <w:p>
            <w:pPr>
              <w:jc w:val="center"/>
              <w:ind w:left="1170"/>
              <w:spacing w:after="0"/>
              <w:rPr>
                <w:sz w:val="20"/>
                <w:szCs w:val="20"/>
                <w:color w:val="auto"/>
              </w:rPr>
            </w:pPr>
            <w:r>
              <w:rPr>
                <w:rFonts w:ascii="Arial" w:cs="Arial" w:eastAsia="Arial" w:hAnsi="Arial"/>
                <w:sz w:val="18"/>
                <w:szCs w:val="18"/>
                <w:color w:val="auto"/>
                <w:w w:val="89"/>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gridSpan w:val="2"/>
          </w:tcPr>
          <w:p>
            <w:pPr>
              <w:spacing w:after="0"/>
              <w:rPr>
                <w:sz w:val="18"/>
                <w:szCs w:val="18"/>
                <w:color w:val="auto"/>
              </w:rPr>
            </w:pPr>
          </w:p>
        </w:tc>
        <w:tc>
          <w:tcPr>
            <w:tcW w:w="2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gridSpan w:val="2"/>
            <w:shd w:val="clear" w:color="auto" w:fill="CCFFCC"/>
          </w:tcPr>
          <w:p>
            <w:pPr>
              <w:ind w:left="320"/>
              <w:spacing w:after="0"/>
              <w:rPr>
                <w:sz w:val="20"/>
                <w:szCs w:val="20"/>
                <w:color w:val="auto"/>
              </w:rPr>
            </w:pPr>
            <w:r>
              <w:rPr>
                <w:rFonts w:ascii="Arial" w:cs="Arial" w:eastAsia="Arial" w:hAnsi="Arial"/>
                <w:sz w:val="18"/>
                <w:szCs w:val="18"/>
                <w:color w:val="auto"/>
              </w:rPr>
              <w:t>Exhibits</w:t>
            </w:r>
          </w:p>
        </w:tc>
        <w:tc>
          <w:tcPr>
            <w:tcW w:w="21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608"/>
        </w:trPr>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440" w:type="dxa"/>
            <w:vAlign w:val="bottom"/>
          </w:tcPr>
          <w:p>
            <w:pPr>
              <w:jc w:val="center"/>
              <w:ind w:left="1250"/>
              <w:spacing w:after="0"/>
              <w:rPr>
                <w:sz w:val="20"/>
                <w:szCs w:val="20"/>
                <w:color w:val="auto"/>
              </w:rPr>
            </w:pPr>
            <w:r>
              <w:rPr>
                <w:rFonts w:ascii="Arial" w:cs="Arial" w:eastAsia="Arial" w:hAnsi="Arial"/>
                <w:sz w:val="18"/>
                <w:szCs w:val="18"/>
                <w:color w:val="auto"/>
                <w:w w:val="90"/>
              </w:rPr>
              <w:t>2 of 18</w:t>
            </w:r>
          </w:p>
        </w:tc>
        <w:tc>
          <w:tcPr>
            <w:tcW w:w="2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8440" w:type="dxa"/>
            <w:vAlign w:val="bottom"/>
            <w:tcBorders>
              <w:bottom w:val="single" w:sz="8" w:color="808080"/>
            </w:tcBorders>
          </w:tcPr>
          <w:p>
            <w:pPr>
              <w:spacing w:after="0"/>
              <w:rPr>
                <w:sz w:val="10"/>
                <w:szCs w:val="10"/>
                <w:color w:val="auto"/>
              </w:rPr>
            </w:pPr>
          </w:p>
        </w:tc>
        <w:tc>
          <w:tcPr>
            <w:tcW w:w="216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color w:val="auto"/>
        </w:rPr>
        <w:t>FREQUENCY ELECTRONICS,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2534920</wp:posOffset>
            </wp:positionH>
            <wp:positionV relativeFrom="paragraph">
              <wp:posOffset>211455</wp:posOffset>
            </wp:positionV>
            <wp:extent cx="21869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1869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7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8"/>
                <w:szCs w:val="18"/>
                <w:color w:val="auto"/>
                <w:w w:val="93"/>
              </w:rPr>
              <w:t>July 31,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8"/>
                <w:szCs w:val="18"/>
                <w:color w:val="auto"/>
                <w:w w:val="96"/>
              </w:rPr>
              <w:t>April 30,</w:t>
            </w:r>
          </w:p>
        </w:tc>
      </w:tr>
      <w:tr>
        <w:trPr>
          <w:trHeight w:val="237"/>
        </w:trPr>
        <w:tc>
          <w:tcPr>
            <w:tcW w:w="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7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2011</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89"/>
              </w:rPr>
              <w:t>2011</w:t>
            </w:r>
          </w:p>
        </w:tc>
        <w:tc>
          <w:tcPr>
            <w:tcW w:w="100" w:type="dxa"/>
            <w:vAlign w:val="bottom"/>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7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spacing w:after="0" w:line="201" w:lineRule="exact"/>
              <w:rPr>
                <w:sz w:val="20"/>
                <w:szCs w:val="20"/>
                <w:color w:val="auto"/>
              </w:rPr>
            </w:pPr>
            <w:r>
              <w:rPr>
                <w:rFonts w:ascii="Arial" w:cs="Arial" w:eastAsia="Arial" w:hAnsi="Arial"/>
                <w:sz w:val="18"/>
                <w:szCs w:val="18"/>
                <w:color w:val="auto"/>
                <w:w w:val="99"/>
              </w:rPr>
              <w:t>(UNAUDITED)</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center"/>
              <w:ind w:right="30"/>
              <w:spacing w:after="0" w:line="201" w:lineRule="exact"/>
              <w:rPr>
                <w:sz w:val="20"/>
                <w:szCs w:val="20"/>
                <w:color w:val="auto"/>
              </w:rPr>
            </w:pPr>
            <w:r>
              <w:rPr>
                <w:rFonts w:ascii="Arial" w:cs="Arial" w:eastAsia="Arial" w:hAnsi="Arial"/>
                <w:sz w:val="18"/>
                <w:szCs w:val="18"/>
                <w:color w:val="auto"/>
              </w:rPr>
              <w:t>(AUDITED)</w:t>
            </w:r>
          </w:p>
        </w:tc>
        <w:tc>
          <w:tcPr>
            <w:tcW w:w="10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7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8"/>
                <w:szCs w:val="18"/>
                <w:color w:val="auto"/>
                <w:w w:val="98"/>
              </w:rPr>
              <w:t>(NOTE A)</w:t>
            </w:r>
          </w:p>
        </w:tc>
      </w:tr>
      <w:tr>
        <w:trPr>
          <w:trHeight w:val="230"/>
        </w:trPr>
        <w:tc>
          <w:tcPr>
            <w:tcW w:w="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7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40" w:type="dxa"/>
            <w:vAlign w:val="bottom"/>
            <w:gridSpan w:val="6"/>
          </w:tcPr>
          <w:p>
            <w:pPr>
              <w:jc w:val="right"/>
              <w:ind w:right="220"/>
              <w:spacing w:after="0"/>
              <w:rPr>
                <w:sz w:val="20"/>
                <w:szCs w:val="20"/>
                <w:color w:val="auto"/>
              </w:rPr>
            </w:pPr>
            <w:r>
              <w:rPr>
                <w:rFonts w:ascii="Arial" w:cs="Arial" w:eastAsia="Arial" w:hAnsi="Arial"/>
                <w:sz w:val="18"/>
                <w:szCs w:val="18"/>
                <w:color w:val="auto"/>
                <w:w w:val="87"/>
              </w:rPr>
              <w:t>(In thousands except share data)</w:t>
            </w:r>
          </w:p>
        </w:tc>
      </w:tr>
      <w:tr>
        <w:trPr>
          <w:trHeight w:val="216"/>
        </w:trPr>
        <w:tc>
          <w:tcPr>
            <w:tcW w:w="20" w:type="dxa"/>
            <w:vAlign w:val="bottom"/>
          </w:tcPr>
          <w:p>
            <w:pPr>
              <w:spacing w:after="0"/>
              <w:rPr>
                <w:sz w:val="18"/>
                <w:szCs w:val="18"/>
                <w:color w:val="auto"/>
              </w:rPr>
            </w:pPr>
          </w:p>
        </w:tc>
        <w:tc>
          <w:tcPr>
            <w:tcW w:w="8660" w:type="dxa"/>
            <w:vAlign w:val="bottom"/>
            <w:gridSpan w:val="2"/>
            <w:shd w:val="clear" w:color="auto" w:fill="CCFFCC"/>
          </w:tcPr>
          <w:p>
            <w:pPr>
              <w:ind w:left="640"/>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8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320" w:type="dxa"/>
            <w:vAlign w:val="bottom"/>
          </w:tcPr>
          <w:p>
            <w:pPr>
              <w:spacing w:after="0"/>
              <w:rPr>
                <w:sz w:val="20"/>
                <w:szCs w:val="20"/>
                <w:color w:val="auto"/>
              </w:rPr>
            </w:pPr>
            <w:r>
              <w:rPr>
                <w:rFonts w:ascii="Arial" w:cs="Arial" w:eastAsia="Arial" w:hAnsi="Arial"/>
                <w:sz w:val="18"/>
                <w:szCs w:val="18"/>
                <w:color w:val="auto"/>
              </w:rPr>
              <w:t>Current assets:</w:t>
            </w:r>
          </w:p>
        </w:tc>
        <w:tc>
          <w:tcPr>
            <w:tcW w:w="7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60" w:type="dxa"/>
            <w:vAlign w:val="bottom"/>
            <w:gridSpan w:val="2"/>
            <w:shd w:val="clear" w:color="auto" w:fill="CCFFCC"/>
          </w:tcPr>
          <w:p>
            <w:pPr>
              <w:ind w:left="160"/>
              <w:spacing w:after="0"/>
              <w:rPr>
                <w:sz w:val="20"/>
                <w:szCs w:val="20"/>
                <w:color w:val="auto"/>
              </w:rPr>
            </w:pPr>
            <w:r>
              <w:rPr>
                <w:rFonts w:ascii="Arial" w:cs="Arial" w:eastAsia="Arial" w:hAnsi="Arial"/>
                <w:sz w:val="18"/>
                <w:szCs w:val="18"/>
                <w:color w:val="auto"/>
              </w:rPr>
              <w:t>Cash and cash equivalents</w:t>
            </w:r>
          </w:p>
        </w:tc>
        <w:tc>
          <w:tcPr>
            <w:tcW w:w="200" w:type="dxa"/>
            <w:vAlign w:val="bottom"/>
            <w:gridSpan w:val="2"/>
            <w:shd w:val="clear" w:color="auto" w:fill="CCFFCC"/>
          </w:tcPr>
          <w:p>
            <w:pPr>
              <w:ind w:left="10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7,659</w:t>
            </w:r>
          </w:p>
        </w:tc>
        <w:tc>
          <w:tcPr>
            <w:tcW w:w="1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5,275</w:t>
            </w:r>
          </w:p>
        </w:tc>
      </w:tr>
      <w:tr>
        <w:trPr>
          <w:trHeight w:val="216"/>
        </w:trPr>
        <w:tc>
          <w:tcPr>
            <w:tcW w:w="20" w:type="dxa"/>
            <w:vAlign w:val="bottom"/>
          </w:tcPr>
          <w:p>
            <w:pPr>
              <w:spacing w:after="0"/>
              <w:rPr>
                <w:sz w:val="18"/>
                <w:szCs w:val="18"/>
                <w:color w:val="auto"/>
              </w:rPr>
            </w:pPr>
          </w:p>
        </w:tc>
        <w:tc>
          <w:tcPr>
            <w:tcW w:w="8660" w:type="dxa"/>
            <w:vAlign w:val="bottom"/>
            <w:gridSpan w:val="2"/>
          </w:tcPr>
          <w:p>
            <w:pPr>
              <w:ind w:left="160"/>
              <w:spacing w:after="0"/>
              <w:rPr>
                <w:sz w:val="20"/>
                <w:szCs w:val="20"/>
                <w:color w:val="auto"/>
              </w:rPr>
            </w:pPr>
            <w:r>
              <w:rPr>
                <w:rFonts w:ascii="Arial" w:cs="Arial" w:eastAsia="Arial" w:hAnsi="Arial"/>
                <w:sz w:val="18"/>
                <w:szCs w:val="18"/>
                <w:color w:val="auto"/>
              </w:rPr>
              <w:t>Marketable securities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14,999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15,357</w:t>
            </w:r>
          </w:p>
        </w:tc>
      </w:tr>
      <w:tr>
        <w:trPr>
          <w:trHeight w:val="216"/>
        </w:trPr>
        <w:tc>
          <w:tcPr>
            <w:tcW w:w="20" w:type="dxa"/>
            <w:vAlign w:val="bottom"/>
          </w:tcPr>
          <w:p>
            <w:pPr>
              <w:spacing w:after="0"/>
              <w:rPr>
                <w:sz w:val="18"/>
                <w:szCs w:val="18"/>
                <w:color w:val="auto"/>
              </w:rPr>
            </w:pPr>
          </w:p>
        </w:tc>
        <w:tc>
          <w:tcPr>
            <w:tcW w:w="8660" w:type="dxa"/>
            <w:vAlign w:val="bottom"/>
            <w:gridSpan w:val="2"/>
            <w:shd w:val="clear" w:color="auto" w:fill="CCFFCC"/>
          </w:tcPr>
          <w:p>
            <w:pPr>
              <w:ind w:left="160"/>
              <w:spacing w:after="0"/>
              <w:rPr>
                <w:sz w:val="20"/>
                <w:szCs w:val="20"/>
                <w:color w:val="auto"/>
              </w:rPr>
            </w:pPr>
            <w:r>
              <w:rPr>
                <w:rFonts w:ascii="Arial" w:cs="Arial" w:eastAsia="Arial" w:hAnsi="Arial"/>
                <w:sz w:val="18"/>
                <w:szCs w:val="18"/>
                <w:color w:val="auto"/>
              </w:rPr>
              <w:t>Accounts receivable, net of allowance for doubtful accounts of $258</w:t>
            </w: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8,738</w:t>
            </w:r>
          </w:p>
        </w:tc>
        <w:tc>
          <w:tcPr>
            <w:tcW w:w="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11,663</w:t>
            </w:r>
          </w:p>
        </w:tc>
      </w:tr>
      <w:tr>
        <w:trPr>
          <w:trHeight w:val="216"/>
        </w:trPr>
        <w:tc>
          <w:tcPr>
            <w:tcW w:w="20" w:type="dxa"/>
            <w:vAlign w:val="bottom"/>
          </w:tcPr>
          <w:p>
            <w:pPr>
              <w:spacing w:after="0"/>
              <w:rPr>
                <w:sz w:val="18"/>
                <w:szCs w:val="18"/>
                <w:color w:val="auto"/>
              </w:rPr>
            </w:pPr>
          </w:p>
        </w:tc>
        <w:tc>
          <w:tcPr>
            <w:tcW w:w="8660" w:type="dxa"/>
            <w:vAlign w:val="bottom"/>
            <w:gridSpan w:val="2"/>
          </w:tcPr>
          <w:p>
            <w:pPr>
              <w:ind w:left="160"/>
              <w:spacing w:after="0"/>
              <w:rPr>
                <w:sz w:val="20"/>
                <w:szCs w:val="20"/>
                <w:color w:val="auto"/>
              </w:rPr>
            </w:pPr>
            <w:r>
              <w:rPr>
                <w:rFonts w:ascii="Arial" w:cs="Arial" w:eastAsia="Arial" w:hAnsi="Arial"/>
                <w:sz w:val="18"/>
                <w:szCs w:val="18"/>
                <w:color w:val="auto"/>
              </w:rPr>
              <w:t>Costs and estimated earnings in excess of billings, net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3,315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2,409</w:t>
            </w:r>
          </w:p>
        </w:tc>
      </w:tr>
      <w:tr>
        <w:trPr>
          <w:trHeight w:val="216"/>
        </w:trPr>
        <w:tc>
          <w:tcPr>
            <w:tcW w:w="20" w:type="dxa"/>
            <w:vAlign w:val="bottom"/>
          </w:tcPr>
          <w:p>
            <w:pPr>
              <w:spacing w:after="0"/>
              <w:rPr>
                <w:sz w:val="18"/>
                <w:szCs w:val="18"/>
                <w:color w:val="auto"/>
              </w:rPr>
            </w:pPr>
          </w:p>
        </w:tc>
        <w:tc>
          <w:tcPr>
            <w:tcW w:w="1320" w:type="dxa"/>
            <w:vAlign w:val="bottom"/>
            <w:shd w:val="clear" w:color="auto" w:fill="CCFFCC"/>
          </w:tcPr>
          <w:p>
            <w:pPr>
              <w:ind w:left="160"/>
              <w:spacing w:after="0"/>
              <w:rPr>
                <w:sz w:val="20"/>
                <w:szCs w:val="20"/>
                <w:color w:val="auto"/>
              </w:rPr>
            </w:pPr>
            <w:r>
              <w:rPr>
                <w:rFonts w:ascii="Arial" w:cs="Arial" w:eastAsia="Arial" w:hAnsi="Arial"/>
                <w:sz w:val="18"/>
                <w:szCs w:val="18"/>
                <w:color w:val="auto"/>
                <w:w w:val="92"/>
              </w:rPr>
              <w:t>Inventories, net</w:t>
            </w:r>
          </w:p>
        </w:tc>
        <w:tc>
          <w:tcPr>
            <w:tcW w:w="73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30,247</w:t>
            </w:r>
          </w:p>
        </w:tc>
        <w:tc>
          <w:tcPr>
            <w:tcW w:w="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28,172</w:t>
            </w:r>
          </w:p>
        </w:tc>
      </w:tr>
      <w:tr>
        <w:trPr>
          <w:trHeight w:val="216"/>
        </w:trPr>
        <w:tc>
          <w:tcPr>
            <w:tcW w:w="20" w:type="dxa"/>
            <w:vAlign w:val="bottom"/>
          </w:tcPr>
          <w:p>
            <w:pPr>
              <w:spacing w:after="0"/>
              <w:rPr>
                <w:sz w:val="18"/>
                <w:szCs w:val="18"/>
                <w:color w:val="auto"/>
              </w:rPr>
            </w:pPr>
          </w:p>
        </w:tc>
        <w:tc>
          <w:tcPr>
            <w:tcW w:w="8660" w:type="dxa"/>
            <w:vAlign w:val="bottom"/>
            <w:gridSpan w:val="2"/>
          </w:tcPr>
          <w:p>
            <w:pPr>
              <w:ind w:left="160"/>
              <w:spacing w:after="0"/>
              <w:rPr>
                <w:sz w:val="20"/>
                <w:szCs w:val="20"/>
                <w:color w:val="auto"/>
              </w:rPr>
            </w:pPr>
            <w:r>
              <w:rPr>
                <w:rFonts w:ascii="Arial" w:cs="Arial" w:eastAsia="Arial" w:hAnsi="Arial"/>
                <w:sz w:val="18"/>
                <w:szCs w:val="18"/>
                <w:color w:val="auto"/>
              </w:rPr>
              <w:t>Deferred income taxes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2,649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2,580</w:t>
            </w:r>
          </w:p>
        </w:tc>
      </w:tr>
      <w:tr>
        <w:trPr>
          <w:trHeight w:val="216"/>
        </w:trPr>
        <w:tc>
          <w:tcPr>
            <w:tcW w:w="20" w:type="dxa"/>
            <w:vAlign w:val="bottom"/>
          </w:tcPr>
          <w:p>
            <w:pPr>
              <w:spacing w:after="0"/>
              <w:rPr>
                <w:sz w:val="18"/>
                <w:szCs w:val="18"/>
                <w:color w:val="auto"/>
              </w:rPr>
            </w:pPr>
          </w:p>
        </w:tc>
        <w:tc>
          <w:tcPr>
            <w:tcW w:w="8660" w:type="dxa"/>
            <w:vAlign w:val="bottom"/>
            <w:gridSpan w:val="2"/>
            <w:shd w:val="clear" w:color="auto" w:fill="CCFFCC"/>
          </w:tcPr>
          <w:p>
            <w:pPr>
              <w:ind w:left="160"/>
              <w:spacing w:after="0"/>
              <w:rPr>
                <w:sz w:val="20"/>
                <w:szCs w:val="20"/>
                <w:color w:val="auto"/>
              </w:rPr>
            </w:pPr>
            <w:r>
              <w:rPr>
                <w:rFonts w:ascii="Arial" w:cs="Arial" w:eastAsia="Arial" w:hAnsi="Arial"/>
                <w:sz w:val="18"/>
                <w:szCs w:val="18"/>
                <w:color w:val="auto"/>
              </w:rPr>
              <w:t>Prepaid income taxes, expenses and other</w:t>
            </w: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2,119</w:t>
            </w:r>
          </w:p>
        </w:tc>
        <w:tc>
          <w:tcPr>
            <w:tcW w:w="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2,280</w:t>
            </w:r>
          </w:p>
        </w:tc>
      </w:tr>
      <w:tr>
        <w:trPr>
          <w:trHeight w:val="27"/>
        </w:trPr>
        <w:tc>
          <w:tcPr>
            <w:tcW w:w="20" w:type="dxa"/>
            <w:vAlign w:val="bottom"/>
          </w:tcPr>
          <w:p>
            <w:pPr>
              <w:spacing w:after="0"/>
              <w:rPr>
                <w:sz w:val="2"/>
                <w:szCs w:val="2"/>
                <w:color w:val="auto"/>
              </w:rPr>
            </w:pPr>
          </w:p>
        </w:tc>
        <w:tc>
          <w:tcPr>
            <w:tcW w:w="1320" w:type="dxa"/>
            <w:vAlign w:val="bottom"/>
            <w:shd w:val="clear" w:color="auto" w:fill="CCFFCC"/>
          </w:tcPr>
          <w:p>
            <w:pPr>
              <w:spacing w:after="0"/>
              <w:rPr>
                <w:sz w:val="2"/>
                <w:szCs w:val="2"/>
                <w:color w:val="auto"/>
              </w:rPr>
            </w:pPr>
          </w:p>
        </w:tc>
        <w:tc>
          <w:tcPr>
            <w:tcW w:w="734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40" w:type="dxa"/>
            <w:vAlign w:val="bottom"/>
            <w:shd w:val="clear" w:color="auto" w:fill="CCFFCC"/>
          </w:tcPr>
          <w:p>
            <w:pPr>
              <w:spacing w:after="0"/>
              <w:rPr>
                <w:sz w:val="2"/>
                <w:szCs w:val="2"/>
                <w:color w:val="auto"/>
              </w:rPr>
            </w:pPr>
          </w:p>
        </w:tc>
        <w:tc>
          <w:tcPr>
            <w:tcW w:w="80" w:type="dxa"/>
            <w:vAlign w:val="bottom"/>
            <w:shd w:val="clear" w:color="auto" w:fill="CCFFCC"/>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shd w:val="clear" w:color="auto" w:fill="CCFFCC"/>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8660" w:type="dxa"/>
            <w:vAlign w:val="bottom"/>
            <w:gridSpan w:val="2"/>
          </w:tcPr>
          <w:p>
            <w:pPr>
              <w:ind w:left="640"/>
              <w:spacing w:after="0"/>
              <w:rPr>
                <w:sz w:val="20"/>
                <w:szCs w:val="20"/>
                <w:color w:val="auto"/>
              </w:rPr>
            </w:pPr>
            <w:r>
              <w:rPr>
                <w:rFonts w:ascii="Arial" w:cs="Arial" w:eastAsia="Arial" w:hAnsi="Arial"/>
                <w:sz w:val="18"/>
                <w:szCs w:val="18"/>
                <w:color w:val="auto"/>
              </w:rPr>
              <w:t>Total current assets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69,726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67,736</w:t>
            </w:r>
          </w:p>
        </w:tc>
      </w:tr>
      <w:tr>
        <w:trPr>
          <w:trHeight w:val="216"/>
        </w:trPr>
        <w:tc>
          <w:tcPr>
            <w:tcW w:w="20" w:type="dxa"/>
            <w:vAlign w:val="bottom"/>
          </w:tcPr>
          <w:p>
            <w:pPr>
              <w:spacing w:after="0"/>
              <w:rPr>
                <w:sz w:val="18"/>
                <w:szCs w:val="18"/>
                <w:color w:val="auto"/>
              </w:rPr>
            </w:pPr>
          </w:p>
        </w:tc>
        <w:tc>
          <w:tcPr>
            <w:tcW w:w="866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Property, plant and equipment, at cost, less accumulated depreciation and amortization</w:t>
            </w: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7,218</w:t>
            </w:r>
          </w:p>
        </w:tc>
        <w:tc>
          <w:tcPr>
            <w:tcW w:w="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7,163</w:t>
            </w:r>
          </w:p>
        </w:tc>
      </w:tr>
      <w:tr>
        <w:trPr>
          <w:trHeight w:val="216"/>
        </w:trPr>
        <w:tc>
          <w:tcPr>
            <w:tcW w:w="20" w:type="dxa"/>
            <w:vAlign w:val="bottom"/>
          </w:tcPr>
          <w:p>
            <w:pPr>
              <w:spacing w:after="0"/>
              <w:rPr>
                <w:sz w:val="18"/>
                <w:szCs w:val="18"/>
                <w:color w:val="auto"/>
              </w:rPr>
            </w:pPr>
          </w:p>
        </w:tc>
        <w:tc>
          <w:tcPr>
            <w:tcW w:w="8660" w:type="dxa"/>
            <w:vAlign w:val="bottom"/>
            <w:gridSpan w:val="2"/>
          </w:tcPr>
          <w:p>
            <w:pPr>
              <w:spacing w:after="0"/>
              <w:rPr>
                <w:sz w:val="20"/>
                <w:szCs w:val="20"/>
                <w:color w:val="auto"/>
              </w:rPr>
            </w:pPr>
            <w:r>
              <w:rPr>
                <w:rFonts w:ascii="Arial" w:cs="Arial" w:eastAsia="Arial" w:hAnsi="Arial"/>
                <w:sz w:val="18"/>
                <w:szCs w:val="18"/>
                <w:color w:val="auto"/>
              </w:rPr>
              <w:t>Deferred income taxes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750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750</w:t>
            </w:r>
          </w:p>
        </w:tc>
      </w:tr>
      <w:tr>
        <w:trPr>
          <w:trHeight w:val="216"/>
        </w:trPr>
        <w:tc>
          <w:tcPr>
            <w:tcW w:w="20" w:type="dxa"/>
            <w:vAlign w:val="bottom"/>
          </w:tcPr>
          <w:p>
            <w:pPr>
              <w:spacing w:after="0"/>
              <w:rPr>
                <w:sz w:val="18"/>
                <w:szCs w:val="18"/>
                <w:color w:val="auto"/>
              </w:rPr>
            </w:pPr>
          </w:p>
        </w:tc>
        <w:tc>
          <w:tcPr>
            <w:tcW w:w="866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Goodwill and other intangible assets</w:t>
            </w: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218</w:t>
            </w:r>
          </w:p>
        </w:tc>
        <w:tc>
          <w:tcPr>
            <w:tcW w:w="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218</w:t>
            </w:r>
          </w:p>
        </w:tc>
      </w:tr>
      <w:tr>
        <w:trPr>
          <w:trHeight w:val="216"/>
        </w:trPr>
        <w:tc>
          <w:tcPr>
            <w:tcW w:w="20" w:type="dxa"/>
            <w:vAlign w:val="bottom"/>
          </w:tcPr>
          <w:p>
            <w:pPr>
              <w:spacing w:after="0"/>
              <w:rPr>
                <w:sz w:val="18"/>
                <w:szCs w:val="18"/>
                <w:color w:val="auto"/>
              </w:rPr>
            </w:pPr>
          </w:p>
        </w:tc>
        <w:tc>
          <w:tcPr>
            <w:tcW w:w="8660" w:type="dxa"/>
            <w:vAlign w:val="bottom"/>
            <w:gridSpan w:val="2"/>
          </w:tcPr>
          <w:p>
            <w:pPr>
              <w:spacing w:after="0"/>
              <w:rPr>
                <w:sz w:val="20"/>
                <w:szCs w:val="20"/>
                <w:color w:val="auto"/>
              </w:rPr>
            </w:pPr>
            <w:r>
              <w:rPr>
                <w:rFonts w:ascii="Arial" w:cs="Arial" w:eastAsia="Arial" w:hAnsi="Arial"/>
                <w:sz w:val="18"/>
                <w:szCs w:val="18"/>
                <w:color w:val="auto"/>
              </w:rPr>
              <w:t>Cash surrender value of life insurance and cash held in trust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9,629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9,409</w:t>
            </w:r>
          </w:p>
        </w:tc>
      </w:tr>
      <w:tr>
        <w:trPr>
          <w:trHeight w:val="216"/>
        </w:trPr>
        <w:tc>
          <w:tcPr>
            <w:tcW w:w="20" w:type="dxa"/>
            <w:vAlign w:val="bottom"/>
          </w:tcPr>
          <w:p>
            <w:pPr>
              <w:spacing w:after="0"/>
              <w:rPr>
                <w:sz w:val="18"/>
                <w:szCs w:val="18"/>
                <w:color w:val="auto"/>
              </w:rPr>
            </w:pPr>
          </w:p>
        </w:tc>
        <w:tc>
          <w:tcPr>
            <w:tcW w:w="866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Investment in and loans receivable from affiliates</w:t>
            </w: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3,758</w:t>
            </w:r>
          </w:p>
        </w:tc>
        <w:tc>
          <w:tcPr>
            <w:tcW w:w="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3,738</w:t>
            </w:r>
          </w:p>
        </w:tc>
      </w:tr>
      <w:tr>
        <w:trPr>
          <w:trHeight w:val="216"/>
        </w:trPr>
        <w:tc>
          <w:tcPr>
            <w:tcW w:w="20" w:type="dxa"/>
            <w:vAlign w:val="bottom"/>
          </w:tcPr>
          <w:p>
            <w:pPr>
              <w:spacing w:after="0"/>
              <w:rPr>
                <w:sz w:val="18"/>
                <w:szCs w:val="18"/>
                <w:color w:val="auto"/>
              </w:rPr>
            </w:pPr>
          </w:p>
        </w:tc>
        <w:tc>
          <w:tcPr>
            <w:tcW w:w="1320" w:type="dxa"/>
            <w:vAlign w:val="bottom"/>
          </w:tcPr>
          <w:p>
            <w:pPr>
              <w:spacing w:after="0"/>
              <w:rPr>
                <w:sz w:val="20"/>
                <w:szCs w:val="20"/>
                <w:color w:val="auto"/>
              </w:rPr>
            </w:pPr>
            <w:r>
              <w:rPr>
                <w:rFonts w:ascii="Arial" w:cs="Arial" w:eastAsia="Arial" w:hAnsi="Arial"/>
                <w:sz w:val="18"/>
                <w:szCs w:val="18"/>
                <w:color w:val="auto"/>
              </w:rPr>
              <w:t>Other assets</w:t>
            </w:r>
          </w:p>
        </w:tc>
        <w:tc>
          <w:tcPr>
            <w:tcW w:w="7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817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817</w:t>
            </w:r>
          </w:p>
        </w:tc>
      </w:tr>
      <w:tr>
        <w:trPr>
          <w:trHeight w:val="27"/>
        </w:trPr>
        <w:tc>
          <w:tcPr>
            <w:tcW w:w="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7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57"/>
        </w:trPr>
        <w:tc>
          <w:tcPr>
            <w:tcW w:w="20" w:type="dxa"/>
            <w:vAlign w:val="bottom"/>
          </w:tcPr>
          <w:p>
            <w:pPr>
              <w:spacing w:after="0"/>
              <w:rPr>
                <w:sz w:val="22"/>
                <w:szCs w:val="22"/>
                <w:color w:val="auto"/>
              </w:rPr>
            </w:pPr>
          </w:p>
        </w:tc>
        <w:tc>
          <w:tcPr>
            <w:tcW w:w="1320" w:type="dxa"/>
            <w:vAlign w:val="bottom"/>
            <w:shd w:val="clear" w:color="auto" w:fill="CCFFCC"/>
          </w:tcPr>
          <w:p>
            <w:pPr>
              <w:ind w:left="160"/>
              <w:spacing w:after="0"/>
              <w:rPr>
                <w:sz w:val="20"/>
                <w:szCs w:val="20"/>
                <w:color w:val="auto"/>
              </w:rPr>
            </w:pPr>
            <w:r>
              <w:rPr>
                <w:rFonts w:ascii="Arial" w:cs="Arial" w:eastAsia="Arial" w:hAnsi="Arial"/>
                <w:sz w:val="18"/>
                <w:szCs w:val="18"/>
                <w:b w:val="1"/>
                <w:bCs w:val="1"/>
                <w:color w:val="auto"/>
              </w:rPr>
              <w:t>Total assets</w:t>
            </w:r>
          </w:p>
        </w:tc>
        <w:tc>
          <w:tcPr>
            <w:tcW w:w="7340" w:type="dxa"/>
            <w:vAlign w:val="bottom"/>
            <w:shd w:val="clear" w:color="auto" w:fill="CCFFCC"/>
          </w:tcPr>
          <w:p>
            <w:pPr>
              <w:spacing w:after="0"/>
              <w:rPr>
                <w:sz w:val="22"/>
                <w:szCs w:val="22"/>
                <w:color w:val="auto"/>
              </w:rPr>
            </w:pPr>
          </w:p>
        </w:tc>
        <w:tc>
          <w:tcPr>
            <w:tcW w:w="100" w:type="dxa"/>
            <w:vAlign w:val="bottom"/>
            <w:shd w:val="clear" w:color="auto" w:fill="CCFFCC"/>
          </w:tcPr>
          <w:p>
            <w:pPr>
              <w:spacing w:after="0"/>
              <w:rPr>
                <w:sz w:val="22"/>
                <w:szCs w:val="22"/>
                <w:color w:val="auto"/>
              </w:rPr>
            </w:pPr>
          </w:p>
        </w:tc>
        <w:tc>
          <w:tcPr>
            <w:tcW w:w="1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w w:val="79"/>
              </w:rPr>
              <w:t>$</w:t>
            </w:r>
          </w:p>
        </w:tc>
        <w:tc>
          <w:tcPr>
            <w:tcW w:w="12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b w:val="1"/>
                <w:bCs w:val="1"/>
                <w:color w:val="auto"/>
              </w:rPr>
              <w:t>92,116</w:t>
            </w:r>
          </w:p>
        </w:tc>
        <w:tc>
          <w:tcPr>
            <w:tcW w:w="1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b w:val="1"/>
                <w:bCs w:val="1"/>
                <w:color w:val="auto"/>
              </w:rPr>
              <w:t>$</w:t>
            </w:r>
          </w:p>
        </w:tc>
        <w:tc>
          <w:tcPr>
            <w:tcW w:w="11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89,831</w:t>
            </w:r>
          </w:p>
        </w:tc>
      </w:tr>
      <w:tr>
        <w:trPr>
          <w:trHeight w:val="210"/>
        </w:trPr>
        <w:tc>
          <w:tcPr>
            <w:tcW w:w="20" w:type="dxa"/>
            <w:vAlign w:val="bottom"/>
          </w:tcPr>
          <w:p>
            <w:pPr>
              <w:spacing w:after="0"/>
              <w:rPr>
                <w:sz w:val="18"/>
                <w:szCs w:val="18"/>
                <w:color w:val="auto"/>
              </w:rPr>
            </w:pPr>
          </w:p>
        </w:tc>
        <w:tc>
          <w:tcPr>
            <w:tcW w:w="8660" w:type="dxa"/>
            <w:vAlign w:val="bottom"/>
            <w:tcBorders>
              <w:top w:val="single" w:sz="8" w:color="CCFFCC"/>
            </w:tcBorders>
            <w:gridSpan w:val="2"/>
          </w:tcPr>
          <w:p>
            <w:pPr>
              <w:ind w:left="640"/>
              <w:spacing w:after="0"/>
              <w:rPr>
                <w:sz w:val="20"/>
                <w:szCs w:val="20"/>
                <w:color w:val="auto"/>
              </w:rPr>
            </w:pPr>
            <w:r>
              <w:rPr>
                <w:rFonts w:ascii="Arial" w:cs="Arial" w:eastAsia="Arial" w:hAnsi="Arial"/>
                <w:sz w:val="18"/>
                <w:szCs w:val="18"/>
                <w:b w:val="1"/>
                <w:bCs w:val="1"/>
                <w:color w:val="auto"/>
              </w:rPr>
              <w:t>LIABILITIES AND STOCKHOLDERS' EQUITY</w:t>
            </w:r>
            <w:r>
              <w:rPr>
                <w:rFonts w:ascii="Arial" w:cs="Arial" w:eastAsia="Arial" w:hAnsi="Arial"/>
                <w:sz w:val="18"/>
                <w:szCs w:val="18"/>
                <w:color w:val="auto"/>
              </w:rPr>
              <w:t>:</w:t>
            </w:r>
          </w:p>
        </w:tc>
        <w:tc>
          <w:tcPr>
            <w:tcW w:w="100" w:type="dxa"/>
            <w:vAlign w:val="bottom"/>
            <w:tcBorders>
              <w:top w:val="single" w:sz="8" w:color="CCFFCC"/>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40" w:type="dxa"/>
            <w:vAlign w:val="bottom"/>
            <w:tcBorders>
              <w:top w:val="single" w:sz="8" w:color="CCFFCC"/>
            </w:tcBorders>
          </w:tcPr>
          <w:p>
            <w:pPr>
              <w:spacing w:after="0"/>
              <w:rPr>
                <w:sz w:val="18"/>
                <w:szCs w:val="18"/>
                <w:color w:val="auto"/>
              </w:rPr>
            </w:pPr>
          </w:p>
        </w:tc>
        <w:tc>
          <w:tcPr>
            <w:tcW w:w="80" w:type="dxa"/>
            <w:vAlign w:val="bottom"/>
            <w:tcBorders>
              <w:top w:val="single" w:sz="8" w:color="CCFFCC"/>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320" w:type="dxa"/>
            <w:vAlign w:val="bottom"/>
            <w:shd w:val="clear" w:color="auto" w:fill="CCFFCC"/>
          </w:tcPr>
          <w:p>
            <w:pPr>
              <w:spacing w:after="0"/>
              <w:rPr>
                <w:sz w:val="20"/>
                <w:szCs w:val="20"/>
                <w:color w:val="auto"/>
              </w:rPr>
            </w:pPr>
            <w:r>
              <w:rPr>
                <w:rFonts w:ascii="Arial" w:cs="Arial" w:eastAsia="Arial" w:hAnsi="Arial"/>
                <w:sz w:val="18"/>
                <w:szCs w:val="18"/>
                <w:color w:val="auto"/>
                <w:w w:val="94"/>
              </w:rPr>
              <w:t>Current liabilities:</w:t>
            </w:r>
          </w:p>
        </w:tc>
        <w:tc>
          <w:tcPr>
            <w:tcW w:w="73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8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60" w:type="dxa"/>
            <w:vAlign w:val="bottom"/>
            <w:gridSpan w:val="2"/>
          </w:tcPr>
          <w:p>
            <w:pPr>
              <w:ind w:left="160"/>
              <w:spacing w:after="0"/>
              <w:rPr>
                <w:sz w:val="20"/>
                <w:szCs w:val="20"/>
                <w:color w:val="auto"/>
              </w:rPr>
            </w:pPr>
            <w:r>
              <w:rPr>
                <w:rFonts w:ascii="Arial" w:cs="Arial" w:eastAsia="Arial" w:hAnsi="Arial"/>
                <w:sz w:val="18"/>
                <w:szCs w:val="18"/>
                <w:color w:val="auto"/>
              </w:rPr>
              <w:t>Accounts payable - trade</w:t>
            </w: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2,490</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1,654</w:t>
            </w:r>
          </w:p>
        </w:tc>
      </w:tr>
      <w:tr>
        <w:trPr>
          <w:trHeight w:val="216"/>
        </w:trPr>
        <w:tc>
          <w:tcPr>
            <w:tcW w:w="20" w:type="dxa"/>
            <w:vAlign w:val="bottom"/>
          </w:tcPr>
          <w:p>
            <w:pPr>
              <w:spacing w:after="0"/>
              <w:rPr>
                <w:sz w:val="18"/>
                <w:szCs w:val="18"/>
                <w:color w:val="auto"/>
              </w:rPr>
            </w:pPr>
          </w:p>
        </w:tc>
        <w:tc>
          <w:tcPr>
            <w:tcW w:w="8660" w:type="dxa"/>
            <w:vAlign w:val="bottom"/>
            <w:gridSpan w:val="2"/>
            <w:shd w:val="clear" w:color="auto" w:fill="CCFFCC"/>
          </w:tcPr>
          <w:p>
            <w:pPr>
              <w:ind w:left="160"/>
              <w:spacing w:after="0"/>
              <w:rPr>
                <w:sz w:val="20"/>
                <w:szCs w:val="20"/>
                <w:color w:val="auto"/>
              </w:rPr>
            </w:pPr>
            <w:r>
              <w:rPr>
                <w:rFonts w:ascii="Arial" w:cs="Arial" w:eastAsia="Arial" w:hAnsi="Arial"/>
                <w:sz w:val="18"/>
                <w:szCs w:val="18"/>
                <w:color w:val="auto"/>
              </w:rPr>
              <w:t>Accrued liabilities</w:t>
            </w: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5,061</w:t>
            </w:r>
          </w:p>
        </w:tc>
        <w:tc>
          <w:tcPr>
            <w:tcW w:w="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5,457</w:t>
            </w:r>
          </w:p>
        </w:tc>
      </w:tr>
      <w:tr>
        <w:trPr>
          <w:trHeight w:val="216"/>
        </w:trPr>
        <w:tc>
          <w:tcPr>
            <w:tcW w:w="20" w:type="dxa"/>
            <w:vAlign w:val="bottom"/>
          </w:tcPr>
          <w:p>
            <w:pPr>
              <w:spacing w:after="0"/>
              <w:rPr>
                <w:sz w:val="18"/>
                <w:szCs w:val="18"/>
                <w:color w:val="auto"/>
              </w:rPr>
            </w:pPr>
          </w:p>
        </w:tc>
        <w:tc>
          <w:tcPr>
            <w:tcW w:w="8660" w:type="dxa"/>
            <w:vAlign w:val="bottom"/>
            <w:gridSpan w:val="2"/>
          </w:tcPr>
          <w:p>
            <w:pPr>
              <w:ind w:left="160"/>
              <w:spacing w:after="0"/>
              <w:rPr>
                <w:sz w:val="20"/>
                <w:szCs w:val="20"/>
                <w:color w:val="auto"/>
              </w:rPr>
            </w:pPr>
            <w:r>
              <w:rPr>
                <w:rFonts w:ascii="Arial" w:cs="Arial" w:eastAsia="Arial" w:hAnsi="Arial"/>
                <w:sz w:val="18"/>
                <w:szCs w:val="18"/>
                <w:color w:val="auto"/>
              </w:rPr>
              <w:t>Capital lease obligations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276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275</w:t>
            </w:r>
          </w:p>
        </w:tc>
      </w:tr>
      <w:tr>
        <w:trPr>
          <w:trHeight w:val="27"/>
        </w:trPr>
        <w:tc>
          <w:tcPr>
            <w:tcW w:w="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7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8660" w:type="dxa"/>
            <w:vAlign w:val="bottom"/>
            <w:gridSpan w:val="2"/>
            <w:shd w:val="clear" w:color="auto" w:fill="CCFFCC"/>
          </w:tcPr>
          <w:p>
            <w:pPr>
              <w:ind w:left="640"/>
              <w:spacing w:after="0"/>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7,827</w:t>
            </w:r>
          </w:p>
        </w:tc>
        <w:tc>
          <w:tcPr>
            <w:tcW w:w="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7,386</w:t>
            </w:r>
          </w:p>
        </w:tc>
      </w:tr>
      <w:tr>
        <w:trPr>
          <w:trHeight w:val="216"/>
        </w:trPr>
        <w:tc>
          <w:tcPr>
            <w:tcW w:w="20" w:type="dxa"/>
            <w:vAlign w:val="bottom"/>
          </w:tcPr>
          <w:p>
            <w:pPr>
              <w:spacing w:after="0"/>
              <w:rPr>
                <w:sz w:val="18"/>
                <w:szCs w:val="18"/>
                <w:color w:val="auto"/>
              </w:rPr>
            </w:pPr>
          </w:p>
        </w:tc>
        <w:tc>
          <w:tcPr>
            <w:tcW w:w="8660" w:type="dxa"/>
            <w:vAlign w:val="bottom"/>
            <w:gridSpan w:val="2"/>
          </w:tcPr>
          <w:p>
            <w:pPr>
              <w:spacing w:after="0"/>
              <w:rPr>
                <w:sz w:val="20"/>
                <w:szCs w:val="20"/>
                <w:color w:val="auto"/>
              </w:rPr>
            </w:pPr>
            <w:r>
              <w:rPr>
                <w:rFonts w:ascii="Arial" w:cs="Arial" w:eastAsia="Arial" w:hAnsi="Arial"/>
                <w:sz w:val="18"/>
                <w:szCs w:val="18"/>
                <w:color w:val="auto"/>
              </w:rPr>
              <w:t>Capital lease obligation- noncurrent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113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181</w:t>
            </w:r>
          </w:p>
        </w:tc>
      </w:tr>
      <w:tr>
        <w:trPr>
          <w:trHeight w:val="216"/>
        </w:trPr>
        <w:tc>
          <w:tcPr>
            <w:tcW w:w="20" w:type="dxa"/>
            <w:vAlign w:val="bottom"/>
          </w:tcPr>
          <w:p>
            <w:pPr>
              <w:spacing w:after="0"/>
              <w:rPr>
                <w:sz w:val="18"/>
                <w:szCs w:val="18"/>
                <w:color w:val="auto"/>
              </w:rPr>
            </w:pPr>
          </w:p>
        </w:tc>
        <w:tc>
          <w:tcPr>
            <w:tcW w:w="866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Deferred compensation</w:t>
            </w: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9,897</w:t>
            </w:r>
          </w:p>
        </w:tc>
        <w:tc>
          <w:tcPr>
            <w:tcW w:w="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9,827</w:t>
            </w:r>
          </w:p>
        </w:tc>
      </w:tr>
      <w:tr>
        <w:trPr>
          <w:trHeight w:val="216"/>
        </w:trPr>
        <w:tc>
          <w:tcPr>
            <w:tcW w:w="20" w:type="dxa"/>
            <w:vAlign w:val="bottom"/>
          </w:tcPr>
          <w:p>
            <w:pPr>
              <w:spacing w:after="0"/>
              <w:rPr>
                <w:sz w:val="18"/>
                <w:szCs w:val="18"/>
                <w:color w:val="auto"/>
              </w:rPr>
            </w:pPr>
          </w:p>
        </w:tc>
        <w:tc>
          <w:tcPr>
            <w:tcW w:w="8660" w:type="dxa"/>
            <w:vAlign w:val="bottom"/>
            <w:gridSpan w:val="2"/>
          </w:tcPr>
          <w:p>
            <w:pPr>
              <w:spacing w:after="0"/>
              <w:rPr>
                <w:sz w:val="20"/>
                <w:szCs w:val="20"/>
                <w:color w:val="auto"/>
              </w:rPr>
            </w:pPr>
            <w:r>
              <w:rPr>
                <w:rFonts w:ascii="Arial" w:cs="Arial" w:eastAsia="Arial" w:hAnsi="Arial"/>
                <w:sz w:val="18"/>
                <w:szCs w:val="18"/>
                <w:color w:val="auto"/>
              </w:rPr>
              <w:t>Deferred rent and other liabilities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905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902</w:t>
            </w:r>
          </w:p>
        </w:tc>
      </w:tr>
      <w:tr>
        <w:trPr>
          <w:trHeight w:val="27"/>
        </w:trPr>
        <w:tc>
          <w:tcPr>
            <w:tcW w:w="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7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20" w:type="dxa"/>
            <w:vAlign w:val="bottom"/>
          </w:tcPr>
          <w:p>
            <w:pPr>
              <w:spacing w:after="0"/>
              <w:rPr>
                <w:sz w:val="19"/>
                <w:szCs w:val="19"/>
                <w:color w:val="auto"/>
              </w:rPr>
            </w:pPr>
          </w:p>
        </w:tc>
        <w:tc>
          <w:tcPr>
            <w:tcW w:w="8660" w:type="dxa"/>
            <w:vAlign w:val="bottom"/>
            <w:gridSpan w:val="2"/>
            <w:shd w:val="clear" w:color="auto" w:fill="CCFFCC"/>
          </w:tcPr>
          <w:p>
            <w:pPr>
              <w:ind w:left="640"/>
              <w:spacing w:after="0"/>
              <w:rPr>
                <w:sz w:val="20"/>
                <w:szCs w:val="20"/>
                <w:color w:val="auto"/>
              </w:rPr>
            </w:pPr>
            <w:r>
              <w:rPr>
                <w:rFonts w:ascii="Arial" w:cs="Arial" w:eastAsia="Arial" w:hAnsi="Arial"/>
                <w:sz w:val="18"/>
                <w:szCs w:val="18"/>
                <w:color w:val="auto"/>
              </w:rPr>
              <w:t>Total liabilities</w:t>
            </w:r>
          </w:p>
        </w:tc>
        <w:tc>
          <w:tcPr>
            <w:tcW w:w="10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12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18,742</w:t>
            </w:r>
          </w:p>
        </w:tc>
        <w:tc>
          <w:tcPr>
            <w:tcW w:w="8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11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18,296</w:t>
            </w:r>
          </w:p>
        </w:tc>
      </w:tr>
      <w:tr>
        <w:trPr>
          <w:trHeight w:val="216"/>
        </w:trPr>
        <w:tc>
          <w:tcPr>
            <w:tcW w:w="20" w:type="dxa"/>
            <w:vAlign w:val="bottom"/>
          </w:tcPr>
          <w:p>
            <w:pPr>
              <w:spacing w:after="0"/>
              <w:rPr>
                <w:sz w:val="18"/>
                <w:szCs w:val="18"/>
                <w:color w:val="auto"/>
              </w:rPr>
            </w:pPr>
          </w:p>
        </w:tc>
        <w:tc>
          <w:tcPr>
            <w:tcW w:w="8660" w:type="dxa"/>
            <w:vAlign w:val="bottom"/>
            <w:tcBorders>
              <w:top w:val="single" w:sz="8" w:color="CCFFCC"/>
            </w:tcBorders>
            <w:gridSpan w:val="2"/>
          </w:tcPr>
          <w:p>
            <w:pPr>
              <w:spacing w:after="0"/>
              <w:rPr>
                <w:sz w:val="20"/>
                <w:szCs w:val="20"/>
                <w:color w:val="auto"/>
              </w:rPr>
            </w:pPr>
            <w:r>
              <w:rPr>
                <w:rFonts w:ascii="Arial" w:cs="Arial" w:eastAsia="Arial" w:hAnsi="Arial"/>
                <w:sz w:val="18"/>
                <w:szCs w:val="18"/>
                <w:color w:val="auto"/>
              </w:rPr>
              <w:t>Commitments and contingencies</w:t>
            </w:r>
          </w:p>
        </w:tc>
        <w:tc>
          <w:tcPr>
            <w:tcW w:w="100" w:type="dxa"/>
            <w:vAlign w:val="bottom"/>
            <w:tcBorders>
              <w:top w:val="single" w:sz="8" w:color="CCFFCC"/>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40" w:type="dxa"/>
            <w:vAlign w:val="bottom"/>
            <w:tcBorders>
              <w:top w:val="single" w:sz="8" w:color="CCFFCC"/>
            </w:tcBorders>
          </w:tcPr>
          <w:p>
            <w:pPr>
              <w:spacing w:after="0"/>
              <w:rPr>
                <w:sz w:val="18"/>
                <w:szCs w:val="18"/>
                <w:color w:val="auto"/>
              </w:rPr>
            </w:pPr>
          </w:p>
        </w:tc>
        <w:tc>
          <w:tcPr>
            <w:tcW w:w="80" w:type="dxa"/>
            <w:vAlign w:val="bottom"/>
            <w:tcBorders>
              <w:top w:val="single" w:sz="8" w:color="CCFFCC"/>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6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Stockholders' equity:</w:t>
            </w: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8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320" w:type="dxa"/>
            <w:vAlign w:val="bottom"/>
          </w:tcPr>
          <w:p>
            <w:pPr>
              <w:ind w:left="160"/>
              <w:spacing w:after="0"/>
              <w:rPr>
                <w:sz w:val="20"/>
                <w:szCs w:val="20"/>
                <w:color w:val="auto"/>
              </w:rPr>
            </w:pPr>
            <w:r>
              <w:rPr>
                <w:rFonts w:ascii="Arial" w:cs="Arial" w:eastAsia="Arial" w:hAnsi="Arial"/>
                <w:sz w:val="18"/>
                <w:szCs w:val="18"/>
                <w:color w:val="auto"/>
                <w:w w:val="93"/>
              </w:rPr>
              <w:t>Preferred stock</w:t>
            </w:r>
          </w:p>
        </w:tc>
        <w:tc>
          <w:tcPr>
            <w:tcW w:w="7340" w:type="dxa"/>
            <w:vAlign w:val="bottom"/>
          </w:tcPr>
          <w:p>
            <w:pPr>
              <w:ind w:left="20"/>
              <w:spacing w:after="0"/>
              <w:rPr>
                <w:sz w:val="20"/>
                <w:szCs w:val="20"/>
                <w:color w:val="auto"/>
              </w:rPr>
            </w:pPr>
            <w:r>
              <w:rPr>
                <w:rFonts w:ascii="Arial" w:cs="Arial" w:eastAsia="Arial" w:hAnsi="Arial"/>
                <w:sz w:val="18"/>
                <w:szCs w:val="18"/>
                <w:color w:val="auto"/>
              </w:rPr>
              <w:t>- $1.00 par value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1320" w:type="dxa"/>
            <w:vAlign w:val="bottom"/>
            <w:shd w:val="clear" w:color="auto" w:fill="CCFFCC"/>
          </w:tcPr>
          <w:p>
            <w:pPr>
              <w:ind w:left="160"/>
              <w:spacing w:after="0"/>
              <w:rPr>
                <w:sz w:val="20"/>
                <w:szCs w:val="20"/>
                <w:color w:val="auto"/>
              </w:rPr>
            </w:pPr>
            <w:r>
              <w:rPr>
                <w:rFonts w:ascii="Arial" w:cs="Arial" w:eastAsia="Arial" w:hAnsi="Arial"/>
                <w:sz w:val="18"/>
                <w:szCs w:val="18"/>
                <w:color w:val="auto"/>
                <w:w w:val="94"/>
              </w:rPr>
              <w:t>Common stock</w:t>
            </w:r>
          </w:p>
        </w:tc>
        <w:tc>
          <w:tcPr>
            <w:tcW w:w="7340" w:type="dxa"/>
            <w:vAlign w:val="bottom"/>
            <w:shd w:val="clear" w:color="auto" w:fill="CCFFCC"/>
          </w:tcPr>
          <w:p>
            <w:pPr>
              <w:ind w:left="20"/>
              <w:spacing w:after="0"/>
              <w:rPr>
                <w:sz w:val="20"/>
                <w:szCs w:val="20"/>
                <w:color w:val="auto"/>
              </w:rPr>
            </w:pPr>
            <w:r>
              <w:rPr>
                <w:rFonts w:ascii="Arial" w:cs="Arial" w:eastAsia="Arial" w:hAnsi="Arial"/>
                <w:sz w:val="18"/>
                <w:szCs w:val="18"/>
                <w:color w:val="auto"/>
              </w:rPr>
              <w:t>- $1.00 par value, issued 9,163,940 shares</w:t>
            </w: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9,164</w:t>
            </w:r>
          </w:p>
        </w:tc>
        <w:tc>
          <w:tcPr>
            <w:tcW w:w="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9,164</w:t>
            </w:r>
          </w:p>
        </w:tc>
      </w:tr>
      <w:tr>
        <w:trPr>
          <w:trHeight w:val="216"/>
        </w:trPr>
        <w:tc>
          <w:tcPr>
            <w:tcW w:w="20" w:type="dxa"/>
            <w:vAlign w:val="bottom"/>
          </w:tcPr>
          <w:p>
            <w:pPr>
              <w:spacing w:after="0"/>
              <w:rPr>
                <w:sz w:val="18"/>
                <w:szCs w:val="18"/>
                <w:color w:val="auto"/>
              </w:rPr>
            </w:pPr>
          </w:p>
        </w:tc>
        <w:tc>
          <w:tcPr>
            <w:tcW w:w="8660" w:type="dxa"/>
            <w:vAlign w:val="bottom"/>
            <w:gridSpan w:val="2"/>
          </w:tcPr>
          <w:p>
            <w:pPr>
              <w:ind w:left="160"/>
              <w:spacing w:after="0"/>
              <w:rPr>
                <w:sz w:val="20"/>
                <w:szCs w:val="20"/>
                <w:color w:val="auto"/>
              </w:rPr>
            </w:pPr>
            <w:r>
              <w:rPr>
                <w:rFonts w:ascii="Arial" w:cs="Arial" w:eastAsia="Arial" w:hAnsi="Arial"/>
                <w:sz w:val="18"/>
                <w:szCs w:val="18"/>
                <w:color w:val="auto"/>
              </w:rPr>
              <w:t>Additional paid-in capital</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50,087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49,868</w:t>
            </w:r>
          </w:p>
        </w:tc>
      </w:tr>
      <w:tr>
        <w:trPr>
          <w:trHeight w:val="216"/>
        </w:trPr>
        <w:tc>
          <w:tcPr>
            <w:tcW w:w="20" w:type="dxa"/>
            <w:vAlign w:val="bottom"/>
          </w:tcPr>
          <w:p>
            <w:pPr>
              <w:spacing w:after="0"/>
              <w:rPr>
                <w:sz w:val="18"/>
                <w:szCs w:val="18"/>
                <w:color w:val="auto"/>
              </w:rPr>
            </w:pPr>
          </w:p>
        </w:tc>
        <w:tc>
          <w:tcPr>
            <w:tcW w:w="8660" w:type="dxa"/>
            <w:vAlign w:val="bottom"/>
            <w:gridSpan w:val="2"/>
            <w:shd w:val="clear" w:color="auto" w:fill="CCFFCC"/>
          </w:tcPr>
          <w:p>
            <w:pPr>
              <w:ind w:left="160"/>
              <w:spacing w:after="0"/>
              <w:rPr>
                <w:sz w:val="20"/>
                <w:szCs w:val="20"/>
                <w:color w:val="auto"/>
              </w:rPr>
            </w:pPr>
            <w:r>
              <w:rPr>
                <w:rFonts w:ascii="Arial" w:cs="Arial" w:eastAsia="Arial" w:hAnsi="Arial"/>
                <w:sz w:val="18"/>
                <w:szCs w:val="18"/>
                <w:color w:val="auto"/>
              </w:rPr>
              <w:t>Retained earnings</w:t>
            </w: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12,630</w:t>
            </w:r>
          </w:p>
        </w:tc>
        <w:tc>
          <w:tcPr>
            <w:tcW w:w="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11,286</w:t>
            </w:r>
          </w:p>
        </w:tc>
      </w:tr>
      <w:tr>
        <w:trPr>
          <w:trHeight w:val="27"/>
        </w:trPr>
        <w:tc>
          <w:tcPr>
            <w:tcW w:w="20" w:type="dxa"/>
            <w:vAlign w:val="bottom"/>
          </w:tcPr>
          <w:p>
            <w:pPr>
              <w:spacing w:after="0"/>
              <w:rPr>
                <w:sz w:val="2"/>
                <w:szCs w:val="2"/>
                <w:color w:val="auto"/>
              </w:rPr>
            </w:pPr>
          </w:p>
        </w:tc>
        <w:tc>
          <w:tcPr>
            <w:tcW w:w="1320" w:type="dxa"/>
            <w:vAlign w:val="bottom"/>
            <w:shd w:val="clear" w:color="auto" w:fill="CCFFCC"/>
          </w:tcPr>
          <w:p>
            <w:pPr>
              <w:spacing w:after="0"/>
              <w:rPr>
                <w:sz w:val="2"/>
                <w:szCs w:val="2"/>
                <w:color w:val="auto"/>
              </w:rPr>
            </w:pPr>
          </w:p>
        </w:tc>
        <w:tc>
          <w:tcPr>
            <w:tcW w:w="734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40" w:type="dxa"/>
            <w:vAlign w:val="bottom"/>
            <w:shd w:val="clear" w:color="auto" w:fill="CCFFCC"/>
          </w:tcPr>
          <w:p>
            <w:pPr>
              <w:spacing w:after="0"/>
              <w:rPr>
                <w:sz w:val="2"/>
                <w:szCs w:val="2"/>
                <w:color w:val="auto"/>
              </w:rPr>
            </w:pPr>
          </w:p>
        </w:tc>
        <w:tc>
          <w:tcPr>
            <w:tcW w:w="80" w:type="dxa"/>
            <w:vAlign w:val="bottom"/>
            <w:shd w:val="clear" w:color="auto" w:fill="CCFFCC"/>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shd w:val="clear" w:color="auto" w:fill="CCFFCC"/>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7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71,881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70,318</w:t>
            </w:r>
          </w:p>
        </w:tc>
      </w:tr>
      <w:tr>
        <w:trPr>
          <w:trHeight w:val="202"/>
        </w:trPr>
        <w:tc>
          <w:tcPr>
            <w:tcW w:w="20" w:type="dxa"/>
            <w:vAlign w:val="bottom"/>
          </w:tcPr>
          <w:p>
            <w:pPr>
              <w:spacing w:after="0"/>
              <w:rPr>
                <w:sz w:val="17"/>
                <w:szCs w:val="17"/>
                <w:color w:val="auto"/>
              </w:rPr>
            </w:pPr>
          </w:p>
        </w:tc>
        <w:tc>
          <w:tcPr>
            <w:tcW w:w="8660" w:type="dxa"/>
            <w:vAlign w:val="bottom"/>
            <w:gridSpan w:val="2"/>
            <w:shd w:val="clear" w:color="auto" w:fill="CCFFCC"/>
          </w:tcPr>
          <w:p>
            <w:pPr>
              <w:ind w:left="160"/>
              <w:spacing w:after="0" w:line="201" w:lineRule="exact"/>
              <w:rPr>
                <w:sz w:val="20"/>
                <w:szCs w:val="20"/>
                <w:color w:val="auto"/>
              </w:rPr>
            </w:pPr>
            <w:r>
              <w:rPr>
                <w:rFonts w:ascii="Arial" w:cs="Arial" w:eastAsia="Arial" w:hAnsi="Arial"/>
                <w:sz w:val="18"/>
                <w:szCs w:val="18"/>
                <w:color w:val="auto"/>
                <w:w w:val="90"/>
              </w:rPr>
              <w:t>Common stock reacquired and held in treasury - at cost (853,033 shares at July 31, 2011 and 865,734 shares at April</w:t>
            </w:r>
          </w:p>
        </w:tc>
        <w:tc>
          <w:tcPr>
            <w:tcW w:w="10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08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04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1320" w:type="dxa"/>
            <w:vAlign w:val="bottom"/>
            <w:shd w:val="clear" w:color="auto" w:fill="CCFFCC"/>
          </w:tcPr>
          <w:p>
            <w:pPr>
              <w:ind w:left="320"/>
              <w:spacing w:after="0"/>
              <w:rPr>
                <w:sz w:val="20"/>
                <w:szCs w:val="20"/>
                <w:color w:val="auto"/>
              </w:rPr>
            </w:pPr>
            <w:r>
              <w:rPr>
                <w:rFonts w:ascii="Arial" w:cs="Arial" w:eastAsia="Arial" w:hAnsi="Arial"/>
                <w:sz w:val="18"/>
                <w:szCs w:val="18"/>
                <w:color w:val="auto"/>
              </w:rPr>
              <w:t>30, 2011)</w:t>
            </w:r>
          </w:p>
        </w:tc>
        <w:tc>
          <w:tcPr>
            <w:tcW w:w="734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12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(3,913)</w:t>
            </w:r>
          </w:p>
        </w:tc>
        <w:tc>
          <w:tcPr>
            <w:tcW w:w="8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11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(3,975)</w:t>
            </w:r>
          </w:p>
        </w:tc>
      </w:tr>
      <w:tr>
        <w:trPr>
          <w:trHeight w:val="216"/>
        </w:trPr>
        <w:tc>
          <w:tcPr>
            <w:tcW w:w="20" w:type="dxa"/>
            <w:vAlign w:val="bottom"/>
          </w:tcPr>
          <w:p>
            <w:pPr>
              <w:spacing w:after="0"/>
              <w:rPr>
                <w:sz w:val="18"/>
                <w:szCs w:val="18"/>
                <w:color w:val="auto"/>
              </w:rPr>
            </w:pPr>
          </w:p>
        </w:tc>
        <w:tc>
          <w:tcPr>
            <w:tcW w:w="8660" w:type="dxa"/>
            <w:vAlign w:val="bottom"/>
            <w:gridSpan w:val="2"/>
          </w:tcPr>
          <w:p>
            <w:pPr>
              <w:ind w:left="160"/>
              <w:spacing w:after="0"/>
              <w:rPr>
                <w:sz w:val="20"/>
                <w:szCs w:val="20"/>
                <w:color w:val="auto"/>
              </w:rPr>
            </w:pPr>
            <w:r>
              <w:rPr>
                <w:rFonts w:ascii="Arial" w:cs="Arial" w:eastAsia="Arial" w:hAnsi="Arial"/>
                <w:sz w:val="18"/>
                <w:szCs w:val="18"/>
                <w:color w:val="auto"/>
              </w:rPr>
              <w:t>Accumulated other comprehensive income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5,406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5,192</w:t>
            </w:r>
          </w:p>
        </w:tc>
      </w:tr>
      <w:tr>
        <w:trPr>
          <w:trHeight w:val="27"/>
        </w:trPr>
        <w:tc>
          <w:tcPr>
            <w:tcW w:w="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7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20" w:type="dxa"/>
            <w:vAlign w:val="bottom"/>
          </w:tcPr>
          <w:p>
            <w:pPr>
              <w:spacing w:after="0"/>
              <w:rPr>
                <w:sz w:val="19"/>
                <w:szCs w:val="19"/>
                <w:color w:val="auto"/>
              </w:rPr>
            </w:pPr>
          </w:p>
        </w:tc>
        <w:tc>
          <w:tcPr>
            <w:tcW w:w="8660" w:type="dxa"/>
            <w:vAlign w:val="bottom"/>
            <w:gridSpan w:val="2"/>
            <w:shd w:val="clear" w:color="auto" w:fill="CCFFCC"/>
          </w:tcPr>
          <w:p>
            <w:pPr>
              <w:ind w:left="640"/>
              <w:spacing w:after="0"/>
              <w:rPr>
                <w:sz w:val="20"/>
                <w:szCs w:val="20"/>
                <w:color w:val="auto"/>
              </w:rPr>
            </w:pPr>
            <w:r>
              <w:rPr>
                <w:rFonts w:ascii="Arial" w:cs="Arial" w:eastAsia="Arial" w:hAnsi="Arial"/>
                <w:sz w:val="18"/>
                <w:szCs w:val="18"/>
                <w:color w:val="auto"/>
              </w:rPr>
              <w:t>Total stockholders' equity</w:t>
            </w:r>
          </w:p>
        </w:tc>
        <w:tc>
          <w:tcPr>
            <w:tcW w:w="10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12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73,374</w:t>
            </w:r>
          </w:p>
        </w:tc>
        <w:tc>
          <w:tcPr>
            <w:tcW w:w="8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11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71,535</w:t>
            </w:r>
          </w:p>
        </w:tc>
      </w:tr>
      <w:tr>
        <w:trPr>
          <w:trHeight w:val="216"/>
        </w:trPr>
        <w:tc>
          <w:tcPr>
            <w:tcW w:w="20" w:type="dxa"/>
            <w:vAlign w:val="bottom"/>
          </w:tcPr>
          <w:p>
            <w:pPr>
              <w:spacing w:after="0"/>
              <w:rPr>
                <w:sz w:val="18"/>
                <w:szCs w:val="18"/>
                <w:color w:val="auto"/>
              </w:rPr>
            </w:pPr>
          </w:p>
        </w:tc>
        <w:tc>
          <w:tcPr>
            <w:tcW w:w="8660" w:type="dxa"/>
            <w:vAlign w:val="bottom"/>
            <w:tcBorders>
              <w:top w:val="single" w:sz="8" w:color="CCFFCC"/>
            </w:tcBorders>
            <w:gridSpan w:val="2"/>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40" w:type="dxa"/>
            <w:vAlign w:val="bottom"/>
            <w:tcBorders>
              <w:top w:val="single" w:sz="8" w:color="CCFFCC"/>
            </w:tcBorders>
          </w:tcPr>
          <w:p>
            <w:pPr>
              <w:spacing w:after="0"/>
              <w:rPr>
                <w:sz w:val="18"/>
                <w:szCs w:val="18"/>
                <w:color w:val="auto"/>
              </w:rPr>
            </w:pPr>
          </w:p>
        </w:tc>
        <w:tc>
          <w:tcPr>
            <w:tcW w:w="80" w:type="dxa"/>
            <w:vAlign w:val="bottom"/>
            <w:tcBorders>
              <w:top w:val="single" w:sz="8" w:color="CCFFCC"/>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r>
      <w:tr>
        <w:trPr>
          <w:trHeight w:val="237"/>
        </w:trPr>
        <w:tc>
          <w:tcPr>
            <w:tcW w:w="20" w:type="dxa"/>
            <w:vAlign w:val="bottom"/>
          </w:tcPr>
          <w:p>
            <w:pPr>
              <w:spacing w:after="0"/>
              <w:rPr>
                <w:sz w:val="20"/>
                <w:szCs w:val="20"/>
                <w:color w:val="auto"/>
              </w:rPr>
            </w:pPr>
          </w:p>
        </w:tc>
        <w:tc>
          <w:tcPr>
            <w:tcW w:w="8660" w:type="dxa"/>
            <w:vAlign w:val="bottom"/>
            <w:gridSpan w:val="2"/>
            <w:shd w:val="clear" w:color="auto" w:fill="CCFFCC"/>
          </w:tcPr>
          <w:p>
            <w:pPr>
              <w:ind w:left="160"/>
              <w:spacing w:after="0"/>
              <w:rPr>
                <w:sz w:val="20"/>
                <w:szCs w:val="20"/>
                <w:color w:val="auto"/>
              </w:rPr>
            </w:pPr>
            <w:r>
              <w:rPr>
                <w:rFonts w:ascii="Arial" w:cs="Arial" w:eastAsia="Arial" w:hAnsi="Arial"/>
                <w:sz w:val="18"/>
                <w:szCs w:val="18"/>
                <w:b w:val="1"/>
                <w:bCs w:val="1"/>
                <w:color w:val="auto"/>
              </w:rPr>
              <w:t>Total liabilities and stockholders' equity</w:t>
            </w:r>
          </w:p>
        </w:tc>
        <w:tc>
          <w:tcPr>
            <w:tcW w:w="10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w w:val="79"/>
              </w:rPr>
              <w:t>$</w:t>
            </w:r>
          </w:p>
        </w:tc>
        <w:tc>
          <w:tcPr>
            <w:tcW w:w="12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b w:val="1"/>
                <w:bCs w:val="1"/>
                <w:color w:val="auto"/>
              </w:rPr>
              <w:t>92,116</w:t>
            </w:r>
          </w:p>
        </w:tc>
        <w:tc>
          <w:tcPr>
            <w:tcW w:w="1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b w:val="1"/>
                <w:bCs w:val="1"/>
                <w:color w:val="auto"/>
              </w:rPr>
              <w:t>$</w:t>
            </w:r>
          </w:p>
        </w:tc>
        <w:tc>
          <w:tcPr>
            <w:tcW w:w="11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89,831</w:t>
            </w:r>
          </w:p>
        </w:tc>
      </w:tr>
      <w:tr>
        <w:trPr>
          <w:trHeight w:val="20"/>
        </w:trPr>
        <w:tc>
          <w:tcPr>
            <w:tcW w:w="20" w:type="dxa"/>
            <w:vAlign w:val="bottom"/>
          </w:tcPr>
          <w:p>
            <w:pPr>
              <w:spacing w:after="0" w:line="20" w:lineRule="exact"/>
              <w:rPr>
                <w:sz w:val="1"/>
                <w:szCs w:val="1"/>
                <w:color w:val="auto"/>
              </w:rPr>
            </w:pPr>
          </w:p>
        </w:tc>
        <w:tc>
          <w:tcPr>
            <w:tcW w:w="1320" w:type="dxa"/>
            <w:vAlign w:val="bottom"/>
            <w:tcBorders>
              <w:top w:val="single" w:sz="8" w:color="CCFFCC"/>
            </w:tcBorders>
            <w:shd w:val="clear" w:color="auto" w:fill="CCFFCC"/>
          </w:tcPr>
          <w:p>
            <w:pPr>
              <w:spacing w:after="0" w:line="20" w:lineRule="exact"/>
              <w:rPr>
                <w:sz w:val="1"/>
                <w:szCs w:val="1"/>
                <w:color w:val="auto"/>
              </w:rPr>
            </w:pPr>
          </w:p>
        </w:tc>
        <w:tc>
          <w:tcPr>
            <w:tcW w:w="734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 of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5740" w:type="dxa"/>
            <w:vAlign w:val="bottom"/>
            <w:gridSpan w:val="2"/>
          </w:tcPr>
          <w:p>
            <w:pPr>
              <w:jc w:val="center"/>
              <w:ind w:right="770"/>
              <w:spacing w:after="0"/>
              <w:rPr>
                <w:sz w:val="20"/>
                <w:szCs w:val="20"/>
                <w:color w:val="auto"/>
              </w:rPr>
            </w:pPr>
            <w:r>
              <w:rPr>
                <w:rFonts w:ascii="Arial" w:cs="Arial" w:eastAsia="Arial" w:hAnsi="Arial"/>
                <w:sz w:val="18"/>
                <w:szCs w:val="18"/>
                <w:color w:val="auto"/>
                <w:w w:val="95"/>
              </w:rPr>
              <w:t>FREQUENCY ELECTRONICS, INC. and SUBSIDIARIES</w:t>
            </w: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5740" w:type="dxa"/>
            <w:vAlign w:val="bottom"/>
            <w:gridSpan w:val="2"/>
          </w:tcPr>
          <w:p>
            <w:pPr>
              <w:jc w:val="center"/>
              <w:ind w:right="790"/>
              <w:spacing w:after="0"/>
              <w:rPr>
                <w:sz w:val="20"/>
                <w:szCs w:val="20"/>
                <w:color w:val="auto"/>
              </w:rPr>
            </w:pPr>
            <w:r>
              <w:rPr>
                <w:rFonts w:ascii="Arial" w:cs="Arial" w:eastAsia="Arial" w:hAnsi="Arial"/>
                <w:sz w:val="18"/>
                <w:szCs w:val="18"/>
                <w:color w:val="auto"/>
                <w:w w:val="88"/>
              </w:rPr>
              <w:t>Condensed Consolidated Statements of Operations</w:t>
            </w: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2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5740" w:type="dxa"/>
            <w:vAlign w:val="bottom"/>
            <w:gridSpan w:val="2"/>
          </w:tcPr>
          <w:p>
            <w:pPr>
              <w:jc w:val="center"/>
              <w:ind w:right="790"/>
              <w:spacing w:after="0"/>
              <w:rPr>
                <w:sz w:val="20"/>
                <w:szCs w:val="20"/>
                <w:color w:val="auto"/>
              </w:rPr>
            </w:pPr>
            <w:r>
              <w:rPr>
                <w:rFonts w:ascii="Arial" w:cs="Arial" w:eastAsia="Arial" w:hAnsi="Arial"/>
                <w:sz w:val="18"/>
                <w:szCs w:val="18"/>
                <w:color w:val="auto"/>
                <w:w w:val="90"/>
              </w:rPr>
              <w:t>Three Months Ended July 31,</w:t>
            </w: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5740" w:type="dxa"/>
            <w:vAlign w:val="bottom"/>
            <w:gridSpan w:val="2"/>
          </w:tcPr>
          <w:p>
            <w:pPr>
              <w:jc w:val="center"/>
              <w:ind w:right="790"/>
              <w:spacing w:after="0"/>
              <w:rPr>
                <w:sz w:val="20"/>
                <w:szCs w:val="20"/>
                <w:color w:val="auto"/>
              </w:rPr>
            </w:pPr>
            <w:r>
              <w:rPr>
                <w:rFonts w:ascii="Arial" w:cs="Arial" w:eastAsia="Arial" w:hAnsi="Arial"/>
                <w:sz w:val="18"/>
                <w:szCs w:val="18"/>
                <w:color w:val="auto"/>
                <w:w w:val="91"/>
              </w:rPr>
              <w:t>(Unaudited)</w:t>
            </w: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55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2011</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5500" w:type="dxa"/>
            <w:vAlign w:val="bottom"/>
          </w:tcPr>
          <w:p>
            <w:pPr>
              <w:spacing w:after="0"/>
              <w:rPr>
                <w:sz w:val="20"/>
                <w:szCs w:val="20"/>
                <w:color w:val="auto"/>
              </w:rPr>
            </w:pPr>
          </w:p>
        </w:tc>
        <w:tc>
          <w:tcPr>
            <w:tcW w:w="2640" w:type="dxa"/>
            <w:vAlign w:val="bottom"/>
            <w:gridSpan w:val="7"/>
          </w:tcPr>
          <w:p>
            <w:pPr>
              <w:spacing w:after="0"/>
              <w:rPr>
                <w:sz w:val="20"/>
                <w:szCs w:val="20"/>
                <w:color w:val="auto"/>
              </w:rPr>
            </w:pPr>
            <w:r>
              <w:rPr>
                <w:rFonts w:ascii="Arial" w:cs="Arial" w:eastAsia="Arial" w:hAnsi="Arial"/>
                <w:sz w:val="18"/>
                <w:szCs w:val="18"/>
                <w:color w:val="auto"/>
                <w:w w:val="89"/>
              </w:rPr>
              <w:t>(In thousands except per share data)</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3260" w:type="dxa"/>
            <w:vAlign w:val="bottom"/>
          </w:tcPr>
          <w:p>
            <w:pPr>
              <w:spacing w:after="0"/>
              <w:rPr>
                <w:sz w:val="17"/>
                <w:szCs w:val="17"/>
                <w:color w:val="auto"/>
              </w:rPr>
            </w:pPr>
          </w:p>
        </w:tc>
        <w:tc>
          <w:tcPr>
            <w:tcW w:w="5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60" w:type="dxa"/>
            <w:vAlign w:val="bottom"/>
            <w:shd w:val="clear" w:color="auto" w:fill="CCFFCC"/>
          </w:tcPr>
          <w:p>
            <w:pPr>
              <w:spacing w:after="0"/>
              <w:rPr>
                <w:sz w:val="20"/>
                <w:szCs w:val="20"/>
                <w:color w:val="auto"/>
              </w:rPr>
            </w:pPr>
            <w:r>
              <w:rPr>
                <w:rFonts w:ascii="Arial" w:cs="Arial" w:eastAsia="Arial" w:hAnsi="Arial"/>
                <w:sz w:val="18"/>
                <w:szCs w:val="18"/>
                <w:color w:val="auto"/>
              </w:rPr>
              <w:t>Net revenues</w:t>
            </w:r>
          </w:p>
        </w:tc>
        <w:tc>
          <w:tcPr>
            <w:tcW w:w="5740" w:type="dxa"/>
            <w:vAlign w:val="bottom"/>
            <w:gridSpan w:val="2"/>
            <w:shd w:val="clear" w:color="auto" w:fill="CCFFCC"/>
          </w:tcPr>
          <w:p>
            <w:pPr>
              <w:ind w:left="55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15,939</w:t>
            </w:r>
          </w:p>
        </w:tc>
        <w:tc>
          <w:tcPr>
            <w:tcW w:w="3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12,124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Cost of revenues</w:t>
            </w:r>
          </w:p>
        </w:tc>
        <w:tc>
          <w:tcPr>
            <w:tcW w:w="55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9,795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7,378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shd w:val="clear" w:color="auto" w:fill="CCFFCC"/>
          </w:tcPr>
          <w:p>
            <w:pPr>
              <w:ind w:left="320"/>
              <w:spacing w:after="0"/>
              <w:rPr>
                <w:sz w:val="20"/>
                <w:szCs w:val="20"/>
                <w:color w:val="auto"/>
              </w:rPr>
            </w:pPr>
            <w:r>
              <w:rPr>
                <w:rFonts w:ascii="Arial" w:cs="Arial" w:eastAsia="Arial" w:hAnsi="Arial"/>
                <w:sz w:val="18"/>
                <w:szCs w:val="18"/>
                <w:color w:val="auto"/>
              </w:rPr>
              <w:t>Gross margin</w:t>
            </w:r>
          </w:p>
        </w:tc>
        <w:tc>
          <w:tcPr>
            <w:tcW w:w="550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6,144</w:t>
            </w: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4,746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60" w:type="dxa"/>
            <w:vAlign w:val="bottom"/>
          </w:tcPr>
          <w:p>
            <w:pPr>
              <w:spacing w:after="0"/>
              <w:rPr>
                <w:sz w:val="18"/>
                <w:szCs w:val="18"/>
                <w:color w:val="auto"/>
              </w:rPr>
            </w:pPr>
          </w:p>
        </w:tc>
        <w:tc>
          <w:tcPr>
            <w:tcW w:w="5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60" w:type="dxa"/>
            <w:vAlign w:val="bottom"/>
            <w:shd w:val="clear" w:color="auto" w:fill="CCFFCC"/>
          </w:tcPr>
          <w:p>
            <w:pPr>
              <w:spacing w:after="0"/>
              <w:rPr>
                <w:sz w:val="20"/>
                <w:szCs w:val="20"/>
                <w:color w:val="auto"/>
              </w:rPr>
            </w:pPr>
            <w:r>
              <w:rPr>
                <w:rFonts w:ascii="Arial" w:cs="Arial" w:eastAsia="Arial" w:hAnsi="Arial"/>
                <w:sz w:val="18"/>
                <w:szCs w:val="18"/>
                <w:color w:val="auto"/>
              </w:rPr>
              <w:t>Selling and administrative expenses</w:t>
            </w:r>
          </w:p>
        </w:tc>
        <w:tc>
          <w:tcPr>
            <w:tcW w:w="550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3,162</w:t>
            </w: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2,795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Research and development expense</w:t>
            </w:r>
          </w:p>
        </w:tc>
        <w:tc>
          <w:tcPr>
            <w:tcW w:w="55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shd w:val="clear" w:color="auto" w:fill="CCFFCC"/>
          </w:tcPr>
          <w:p>
            <w:pPr>
              <w:ind w:left="320"/>
              <w:spacing w:after="0"/>
              <w:rPr>
                <w:sz w:val="20"/>
                <w:szCs w:val="20"/>
                <w:color w:val="auto"/>
              </w:rPr>
            </w:pPr>
            <w:r>
              <w:rPr>
                <w:rFonts w:ascii="Arial" w:cs="Arial" w:eastAsia="Arial" w:hAnsi="Arial"/>
                <w:sz w:val="18"/>
                <w:szCs w:val="18"/>
                <w:color w:val="auto"/>
              </w:rPr>
              <w:t>Operating profit</w:t>
            </w:r>
          </w:p>
        </w:tc>
        <w:tc>
          <w:tcPr>
            <w:tcW w:w="550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1,784</w:t>
            </w: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789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60" w:type="dxa"/>
            <w:vAlign w:val="bottom"/>
          </w:tcPr>
          <w:p>
            <w:pPr>
              <w:spacing w:after="0"/>
              <w:rPr>
                <w:sz w:val="18"/>
                <w:szCs w:val="18"/>
                <w:color w:val="auto"/>
              </w:rPr>
            </w:pPr>
          </w:p>
        </w:tc>
        <w:tc>
          <w:tcPr>
            <w:tcW w:w="5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60" w:type="dxa"/>
            <w:vAlign w:val="bottom"/>
            <w:shd w:val="clear" w:color="auto" w:fill="CCFFCC"/>
          </w:tcPr>
          <w:p>
            <w:pPr>
              <w:spacing w:after="0"/>
              <w:rPr>
                <w:sz w:val="20"/>
                <w:szCs w:val="20"/>
                <w:color w:val="auto"/>
              </w:rPr>
            </w:pPr>
            <w:r>
              <w:rPr>
                <w:rFonts w:ascii="Arial" w:cs="Arial" w:eastAsia="Arial" w:hAnsi="Arial"/>
                <w:sz w:val="18"/>
                <w:szCs w:val="18"/>
                <w:color w:val="auto"/>
              </w:rPr>
              <w:t>Other income (expense):</w:t>
            </w:r>
          </w:p>
        </w:tc>
        <w:tc>
          <w:tcPr>
            <w:tcW w:w="550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tcPr>
          <w:p>
            <w:pPr>
              <w:ind w:left="160"/>
              <w:spacing w:after="0"/>
              <w:rPr>
                <w:sz w:val="20"/>
                <w:szCs w:val="20"/>
                <w:color w:val="auto"/>
              </w:rPr>
            </w:pPr>
            <w:r>
              <w:rPr>
                <w:rFonts w:ascii="Arial" w:cs="Arial" w:eastAsia="Arial" w:hAnsi="Arial"/>
                <w:sz w:val="18"/>
                <w:szCs w:val="18"/>
                <w:color w:val="auto"/>
              </w:rPr>
              <w:t>Investment income</w:t>
            </w:r>
          </w:p>
        </w:tc>
        <w:tc>
          <w:tcPr>
            <w:tcW w:w="5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125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shd w:val="clear" w:color="auto" w:fill="CCFFCC"/>
          </w:tcPr>
          <w:p>
            <w:pPr>
              <w:ind w:left="160"/>
              <w:spacing w:after="0"/>
              <w:rPr>
                <w:sz w:val="20"/>
                <w:szCs w:val="20"/>
                <w:color w:val="auto"/>
              </w:rPr>
            </w:pPr>
            <w:r>
              <w:rPr>
                <w:rFonts w:ascii="Arial" w:cs="Arial" w:eastAsia="Arial" w:hAnsi="Arial"/>
                <w:sz w:val="18"/>
                <w:szCs w:val="18"/>
                <w:color w:val="auto"/>
              </w:rPr>
              <w:t>Equity income</w:t>
            </w:r>
          </w:p>
        </w:tc>
        <w:tc>
          <w:tcPr>
            <w:tcW w:w="550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19</w:t>
            </w: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tcPr>
          <w:p>
            <w:pPr>
              <w:ind w:left="160"/>
              <w:spacing w:after="0"/>
              <w:rPr>
                <w:sz w:val="20"/>
                <w:szCs w:val="20"/>
                <w:color w:val="auto"/>
              </w:rPr>
            </w:pPr>
            <w:r>
              <w:rPr>
                <w:rFonts w:ascii="Arial" w:cs="Arial" w:eastAsia="Arial" w:hAnsi="Arial"/>
                <w:sz w:val="18"/>
                <w:szCs w:val="18"/>
                <w:color w:val="auto"/>
              </w:rPr>
              <w:t>Interest expense</w:t>
            </w:r>
          </w:p>
        </w:tc>
        <w:tc>
          <w:tcPr>
            <w:tcW w:w="5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(24)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60" w:type="dxa"/>
            <w:vAlign w:val="bottom"/>
            <w:shd w:val="clear" w:color="auto" w:fill="CCFFCC"/>
          </w:tcPr>
          <w:p>
            <w:pPr>
              <w:ind w:left="160"/>
              <w:spacing w:after="0"/>
              <w:rPr>
                <w:sz w:val="20"/>
                <w:szCs w:val="20"/>
                <w:color w:val="auto"/>
              </w:rPr>
            </w:pPr>
            <w:r>
              <w:rPr>
                <w:rFonts w:ascii="Arial" w:cs="Arial" w:eastAsia="Arial" w:hAnsi="Arial"/>
                <w:sz w:val="18"/>
                <w:szCs w:val="18"/>
                <w:color w:val="auto"/>
              </w:rPr>
              <w:t>Other income (expense), net</w:t>
            </w:r>
          </w:p>
        </w:tc>
        <w:tc>
          <w:tcPr>
            <w:tcW w:w="5500" w:type="dxa"/>
            <w:vAlign w:val="bottom"/>
            <w:shd w:val="clear" w:color="auto" w:fill="CCFFCC"/>
          </w:tcPr>
          <w:p>
            <w:pPr>
              <w:spacing w:after="0"/>
              <w:rPr>
                <w:sz w:val="19"/>
                <w:szCs w:val="19"/>
                <w:color w:val="auto"/>
              </w:rPr>
            </w:pPr>
          </w:p>
        </w:tc>
        <w:tc>
          <w:tcPr>
            <w:tcW w:w="240" w:type="dxa"/>
            <w:vAlign w:val="bottom"/>
            <w:shd w:val="clear" w:color="auto" w:fill="CCFFCC"/>
          </w:tcPr>
          <w:p>
            <w:pPr>
              <w:spacing w:after="0"/>
              <w:rPr>
                <w:sz w:val="19"/>
                <w:szCs w:val="19"/>
                <w:color w:val="auto"/>
              </w:rPr>
            </w:pP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80</w:t>
            </w:r>
          </w:p>
        </w:tc>
        <w:tc>
          <w:tcPr>
            <w:tcW w:w="140" w:type="dxa"/>
            <w:vAlign w:val="bottom"/>
            <w:shd w:val="clear" w:color="auto" w:fill="CCFFCC"/>
          </w:tcPr>
          <w:p>
            <w:pPr>
              <w:spacing w:after="0"/>
              <w:rPr>
                <w:sz w:val="19"/>
                <w:szCs w:val="19"/>
                <w:color w:val="auto"/>
              </w:rPr>
            </w:pPr>
          </w:p>
        </w:tc>
        <w:tc>
          <w:tcPr>
            <w:tcW w:w="80" w:type="dxa"/>
            <w:vAlign w:val="bottom"/>
            <w:shd w:val="clear" w:color="auto" w:fill="CCFFCC"/>
          </w:tcPr>
          <w:p>
            <w:pPr>
              <w:spacing w:after="0"/>
              <w:rPr>
                <w:sz w:val="19"/>
                <w:szCs w:val="19"/>
                <w:color w:val="auto"/>
              </w:rPr>
            </w:pPr>
          </w:p>
        </w:tc>
        <w:tc>
          <w:tcPr>
            <w:tcW w:w="240" w:type="dxa"/>
            <w:vAlign w:val="bottom"/>
            <w:shd w:val="clear" w:color="auto" w:fill="CCFFCC"/>
          </w:tcPr>
          <w:p>
            <w:pPr>
              <w:spacing w:after="0"/>
              <w:rPr>
                <w:sz w:val="19"/>
                <w:szCs w:val="19"/>
                <w:color w:val="auto"/>
              </w:rPr>
            </w:pPr>
          </w:p>
        </w:tc>
        <w:tc>
          <w:tcPr>
            <w:tcW w:w="10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tcBorders>
              <w:top w:val="single" w:sz="8" w:color="CCFFCC"/>
            </w:tcBorders>
          </w:tcPr>
          <w:p>
            <w:pPr>
              <w:spacing w:after="0"/>
              <w:rPr>
                <w:sz w:val="20"/>
                <w:szCs w:val="20"/>
                <w:color w:val="auto"/>
              </w:rPr>
            </w:pPr>
            <w:r>
              <w:rPr>
                <w:rFonts w:ascii="Arial" w:cs="Arial" w:eastAsia="Arial" w:hAnsi="Arial"/>
                <w:sz w:val="18"/>
                <w:szCs w:val="18"/>
                <w:color w:val="auto"/>
                <w:w w:val="98"/>
              </w:rPr>
              <w:t>Income before provision for income taxes</w:t>
            </w:r>
          </w:p>
        </w:tc>
        <w:tc>
          <w:tcPr>
            <w:tcW w:w="5500" w:type="dxa"/>
            <w:vAlign w:val="bottom"/>
            <w:tcBorders>
              <w:top w:val="single" w:sz="8" w:color="CCFFCC"/>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1,984</w:t>
            </w:r>
          </w:p>
        </w:tc>
        <w:tc>
          <w:tcPr>
            <w:tcW w:w="140" w:type="dxa"/>
            <w:vAlign w:val="bottom"/>
            <w:tcBorders>
              <w:top w:val="single" w:sz="8" w:color="CCFFCC"/>
            </w:tcBorders>
          </w:tcPr>
          <w:p>
            <w:pPr>
              <w:spacing w:after="0"/>
              <w:rPr>
                <w:sz w:val="18"/>
                <w:szCs w:val="18"/>
                <w:color w:val="auto"/>
              </w:rPr>
            </w:pPr>
          </w:p>
        </w:tc>
        <w:tc>
          <w:tcPr>
            <w:tcW w:w="80" w:type="dxa"/>
            <w:vAlign w:val="bottom"/>
            <w:tcBorders>
              <w:top w:val="single" w:sz="8" w:color="CCFFCC"/>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857</w:t>
            </w:r>
          </w:p>
        </w:tc>
        <w:tc>
          <w:tcPr>
            <w:tcW w:w="10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60" w:type="dxa"/>
            <w:vAlign w:val="bottom"/>
            <w:shd w:val="clear" w:color="auto" w:fill="CCFFCC"/>
          </w:tcPr>
          <w:p>
            <w:pPr>
              <w:spacing w:after="0"/>
              <w:rPr>
                <w:sz w:val="18"/>
                <w:szCs w:val="18"/>
                <w:color w:val="auto"/>
              </w:rPr>
            </w:pPr>
          </w:p>
        </w:tc>
        <w:tc>
          <w:tcPr>
            <w:tcW w:w="550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55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260" w:type="dxa"/>
            <w:vAlign w:val="bottom"/>
            <w:shd w:val="clear" w:color="auto" w:fill="CCFFCC"/>
          </w:tcPr>
          <w:p>
            <w:pPr>
              <w:ind w:left="320"/>
              <w:spacing w:after="0"/>
              <w:rPr>
                <w:sz w:val="20"/>
                <w:szCs w:val="20"/>
                <w:color w:val="auto"/>
              </w:rPr>
            </w:pPr>
            <w:r>
              <w:rPr>
                <w:rFonts w:ascii="Arial" w:cs="Arial" w:eastAsia="Arial" w:hAnsi="Arial"/>
                <w:sz w:val="18"/>
                <w:szCs w:val="18"/>
                <w:color w:val="auto"/>
              </w:rPr>
              <w:t>Net income</w:t>
            </w:r>
          </w:p>
        </w:tc>
        <w:tc>
          <w:tcPr>
            <w:tcW w:w="5740" w:type="dxa"/>
            <w:vAlign w:val="bottom"/>
            <w:gridSpan w:val="2"/>
            <w:shd w:val="clear" w:color="auto" w:fill="CCFFCC"/>
          </w:tcPr>
          <w:p>
            <w:pPr>
              <w:ind w:left="55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1,344</w:t>
            </w:r>
          </w:p>
        </w:tc>
        <w:tc>
          <w:tcPr>
            <w:tcW w:w="3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507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260" w:type="dxa"/>
            <w:vAlign w:val="bottom"/>
            <w:tcBorders>
              <w:top w:val="single" w:sz="8" w:color="CCFFCC"/>
            </w:tcBorders>
          </w:tcPr>
          <w:p>
            <w:pPr>
              <w:spacing w:after="0"/>
              <w:rPr>
                <w:sz w:val="18"/>
                <w:szCs w:val="18"/>
                <w:color w:val="auto"/>
              </w:rPr>
            </w:pPr>
          </w:p>
        </w:tc>
        <w:tc>
          <w:tcPr>
            <w:tcW w:w="5500" w:type="dxa"/>
            <w:vAlign w:val="bottom"/>
            <w:tcBorders>
              <w:top w:val="single" w:sz="8" w:color="CCFFCC"/>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Borders>
              <w:top w:val="single" w:sz="8" w:color="CCFFCC"/>
            </w:tcBorders>
          </w:tcPr>
          <w:p>
            <w:pPr>
              <w:spacing w:after="0"/>
              <w:rPr>
                <w:sz w:val="18"/>
                <w:szCs w:val="18"/>
                <w:color w:val="auto"/>
              </w:rPr>
            </w:pPr>
          </w:p>
        </w:tc>
        <w:tc>
          <w:tcPr>
            <w:tcW w:w="80" w:type="dxa"/>
            <w:vAlign w:val="bottom"/>
            <w:tcBorders>
              <w:top w:val="single" w:sz="8" w:color="CCFFCC"/>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60" w:type="dxa"/>
            <w:vAlign w:val="bottom"/>
            <w:shd w:val="clear" w:color="auto" w:fill="CCFFCC"/>
          </w:tcPr>
          <w:p>
            <w:pPr>
              <w:spacing w:after="0"/>
              <w:rPr>
                <w:sz w:val="20"/>
                <w:szCs w:val="20"/>
                <w:color w:val="auto"/>
              </w:rPr>
            </w:pPr>
            <w:r>
              <w:rPr>
                <w:rFonts w:ascii="Arial" w:cs="Arial" w:eastAsia="Arial" w:hAnsi="Arial"/>
                <w:sz w:val="18"/>
                <w:szCs w:val="18"/>
                <w:color w:val="auto"/>
              </w:rPr>
              <w:t>Net income per common share:</w:t>
            </w:r>
          </w:p>
        </w:tc>
        <w:tc>
          <w:tcPr>
            <w:tcW w:w="550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tcPr>
          <w:p>
            <w:pPr>
              <w:ind w:left="320"/>
              <w:spacing w:after="0"/>
              <w:rPr>
                <w:sz w:val="20"/>
                <w:szCs w:val="20"/>
                <w:color w:val="auto"/>
              </w:rPr>
            </w:pPr>
            <w:r>
              <w:rPr>
                <w:rFonts w:ascii="Arial" w:cs="Arial" w:eastAsia="Arial" w:hAnsi="Arial"/>
                <w:sz w:val="18"/>
                <w:szCs w:val="18"/>
                <w:color w:val="auto"/>
              </w:rPr>
              <w:t>Basic</w:t>
            </w:r>
          </w:p>
        </w:tc>
        <w:tc>
          <w:tcPr>
            <w:tcW w:w="5740" w:type="dxa"/>
            <w:vAlign w:val="bottom"/>
            <w:gridSpan w:val="2"/>
          </w:tcPr>
          <w:p>
            <w:pPr>
              <w:ind w:left="55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0.16</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260" w:type="dxa"/>
            <w:vAlign w:val="bottom"/>
            <w:shd w:val="clear" w:color="auto" w:fill="CCFFCC"/>
          </w:tcPr>
          <w:p>
            <w:pPr>
              <w:ind w:left="320"/>
              <w:spacing w:after="0"/>
              <w:rPr>
                <w:sz w:val="20"/>
                <w:szCs w:val="20"/>
                <w:color w:val="auto"/>
              </w:rPr>
            </w:pPr>
            <w:r>
              <w:rPr>
                <w:rFonts w:ascii="Arial" w:cs="Arial" w:eastAsia="Arial" w:hAnsi="Arial"/>
                <w:sz w:val="18"/>
                <w:szCs w:val="18"/>
                <w:color w:val="auto"/>
              </w:rPr>
              <w:t>Diluted</w:t>
            </w:r>
          </w:p>
        </w:tc>
        <w:tc>
          <w:tcPr>
            <w:tcW w:w="5740" w:type="dxa"/>
            <w:vAlign w:val="bottom"/>
            <w:gridSpan w:val="2"/>
            <w:shd w:val="clear" w:color="auto" w:fill="CCFFCC"/>
          </w:tcPr>
          <w:p>
            <w:pPr>
              <w:ind w:left="55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0.16</w:t>
            </w:r>
          </w:p>
        </w:tc>
        <w:tc>
          <w:tcPr>
            <w:tcW w:w="3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260" w:type="dxa"/>
            <w:vAlign w:val="bottom"/>
            <w:tcBorders>
              <w:top w:val="single" w:sz="8" w:color="CCFFCC"/>
            </w:tcBorders>
          </w:tcPr>
          <w:p>
            <w:pPr>
              <w:spacing w:after="0"/>
              <w:rPr>
                <w:sz w:val="18"/>
                <w:szCs w:val="18"/>
                <w:color w:val="auto"/>
              </w:rPr>
            </w:pPr>
          </w:p>
        </w:tc>
        <w:tc>
          <w:tcPr>
            <w:tcW w:w="5500" w:type="dxa"/>
            <w:vAlign w:val="bottom"/>
            <w:tcBorders>
              <w:top w:val="single" w:sz="8" w:color="CCFFCC"/>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Borders>
              <w:top w:val="single" w:sz="8" w:color="CCFFCC"/>
            </w:tcBorders>
          </w:tcPr>
          <w:p>
            <w:pPr>
              <w:spacing w:after="0"/>
              <w:rPr>
                <w:sz w:val="18"/>
                <w:szCs w:val="18"/>
                <w:color w:val="auto"/>
              </w:rPr>
            </w:pPr>
          </w:p>
        </w:tc>
        <w:tc>
          <w:tcPr>
            <w:tcW w:w="80" w:type="dxa"/>
            <w:vAlign w:val="bottom"/>
            <w:tcBorders>
              <w:top w:val="single" w:sz="8" w:color="CCFFCC"/>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60" w:type="dxa"/>
            <w:vAlign w:val="bottom"/>
            <w:shd w:val="clear" w:color="auto" w:fill="CCFFCC"/>
          </w:tcPr>
          <w:p>
            <w:pPr>
              <w:spacing w:after="0"/>
              <w:rPr>
                <w:sz w:val="20"/>
                <w:szCs w:val="20"/>
                <w:color w:val="auto"/>
              </w:rPr>
            </w:pPr>
            <w:r>
              <w:rPr>
                <w:rFonts w:ascii="Arial" w:cs="Arial" w:eastAsia="Arial" w:hAnsi="Arial"/>
                <w:sz w:val="18"/>
                <w:szCs w:val="18"/>
                <w:color w:val="auto"/>
              </w:rPr>
              <w:t>Average shares outstanding:</w:t>
            </w:r>
          </w:p>
        </w:tc>
        <w:tc>
          <w:tcPr>
            <w:tcW w:w="550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tcPr>
          <w:p>
            <w:pPr>
              <w:ind w:left="320"/>
              <w:spacing w:after="0"/>
              <w:rPr>
                <w:sz w:val="20"/>
                <w:szCs w:val="20"/>
                <w:color w:val="auto"/>
              </w:rPr>
            </w:pPr>
            <w:r>
              <w:rPr>
                <w:rFonts w:ascii="Arial" w:cs="Arial" w:eastAsia="Arial" w:hAnsi="Arial"/>
                <w:sz w:val="18"/>
                <w:szCs w:val="18"/>
                <w:color w:val="auto"/>
              </w:rPr>
              <w:t>Basic</w:t>
            </w:r>
          </w:p>
        </w:tc>
        <w:tc>
          <w:tcPr>
            <w:tcW w:w="5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8,304,484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8,233,570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260" w:type="dxa"/>
            <w:vAlign w:val="bottom"/>
            <w:tcBorders>
              <w:bottom w:val="single" w:sz="8" w:color="CCFFCC"/>
            </w:tcBorders>
            <w:shd w:val="clear" w:color="auto" w:fill="CCFFCC"/>
          </w:tcPr>
          <w:p>
            <w:pPr>
              <w:ind w:left="320"/>
              <w:spacing w:after="0"/>
              <w:rPr>
                <w:sz w:val="20"/>
                <w:szCs w:val="20"/>
                <w:color w:val="auto"/>
              </w:rPr>
            </w:pPr>
            <w:r>
              <w:rPr>
                <w:rFonts w:ascii="Arial" w:cs="Arial" w:eastAsia="Arial" w:hAnsi="Arial"/>
                <w:sz w:val="18"/>
                <w:szCs w:val="18"/>
                <w:color w:val="auto"/>
              </w:rPr>
              <w:t>Diluted</w:t>
            </w:r>
          </w:p>
        </w:tc>
        <w:tc>
          <w:tcPr>
            <w:tcW w:w="5500" w:type="dxa"/>
            <w:vAlign w:val="bottom"/>
            <w:tcBorders>
              <w:bottom w:val="single" w:sz="8" w:color="CCFFCC"/>
            </w:tcBorders>
            <w:shd w:val="clear" w:color="auto" w:fill="CCFFCC"/>
          </w:tcPr>
          <w:p>
            <w:pPr>
              <w:spacing w:after="0"/>
              <w:rPr>
                <w:sz w:val="21"/>
                <w:szCs w:val="21"/>
                <w:color w:val="auto"/>
              </w:rPr>
            </w:pPr>
          </w:p>
        </w:tc>
        <w:tc>
          <w:tcPr>
            <w:tcW w:w="240" w:type="dxa"/>
            <w:vAlign w:val="bottom"/>
            <w:tcBorders>
              <w:bottom w:val="single" w:sz="8" w:color="auto"/>
            </w:tcBorders>
            <w:shd w:val="clear" w:color="auto" w:fill="CCFFCC"/>
          </w:tcPr>
          <w:p>
            <w:pPr>
              <w:spacing w:after="0"/>
              <w:rPr>
                <w:sz w:val="21"/>
                <w:szCs w:val="21"/>
                <w:color w:val="auto"/>
              </w:rPr>
            </w:pPr>
          </w:p>
        </w:tc>
        <w:tc>
          <w:tcPr>
            <w:tcW w:w="9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8,503,101</w:t>
            </w:r>
          </w:p>
        </w:tc>
        <w:tc>
          <w:tcPr>
            <w:tcW w:w="140" w:type="dxa"/>
            <w:vAlign w:val="bottom"/>
            <w:tcBorders>
              <w:bottom w:val="single" w:sz="8" w:color="CCFFCC"/>
            </w:tcBorders>
            <w:shd w:val="clear" w:color="auto" w:fill="CCFFCC"/>
          </w:tcPr>
          <w:p>
            <w:pPr>
              <w:spacing w:after="0"/>
              <w:rPr>
                <w:sz w:val="21"/>
                <w:szCs w:val="21"/>
                <w:color w:val="auto"/>
              </w:rPr>
            </w:pPr>
          </w:p>
        </w:tc>
        <w:tc>
          <w:tcPr>
            <w:tcW w:w="80" w:type="dxa"/>
            <w:vAlign w:val="bottom"/>
            <w:tcBorders>
              <w:bottom w:val="single" w:sz="8" w:color="CCFFCC"/>
            </w:tcBorders>
            <w:shd w:val="clear" w:color="auto" w:fill="CCFFCC"/>
          </w:tcPr>
          <w:p>
            <w:pPr>
              <w:spacing w:after="0"/>
              <w:rPr>
                <w:sz w:val="21"/>
                <w:szCs w:val="21"/>
                <w:color w:val="auto"/>
              </w:rPr>
            </w:pPr>
          </w:p>
        </w:tc>
        <w:tc>
          <w:tcPr>
            <w:tcW w:w="240" w:type="dxa"/>
            <w:vAlign w:val="bottom"/>
            <w:tcBorders>
              <w:bottom w:val="single" w:sz="8" w:color="auto"/>
            </w:tcBorders>
            <w:shd w:val="clear" w:color="auto" w:fill="CCFFCC"/>
          </w:tcPr>
          <w:p>
            <w:pPr>
              <w:spacing w:after="0"/>
              <w:rPr>
                <w:sz w:val="21"/>
                <w:szCs w:val="21"/>
                <w:color w:val="auto"/>
              </w:rPr>
            </w:pPr>
          </w:p>
        </w:tc>
        <w:tc>
          <w:tcPr>
            <w:tcW w:w="9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8,280,332</w:t>
            </w:r>
          </w:p>
        </w:tc>
        <w:tc>
          <w:tcPr>
            <w:tcW w:w="100" w:type="dxa"/>
            <w:vAlign w:val="bottom"/>
            <w:tcBorders>
              <w:bottom w:val="single" w:sz="8" w:color="CCFFCC"/>
            </w:tcBorders>
            <w:shd w:val="clear" w:color="auto" w:fill="CCFFCC"/>
          </w:tcPr>
          <w:p>
            <w:pPr>
              <w:spacing w:after="0"/>
              <w:rPr>
                <w:sz w:val="21"/>
                <w:szCs w:val="2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 of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8340" w:type="dxa"/>
            <w:vAlign w:val="bottom"/>
          </w:tcPr>
          <w:p>
            <w:pPr>
              <w:jc w:val="center"/>
              <w:ind w:left="2970"/>
              <w:spacing w:after="0"/>
              <w:rPr>
                <w:sz w:val="20"/>
                <w:szCs w:val="20"/>
                <w:color w:val="auto"/>
              </w:rPr>
            </w:pPr>
            <w:r>
              <w:rPr>
                <w:rFonts w:ascii="Arial" w:cs="Arial" w:eastAsia="Arial" w:hAnsi="Arial"/>
                <w:sz w:val="18"/>
                <w:szCs w:val="18"/>
                <w:color w:val="auto"/>
                <w:w w:val="95"/>
              </w:rPr>
              <w:t>FREQUENCY ELECTRONICS, INC. and SUBSIDIARIES</w:t>
            </w: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8340" w:type="dxa"/>
            <w:vAlign w:val="bottom"/>
          </w:tcPr>
          <w:p>
            <w:pPr>
              <w:jc w:val="center"/>
              <w:ind w:left="2970"/>
              <w:spacing w:after="0"/>
              <w:rPr>
                <w:sz w:val="20"/>
                <w:szCs w:val="20"/>
                <w:color w:val="auto"/>
              </w:rPr>
            </w:pPr>
            <w:r>
              <w:rPr>
                <w:rFonts w:ascii="Arial" w:cs="Arial" w:eastAsia="Arial" w:hAnsi="Arial"/>
                <w:sz w:val="18"/>
                <w:szCs w:val="18"/>
                <w:color w:val="auto"/>
                <w:w w:val="89"/>
              </w:rPr>
              <w:t>Condensed Consolidated Statements of Cash Flows</w:t>
            </w: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20" w:type="dxa"/>
            <w:vAlign w:val="bottom"/>
          </w:tcPr>
          <w:p>
            <w:pPr>
              <w:spacing w:after="0"/>
              <w:rPr>
                <w:sz w:val="24"/>
                <w:szCs w:val="24"/>
                <w:color w:val="auto"/>
              </w:rPr>
            </w:pPr>
          </w:p>
        </w:tc>
        <w:tc>
          <w:tcPr>
            <w:tcW w:w="8340" w:type="dxa"/>
            <w:vAlign w:val="bottom"/>
          </w:tcPr>
          <w:p>
            <w:pPr>
              <w:jc w:val="center"/>
              <w:ind w:left="2950"/>
              <w:spacing w:after="0"/>
              <w:rPr>
                <w:sz w:val="20"/>
                <w:szCs w:val="20"/>
                <w:color w:val="auto"/>
              </w:rPr>
            </w:pPr>
            <w:r>
              <w:rPr>
                <w:rFonts w:ascii="Arial" w:cs="Arial" w:eastAsia="Arial" w:hAnsi="Arial"/>
                <w:sz w:val="18"/>
                <w:szCs w:val="18"/>
                <w:color w:val="auto"/>
                <w:w w:val="90"/>
              </w:rPr>
              <w:t>Three Months Ended July 31,</w:t>
            </w: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340" w:type="dxa"/>
            <w:vAlign w:val="bottom"/>
          </w:tcPr>
          <w:p>
            <w:pPr>
              <w:jc w:val="center"/>
              <w:ind w:left="2950"/>
              <w:spacing w:after="0"/>
              <w:rPr>
                <w:sz w:val="20"/>
                <w:szCs w:val="20"/>
                <w:color w:val="auto"/>
              </w:rPr>
            </w:pPr>
            <w:r>
              <w:rPr>
                <w:rFonts w:ascii="Arial" w:cs="Arial" w:eastAsia="Arial" w:hAnsi="Arial"/>
                <w:sz w:val="18"/>
                <w:szCs w:val="18"/>
                <w:color w:val="auto"/>
                <w:w w:val="91"/>
              </w:rPr>
              <w:t>(Unaudited)</w:t>
            </w: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8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2011</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3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110"/>
              <w:spacing w:after="0"/>
              <w:rPr>
                <w:sz w:val="20"/>
                <w:szCs w:val="20"/>
                <w:color w:val="auto"/>
              </w:rPr>
            </w:pPr>
            <w:r>
              <w:rPr>
                <w:rFonts w:ascii="Arial" w:cs="Arial" w:eastAsia="Arial" w:hAnsi="Arial"/>
                <w:sz w:val="18"/>
                <w:szCs w:val="18"/>
                <w:color w:val="auto"/>
              </w:rPr>
              <w:t>(In</w:t>
            </w:r>
          </w:p>
        </w:tc>
        <w:tc>
          <w:tcPr>
            <w:tcW w:w="1360" w:type="dxa"/>
            <w:vAlign w:val="bottom"/>
            <w:gridSpan w:val="4"/>
          </w:tcPr>
          <w:p>
            <w:pPr>
              <w:jc w:val="right"/>
              <w:ind w:right="650"/>
              <w:spacing w:after="0"/>
              <w:rPr>
                <w:sz w:val="20"/>
                <w:szCs w:val="20"/>
                <w:color w:val="auto"/>
              </w:rPr>
            </w:pPr>
            <w:r>
              <w:rPr>
                <w:rFonts w:ascii="Arial" w:cs="Arial" w:eastAsia="Arial" w:hAnsi="Arial"/>
                <w:sz w:val="17"/>
                <w:szCs w:val="17"/>
                <w:color w:val="auto"/>
                <w:w w:val="71"/>
              </w:rPr>
              <w:t>thousands)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83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40" w:type="dxa"/>
            <w:vAlign w:val="bottom"/>
            <w:shd w:val="clear" w:color="auto" w:fill="CCFFCC"/>
          </w:tcPr>
          <w:p>
            <w:pPr>
              <w:spacing w:after="0"/>
              <w:rPr>
                <w:sz w:val="20"/>
                <w:szCs w:val="20"/>
                <w:color w:val="auto"/>
              </w:rPr>
            </w:pPr>
            <w:r>
              <w:rPr>
                <w:rFonts w:ascii="Arial" w:cs="Arial" w:eastAsia="Arial" w:hAnsi="Arial"/>
                <w:sz w:val="18"/>
                <w:szCs w:val="18"/>
                <w:color w:val="auto"/>
              </w:rPr>
              <w:t>Cash flows from operating activities:</w:t>
            </w:r>
          </w:p>
        </w:tc>
        <w:tc>
          <w:tcPr>
            <w:tcW w:w="46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320"/>
              <w:spacing w:after="0"/>
              <w:rPr>
                <w:sz w:val="20"/>
                <w:szCs w:val="20"/>
                <w:color w:val="auto"/>
              </w:rPr>
            </w:pPr>
            <w:r>
              <w:rPr>
                <w:rFonts w:ascii="Arial" w:cs="Arial" w:eastAsia="Arial" w:hAnsi="Arial"/>
                <w:sz w:val="18"/>
                <w:szCs w:val="18"/>
                <w:color w:val="auto"/>
              </w:rPr>
              <w:t>Net income</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55"/>
              <w:spacing w:after="0"/>
              <w:rPr>
                <w:sz w:val="20"/>
                <w:szCs w:val="20"/>
                <w:color w:val="auto"/>
              </w:rPr>
            </w:pPr>
            <w:r>
              <w:rPr>
                <w:rFonts w:ascii="Arial" w:cs="Arial" w:eastAsia="Arial" w:hAnsi="Arial"/>
                <w:sz w:val="18"/>
                <w:szCs w:val="18"/>
                <w:color w:val="auto"/>
              </w:rPr>
              <w:t>1,344</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FFCC"/>
          </w:tcPr>
          <w:p>
            <w:pPr>
              <w:ind w:left="320"/>
              <w:spacing w:after="0"/>
              <w:rPr>
                <w:sz w:val="20"/>
                <w:szCs w:val="20"/>
                <w:color w:val="auto"/>
              </w:rPr>
            </w:pPr>
            <w:r>
              <w:rPr>
                <w:rFonts w:ascii="Arial" w:cs="Arial" w:eastAsia="Arial" w:hAnsi="Arial"/>
                <w:sz w:val="18"/>
                <w:szCs w:val="18"/>
                <w:color w:val="auto"/>
              </w:rPr>
              <w:t>Non-cash charges to earnings, net</w:t>
            </w:r>
          </w:p>
        </w:tc>
        <w:tc>
          <w:tcPr>
            <w:tcW w:w="46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55"/>
              <w:spacing w:after="0"/>
              <w:rPr>
                <w:sz w:val="20"/>
                <w:szCs w:val="20"/>
                <w:color w:val="auto"/>
              </w:rPr>
            </w:pPr>
            <w:r>
              <w:rPr>
                <w:rFonts w:ascii="Arial" w:cs="Arial" w:eastAsia="Arial" w:hAnsi="Arial"/>
                <w:sz w:val="18"/>
                <w:szCs w:val="18"/>
                <w:color w:val="auto"/>
              </w:rPr>
              <w:t>1,052</w:t>
            </w: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1,043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320"/>
              <w:spacing w:after="0"/>
              <w:rPr>
                <w:sz w:val="20"/>
                <w:szCs w:val="20"/>
                <w:color w:val="auto"/>
              </w:rPr>
            </w:pPr>
            <w:r>
              <w:rPr>
                <w:rFonts w:ascii="Arial" w:cs="Arial" w:eastAsia="Arial" w:hAnsi="Arial"/>
                <w:sz w:val="18"/>
                <w:szCs w:val="18"/>
                <w:color w:val="auto"/>
              </w:rPr>
              <w:t>Net changes in operating assets and liabilities</w:t>
            </w: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55"/>
              <w:spacing w:after="0"/>
              <w:rPr>
                <w:sz w:val="20"/>
                <w:szCs w:val="20"/>
                <w:color w:val="auto"/>
              </w:rPr>
            </w:pPr>
            <w:r>
              <w:rPr>
                <w:rFonts w:ascii="Arial" w:cs="Arial" w:eastAsia="Arial" w:hAnsi="Arial"/>
                <w:sz w:val="18"/>
                <w:szCs w:val="18"/>
                <w:color w:val="auto"/>
              </w:rPr>
              <w:t>266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(1,058)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3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8340" w:type="dxa"/>
            <w:vAlign w:val="bottom"/>
            <w:shd w:val="clear" w:color="auto" w:fill="CCFFCC"/>
          </w:tcPr>
          <w:p>
            <w:pPr>
              <w:spacing w:after="0"/>
              <w:rPr>
                <w:sz w:val="20"/>
                <w:szCs w:val="20"/>
                <w:color w:val="auto"/>
              </w:rPr>
            </w:pPr>
            <w:r>
              <w:rPr>
                <w:rFonts w:ascii="Arial" w:cs="Arial" w:eastAsia="Arial" w:hAnsi="Arial"/>
                <w:sz w:val="18"/>
                <w:szCs w:val="18"/>
                <w:color w:val="auto"/>
              </w:rPr>
              <w:t>Net cash provided by operating activities</w:t>
            </w:r>
          </w:p>
        </w:tc>
        <w:tc>
          <w:tcPr>
            <w:tcW w:w="460" w:type="dxa"/>
            <w:vAlign w:val="bottom"/>
            <w:shd w:val="clear" w:color="auto" w:fill="CCFFCC"/>
          </w:tcPr>
          <w:p>
            <w:pPr>
              <w:spacing w:after="0"/>
              <w:rPr>
                <w:sz w:val="19"/>
                <w:szCs w:val="19"/>
                <w:color w:val="auto"/>
              </w:rPr>
            </w:pPr>
          </w:p>
        </w:tc>
        <w:tc>
          <w:tcPr>
            <w:tcW w:w="240" w:type="dxa"/>
            <w:vAlign w:val="bottom"/>
            <w:shd w:val="clear" w:color="auto" w:fill="CCFFCC"/>
          </w:tcPr>
          <w:p>
            <w:pPr>
              <w:spacing w:after="0"/>
              <w:rPr>
                <w:sz w:val="19"/>
                <w:szCs w:val="19"/>
                <w:color w:val="auto"/>
              </w:rPr>
            </w:pPr>
          </w:p>
        </w:tc>
        <w:tc>
          <w:tcPr>
            <w:tcW w:w="1040" w:type="dxa"/>
            <w:vAlign w:val="bottom"/>
            <w:gridSpan w:val="2"/>
            <w:shd w:val="clear" w:color="auto" w:fill="CCFFCC"/>
          </w:tcPr>
          <w:p>
            <w:pPr>
              <w:jc w:val="right"/>
              <w:ind w:right="55"/>
              <w:spacing w:after="0"/>
              <w:rPr>
                <w:sz w:val="20"/>
                <w:szCs w:val="20"/>
                <w:color w:val="auto"/>
              </w:rPr>
            </w:pPr>
            <w:r>
              <w:rPr>
                <w:rFonts w:ascii="Arial" w:cs="Arial" w:eastAsia="Arial" w:hAnsi="Arial"/>
                <w:sz w:val="18"/>
                <w:szCs w:val="18"/>
                <w:color w:val="auto"/>
              </w:rPr>
              <w:t>2,662</w:t>
            </w:r>
          </w:p>
        </w:tc>
        <w:tc>
          <w:tcPr>
            <w:tcW w:w="80" w:type="dxa"/>
            <w:vAlign w:val="bottom"/>
            <w:shd w:val="clear" w:color="auto" w:fill="CCFFCC"/>
          </w:tcPr>
          <w:p>
            <w:pPr>
              <w:spacing w:after="0"/>
              <w:rPr>
                <w:sz w:val="19"/>
                <w:szCs w:val="19"/>
                <w:color w:val="auto"/>
              </w:rPr>
            </w:pPr>
          </w:p>
        </w:tc>
        <w:tc>
          <w:tcPr>
            <w:tcW w:w="240" w:type="dxa"/>
            <w:vAlign w:val="bottom"/>
            <w:shd w:val="clear" w:color="auto" w:fill="CCFFCC"/>
          </w:tcPr>
          <w:p>
            <w:pPr>
              <w:spacing w:after="0"/>
              <w:rPr>
                <w:sz w:val="19"/>
                <w:szCs w:val="19"/>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492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340" w:type="dxa"/>
            <w:vAlign w:val="bottom"/>
            <w:tcBorders>
              <w:top w:val="single" w:sz="8" w:color="CCFFCC"/>
            </w:tcBorders>
          </w:tcPr>
          <w:p>
            <w:pPr>
              <w:spacing w:after="0"/>
              <w:rPr>
                <w:sz w:val="18"/>
                <w:szCs w:val="18"/>
                <w:color w:val="auto"/>
              </w:rPr>
            </w:pPr>
          </w:p>
        </w:tc>
        <w:tc>
          <w:tcPr>
            <w:tcW w:w="460" w:type="dxa"/>
            <w:vAlign w:val="bottom"/>
            <w:tcBorders>
              <w:top w:val="single" w:sz="8" w:color="CCFFCC"/>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FFCC"/>
            </w:tcBorders>
          </w:tcPr>
          <w:p>
            <w:pPr>
              <w:spacing w:after="0"/>
              <w:rPr>
                <w:sz w:val="18"/>
                <w:szCs w:val="18"/>
                <w:color w:val="auto"/>
              </w:rPr>
            </w:pPr>
          </w:p>
        </w:tc>
        <w:tc>
          <w:tcPr>
            <w:tcW w:w="80" w:type="dxa"/>
            <w:vAlign w:val="bottom"/>
            <w:tcBorders>
              <w:top w:val="single" w:sz="8" w:color="CCFFCC"/>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40" w:type="dxa"/>
            <w:vAlign w:val="bottom"/>
            <w:shd w:val="clear" w:color="auto" w:fill="CCFFCC"/>
          </w:tcPr>
          <w:p>
            <w:pPr>
              <w:spacing w:after="0"/>
              <w:rPr>
                <w:sz w:val="20"/>
                <w:szCs w:val="20"/>
                <w:color w:val="auto"/>
              </w:rPr>
            </w:pPr>
            <w:r>
              <w:rPr>
                <w:rFonts w:ascii="Arial" w:cs="Arial" w:eastAsia="Arial" w:hAnsi="Arial"/>
                <w:sz w:val="18"/>
                <w:szCs w:val="18"/>
                <w:color w:val="auto"/>
              </w:rPr>
              <w:t>Cash flows from investing activities:</w:t>
            </w:r>
          </w:p>
        </w:tc>
        <w:tc>
          <w:tcPr>
            <w:tcW w:w="46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320"/>
              <w:spacing w:after="0"/>
              <w:rPr>
                <w:sz w:val="20"/>
                <w:szCs w:val="20"/>
                <w:color w:val="auto"/>
              </w:rPr>
            </w:pPr>
            <w:r>
              <w:rPr>
                <w:rFonts w:ascii="Arial" w:cs="Arial" w:eastAsia="Arial" w:hAnsi="Arial"/>
                <w:sz w:val="18"/>
                <w:szCs w:val="18"/>
                <w:color w:val="auto"/>
              </w:rPr>
              <w:t>Purchase of marketable securities</w:t>
            </w: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(4,324)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FFCC"/>
          </w:tcPr>
          <w:p>
            <w:pPr>
              <w:ind w:left="320"/>
              <w:spacing w:after="0"/>
              <w:rPr>
                <w:sz w:val="20"/>
                <w:szCs w:val="20"/>
                <w:color w:val="auto"/>
              </w:rPr>
            </w:pPr>
            <w:r>
              <w:rPr>
                <w:rFonts w:ascii="Arial" w:cs="Arial" w:eastAsia="Arial" w:hAnsi="Arial"/>
                <w:sz w:val="18"/>
                <w:szCs w:val="18"/>
                <w:color w:val="auto"/>
              </w:rPr>
              <w:t>Proceeds on redemption of marketable securities</w:t>
            </w:r>
          </w:p>
        </w:tc>
        <w:tc>
          <w:tcPr>
            <w:tcW w:w="46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55"/>
              <w:spacing w:after="0"/>
              <w:rPr>
                <w:sz w:val="20"/>
                <w:szCs w:val="20"/>
                <w:color w:val="auto"/>
              </w:rPr>
            </w:pPr>
            <w:r>
              <w:rPr>
                <w:rFonts w:ascii="Arial" w:cs="Arial" w:eastAsia="Arial" w:hAnsi="Arial"/>
                <w:sz w:val="18"/>
                <w:szCs w:val="18"/>
                <w:color w:val="auto"/>
              </w:rPr>
              <w:t>4,511</w:t>
            </w: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320"/>
              <w:spacing w:after="0"/>
              <w:rPr>
                <w:sz w:val="20"/>
                <w:szCs w:val="20"/>
                <w:color w:val="auto"/>
              </w:rPr>
            </w:pPr>
            <w:r>
              <w:rPr>
                <w:rFonts w:ascii="Arial" w:cs="Arial" w:eastAsia="Arial" w:hAnsi="Arial"/>
                <w:sz w:val="18"/>
                <w:szCs w:val="18"/>
                <w:color w:val="auto"/>
              </w:rPr>
              <w:t>Purchase of fixed assets</w:t>
            </w: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(520)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(243)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3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8340" w:type="dxa"/>
            <w:vAlign w:val="bottom"/>
            <w:shd w:val="clear" w:color="auto" w:fill="CCFFCC"/>
          </w:tcPr>
          <w:p>
            <w:pPr>
              <w:spacing w:after="0"/>
              <w:rPr>
                <w:sz w:val="20"/>
                <w:szCs w:val="20"/>
                <w:color w:val="auto"/>
              </w:rPr>
            </w:pPr>
            <w:r>
              <w:rPr>
                <w:rFonts w:ascii="Arial" w:cs="Arial" w:eastAsia="Arial" w:hAnsi="Arial"/>
                <w:sz w:val="18"/>
                <w:szCs w:val="18"/>
                <w:color w:val="auto"/>
              </w:rPr>
              <w:t>Net cash used in investing activities</w:t>
            </w:r>
          </w:p>
        </w:tc>
        <w:tc>
          <w:tcPr>
            <w:tcW w:w="460" w:type="dxa"/>
            <w:vAlign w:val="bottom"/>
            <w:shd w:val="clear" w:color="auto" w:fill="CCFFCC"/>
          </w:tcPr>
          <w:p>
            <w:pPr>
              <w:spacing w:after="0"/>
              <w:rPr>
                <w:sz w:val="19"/>
                <w:szCs w:val="19"/>
                <w:color w:val="auto"/>
              </w:rPr>
            </w:pPr>
          </w:p>
        </w:tc>
        <w:tc>
          <w:tcPr>
            <w:tcW w:w="240" w:type="dxa"/>
            <w:vAlign w:val="bottom"/>
            <w:shd w:val="clear" w:color="auto" w:fill="CCFFCC"/>
          </w:tcPr>
          <w:p>
            <w:pPr>
              <w:spacing w:after="0"/>
              <w:rPr>
                <w:sz w:val="19"/>
                <w:szCs w:val="19"/>
                <w:color w:val="auto"/>
              </w:rPr>
            </w:pPr>
          </w:p>
        </w:tc>
        <w:tc>
          <w:tcPr>
            <w:tcW w:w="10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(333)</w:t>
            </w:r>
          </w:p>
        </w:tc>
        <w:tc>
          <w:tcPr>
            <w:tcW w:w="80" w:type="dxa"/>
            <w:vAlign w:val="bottom"/>
            <w:shd w:val="clear" w:color="auto" w:fill="CCFFCC"/>
          </w:tcPr>
          <w:p>
            <w:pPr>
              <w:spacing w:after="0"/>
              <w:rPr>
                <w:sz w:val="19"/>
                <w:szCs w:val="19"/>
                <w:color w:val="auto"/>
              </w:rPr>
            </w:pPr>
          </w:p>
        </w:tc>
        <w:tc>
          <w:tcPr>
            <w:tcW w:w="240" w:type="dxa"/>
            <w:vAlign w:val="bottom"/>
            <w:shd w:val="clear" w:color="auto" w:fill="CCFFCC"/>
          </w:tcPr>
          <w:p>
            <w:pPr>
              <w:spacing w:after="0"/>
              <w:rPr>
                <w:sz w:val="19"/>
                <w:szCs w:val="19"/>
                <w:color w:val="auto"/>
              </w:rPr>
            </w:pPr>
          </w:p>
        </w:tc>
        <w:tc>
          <w:tcPr>
            <w:tcW w:w="10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(1,243)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340" w:type="dxa"/>
            <w:vAlign w:val="bottom"/>
            <w:tcBorders>
              <w:top w:val="single" w:sz="8" w:color="CCFFCC"/>
            </w:tcBorders>
          </w:tcPr>
          <w:p>
            <w:pPr>
              <w:spacing w:after="0"/>
              <w:rPr>
                <w:sz w:val="18"/>
                <w:szCs w:val="18"/>
                <w:color w:val="auto"/>
              </w:rPr>
            </w:pPr>
          </w:p>
        </w:tc>
        <w:tc>
          <w:tcPr>
            <w:tcW w:w="460" w:type="dxa"/>
            <w:vAlign w:val="bottom"/>
            <w:tcBorders>
              <w:top w:val="single" w:sz="8" w:color="CCFFCC"/>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FFCC"/>
            </w:tcBorders>
          </w:tcPr>
          <w:p>
            <w:pPr>
              <w:spacing w:after="0"/>
              <w:rPr>
                <w:sz w:val="18"/>
                <w:szCs w:val="18"/>
                <w:color w:val="auto"/>
              </w:rPr>
            </w:pPr>
          </w:p>
        </w:tc>
        <w:tc>
          <w:tcPr>
            <w:tcW w:w="80" w:type="dxa"/>
            <w:vAlign w:val="bottom"/>
            <w:tcBorders>
              <w:top w:val="single" w:sz="8" w:color="CCFFCC"/>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40" w:type="dxa"/>
            <w:vAlign w:val="bottom"/>
            <w:shd w:val="clear" w:color="auto" w:fill="CCFFCC"/>
          </w:tcPr>
          <w:p>
            <w:pPr>
              <w:spacing w:after="0"/>
              <w:rPr>
                <w:sz w:val="20"/>
                <w:szCs w:val="20"/>
                <w:color w:val="auto"/>
              </w:rPr>
            </w:pPr>
            <w:r>
              <w:rPr>
                <w:rFonts w:ascii="Arial" w:cs="Arial" w:eastAsia="Arial" w:hAnsi="Arial"/>
                <w:sz w:val="18"/>
                <w:szCs w:val="18"/>
                <w:color w:val="auto"/>
              </w:rPr>
              <w:t>Cash flows from financing activities:</w:t>
            </w:r>
          </w:p>
        </w:tc>
        <w:tc>
          <w:tcPr>
            <w:tcW w:w="46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320"/>
              <w:spacing w:after="0"/>
              <w:rPr>
                <w:sz w:val="20"/>
                <w:szCs w:val="20"/>
                <w:color w:val="auto"/>
              </w:rPr>
            </w:pPr>
            <w:r>
              <w:rPr>
                <w:rFonts w:ascii="Arial" w:cs="Arial" w:eastAsia="Arial" w:hAnsi="Arial"/>
                <w:sz w:val="18"/>
                <w:szCs w:val="18"/>
                <w:color w:val="auto"/>
              </w:rPr>
              <w:t>Proceeds from exercise of stock options</w:t>
            </w: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55"/>
              <w:spacing w:after="0"/>
              <w:rPr>
                <w:sz w:val="20"/>
                <w:szCs w:val="20"/>
                <w:color w:val="auto"/>
              </w:rPr>
            </w:pPr>
            <w:r>
              <w:rPr>
                <w:rFonts w:ascii="Arial" w:cs="Arial" w:eastAsia="Arial" w:hAnsi="Arial"/>
                <w:sz w:val="18"/>
                <w:szCs w:val="18"/>
                <w:color w:val="auto"/>
              </w:rPr>
              <w:t>13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FFCC"/>
          </w:tcPr>
          <w:p>
            <w:pPr>
              <w:ind w:left="320"/>
              <w:spacing w:after="0"/>
              <w:rPr>
                <w:sz w:val="20"/>
                <w:szCs w:val="20"/>
                <w:color w:val="auto"/>
              </w:rPr>
            </w:pPr>
            <w:r>
              <w:rPr>
                <w:rFonts w:ascii="Arial" w:cs="Arial" w:eastAsia="Arial" w:hAnsi="Arial"/>
                <w:sz w:val="18"/>
                <w:szCs w:val="18"/>
                <w:color w:val="auto"/>
              </w:rPr>
              <w:t>Payment of lease obligations</w:t>
            </w:r>
          </w:p>
        </w:tc>
        <w:tc>
          <w:tcPr>
            <w:tcW w:w="46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(66)</w:t>
            </w: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340" w:type="dxa"/>
            <w:vAlign w:val="bottom"/>
            <w:shd w:val="clear" w:color="auto" w:fill="CCFFCC"/>
          </w:tcPr>
          <w:p>
            <w:pPr>
              <w:spacing w:after="0"/>
              <w:rPr>
                <w:sz w:val="2"/>
                <w:szCs w:val="2"/>
                <w:color w:val="auto"/>
              </w:rPr>
            </w:pPr>
          </w:p>
        </w:tc>
        <w:tc>
          <w:tcPr>
            <w:tcW w:w="460" w:type="dxa"/>
            <w:vAlign w:val="bottom"/>
            <w:shd w:val="clear" w:color="auto" w:fill="CCFFCC"/>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FFCC"/>
          </w:tcPr>
          <w:p>
            <w:pPr>
              <w:spacing w:after="0"/>
              <w:rPr>
                <w:sz w:val="2"/>
                <w:szCs w:val="2"/>
                <w:color w:val="auto"/>
              </w:rPr>
            </w:pPr>
          </w:p>
        </w:tc>
        <w:tc>
          <w:tcPr>
            <w:tcW w:w="80" w:type="dxa"/>
            <w:vAlign w:val="bottom"/>
            <w:shd w:val="clear" w:color="auto" w:fill="CCFFCC"/>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Net cash used in financing activities</w:t>
            </w: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(53)</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340" w:type="dxa"/>
            <w:vAlign w:val="bottom"/>
            <w:shd w:val="clear" w:color="auto" w:fill="CCFFCC"/>
          </w:tcPr>
          <w:p>
            <w:pPr>
              <w:spacing w:after="0"/>
              <w:rPr>
                <w:sz w:val="18"/>
                <w:szCs w:val="18"/>
                <w:color w:val="auto"/>
              </w:rPr>
            </w:pPr>
          </w:p>
        </w:tc>
        <w:tc>
          <w:tcPr>
            <w:tcW w:w="460" w:type="dxa"/>
            <w:vAlign w:val="bottom"/>
            <w:shd w:val="clear" w:color="auto" w:fill="CCFFCC"/>
          </w:tcPr>
          <w:p>
            <w:pPr>
              <w:spacing w:after="0"/>
              <w:rPr>
                <w:sz w:val="18"/>
                <w:szCs w:val="18"/>
                <w:color w:val="auto"/>
              </w:rPr>
            </w:pPr>
          </w:p>
        </w:tc>
        <w:tc>
          <w:tcPr>
            <w:tcW w:w="240" w:type="dxa"/>
            <w:vAlign w:val="bottom"/>
            <w:tcBorders>
              <w:top w:val="single" w:sz="8" w:color="auto"/>
            </w:tcBorders>
            <w:shd w:val="clear" w:color="auto" w:fill="CCFFCC"/>
          </w:tcPr>
          <w:p>
            <w:pPr>
              <w:spacing w:after="0"/>
              <w:rPr>
                <w:sz w:val="18"/>
                <w:szCs w:val="18"/>
                <w:color w:val="auto"/>
              </w:rPr>
            </w:pPr>
          </w:p>
        </w:tc>
        <w:tc>
          <w:tcPr>
            <w:tcW w:w="900" w:type="dxa"/>
            <w:vAlign w:val="bottom"/>
            <w:tcBorders>
              <w:top w:val="single" w:sz="8" w:color="auto"/>
            </w:tcBorders>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40" w:type="dxa"/>
            <w:vAlign w:val="bottom"/>
            <w:tcBorders>
              <w:top w:val="single" w:sz="8" w:color="auto"/>
            </w:tcBorders>
            <w:shd w:val="clear" w:color="auto" w:fill="CCFFCC"/>
          </w:tcPr>
          <w:p>
            <w:pPr>
              <w:spacing w:after="0"/>
              <w:rPr>
                <w:sz w:val="18"/>
                <w:szCs w:val="18"/>
                <w:color w:val="auto"/>
              </w:rPr>
            </w:pPr>
          </w:p>
        </w:tc>
        <w:tc>
          <w:tcPr>
            <w:tcW w:w="900" w:type="dxa"/>
            <w:vAlign w:val="bottom"/>
            <w:tcBorders>
              <w:top w:val="single" w:sz="8" w:color="auto"/>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Net increase (decrease) in cash and cash equivalents before effect of exchange rate changes</w:t>
            </w: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55"/>
              <w:spacing w:after="0"/>
              <w:rPr>
                <w:sz w:val="20"/>
                <w:szCs w:val="20"/>
                <w:color w:val="auto"/>
              </w:rPr>
            </w:pPr>
            <w:r>
              <w:rPr>
                <w:rFonts w:ascii="Arial" w:cs="Arial" w:eastAsia="Arial" w:hAnsi="Arial"/>
                <w:sz w:val="18"/>
                <w:szCs w:val="18"/>
                <w:color w:val="auto"/>
              </w:rPr>
              <w:t>2,276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(821)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340" w:type="dxa"/>
            <w:vAlign w:val="bottom"/>
            <w:shd w:val="clear" w:color="auto" w:fill="CCFFCC"/>
          </w:tcPr>
          <w:p>
            <w:pPr>
              <w:spacing w:after="0"/>
              <w:rPr>
                <w:sz w:val="18"/>
                <w:szCs w:val="18"/>
                <w:color w:val="auto"/>
              </w:rPr>
            </w:pPr>
          </w:p>
        </w:tc>
        <w:tc>
          <w:tcPr>
            <w:tcW w:w="46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55"/>
              <w:spacing w:after="0"/>
              <w:rPr>
                <w:sz w:val="20"/>
                <w:szCs w:val="20"/>
                <w:color w:val="auto"/>
              </w:rPr>
            </w:pPr>
            <w:r>
              <w:rPr>
                <w:rFonts w:ascii="Arial" w:cs="Arial" w:eastAsia="Arial" w:hAnsi="Arial"/>
                <w:sz w:val="18"/>
                <w:szCs w:val="18"/>
                <w:color w:val="auto"/>
              </w:rPr>
              <w:t>108</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FFCC"/>
          </w:tcPr>
          <w:p>
            <w:pPr>
              <w:spacing w:after="0"/>
              <w:rPr>
                <w:sz w:val="18"/>
                <w:szCs w:val="18"/>
                <w:color w:val="auto"/>
              </w:rPr>
            </w:pPr>
          </w:p>
        </w:tc>
        <w:tc>
          <w:tcPr>
            <w:tcW w:w="460" w:type="dxa"/>
            <w:vAlign w:val="bottom"/>
            <w:shd w:val="clear" w:color="auto" w:fill="CCFFCC"/>
          </w:tcPr>
          <w:p>
            <w:pPr>
              <w:spacing w:after="0"/>
              <w:rPr>
                <w:sz w:val="18"/>
                <w:szCs w:val="18"/>
                <w:color w:val="auto"/>
              </w:rPr>
            </w:pPr>
          </w:p>
        </w:tc>
        <w:tc>
          <w:tcPr>
            <w:tcW w:w="240" w:type="dxa"/>
            <w:vAlign w:val="bottom"/>
            <w:tcBorders>
              <w:top w:val="single" w:sz="8" w:color="auto"/>
            </w:tcBorders>
            <w:shd w:val="clear" w:color="auto" w:fill="CCFFCC"/>
          </w:tcPr>
          <w:p>
            <w:pPr>
              <w:spacing w:after="0"/>
              <w:rPr>
                <w:sz w:val="18"/>
                <w:szCs w:val="18"/>
                <w:color w:val="auto"/>
              </w:rPr>
            </w:pPr>
          </w:p>
        </w:tc>
        <w:tc>
          <w:tcPr>
            <w:tcW w:w="900" w:type="dxa"/>
            <w:vAlign w:val="bottom"/>
            <w:tcBorders>
              <w:top w:val="single" w:sz="8" w:color="auto"/>
            </w:tcBorders>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40" w:type="dxa"/>
            <w:vAlign w:val="bottom"/>
            <w:tcBorders>
              <w:top w:val="single" w:sz="8" w:color="auto"/>
            </w:tcBorders>
            <w:shd w:val="clear" w:color="auto" w:fill="CCFFCC"/>
          </w:tcPr>
          <w:p>
            <w:pPr>
              <w:spacing w:after="0"/>
              <w:rPr>
                <w:sz w:val="18"/>
                <w:szCs w:val="18"/>
                <w:color w:val="auto"/>
              </w:rPr>
            </w:pPr>
          </w:p>
        </w:tc>
        <w:tc>
          <w:tcPr>
            <w:tcW w:w="900" w:type="dxa"/>
            <w:vAlign w:val="bottom"/>
            <w:tcBorders>
              <w:top w:val="single" w:sz="8" w:color="auto"/>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320"/>
              <w:spacing w:after="0"/>
              <w:rPr>
                <w:sz w:val="20"/>
                <w:szCs w:val="20"/>
                <w:color w:val="auto"/>
              </w:rPr>
            </w:pPr>
            <w:r>
              <w:rPr>
                <w:rFonts w:ascii="Arial" w:cs="Arial" w:eastAsia="Arial" w:hAnsi="Arial"/>
                <w:sz w:val="18"/>
                <w:szCs w:val="18"/>
                <w:color w:val="auto"/>
              </w:rPr>
              <w:t>Net increase (decrease) in cash and cash equivalents</w:t>
            </w: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55"/>
              <w:spacing w:after="0"/>
              <w:rPr>
                <w:sz w:val="20"/>
                <w:szCs w:val="20"/>
                <w:color w:val="auto"/>
              </w:rPr>
            </w:pPr>
            <w:r>
              <w:rPr>
                <w:rFonts w:ascii="Arial" w:cs="Arial" w:eastAsia="Arial" w:hAnsi="Arial"/>
                <w:sz w:val="18"/>
                <w:szCs w:val="18"/>
                <w:color w:val="auto"/>
              </w:rPr>
              <w:t>2,384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(509)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FFCC"/>
          </w:tcPr>
          <w:p>
            <w:pPr>
              <w:spacing w:after="0"/>
              <w:rPr>
                <w:sz w:val="18"/>
                <w:szCs w:val="18"/>
                <w:color w:val="auto"/>
              </w:rPr>
            </w:pPr>
          </w:p>
        </w:tc>
        <w:tc>
          <w:tcPr>
            <w:tcW w:w="46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40" w:type="dxa"/>
            <w:vAlign w:val="bottom"/>
          </w:tcPr>
          <w:p>
            <w:pPr>
              <w:ind w:left="320"/>
              <w:spacing w:after="0"/>
              <w:rPr>
                <w:sz w:val="20"/>
                <w:szCs w:val="20"/>
                <w:color w:val="auto"/>
              </w:rPr>
            </w:pPr>
            <w:r>
              <w:rPr>
                <w:rFonts w:ascii="Arial" w:cs="Arial" w:eastAsia="Arial" w:hAnsi="Arial"/>
                <w:sz w:val="18"/>
                <w:szCs w:val="18"/>
                <w:color w:val="auto"/>
              </w:rPr>
              <w:t>Cash and cash equivalents at beginning of period</w:t>
            </w: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55"/>
              <w:spacing w:after="0"/>
              <w:rPr>
                <w:sz w:val="20"/>
                <w:szCs w:val="20"/>
                <w:color w:val="auto"/>
              </w:rPr>
            </w:pPr>
            <w:r>
              <w:rPr>
                <w:rFonts w:ascii="Arial" w:cs="Arial" w:eastAsia="Arial" w:hAnsi="Arial"/>
                <w:sz w:val="18"/>
                <w:szCs w:val="18"/>
                <w:color w:val="auto"/>
              </w:rPr>
              <w:t>5,275</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9,954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FFCC"/>
          </w:tcPr>
          <w:p>
            <w:pPr>
              <w:spacing w:after="0"/>
              <w:rPr>
                <w:sz w:val="18"/>
                <w:szCs w:val="18"/>
                <w:color w:val="auto"/>
              </w:rPr>
            </w:pPr>
          </w:p>
        </w:tc>
        <w:tc>
          <w:tcPr>
            <w:tcW w:w="460" w:type="dxa"/>
            <w:vAlign w:val="bottom"/>
            <w:shd w:val="clear" w:color="auto" w:fill="CCFFCC"/>
          </w:tcPr>
          <w:p>
            <w:pPr>
              <w:spacing w:after="0"/>
              <w:rPr>
                <w:sz w:val="18"/>
                <w:szCs w:val="18"/>
                <w:color w:val="auto"/>
              </w:rPr>
            </w:pPr>
          </w:p>
        </w:tc>
        <w:tc>
          <w:tcPr>
            <w:tcW w:w="240" w:type="dxa"/>
            <w:vAlign w:val="bottom"/>
            <w:tcBorders>
              <w:top w:val="single" w:sz="8" w:color="auto"/>
            </w:tcBorders>
            <w:shd w:val="clear" w:color="auto" w:fill="CCFFCC"/>
          </w:tcPr>
          <w:p>
            <w:pPr>
              <w:spacing w:after="0"/>
              <w:rPr>
                <w:sz w:val="18"/>
                <w:szCs w:val="18"/>
                <w:color w:val="auto"/>
              </w:rPr>
            </w:pPr>
          </w:p>
        </w:tc>
        <w:tc>
          <w:tcPr>
            <w:tcW w:w="900" w:type="dxa"/>
            <w:vAlign w:val="bottom"/>
            <w:tcBorders>
              <w:top w:val="single" w:sz="8" w:color="auto"/>
            </w:tcBorders>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40" w:type="dxa"/>
            <w:vAlign w:val="bottom"/>
            <w:tcBorders>
              <w:top w:val="single" w:sz="8" w:color="auto"/>
            </w:tcBorders>
            <w:shd w:val="clear" w:color="auto" w:fill="CCFFCC"/>
          </w:tcPr>
          <w:p>
            <w:pPr>
              <w:spacing w:after="0"/>
              <w:rPr>
                <w:sz w:val="18"/>
                <w:szCs w:val="18"/>
                <w:color w:val="auto"/>
              </w:rPr>
            </w:pPr>
          </w:p>
        </w:tc>
        <w:tc>
          <w:tcPr>
            <w:tcW w:w="900" w:type="dxa"/>
            <w:vAlign w:val="bottom"/>
            <w:tcBorders>
              <w:top w:val="single" w:sz="8" w:color="auto"/>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320"/>
              <w:spacing w:after="0"/>
              <w:rPr>
                <w:sz w:val="20"/>
                <w:szCs w:val="20"/>
                <w:color w:val="auto"/>
              </w:rPr>
            </w:pPr>
            <w:r>
              <w:rPr>
                <w:rFonts w:ascii="Arial" w:cs="Arial" w:eastAsia="Arial" w:hAnsi="Arial"/>
                <w:sz w:val="18"/>
                <w:szCs w:val="18"/>
                <w:color w:val="auto"/>
              </w:rPr>
              <w:t>Cash and cash equivalents at end of period</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55"/>
              <w:spacing w:after="0"/>
              <w:rPr>
                <w:sz w:val="20"/>
                <w:szCs w:val="20"/>
                <w:color w:val="auto"/>
              </w:rPr>
            </w:pPr>
            <w:r>
              <w:rPr>
                <w:rFonts w:ascii="Arial" w:cs="Arial" w:eastAsia="Arial" w:hAnsi="Arial"/>
                <w:sz w:val="18"/>
                <w:szCs w:val="18"/>
                <w:color w:val="auto"/>
              </w:rPr>
              <w:t>7,659</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9,445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340" w:type="dxa"/>
            <w:vAlign w:val="bottom"/>
            <w:shd w:val="clear" w:color="auto" w:fill="CCFFCC"/>
          </w:tcPr>
          <w:p>
            <w:pPr>
              <w:spacing w:after="0"/>
              <w:rPr>
                <w:sz w:val="18"/>
                <w:szCs w:val="18"/>
                <w:color w:val="auto"/>
              </w:rPr>
            </w:pPr>
          </w:p>
        </w:tc>
        <w:tc>
          <w:tcPr>
            <w:tcW w:w="46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Supplemental disclosures of cash flow information:</w:t>
            </w: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FFCC"/>
          </w:tcPr>
          <w:p>
            <w:pPr>
              <w:ind w:left="320"/>
              <w:spacing w:after="0"/>
              <w:rPr>
                <w:sz w:val="20"/>
                <w:szCs w:val="20"/>
                <w:color w:val="auto"/>
              </w:rPr>
            </w:pPr>
            <w:r>
              <w:rPr>
                <w:rFonts w:ascii="Arial" w:cs="Arial" w:eastAsia="Arial" w:hAnsi="Arial"/>
                <w:sz w:val="18"/>
                <w:szCs w:val="18"/>
                <w:color w:val="auto"/>
              </w:rPr>
              <w:t>Cash paid during the period for:</w:t>
            </w:r>
          </w:p>
        </w:tc>
        <w:tc>
          <w:tcPr>
            <w:tcW w:w="46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640"/>
              <w:spacing w:after="0"/>
              <w:rPr>
                <w:sz w:val="20"/>
                <w:szCs w:val="20"/>
                <w:color w:val="auto"/>
              </w:rPr>
            </w:pPr>
            <w:r>
              <w:rPr>
                <w:rFonts w:ascii="Arial" w:cs="Arial" w:eastAsia="Arial" w:hAnsi="Arial"/>
                <w:sz w:val="18"/>
                <w:szCs w:val="18"/>
                <w:color w:val="auto"/>
              </w:rPr>
              <w:t>Interest</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55"/>
              <w:spacing w:after="0"/>
              <w:rPr>
                <w:sz w:val="20"/>
                <w:szCs w:val="20"/>
                <w:color w:val="auto"/>
              </w:rPr>
            </w:pPr>
            <w:r>
              <w:rPr>
                <w:rFonts w:ascii="Arial" w:cs="Arial" w:eastAsia="Arial" w:hAnsi="Arial"/>
                <w:sz w:val="18"/>
                <w:szCs w:val="18"/>
                <w:color w:val="auto"/>
              </w:rPr>
              <w:t>24</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340" w:type="dxa"/>
            <w:vAlign w:val="bottom"/>
            <w:shd w:val="clear" w:color="auto" w:fill="CCFFCC"/>
          </w:tcPr>
          <w:p>
            <w:pPr>
              <w:ind w:left="640"/>
              <w:spacing w:after="0"/>
              <w:rPr>
                <w:sz w:val="20"/>
                <w:szCs w:val="20"/>
                <w:color w:val="auto"/>
              </w:rPr>
            </w:pPr>
            <w:r>
              <w:rPr>
                <w:rFonts w:ascii="Arial" w:cs="Arial" w:eastAsia="Arial" w:hAnsi="Arial"/>
                <w:sz w:val="18"/>
                <w:szCs w:val="18"/>
                <w:color w:val="auto"/>
              </w:rPr>
              <w:t>Income Taxes</w:t>
            </w:r>
          </w:p>
        </w:tc>
        <w:tc>
          <w:tcPr>
            <w:tcW w:w="7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FFCC"/>
          </w:tcPr>
          <w:p>
            <w:pPr>
              <w:jc w:val="right"/>
              <w:ind w:right="55"/>
              <w:spacing w:after="0"/>
              <w:rPr>
                <w:sz w:val="20"/>
                <w:szCs w:val="20"/>
                <w:color w:val="auto"/>
              </w:rPr>
            </w:pPr>
            <w:r>
              <w:rPr>
                <w:rFonts w:ascii="Arial" w:cs="Arial" w:eastAsia="Arial" w:hAnsi="Arial"/>
                <w:sz w:val="18"/>
                <w:szCs w:val="18"/>
                <w:color w:val="auto"/>
              </w:rPr>
              <w:t>1</w:t>
            </w:r>
          </w:p>
        </w:tc>
        <w:tc>
          <w:tcPr>
            <w:tcW w:w="3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40" w:type="dxa"/>
            <w:vAlign w:val="bottom"/>
            <w:tcBorders>
              <w:top w:val="single" w:sz="8" w:color="CCFFCC"/>
            </w:tcBorders>
            <w:shd w:val="clear" w:color="auto" w:fill="CCFFCC"/>
          </w:tcPr>
          <w:p>
            <w:pPr>
              <w:spacing w:after="0" w:line="20" w:lineRule="exact"/>
              <w:rPr>
                <w:sz w:val="1"/>
                <w:szCs w:val="1"/>
                <w:color w:val="auto"/>
              </w:rPr>
            </w:pPr>
          </w:p>
        </w:tc>
        <w:tc>
          <w:tcPr>
            <w:tcW w:w="46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 of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color w:val="auto"/>
        </w:rPr>
        <w:t>FREQUENCY ELECTRONICS, INC. and SUBSIDIARIES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NOTE A - CONSOLIDATED FINANCIAL STATEMENTS</w:t>
      </w:r>
    </w:p>
    <w:p>
      <w:pPr>
        <w:spacing w:after="0" w:line="25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 the opinion of management of Frequency Electronics, Inc. (“the Company”), the accompanying unaudited condensed consolidated interim financial statements reflect all adjustments (which include only normal recurring adjustments) necessary to present fairly, in all material respects, the consolidated financial position of the Company as of July 31, 2011 and the results of its operations and cash flows for the three months ended July 31, 2011 and 2010. The April 30, 2011 condensed consolidated balance sheet was derived from audited financial statements. Certain information and footnote disclosures normally included in financial statements prepared in accordance with generally accepted accounting principles have been condensed or omitted. It is suggested that these condensed consolidated financial statements be read in conjunction with the financial statements and notes thereto included in the Company's April 30, 2011 Annual Report to Stockholders on Form 10-K. The results of operations for such interim periods are not necessarily indicative of the operating results for the full fiscal year.</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NOTE B - EARNINGS PER SHARE</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Reconciliation of the weighted average shares outstanding for basic and diluted Earnings Per Share are as follows:</w:t>
      </w:r>
    </w:p>
    <w:p>
      <w:pPr>
        <w:spacing w:after="0" w:line="252"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000" w:type="dxa"/>
            <w:vAlign w:val="bottom"/>
          </w:tcPr>
          <w:p>
            <w:pPr>
              <w:spacing w:after="0"/>
              <w:rPr>
                <w:sz w:val="18"/>
                <w:szCs w:val="18"/>
                <w:color w:val="auto"/>
              </w:rPr>
            </w:pPr>
          </w:p>
        </w:tc>
        <w:tc>
          <w:tcPr>
            <w:tcW w:w="3580" w:type="dxa"/>
            <w:vAlign w:val="bottom"/>
            <w:gridSpan w:val="5"/>
          </w:tcPr>
          <w:p>
            <w:pPr>
              <w:ind w:left="1420"/>
              <w:spacing w:after="0"/>
              <w:rPr>
                <w:sz w:val="20"/>
                <w:szCs w:val="20"/>
                <w:color w:val="auto"/>
              </w:rPr>
            </w:pPr>
            <w:r>
              <w:rPr>
                <w:rFonts w:ascii="Arial" w:cs="Arial" w:eastAsia="Arial" w:hAnsi="Arial"/>
                <w:sz w:val="18"/>
                <w:szCs w:val="18"/>
                <w:color w:val="auto"/>
                <w:w w:val="91"/>
              </w:rPr>
              <w:t>Three months ended July 31,</w:t>
            </w:r>
          </w:p>
        </w:tc>
      </w:tr>
      <w:tr>
        <w:trPr>
          <w:trHeight w:val="237"/>
        </w:trPr>
        <w:tc>
          <w:tcPr>
            <w:tcW w:w="20" w:type="dxa"/>
            <w:vAlign w:val="bottom"/>
          </w:tcPr>
          <w:p>
            <w:pPr>
              <w:spacing w:after="0"/>
              <w:rPr>
                <w:sz w:val="20"/>
                <w:szCs w:val="20"/>
                <w:color w:val="auto"/>
              </w:rPr>
            </w:pPr>
          </w:p>
        </w:tc>
        <w:tc>
          <w:tcPr>
            <w:tcW w:w="50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9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2011</w:t>
            </w:r>
          </w:p>
        </w:tc>
        <w:tc>
          <w:tcPr>
            <w:tcW w:w="200" w:type="dxa"/>
            <w:vAlign w:val="bottom"/>
          </w:tcPr>
          <w:p>
            <w:pPr>
              <w:spacing w:after="0"/>
              <w:rPr>
                <w:sz w:val="20"/>
                <w:szCs w:val="20"/>
                <w:color w:val="auto"/>
              </w:rPr>
            </w:pPr>
          </w:p>
        </w:tc>
        <w:tc>
          <w:tcPr>
            <w:tcW w:w="9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2010</w:t>
            </w:r>
          </w:p>
        </w:tc>
        <w:tc>
          <w:tcPr>
            <w:tcW w:w="8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FFCC"/>
          </w:tcPr>
          <w:p>
            <w:pPr>
              <w:spacing w:after="0"/>
              <w:rPr>
                <w:sz w:val="20"/>
                <w:szCs w:val="20"/>
                <w:color w:val="auto"/>
              </w:rPr>
            </w:pPr>
            <w:r>
              <w:rPr>
                <w:rFonts w:ascii="Arial" w:cs="Arial" w:eastAsia="Arial" w:hAnsi="Arial"/>
                <w:sz w:val="18"/>
                <w:szCs w:val="18"/>
                <w:color w:val="auto"/>
              </w:rPr>
              <w:t>Basic EPS Shares outstanding (weighted average)</w:t>
            </w:r>
          </w:p>
        </w:tc>
        <w:tc>
          <w:tcPr>
            <w:tcW w:w="23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8,304,484</w:t>
            </w:r>
          </w:p>
        </w:tc>
        <w:tc>
          <w:tcPr>
            <w:tcW w:w="200" w:type="dxa"/>
            <w:vAlign w:val="bottom"/>
            <w:shd w:val="clear" w:color="auto" w:fill="CCFFCC"/>
          </w:tcPr>
          <w:p>
            <w:pPr>
              <w:spacing w:after="0"/>
              <w:rPr>
                <w:sz w:val="18"/>
                <w:szCs w:val="18"/>
                <w:color w:val="auto"/>
              </w:rPr>
            </w:pPr>
          </w:p>
        </w:tc>
        <w:tc>
          <w:tcPr>
            <w:tcW w:w="10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8,233,570</w:t>
            </w:r>
          </w:p>
        </w:tc>
      </w:tr>
      <w:tr>
        <w:trPr>
          <w:trHeight w:val="223"/>
        </w:trPr>
        <w:tc>
          <w:tcPr>
            <w:tcW w:w="20" w:type="dxa"/>
            <w:vAlign w:val="bottom"/>
          </w:tcPr>
          <w:p>
            <w:pPr>
              <w:spacing w:after="0"/>
              <w:rPr>
                <w:sz w:val="19"/>
                <w:szCs w:val="19"/>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Effect of Dilutive Securities</w:t>
            </w:r>
          </w:p>
        </w:tc>
        <w:tc>
          <w:tcPr>
            <w:tcW w:w="142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198,617</w:t>
            </w: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46,762</w:t>
            </w:r>
          </w:p>
        </w:tc>
      </w:tr>
      <w:tr>
        <w:trPr>
          <w:trHeight w:val="257"/>
        </w:trPr>
        <w:tc>
          <w:tcPr>
            <w:tcW w:w="20" w:type="dxa"/>
            <w:vAlign w:val="bottom"/>
          </w:tcPr>
          <w:p>
            <w:pPr>
              <w:spacing w:after="0"/>
              <w:rPr>
                <w:sz w:val="22"/>
                <w:szCs w:val="22"/>
                <w:color w:val="auto"/>
              </w:rPr>
            </w:pPr>
          </w:p>
        </w:tc>
        <w:tc>
          <w:tcPr>
            <w:tcW w:w="500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Diluted EPS Shares outstanding</w:t>
            </w:r>
          </w:p>
        </w:tc>
        <w:tc>
          <w:tcPr>
            <w:tcW w:w="1420" w:type="dxa"/>
            <w:vAlign w:val="bottom"/>
            <w:tcBorders>
              <w:bottom w:val="single" w:sz="8" w:color="CCFFCC"/>
            </w:tcBorders>
            <w:shd w:val="clear" w:color="auto" w:fill="CCFFCC"/>
          </w:tcPr>
          <w:p>
            <w:pPr>
              <w:spacing w:after="0"/>
              <w:rPr>
                <w:sz w:val="22"/>
                <w:szCs w:val="22"/>
                <w:color w:val="auto"/>
              </w:rPr>
            </w:pPr>
          </w:p>
        </w:tc>
        <w:tc>
          <w:tcPr>
            <w:tcW w:w="9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8,503,101</w:t>
            </w:r>
          </w:p>
        </w:tc>
        <w:tc>
          <w:tcPr>
            <w:tcW w:w="200" w:type="dxa"/>
            <w:vAlign w:val="bottom"/>
            <w:tcBorders>
              <w:bottom w:val="single" w:sz="8" w:color="CCFFCC"/>
            </w:tcBorders>
            <w:shd w:val="clear" w:color="auto" w:fill="CCFFCC"/>
          </w:tcPr>
          <w:p>
            <w:pPr>
              <w:spacing w:after="0"/>
              <w:rPr>
                <w:sz w:val="22"/>
                <w:szCs w:val="22"/>
                <w:color w:val="auto"/>
              </w:rPr>
            </w:pPr>
          </w:p>
        </w:tc>
        <w:tc>
          <w:tcPr>
            <w:tcW w:w="9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8,280,332</w:t>
            </w:r>
          </w:p>
        </w:tc>
        <w:tc>
          <w:tcPr>
            <w:tcW w:w="80" w:type="dxa"/>
            <w:vAlign w:val="bottom"/>
            <w:tcBorders>
              <w:bottom w:val="single" w:sz="8" w:color="CCFFCC"/>
            </w:tcBorders>
            <w:shd w:val="clear" w:color="auto" w:fill="CCFFCC"/>
          </w:tcPr>
          <w:p>
            <w:pPr>
              <w:spacing w:after="0"/>
              <w:rPr>
                <w:sz w:val="22"/>
                <w:szCs w:val="22"/>
                <w:color w:val="auto"/>
              </w:rPr>
            </w:pPr>
          </w:p>
        </w:tc>
      </w:tr>
    </w:tbl>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computation of diluted earnings per share excludes those options and stock appreciation rights (“SARS”) with an exercise price in excess of the average market price of the Company’s common shares during the periods presented. The inclusion of such options and SARS in the computation of earnings per share would have been antidilutive. The number of excluded options and SARS for the three months ended July 31, 2011 and 2010 were 424,375 and 1,020,775, respectively.</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NOTE C – COSTS AND ESTIMATED EARNINGS IN EXCESS OF BILLINGS, NET</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 July 31, 2011 and April 30, 2011, costs and estimated earnings in excess of billings, net, consist of the following:</w:t>
      </w:r>
    </w:p>
    <w:p>
      <w:pPr>
        <w:spacing w:after="0" w:line="252"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7380" w:type="dxa"/>
            <w:vAlign w:val="bottom"/>
          </w:tcPr>
          <w:p>
            <w:pPr>
              <w:spacing w:after="0"/>
              <w:rPr>
                <w:sz w:val="20"/>
                <w:szCs w:val="20"/>
                <w:color w:val="auto"/>
              </w:rPr>
            </w:pPr>
          </w:p>
        </w:tc>
        <w:tc>
          <w:tcPr>
            <w:tcW w:w="1140" w:type="dxa"/>
            <w:vAlign w:val="bottom"/>
            <w:gridSpan w:val="3"/>
          </w:tcPr>
          <w:p>
            <w:pPr>
              <w:spacing w:after="0"/>
              <w:rPr>
                <w:sz w:val="20"/>
                <w:szCs w:val="20"/>
                <w:color w:val="auto"/>
              </w:rPr>
            </w:pPr>
            <w:r>
              <w:rPr>
                <w:rFonts w:ascii="Arial" w:cs="Arial" w:eastAsia="Arial" w:hAnsi="Arial"/>
                <w:sz w:val="18"/>
                <w:szCs w:val="18"/>
                <w:color w:val="auto"/>
              </w:rPr>
              <w:t>July 31, 2011</w:t>
            </w:r>
          </w:p>
        </w:tc>
        <w:tc>
          <w:tcPr>
            <w:tcW w:w="1140" w:type="dxa"/>
            <w:vAlign w:val="bottom"/>
            <w:gridSpan w:val="3"/>
          </w:tcPr>
          <w:p>
            <w:pPr>
              <w:spacing w:after="0"/>
              <w:rPr>
                <w:sz w:val="20"/>
                <w:szCs w:val="20"/>
                <w:color w:val="auto"/>
              </w:rPr>
            </w:pPr>
            <w:r>
              <w:rPr>
                <w:rFonts w:ascii="Arial" w:cs="Arial" w:eastAsia="Arial" w:hAnsi="Arial"/>
                <w:sz w:val="18"/>
                <w:szCs w:val="18"/>
                <w:color w:val="auto"/>
              </w:rPr>
              <w:t>April 30, 2011</w:t>
            </w:r>
          </w:p>
        </w:tc>
      </w:tr>
      <w:tr>
        <w:trPr>
          <w:trHeight w:val="27"/>
        </w:trPr>
        <w:tc>
          <w:tcPr>
            <w:tcW w:w="20" w:type="dxa"/>
            <w:vAlign w:val="bottom"/>
          </w:tcPr>
          <w:p>
            <w:pPr>
              <w:spacing w:after="0"/>
              <w:rPr>
                <w:sz w:val="2"/>
                <w:szCs w:val="2"/>
                <w:color w:val="auto"/>
              </w:rPr>
            </w:pPr>
          </w:p>
        </w:tc>
        <w:tc>
          <w:tcPr>
            <w:tcW w:w="73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7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jc w:val="right"/>
              <w:ind w:right="90"/>
              <w:spacing w:after="0"/>
              <w:rPr>
                <w:sz w:val="20"/>
                <w:szCs w:val="20"/>
                <w:color w:val="auto"/>
              </w:rPr>
            </w:pPr>
            <w:r>
              <w:rPr>
                <w:rFonts w:ascii="Arial" w:cs="Arial" w:eastAsia="Arial" w:hAnsi="Arial"/>
                <w:sz w:val="18"/>
                <w:szCs w:val="18"/>
                <w:color w:val="auto"/>
              </w:rPr>
              <w:t>(In</w:t>
            </w:r>
          </w:p>
        </w:tc>
        <w:tc>
          <w:tcPr>
            <w:tcW w:w="700" w:type="dxa"/>
            <w:vAlign w:val="bottom"/>
            <w:gridSpan w:val="2"/>
          </w:tcPr>
          <w:p>
            <w:pPr>
              <w:spacing w:after="0"/>
              <w:rPr>
                <w:sz w:val="20"/>
                <w:szCs w:val="20"/>
                <w:color w:val="auto"/>
              </w:rPr>
            </w:pPr>
            <w:r>
              <w:rPr>
                <w:rFonts w:ascii="Arial" w:cs="Arial" w:eastAsia="Arial" w:hAnsi="Arial"/>
                <w:sz w:val="18"/>
                <w:szCs w:val="18"/>
                <w:color w:val="auto"/>
                <w:w w:val="76"/>
              </w:rPr>
              <w:t>thousands)</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FFCC"/>
          </w:tcPr>
          <w:p>
            <w:pPr>
              <w:spacing w:after="0"/>
              <w:rPr>
                <w:sz w:val="20"/>
                <w:szCs w:val="20"/>
                <w:color w:val="auto"/>
              </w:rPr>
            </w:pPr>
            <w:r>
              <w:rPr>
                <w:rFonts w:ascii="Arial" w:cs="Arial" w:eastAsia="Arial" w:hAnsi="Arial"/>
                <w:sz w:val="18"/>
                <w:szCs w:val="18"/>
                <w:color w:val="auto"/>
              </w:rPr>
              <w:t>Costs and estimated earnings in excess of billings</w:t>
            </w:r>
          </w:p>
        </w:tc>
        <w:tc>
          <w:tcPr>
            <w:tcW w:w="280" w:type="dxa"/>
            <w:vAlign w:val="bottom"/>
            <w:shd w:val="clear" w:color="auto" w:fill="CCFFCC"/>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4,782</w:t>
            </w:r>
          </w:p>
        </w:tc>
        <w:tc>
          <w:tcPr>
            <w:tcW w:w="180" w:type="dxa"/>
            <w:vAlign w:val="bottom"/>
            <w:shd w:val="clear" w:color="auto" w:fill="CCFFCC"/>
          </w:tcPr>
          <w:p>
            <w:pPr>
              <w:spacing w:after="0"/>
              <w:rPr>
                <w:sz w:val="18"/>
                <w:szCs w:val="18"/>
                <w:color w:val="auto"/>
              </w:rPr>
            </w:pPr>
          </w:p>
        </w:tc>
        <w:tc>
          <w:tcPr>
            <w:tcW w:w="520" w:type="dxa"/>
            <w:vAlign w:val="bottom"/>
            <w:shd w:val="clear" w:color="auto" w:fill="CCFFCC"/>
          </w:tcPr>
          <w:p>
            <w:pPr>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3,711</w:t>
            </w:r>
          </w:p>
        </w:tc>
      </w:tr>
      <w:tr>
        <w:trPr>
          <w:trHeight w:val="223"/>
        </w:trPr>
        <w:tc>
          <w:tcPr>
            <w:tcW w:w="20" w:type="dxa"/>
            <w:vAlign w:val="bottom"/>
          </w:tcPr>
          <w:p>
            <w:pPr>
              <w:spacing w:after="0"/>
              <w:rPr>
                <w:sz w:val="19"/>
                <w:szCs w:val="19"/>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Billings in excess of costs and estimated earnings</w:t>
            </w:r>
          </w:p>
        </w:tc>
        <w:tc>
          <w:tcPr>
            <w:tcW w:w="280" w:type="dxa"/>
            <w:vAlign w:val="bottom"/>
          </w:tcPr>
          <w:p>
            <w:pPr>
              <w:spacing w:after="0"/>
              <w:rPr>
                <w:sz w:val="19"/>
                <w:szCs w:val="19"/>
                <w:color w:val="auto"/>
              </w:rPr>
            </w:pPr>
          </w:p>
        </w:tc>
        <w:tc>
          <w:tcPr>
            <w:tcW w:w="860" w:type="dxa"/>
            <w:vAlign w:val="bottom"/>
            <w:gridSpan w:val="2"/>
          </w:tcPr>
          <w:p>
            <w:pPr>
              <w:jc w:val="right"/>
              <w:ind w:right="30"/>
              <w:spacing w:after="0"/>
              <w:rPr>
                <w:sz w:val="20"/>
                <w:szCs w:val="20"/>
                <w:color w:val="auto"/>
              </w:rPr>
            </w:pPr>
            <w:r>
              <w:rPr>
                <w:rFonts w:ascii="Arial" w:cs="Arial" w:eastAsia="Arial" w:hAnsi="Arial"/>
                <w:sz w:val="18"/>
                <w:szCs w:val="18"/>
                <w:color w:val="auto"/>
              </w:rPr>
              <w:t>(1,467)</w:t>
            </w:r>
          </w:p>
        </w:tc>
        <w:tc>
          <w:tcPr>
            <w:tcW w:w="520" w:type="dxa"/>
            <w:vAlign w:val="bottom"/>
          </w:tcPr>
          <w:p>
            <w:pPr>
              <w:spacing w:after="0"/>
              <w:rPr>
                <w:sz w:val="19"/>
                <w:szCs w:val="19"/>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(1,302)</w:t>
            </w:r>
          </w:p>
        </w:tc>
      </w:tr>
      <w:tr>
        <w:trPr>
          <w:trHeight w:val="257"/>
        </w:trPr>
        <w:tc>
          <w:tcPr>
            <w:tcW w:w="20" w:type="dxa"/>
            <w:vAlign w:val="bottom"/>
          </w:tcPr>
          <w:p>
            <w:pPr>
              <w:spacing w:after="0"/>
              <w:rPr>
                <w:sz w:val="22"/>
                <w:szCs w:val="22"/>
                <w:color w:val="auto"/>
              </w:rPr>
            </w:pPr>
          </w:p>
        </w:tc>
        <w:tc>
          <w:tcPr>
            <w:tcW w:w="738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Net asset</w:t>
            </w:r>
          </w:p>
        </w:tc>
        <w:tc>
          <w:tcPr>
            <w:tcW w:w="280" w:type="dxa"/>
            <w:vAlign w:val="bottom"/>
            <w:tcBorders>
              <w:top w:val="single" w:sz="8" w:color="auto"/>
              <w:bottom w:val="single" w:sz="8" w:color="auto"/>
            </w:tcBorders>
            <w:shd w:val="clear" w:color="auto" w:fill="CCFFCC"/>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3,315</w:t>
            </w:r>
          </w:p>
        </w:tc>
        <w:tc>
          <w:tcPr>
            <w:tcW w:w="180" w:type="dxa"/>
            <w:vAlign w:val="bottom"/>
            <w:tcBorders>
              <w:bottom w:val="single" w:sz="8" w:color="CCFFCC"/>
            </w:tcBorders>
            <w:shd w:val="clear" w:color="auto" w:fill="CCFFCC"/>
          </w:tcPr>
          <w:p>
            <w:pPr>
              <w:spacing w:after="0"/>
              <w:rPr>
                <w:sz w:val="22"/>
                <w:szCs w:val="22"/>
                <w:color w:val="auto"/>
              </w:rPr>
            </w:pPr>
          </w:p>
        </w:tc>
        <w:tc>
          <w:tcPr>
            <w:tcW w:w="520" w:type="dxa"/>
            <w:vAlign w:val="bottom"/>
            <w:tcBorders>
              <w:top w:val="single" w:sz="8" w:color="auto"/>
              <w:bottom w:val="single" w:sz="8" w:color="auto"/>
            </w:tcBorders>
            <w:shd w:val="clear" w:color="auto" w:fill="CCFFCC"/>
          </w:tcPr>
          <w:p>
            <w:pPr>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2,409</w:t>
            </w:r>
          </w:p>
        </w:tc>
        <w:tc>
          <w:tcPr>
            <w:tcW w:w="100" w:type="dxa"/>
            <w:vAlign w:val="bottom"/>
            <w:tcBorders>
              <w:bottom w:val="single" w:sz="8" w:color="CCFFCC"/>
            </w:tcBorders>
            <w:shd w:val="clear" w:color="auto" w:fill="CCFFCC"/>
          </w:tcPr>
          <w:p>
            <w:pPr>
              <w:spacing w:after="0"/>
              <w:rPr>
                <w:sz w:val="22"/>
                <w:szCs w:val="22"/>
                <w:color w:val="auto"/>
              </w:rPr>
            </w:pPr>
          </w:p>
        </w:tc>
      </w:tr>
    </w:tbl>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Such amounts represent revenue recognized on long-term contracts that had not been billed at the balance sheet dates or represent a liability for amounts billed in excess of the revenue recognized. Amounts are billed to customers pursuant to contract terms. In general, the recorded amounts will be billed and collected or revenue recognized within twelve months of the balance sheet date. Revenue on these long-term contracts is accounted for on the percentage of completion basis. During the three months ended July 31, 2011 and 2010, revenue recognized under percentage of completion contracts was approximately $8.3 million and $5.1 million, respectively.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NOTE D – TREASURY STOCK TRANSACTIONS</w:t>
      </w:r>
    </w:p>
    <w:p>
      <w:pPr>
        <w:spacing w:after="0" w:line="252"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During the three month period ended July 31, 2011, the Company made a contribution of 9,635 shares of its common stock held in treasury to the Company’s profit sharing plan and trust under section 401(k) of the Internal Revenue Code. Such contribution is in accordance with the Company’s discretionary match of employee voluntary contributions to this plan. In addition, the Company issued 3,066 shares from treasury upon the exercise of stock options and SARs by certain employees.</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 of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color w:val="auto"/>
        </w:rPr>
        <w:t>FREQUENCY ELECTRONICS, INC. and SUBSIDIARIES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40" w:type="dxa"/>
            <w:vAlign w:val="bottom"/>
            <w:gridSpan w:val="2"/>
          </w:tcPr>
          <w:p>
            <w:pPr>
              <w:spacing w:after="0"/>
              <w:rPr>
                <w:sz w:val="20"/>
                <w:szCs w:val="20"/>
                <w:color w:val="auto"/>
              </w:rPr>
            </w:pPr>
            <w:r>
              <w:rPr>
                <w:rFonts w:ascii="Arial" w:cs="Arial" w:eastAsia="Arial" w:hAnsi="Arial"/>
                <w:sz w:val="18"/>
                <w:szCs w:val="18"/>
                <w:color w:val="auto"/>
              </w:rPr>
              <w:t>NOTE E - INVENTORIES</w:t>
            </w: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59"/>
        </w:trPr>
        <w:tc>
          <w:tcPr>
            <w:tcW w:w="8040" w:type="dxa"/>
            <w:vAlign w:val="bottom"/>
            <w:gridSpan w:val="2"/>
          </w:tcPr>
          <w:p>
            <w:pPr>
              <w:ind w:left="660"/>
              <w:spacing w:after="0"/>
              <w:rPr>
                <w:sz w:val="20"/>
                <w:szCs w:val="20"/>
                <w:color w:val="auto"/>
              </w:rPr>
            </w:pPr>
            <w:r>
              <w:rPr>
                <w:rFonts w:ascii="Arial" w:cs="Arial" w:eastAsia="Arial" w:hAnsi="Arial"/>
                <w:sz w:val="18"/>
                <w:szCs w:val="18"/>
                <w:color w:val="auto"/>
              </w:rPr>
              <w:t>Inventories, which are reported at the lower of cost or market, consist of the following:</w:t>
            </w: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59"/>
        </w:trPr>
        <w:tc>
          <w:tcPr>
            <w:tcW w:w="1160" w:type="dxa"/>
            <w:vAlign w:val="bottom"/>
          </w:tcPr>
          <w:p>
            <w:pPr>
              <w:spacing w:after="0"/>
              <w:rPr>
                <w:sz w:val="24"/>
                <w:szCs w:val="24"/>
                <w:color w:val="auto"/>
              </w:rPr>
            </w:pPr>
          </w:p>
        </w:tc>
        <w:tc>
          <w:tcPr>
            <w:tcW w:w="6880" w:type="dxa"/>
            <w:vAlign w:val="bottom"/>
          </w:tcPr>
          <w:p>
            <w:pPr>
              <w:spacing w:after="0"/>
              <w:rPr>
                <w:sz w:val="24"/>
                <w:szCs w:val="24"/>
                <w:color w:val="auto"/>
              </w:rPr>
            </w:pPr>
          </w:p>
        </w:tc>
        <w:tc>
          <w:tcPr>
            <w:tcW w:w="960" w:type="dxa"/>
            <w:vAlign w:val="bottom"/>
            <w:gridSpan w:val="2"/>
          </w:tcPr>
          <w:p>
            <w:pPr>
              <w:spacing w:after="0"/>
              <w:rPr>
                <w:sz w:val="20"/>
                <w:szCs w:val="20"/>
                <w:color w:val="auto"/>
              </w:rPr>
            </w:pPr>
            <w:r>
              <w:rPr>
                <w:rFonts w:ascii="Arial" w:cs="Arial" w:eastAsia="Arial" w:hAnsi="Arial"/>
                <w:sz w:val="18"/>
                <w:szCs w:val="18"/>
                <w:color w:val="auto"/>
                <w:w w:val="87"/>
              </w:rPr>
              <w:t>July 31, 2011</w:t>
            </w:r>
          </w:p>
        </w:tc>
        <w:tc>
          <w:tcPr>
            <w:tcW w:w="1280" w:type="dxa"/>
            <w:vAlign w:val="bottom"/>
            <w:gridSpan w:val="4"/>
          </w:tcPr>
          <w:p>
            <w:pPr>
              <w:ind w:left="160"/>
              <w:spacing w:after="0"/>
              <w:rPr>
                <w:sz w:val="20"/>
                <w:szCs w:val="20"/>
                <w:color w:val="auto"/>
              </w:rPr>
            </w:pPr>
            <w:r>
              <w:rPr>
                <w:rFonts w:ascii="Arial" w:cs="Arial" w:eastAsia="Arial" w:hAnsi="Arial"/>
                <w:sz w:val="18"/>
                <w:szCs w:val="18"/>
                <w:color w:val="auto"/>
                <w:w w:val="99"/>
              </w:rPr>
              <w:t>April 30, 2011</w:t>
            </w:r>
          </w:p>
        </w:tc>
      </w:tr>
      <w:tr>
        <w:trPr>
          <w:trHeight w:val="27"/>
        </w:trPr>
        <w:tc>
          <w:tcPr>
            <w:tcW w:w="1160" w:type="dxa"/>
            <w:vAlign w:val="bottom"/>
          </w:tcPr>
          <w:p>
            <w:pPr>
              <w:spacing w:after="0"/>
              <w:rPr>
                <w:sz w:val="2"/>
                <w:szCs w:val="2"/>
                <w:color w:val="auto"/>
              </w:rPr>
            </w:pPr>
          </w:p>
        </w:tc>
        <w:tc>
          <w:tcPr>
            <w:tcW w:w="68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1160" w:type="dxa"/>
            <w:vAlign w:val="bottom"/>
          </w:tcPr>
          <w:p>
            <w:pPr>
              <w:spacing w:after="0"/>
              <w:rPr>
                <w:sz w:val="18"/>
                <w:szCs w:val="18"/>
                <w:color w:val="auto"/>
              </w:rPr>
            </w:pPr>
          </w:p>
        </w:tc>
        <w:tc>
          <w:tcPr>
            <w:tcW w:w="6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jc w:val="right"/>
              <w:ind w:right="110"/>
              <w:spacing w:after="0"/>
              <w:rPr>
                <w:sz w:val="20"/>
                <w:szCs w:val="20"/>
                <w:color w:val="auto"/>
              </w:rPr>
            </w:pPr>
            <w:r>
              <w:rPr>
                <w:rFonts w:ascii="Arial" w:cs="Arial" w:eastAsia="Arial" w:hAnsi="Arial"/>
                <w:sz w:val="18"/>
                <w:szCs w:val="18"/>
                <w:color w:val="auto"/>
              </w:rPr>
              <w:t>(In</w:t>
            </w:r>
          </w:p>
        </w:tc>
        <w:tc>
          <w:tcPr>
            <w:tcW w:w="660" w:type="dxa"/>
            <w:vAlign w:val="bottom"/>
            <w:gridSpan w:val="2"/>
          </w:tcPr>
          <w:p>
            <w:pPr>
              <w:spacing w:after="0"/>
              <w:rPr>
                <w:sz w:val="20"/>
                <w:szCs w:val="20"/>
                <w:color w:val="auto"/>
              </w:rPr>
            </w:pPr>
            <w:r>
              <w:rPr>
                <w:rFonts w:ascii="Arial" w:cs="Arial" w:eastAsia="Arial" w:hAnsi="Arial"/>
                <w:sz w:val="18"/>
                <w:szCs w:val="18"/>
                <w:color w:val="auto"/>
                <w:w w:val="71"/>
              </w:rPr>
              <w:t>thousands)</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6880" w:type="dxa"/>
            <w:vAlign w:val="bottom"/>
            <w:shd w:val="clear" w:color="auto" w:fill="CCFFCC"/>
          </w:tcPr>
          <w:p>
            <w:pPr>
              <w:spacing w:after="0"/>
              <w:rPr>
                <w:sz w:val="20"/>
                <w:szCs w:val="20"/>
                <w:color w:val="auto"/>
              </w:rPr>
            </w:pPr>
            <w:r>
              <w:rPr>
                <w:rFonts w:ascii="Arial" w:cs="Arial" w:eastAsia="Arial" w:hAnsi="Arial"/>
                <w:sz w:val="18"/>
                <w:szCs w:val="18"/>
                <w:color w:val="auto"/>
              </w:rPr>
              <w:t>Raw Materials and Component Parts</w:t>
            </w:r>
          </w:p>
        </w:tc>
        <w:tc>
          <w:tcPr>
            <w:tcW w:w="280" w:type="dxa"/>
            <w:vAlign w:val="bottom"/>
            <w:shd w:val="clear" w:color="auto" w:fill="CCFFCC"/>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13,781</w:t>
            </w:r>
          </w:p>
        </w:tc>
        <w:tc>
          <w:tcPr>
            <w:tcW w:w="660" w:type="dxa"/>
            <w:vAlign w:val="bottom"/>
            <w:gridSpan w:val="2"/>
            <w:shd w:val="clear" w:color="auto" w:fill="CCFFCC"/>
          </w:tcPr>
          <w:p>
            <w:pPr>
              <w:ind w:left="1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FFCC"/>
          </w:tcPr>
          <w:p>
            <w:pPr>
              <w:jc w:val="right"/>
              <w:spacing w:after="0"/>
              <w:rPr>
                <w:sz w:val="20"/>
                <w:szCs w:val="20"/>
                <w:color w:val="auto"/>
              </w:rPr>
            </w:pPr>
            <w:r>
              <w:rPr>
                <w:rFonts w:ascii="Arial" w:cs="Arial" w:eastAsia="Arial" w:hAnsi="Arial"/>
                <w:sz w:val="18"/>
                <w:szCs w:val="18"/>
                <w:color w:val="auto"/>
                <w:w w:val="94"/>
              </w:rPr>
              <w:t>13,477</w:t>
            </w:r>
          </w:p>
        </w:tc>
        <w:tc>
          <w:tcPr>
            <w:tcW w:w="80" w:type="dxa"/>
            <w:vAlign w:val="bottom"/>
            <w:shd w:val="clear" w:color="auto" w:fill="CCFFCC"/>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Work in Progress</w:t>
            </w:r>
          </w:p>
        </w:tc>
        <w:tc>
          <w:tcPr>
            <w:tcW w:w="2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13,975</w:t>
            </w: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11,921</w:t>
            </w:r>
          </w:p>
        </w:tc>
        <w:tc>
          <w:tcPr>
            <w:tcW w:w="80" w:type="dxa"/>
            <w:vAlign w:val="bottom"/>
          </w:tcPr>
          <w:p>
            <w:pPr>
              <w:spacing w:after="0"/>
              <w:rPr>
                <w:sz w:val="18"/>
                <w:szCs w:val="18"/>
                <w:color w:val="auto"/>
              </w:rPr>
            </w:pPr>
          </w:p>
        </w:tc>
      </w:tr>
      <w:tr>
        <w:trPr>
          <w:trHeight w:val="223"/>
        </w:trPr>
        <w:tc>
          <w:tcPr>
            <w:tcW w:w="1160" w:type="dxa"/>
            <w:vAlign w:val="bottom"/>
          </w:tcPr>
          <w:p>
            <w:pPr>
              <w:spacing w:after="0"/>
              <w:rPr>
                <w:sz w:val="19"/>
                <w:szCs w:val="19"/>
                <w:color w:val="auto"/>
              </w:rPr>
            </w:pPr>
          </w:p>
        </w:tc>
        <w:tc>
          <w:tcPr>
            <w:tcW w:w="688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Finished Goods</w:t>
            </w:r>
          </w:p>
        </w:tc>
        <w:tc>
          <w:tcPr>
            <w:tcW w:w="280" w:type="dxa"/>
            <w:vAlign w:val="bottom"/>
            <w:tcBorders>
              <w:bottom w:val="single" w:sz="8" w:color="auto"/>
            </w:tcBorders>
            <w:shd w:val="clear" w:color="auto" w:fill="CCFFCC"/>
          </w:tcPr>
          <w:p>
            <w:pPr>
              <w:spacing w:after="0"/>
              <w:rPr>
                <w:sz w:val="19"/>
                <w:szCs w:val="19"/>
                <w:color w:val="auto"/>
              </w:rPr>
            </w:pPr>
          </w:p>
        </w:tc>
        <w:tc>
          <w:tcPr>
            <w:tcW w:w="6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2,491</w:t>
            </w:r>
          </w:p>
        </w:tc>
        <w:tc>
          <w:tcPr>
            <w:tcW w:w="160" w:type="dxa"/>
            <w:vAlign w:val="bottom"/>
            <w:tcBorders>
              <w:bottom w:val="single" w:sz="8" w:color="CCFFCC"/>
            </w:tcBorders>
            <w:shd w:val="clear" w:color="auto" w:fill="CCFFCC"/>
          </w:tcPr>
          <w:p>
            <w:pPr>
              <w:spacing w:after="0"/>
              <w:rPr>
                <w:sz w:val="19"/>
                <w:szCs w:val="19"/>
                <w:color w:val="auto"/>
              </w:rPr>
            </w:pPr>
          </w:p>
        </w:tc>
        <w:tc>
          <w:tcPr>
            <w:tcW w:w="500" w:type="dxa"/>
            <w:vAlign w:val="bottom"/>
            <w:tcBorders>
              <w:bottom w:val="single" w:sz="8" w:color="auto"/>
            </w:tcBorders>
            <w:shd w:val="clear" w:color="auto" w:fill="CCFFCC"/>
          </w:tcPr>
          <w:p>
            <w:pPr>
              <w:spacing w:after="0"/>
              <w:rPr>
                <w:sz w:val="19"/>
                <w:szCs w:val="19"/>
                <w:color w:val="auto"/>
              </w:rPr>
            </w:pPr>
          </w:p>
        </w:tc>
        <w:tc>
          <w:tcPr>
            <w:tcW w:w="5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2,774</w:t>
            </w:r>
          </w:p>
        </w:tc>
        <w:tc>
          <w:tcPr>
            <w:tcW w:w="80" w:type="dxa"/>
            <w:vAlign w:val="bottom"/>
            <w:tcBorders>
              <w:bottom w:val="single" w:sz="8" w:color="CCFFCC"/>
            </w:tcBorders>
            <w:shd w:val="clear" w:color="auto" w:fill="CCFFCC"/>
          </w:tcPr>
          <w:p>
            <w:pPr>
              <w:spacing w:after="0"/>
              <w:rPr>
                <w:sz w:val="19"/>
                <w:szCs w:val="19"/>
                <w:color w:val="auto"/>
              </w:rPr>
            </w:pPr>
          </w:p>
        </w:tc>
      </w:tr>
      <w:tr>
        <w:trPr>
          <w:trHeight w:val="216"/>
        </w:trPr>
        <w:tc>
          <w:tcPr>
            <w:tcW w:w="1160" w:type="dxa"/>
            <w:vAlign w:val="bottom"/>
          </w:tcPr>
          <w:p>
            <w:pPr>
              <w:spacing w:after="0"/>
              <w:rPr>
                <w:sz w:val="18"/>
                <w:szCs w:val="18"/>
                <w:color w:val="auto"/>
              </w:rPr>
            </w:pPr>
          </w:p>
        </w:tc>
        <w:tc>
          <w:tcPr>
            <w:tcW w:w="688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30,247</w:t>
            </w:r>
          </w:p>
        </w:tc>
        <w:tc>
          <w:tcPr>
            <w:tcW w:w="66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28,172</w:t>
            </w:r>
          </w:p>
        </w:tc>
        <w:tc>
          <w:tcPr>
            <w:tcW w:w="80" w:type="dxa"/>
            <w:vAlign w:val="bottom"/>
          </w:tcPr>
          <w:p>
            <w:pPr>
              <w:spacing w:after="0"/>
              <w:rPr>
                <w:sz w:val="18"/>
                <w:szCs w:val="18"/>
                <w:color w:val="auto"/>
              </w:rPr>
            </w:pPr>
          </w:p>
        </w:tc>
      </w:tr>
      <w:tr>
        <w:trPr>
          <w:trHeight w:val="21"/>
        </w:trPr>
        <w:tc>
          <w:tcPr>
            <w:tcW w:w="116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color w:val="auto"/>
        </w:rPr>
        <w:t>As of July 31, 2011 and April 30, 2011, of total inventory approximately $19.1 million and $19.7 million, respectively, is located in the United States, approximately $10.4 million and $7.8 million, respectively, is located in Belgium and approximately $700,000 as of each date, is located in China.</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NOTE F – COMPREHENSIVE INCOME</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the three months ended July 31, 2011 and 2010, comprehensive income (loss) is composed of (in thousands):</w:t>
      </w:r>
    </w:p>
    <w:p>
      <w:pPr>
        <w:spacing w:after="0" w:line="252" w:lineRule="exact"/>
        <w:rPr>
          <w:sz w:val="20"/>
          <w:szCs w:val="20"/>
          <w:color w:val="auto"/>
        </w:rPr>
      </w:pPr>
    </w:p>
    <w:tbl>
      <w:tblPr>
        <w:tblLayout w:type="fixed"/>
        <w:tblInd w:w="114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6000" w:type="dxa"/>
            <w:vAlign w:val="bottom"/>
          </w:tcPr>
          <w:p>
            <w:pPr>
              <w:spacing w:after="0"/>
              <w:rPr>
                <w:sz w:val="20"/>
                <w:szCs w:val="20"/>
                <w:color w:val="auto"/>
              </w:rPr>
            </w:pPr>
          </w:p>
        </w:tc>
        <w:tc>
          <w:tcPr>
            <w:tcW w:w="3120" w:type="dxa"/>
            <w:vAlign w:val="bottom"/>
            <w:gridSpan w:val="8"/>
          </w:tcPr>
          <w:p>
            <w:pPr>
              <w:ind w:left="960"/>
              <w:spacing w:after="0"/>
              <w:rPr>
                <w:sz w:val="20"/>
                <w:szCs w:val="20"/>
                <w:color w:val="auto"/>
              </w:rPr>
            </w:pPr>
            <w:r>
              <w:rPr>
                <w:rFonts w:ascii="Arial" w:cs="Arial" w:eastAsia="Arial" w:hAnsi="Arial"/>
                <w:sz w:val="18"/>
                <w:szCs w:val="18"/>
                <w:color w:val="auto"/>
                <w:w w:val="91"/>
              </w:rPr>
              <w:t>Three months ended July 31,</w:t>
            </w:r>
          </w:p>
        </w:tc>
      </w:tr>
      <w:tr>
        <w:trPr>
          <w:trHeight w:val="223"/>
        </w:trPr>
        <w:tc>
          <w:tcPr>
            <w:tcW w:w="20" w:type="dxa"/>
            <w:vAlign w:val="bottom"/>
          </w:tcPr>
          <w:p>
            <w:pPr>
              <w:spacing w:after="0"/>
              <w:rPr>
                <w:sz w:val="19"/>
                <w:szCs w:val="19"/>
                <w:color w:val="auto"/>
              </w:rPr>
            </w:pPr>
          </w:p>
        </w:tc>
        <w:tc>
          <w:tcPr>
            <w:tcW w:w="60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rPr>
              <w:t>2011</w:t>
            </w:r>
          </w:p>
        </w:tc>
        <w:tc>
          <w:tcPr>
            <w:tcW w:w="10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rPr>
              <w:t>2010</w:t>
            </w:r>
          </w:p>
        </w:tc>
        <w:tc>
          <w:tcPr>
            <w:tcW w:w="8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FFCC"/>
          </w:tcPr>
          <w:p>
            <w:pPr>
              <w:spacing w:after="0"/>
              <w:rPr>
                <w:sz w:val="20"/>
                <w:szCs w:val="20"/>
                <w:color w:val="auto"/>
              </w:rPr>
            </w:pPr>
            <w:r>
              <w:rPr>
                <w:rFonts w:ascii="Arial" w:cs="Arial" w:eastAsia="Arial" w:hAnsi="Arial"/>
                <w:sz w:val="18"/>
                <w:szCs w:val="18"/>
                <w:color w:val="auto"/>
              </w:rPr>
              <w:t>Net income</w:t>
            </w:r>
          </w:p>
        </w:tc>
        <w:tc>
          <w:tcPr>
            <w:tcW w:w="1160" w:type="dxa"/>
            <w:vAlign w:val="bottom"/>
            <w:gridSpan w:val="2"/>
            <w:shd w:val="clear" w:color="auto" w:fill="CCFFCC"/>
          </w:tcPr>
          <w:p>
            <w:pPr>
              <w:ind w:left="9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1,344</w:t>
            </w:r>
          </w:p>
        </w:tc>
        <w:tc>
          <w:tcPr>
            <w:tcW w:w="100" w:type="dxa"/>
            <w:vAlign w:val="bottom"/>
            <w:shd w:val="clear" w:color="auto" w:fill="CCFFCC"/>
          </w:tcPr>
          <w:p>
            <w:pPr>
              <w:spacing w:after="0"/>
              <w:rPr>
                <w:sz w:val="18"/>
                <w:szCs w:val="18"/>
                <w:color w:val="auto"/>
              </w:rPr>
            </w:pPr>
          </w:p>
        </w:tc>
        <w:tc>
          <w:tcPr>
            <w:tcW w:w="2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507</w:t>
            </w:r>
          </w:p>
        </w:tc>
        <w:tc>
          <w:tcPr>
            <w:tcW w:w="80" w:type="dxa"/>
            <w:vAlign w:val="bottom"/>
            <w:shd w:val="clear" w:color="auto" w:fill="CCFFC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Foreign currency translation adjustment</w:t>
            </w: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331</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(930)</w:t>
            </w:r>
          </w:p>
        </w:tc>
      </w:tr>
      <w:tr>
        <w:trPr>
          <w:trHeight w:val="216"/>
        </w:trPr>
        <w:tc>
          <w:tcPr>
            <w:tcW w:w="20" w:type="dxa"/>
            <w:vAlign w:val="bottom"/>
          </w:tcPr>
          <w:p>
            <w:pPr>
              <w:spacing w:after="0"/>
              <w:rPr>
                <w:sz w:val="18"/>
                <w:szCs w:val="18"/>
                <w:color w:val="auto"/>
              </w:rPr>
            </w:pPr>
          </w:p>
        </w:tc>
        <w:tc>
          <w:tcPr>
            <w:tcW w:w="6000" w:type="dxa"/>
            <w:vAlign w:val="bottom"/>
            <w:shd w:val="clear" w:color="auto" w:fill="CCFFCC"/>
          </w:tcPr>
          <w:p>
            <w:pPr>
              <w:spacing w:after="0"/>
              <w:rPr>
                <w:sz w:val="20"/>
                <w:szCs w:val="20"/>
                <w:color w:val="auto"/>
              </w:rPr>
            </w:pPr>
            <w:r>
              <w:rPr>
                <w:rFonts w:ascii="Arial" w:cs="Arial" w:eastAsia="Arial" w:hAnsi="Arial"/>
                <w:sz w:val="18"/>
                <w:szCs w:val="18"/>
                <w:color w:val="auto"/>
              </w:rPr>
              <w:t>Change in market value of marketable securities</w:t>
            </w:r>
          </w:p>
        </w:tc>
        <w:tc>
          <w:tcPr>
            <w:tcW w:w="96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8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(183)</w:t>
            </w:r>
          </w:p>
        </w:tc>
        <w:tc>
          <w:tcPr>
            <w:tcW w:w="8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7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86</w:t>
            </w:r>
          </w:p>
        </w:tc>
        <w:tc>
          <w:tcPr>
            <w:tcW w:w="80" w:type="dxa"/>
            <w:vAlign w:val="bottom"/>
            <w:shd w:val="clear" w:color="auto" w:fill="CCFFCC"/>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Deferred tax effect of change in market value of marketable securities</w:t>
            </w:r>
          </w:p>
        </w:tc>
        <w:tc>
          <w:tcPr>
            <w:tcW w:w="9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r>
      <w:tr>
        <w:trPr>
          <w:trHeight w:val="237"/>
        </w:trPr>
        <w:tc>
          <w:tcPr>
            <w:tcW w:w="20" w:type="dxa"/>
            <w:vAlign w:val="bottom"/>
          </w:tcPr>
          <w:p>
            <w:pPr>
              <w:spacing w:after="0"/>
              <w:rPr>
                <w:sz w:val="20"/>
                <w:szCs w:val="20"/>
                <w:color w:val="auto"/>
              </w:rPr>
            </w:pPr>
          </w:p>
        </w:tc>
        <w:tc>
          <w:tcPr>
            <w:tcW w:w="6000" w:type="dxa"/>
            <w:vAlign w:val="bottom"/>
            <w:shd w:val="clear" w:color="auto" w:fill="CCFFCC"/>
          </w:tcPr>
          <w:p>
            <w:pPr>
              <w:spacing w:after="0"/>
              <w:rPr>
                <w:sz w:val="20"/>
                <w:szCs w:val="20"/>
                <w:color w:val="auto"/>
              </w:rPr>
            </w:pPr>
            <w:r>
              <w:rPr>
                <w:rFonts w:ascii="Arial" w:cs="Arial" w:eastAsia="Arial" w:hAnsi="Arial"/>
                <w:sz w:val="18"/>
                <w:szCs w:val="18"/>
                <w:color w:val="auto"/>
              </w:rPr>
              <w:t>Comprehensive income (loss)</w:t>
            </w:r>
          </w:p>
        </w:tc>
        <w:tc>
          <w:tcPr>
            <w:tcW w:w="1160" w:type="dxa"/>
            <w:vAlign w:val="bottom"/>
            <w:gridSpan w:val="2"/>
            <w:shd w:val="clear" w:color="auto" w:fill="CCFFCC"/>
          </w:tcPr>
          <w:p>
            <w:pPr>
              <w:ind w:left="9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1,558</w:t>
            </w:r>
          </w:p>
        </w:tc>
        <w:tc>
          <w:tcPr>
            <w:tcW w:w="100" w:type="dxa"/>
            <w:vAlign w:val="bottom"/>
            <w:shd w:val="clear" w:color="auto" w:fill="CCFFCC"/>
          </w:tcPr>
          <w:p>
            <w:pPr>
              <w:spacing w:after="0"/>
              <w:rPr>
                <w:sz w:val="20"/>
                <w:szCs w:val="20"/>
                <w:color w:val="auto"/>
              </w:rPr>
            </w:pPr>
          </w:p>
        </w:tc>
        <w:tc>
          <w:tcPr>
            <w:tcW w:w="2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( 337)</w:t>
            </w:r>
          </w:p>
        </w:tc>
      </w:tr>
      <w:tr>
        <w:trPr>
          <w:trHeight w:val="20"/>
        </w:trPr>
        <w:tc>
          <w:tcPr>
            <w:tcW w:w="20" w:type="dxa"/>
            <w:vAlign w:val="bottom"/>
          </w:tcPr>
          <w:p>
            <w:pPr>
              <w:spacing w:after="0" w:line="20" w:lineRule="exact"/>
              <w:rPr>
                <w:sz w:val="1"/>
                <w:szCs w:val="1"/>
                <w:color w:val="auto"/>
              </w:rPr>
            </w:pPr>
          </w:p>
        </w:tc>
        <w:tc>
          <w:tcPr>
            <w:tcW w:w="6000" w:type="dxa"/>
            <w:vAlign w:val="bottom"/>
            <w:tcBorders>
              <w:top w:val="single" w:sz="8" w:color="CCFFCC"/>
            </w:tcBorders>
            <w:shd w:val="clear" w:color="auto" w:fill="CCFFCC"/>
          </w:tcPr>
          <w:p>
            <w:pPr>
              <w:spacing w:after="0" w:line="20" w:lineRule="exact"/>
              <w:rPr>
                <w:sz w:val="1"/>
                <w:szCs w:val="1"/>
                <w:color w:val="auto"/>
              </w:rPr>
            </w:pPr>
          </w:p>
        </w:tc>
        <w:tc>
          <w:tcPr>
            <w:tcW w:w="96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NOTE G – SEGMENT INFORMATION</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operates under three reportable segments based on the geographic locations of its subsidiaries:</w:t>
      </w:r>
    </w:p>
    <w:p>
      <w:pPr>
        <w:spacing w:after="0" w:line="23" w:lineRule="exact"/>
        <w:rPr>
          <w:sz w:val="20"/>
          <w:szCs w:val="20"/>
          <w:color w:val="auto"/>
        </w:rPr>
      </w:pPr>
    </w:p>
    <w:p>
      <w:pPr>
        <w:jc w:val="both"/>
        <w:ind w:left="980" w:hanging="324"/>
        <w:spacing w:after="0" w:line="250"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FEI-NY – operates out of New York and its operations consist principally of precision time and frequency control products used in three principal markets- communication satellites (both commercial and U.S. Government-funded); terrestrial cellular telephone or other ground-based telecommunication stations and other components and systems for the U.S. military.</w:t>
      </w:r>
    </w:p>
    <w:p>
      <w:pPr>
        <w:spacing w:after="0" w:line="1" w:lineRule="exact"/>
        <w:rPr>
          <w:rFonts w:ascii="Arial" w:cs="Arial" w:eastAsia="Arial" w:hAnsi="Arial"/>
          <w:sz w:val="18"/>
          <w:szCs w:val="18"/>
          <w:color w:val="auto"/>
        </w:rPr>
      </w:pPr>
    </w:p>
    <w:p>
      <w:pPr>
        <w:ind w:left="980" w:hanging="324"/>
        <w:spacing w:after="0" w:line="250"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Gillam-FEI - operates out of Belgium and France and primarily sells wireline synchronization and network management systems in non-U.S. markets. All sales from Gillam-FEI to the United States are to other segments of the Company.</w:t>
      </w:r>
    </w:p>
    <w:p>
      <w:pPr>
        <w:jc w:val="both"/>
        <w:ind w:left="980" w:hanging="324"/>
        <w:spacing w:after="0" w:line="302" w:lineRule="auto"/>
        <w:tabs>
          <w:tab w:leader="none" w:pos="980" w:val="left"/>
        </w:tabs>
        <w:numPr>
          <w:ilvl w:val="0"/>
          <w:numId w:val="3"/>
        </w:numPr>
        <w:rPr>
          <w:rFonts w:ascii="Arial" w:cs="Arial" w:eastAsia="Arial" w:hAnsi="Arial"/>
          <w:sz w:val="16"/>
          <w:szCs w:val="16"/>
          <w:color w:val="auto"/>
        </w:rPr>
      </w:pPr>
      <w:r>
        <w:rPr>
          <w:rFonts w:ascii="Arial" w:cs="Arial" w:eastAsia="Arial" w:hAnsi="Arial"/>
          <w:sz w:val="16"/>
          <w:szCs w:val="16"/>
          <w:color w:val="auto"/>
        </w:rPr>
        <w:t>FEI-Zyfer – operates out of California and its products incorporate Global Positioning System (GPS) technologies into systems and subsystems for secure communications, both government and commercial, and other locator applications. This segment also provides sales and support for the Company’s wireline telecommunications family of products, including US5G, which are sold in the United States market.</w:t>
      </w:r>
    </w:p>
    <w:p>
      <w:pPr>
        <w:spacing w:after="0" w:line="182" w:lineRule="exact"/>
        <w:rPr>
          <w:sz w:val="20"/>
          <w:szCs w:val="20"/>
          <w:color w:val="auto"/>
        </w:rPr>
      </w:pPr>
    </w:p>
    <w:p>
      <w:pPr>
        <w:ind w:right="680" w:firstLine="648"/>
        <w:spacing w:after="0" w:line="277" w:lineRule="auto"/>
        <w:rPr>
          <w:sz w:val="20"/>
          <w:szCs w:val="20"/>
          <w:color w:val="auto"/>
        </w:rPr>
      </w:pPr>
      <w:r>
        <w:rPr>
          <w:rFonts w:ascii="Arial" w:cs="Arial" w:eastAsia="Arial" w:hAnsi="Arial"/>
          <w:sz w:val="18"/>
          <w:szCs w:val="18"/>
          <w:color w:val="auto"/>
        </w:rPr>
        <w:t>The FEI-NY segment also includes the operations of the Company’s wholly-owned subsidiary, FEI-Asia. FEI-Asia functions primarily as a manufacturing facility for the FEI-NY segment.</w:t>
      </w:r>
    </w:p>
    <w:p>
      <w:pPr>
        <w:spacing w:after="0" w:line="19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Company’s Chief Executive Officer measures segment performance based on total revenues and profits generated by each geographic location rather than on the specific types of customers or end-users. Consequently, the Company determined that the segments indicated above most appropriately reflect the way the Company’s management views the business.</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 of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8"/>
          <w:szCs w:val="18"/>
          <w:color w:val="auto"/>
        </w:rPr>
        <w:t>FREQUENCY ELECTRONICS, INC. and SUBSIDIARIES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Condensed Consolidated Financial Statements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table below presents information about reported segments with reconciliation of segment amounts to consolidated amounts as reported in the statement of operations or the balance sheet for each of the periods (in thousands):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4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280" w:type="dxa"/>
            <w:vAlign w:val="bottom"/>
            <w:gridSpan w:val="8"/>
          </w:tcPr>
          <w:p>
            <w:pPr>
              <w:ind w:left="80"/>
              <w:spacing w:after="0"/>
              <w:rPr>
                <w:sz w:val="20"/>
                <w:szCs w:val="20"/>
                <w:color w:val="auto"/>
              </w:rPr>
            </w:pPr>
            <w:r>
              <w:rPr>
                <w:rFonts w:ascii="Arial" w:cs="Arial" w:eastAsia="Arial" w:hAnsi="Arial"/>
                <w:sz w:val="18"/>
                <w:szCs w:val="18"/>
                <w:color w:val="auto"/>
                <w:w w:val="93"/>
              </w:rPr>
              <w:t>Three months ended July 31,</w:t>
            </w:r>
          </w:p>
        </w:tc>
      </w:tr>
      <w:tr>
        <w:trPr>
          <w:trHeight w:val="237"/>
        </w:trPr>
        <w:tc>
          <w:tcPr>
            <w:tcW w:w="20" w:type="dxa"/>
            <w:vAlign w:val="bottom"/>
          </w:tcPr>
          <w:p>
            <w:pPr>
              <w:spacing w:after="0"/>
              <w:rPr>
                <w:sz w:val="20"/>
                <w:szCs w:val="20"/>
                <w:color w:val="auto"/>
              </w:rPr>
            </w:pPr>
          </w:p>
        </w:tc>
        <w:tc>
          <w:tcPr>
            <w:tcW w:w="546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2011</w:t>
            </w:r>
          </w:p>
        </w:tc>
        <w:tc>
          <w:tcPr>
            <w:tcW w:w="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2010</w:t>
            </w:r>
          </w:p>
        </w:tc>
        <w:tc>
          <w:tcPr>
            <w:tcW w:w="8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FFCC"/>
          </w:tcPr>
          <w:p>
            <w:pPr>
              <w:spacing w:after="0"/>
              <w:rPr>
                <w:sz w:val="20"/>
                <w:szCs w:val="20"/>
                <w:color w:val="auto"/>
              </w:rPr>
            </w:pPr>
            <w:r>
              <w:rPr>
                <w:rFonts w:ascii="Arial" w:cs="Arial" w:eastAsia="Arial" w:hAnsi="Arial"/>
                <w:sz w:val="18"/>
                <w:szCs w:val="18"/>
                <w:color w:val="auto"/>
              </w:rPr>
              <w:t>Net revenues:</w:t>
            </w:r>
          </w:p>
        </w:tc>
        <w:tc>
          <w:tcPr>
            <w:tcW w:w="1940" w:type="dxa"/>
            <w:vAlign w:val="bottom"/>
            <w:shd w:val="clear" w:color="auto" w:fill="CCFFCC"/>
          </w:tcPr>
          <w:p>
            <w:pPr>
              <w:spacing w:after="0"/>
              <w:rPr>
                <w:sz w:val="18"/>
                <w:szCs w:val="18"/>
                <w:color w:val="auto"/>
              </w:rPr>
            </w:pPr>
          </w:p>
        </w:tc>
        <w:tc>
          <w:tcPr>
            <w:tcW w:w="260" w:type="dxa"/>
            <w:vAlign w:val="bottom"/>
            <w:tcBorders>
              <w:left w:val="single" w:sz="8" w:color="CCFFCC"/>
            </w:tcBorders>
            <w:shd w:val="clear" w:color="auto" w:fill="CCFFCC"/>
          </w:tcPr>
          <w:p>
            <w:pPr>
              <w:spacing w:after="0"/>
              <w:rPr>
                <w:sz w:val="18"/>
                <w:szCs w:val="18"/>
                <w:color w:val="auto"/>
              </w:rPr>
            </w:pPr>
          </w:p>
        </w:tc>
        <w:tc>
          <w:tcPr>
            <w:tcW w:w="70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78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60" w:type="dxa"/>
            <w:vAlign w:val="bottom"/>
          </w:tcPr>
          <w:p>
            <w:pPr>
              <w:ind w:left="160"/>
              <w:spacing w:after="0"/>
              <w:rPr>
                <w:sz w:val="20"/>
                <w:szCs w:val="20"/>
                <w:color w:val="auto"/>
              </w:rPr>
            </w:pPr>
            <w:r>
              <w:rPr>
                <w:rFonts w:ascii="Arial" w:cs="Arial" w:eastAsia="Arial" w:hAnsi="Arial"/>
                <w:sz w:val="18"/>
                <w:szCs w:val="18"/>
                <w:color w:val="auto"/>
              </w:rPr>
              <w:t>FEI-NY</w:t>
            </w:r>
          </w:p>
        </w:tc>
        <w:tc>
          <w:tcPr>
            <w:tcW w:w="2200" w:type="dxa"/>
            <w:vAlign w:val="bottom"/>
            <w:gridSpan w:val="2"/>
          </w:tcPr>
          <w:p>
            <w:pPr>
              <w:ind w:left="2020"/>
              <w:spacing w:after="0"/>
              <w:rPr>
                <w:sz w:val="20"/>
                <w:szCs w:val="20"/>
                <w:color w:val="auto"/>
              </w:rPr>
            </w:pPr>
            <w:r>
              <w:rPr>
                <w:rFonts w:ascii="Arial" w:cs="Arial" w:eastAsia="Arial" w:hAnsi="Arial"/>
                <w:sz w:val="18"/>
                <w:szCs w:val="18"/>
                <w:color w:val="auto"/>
              </w:rPr>
              <w:t>$</w:t>
            </w:r>
          </w:p>
        </w:tc>
        <w:tc>
          <w:tcPr>
            <w:tcW w:w="900" w:type="dxa"/>
            <w:vAlign w:val="bottom"/>
            <w:gridSpan w:val="3"/>
          </w:tcPr>
          <w:p>
            <w:pPr>
              <w:jc w:val="right"/>
              <w:ind w:right="120"/>
              <w:spacing w:after="0"/>
              <w:rPr>
                <w:sz w:val="20"/>
                <w:szCs w:val="20"/>
                <w:color w:val="auto"/>
              </w:rPr>
            </w:pPr>
            <w:r>
              <w:rPr>
                <w:rFonts w:ascii="Arial" w:cs="Arial" w:eastAsia="Arial" w:hAnsi="Arial"/>
                <w:sz w:val="18"/>
                <w:szCs w:val="18"/>
                <w:color w:val="auto"/>
              </w:rPr>
              <w:t>10,615</w:t>
            </w: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7,642</w:t>
            </w:r>
          </w:p>
        </w:tc>
      </w:tr>
      <w:tr>
        <w:trPr>
          <w:trHeight w:val="216"/>
        </w:trPr>
        <w:tc>
          <w:tcPr>
            <w:tcW w:w="20" w:type="dxa"/>
            <w:vAlign w:val="bottom"/>
          </w:tcPr>
          <w:p>
            <w:pPr>
              <w:spacing w:after="0"/>
              <w:rPr>
                <w:sz w:val="18"/>
                <w:szCs w:val="18"/>
                <w:color w:val="auto"/>
              </w:rPr>
            </w:pPr>
          </w:p>
        </w:tc>
        <w:tc>
          <w:tcPr>
            <w:tcW w:w="5460" w:type="dxa"/>
            <w:vAlign w:val="bottom"/>
            <w:shd w:val="clear" w:color="auto" w:fill="CCFFCC"/>
          </w:tcPr>
          <w:p>
            <w:pPr>
              <w:ind w:left="160"/>
              <w:spacing w:after="0"/>
              <w:rPr>
                <w:sz w:val="20"/>
                <w:szCs w:val="20"/>
                <w:color w:val="auto"/>
              </w:rPr>
            </w:pPr>
            <w:r>
              <w:rPr>
                <w:rFonts w:ascii="Arial" w:cs="Arial" w:eastAsia="Arial" w:hAnsi="Arial"/>
                <w:sz w:val="18"/>
                <w:szCs w:val="18"/>
                <w:color w:val="auto"/>
              </w:rPr>
              <w:t>Gillam-FEI</w:t>
            </w:r>
          </w:p>
        </w:tc>
        <w:tc>
          <w:tcPr>
            <w:tcW w:w="1940" w:type="dxa"/>
            <w:vAlign w:val="bottom"/>
            <w:shd w:val="clear" w:color="auto" w:fill="CCFFCC"/>
          </w:tcPr>
          <w:p>
            <w:pPr>
              <w:spacing w:after="0"/>
              <w:rPr>
                <w:sz w:val="18"/>
                <w:szCs w:val="18"/>
                <w:color w:val="auto"/>
              </w:rPr>
            </w:pPr>
          </w:p>
        </w:tc>
        <w:tc>
          <w:tcPr>
            <w:tcW w:w="260" w:type="dxa"/>
            <w:vAlign w:val="bottom"/>
            <w:tcBorders>
              <w:left w:val="single" w:sz="8" w:color="CCFFCC"/>
            </w:tcBorders>
            <w:shd w:val="clear" w:color="auto" w:fill="CCFFCC"/>
          </w:tcPr>
          <w:p>
            <w:pPr>
              <w:spacing w:after="0"/>
              <w:rPr>
                <w:sz w:val="18"/>
                <w:szCs w:val="18"/>
                <w:color w:val="auto"/>
              </w:rPr>
            </w:pPr>
          </w:p>
        </w:tc>
        <w:tc>
          <w:tcPr>
            <w:tcW w:w="900" w:type="dxa"/>
            <w:vAlign w:val="bottom"/>
            <w:gridSpan w:val="3"/>
            <w:shd w:val="clear" w:color="auto" w:fill="CCFFCC"/>
          </w:tcPr>
          <w:p>
            <w:pPr>
              <w:jc w:val="right"/>
              <w:ind w:right="120"/>
              <w:spacing w:after="0"/>
              <w:rPr>
                <w:sz w:val="20"/>
                <w:szCs w:val="20"/>
                <w:color w:val="auto"/>
              </w:rPr>
            </w:pPr>
            <w:r>
              <w:rPr>
                <w:rFonts w:ascii="Arial" w:cs="Arial" w:eastAsia="Arial" w:hAnsi="Arial"/>
                <w:sz w:val="18"/>
                <w:szCs w:val="18"/>
                <w:color w:val="auto"/>
              </w:rPr>
              <w:t>1,988</w:t>
            </w:r>
          </w:p>
        </w:tc>
        <w:tc>
          <w:tcPr>
            <w:tcW w:w="8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8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2,973</w:t>
            </w:r>
          </w:p>
        </w:tc>
      </w:tr>
      <w:tr>
        <w:trPr>
          <w:trHeight w:val="216"/>
        </w:trPr>
        <w:tc>
          <w:tcPr>
            <w:tcW w:w="20" w:type="dxa"/>
            <w:vAlign w:val="bottom"/>
          </w:tcPr>
          <w:p>
            <w:pPr>
              <w:spacing w:after="0"/>
              <w:rPr>
                <w:sz w:val="18"/>
                <w:szCs w:val="18"/>
                <w:color w:val="auto"/>
              </w:rPr>
            </w:pPr>
          </w:p>
        </w:tc>
        <w:tc>
          <w:tcPr>
            <w:tcW w:w="5460" w:type="dxa"/>
            <w:vAlign w:val="bottom"/>
          </w:tcPr>
          <w:p>
            <w:pPr>
              <w:ind w:left="160"/>
              <w:spacing w:after="0"/>
              <w:rPr>
                <w:sz w:val="20"/>
                <w:szCs w:val="20"/>
                <w:color w:val="auto"/>
              </w:rPr>
            </w:pPr>
            <w:r>
              <w:rPr>
                <w:rFonts w:ascii="Arial" w:cs="Arial" w:eastAsia="Arial" w:hAnsi="Arial"/>
                <w:sz w:val="18"/>
                <w:szCs w:val="18"/>
                <w:color w:val="auto"/>
              </w:rPr>
              <w:t>FEI-Zyfer</w:t>
            </w:r>
          </w:p>
        </w:tc>
        <w:tc>
          <w:tcPr>
            <w:tcW w:w="1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gridSpan w:val="3"/>
          </w:tcPr>
          <w:p>
            <w:pPr>
              <w:jc w:val="right"/>
              <w:ind w:right="120"/>
              <w:spacing w:after="0"/>
              <w:rPr>
                <w:sz w:val="20"/>
                <w:szCs w:val="20"/>
                <w:color w:val="auto"/>
              </w:rPr>
            </w:pPr>
            <w:r>
              <w:rPr>
                <w:rFonts w:ascii="Arial" w:cs="Arial" w:eastAsia="Arial" w:hAnsi="Arial"/>
                <w:sz w:val="18"/>
                <w:szCs w:val="18"/>
                <w:color w:val="auto"/>
              </w:rPr>
              <w:t>3,773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2,497</w:t>
            </w:r>
          </w:p>
        </w:tc>
      </w:tr>
      <w:tr>
        <w:trPr>
          <w:trHeight w:val="216"/>
        </w:trPr>
        <w:tc>
          <w:tcPr>
            <w:tcW w:w="20" w:type="dxa"/>
            <w:vAlign w:val="bottom"/>
          </w:tcPr>
          <w:p>
            <w:pPr>
              <w:spacing w:after="0"/>
              <w:rPr>
                <w:sz w:val="18"/>
                <w:szCs w:val="18"/>
                <w:color w:val="auto"/>
              </w:rPr>
            </w:pPr>
          </w:p>
        </w:tc>
        <w:tc>
          <w:tcPr>
            <w:tcW w:w="5460" w:type="dxa"/>
            <w:vAlign w:val="bottom"/>
            <w:shd w:val="clear" w:color="auto" w:fill="CCFFCC"/>
          </w:tcPr>
          <w:p>
            <w:pPr>
              <w:ind w:left="160"/>
              <w:spacing w:after="0"/>
              <w:rPr>
                <w:sz w:val="20"/>
                <w:szCs w:val="20"/>
                <w:color w:val="auto"/>
              </w:rPr>
            </w:pPr>
            <w:r>
              <w:rPr>
                <w:rFonts w:ascii="Arial" w:cs="Arial" w:eastAsia="Arial" w:hAnsi="Arial"/>
                <w:sz w:val="18"/>
                <w:szCs w:val="18"/>
                <w:color w:val="auto"/>
              </w:rPr>
              <w:t>less intercompany revenues</w:t>
            </w:r>
          </w:p>
        </w:tc>
        <w:tc>
          <w:tcPr>
            <w:tcW w:w="1940" w:type="dxa"/>
            <w:vAlign w:val="bottom"/>
            <w:shd w:val="clear" w:color="auto" w:fill="CCFFCC"/>
          </w:tcPr>
          <w:p>
            <w:pPr>
              <w:spacing w:after="0"/>
              <w:rPr>
                <w:sz w:val="18"/>
                <w:szCs w:val="18"/>
                <w:color w:val="auto"/>
              </w:rPr>
            </w:pPr>
          </w:p>
        </w:tc>
        <w:tc>
          <w:tcPr>
            <w:tcW w:w="260" w:type="dxa"/>
            <w:vAlign w:val="bottom"/>
            <w:tcBorders>
              <w:left w:val="single" w:sz="8" w:color="CCFFCC"/>
            </w:tcBorders>
            <w:shd w:val="clear" w:color="auto" w:fill="CCFFCC"/>
          </w:tcPr>
          <w:p>
            <w:pPr>
              <w:spacing w:after="0"/>
              <w:rPr>
                <w:sz w:val="18"/>
                <w:szCs w:val="18"/>
                <w:color w:val="auto"/>
              </w:rPr>
            </w:pPr>
          </w:p>
        </w:tc>
        <w:tc>
          <w:tcPr>
            <w:tcW w:w="900" w:type="dxa"/>
            <w:vAlign w:val="bottom"/>
            <w:gridSpan w:val="3"/>
            <w:shd w:val="clear" w:color="auto" w:fill="CCFFCC"/>
          </w:tcPr>
          <w:p>
            <w:pPr>
              <w:jc w:val="right"/>
              <w:ind w:right="60"/>
              <w:spacing w:after="0"/>
              <w:rPr>
                <w:sz w:val="20"/>
                <w:szCs w:val="20"/>
                <w:color w:val="auto"/>
              </w:rPr>
            </w:pPr>
            <w:r>
              <w:rPr>
                <w:rFonts w:ascii="Arial" w:cs="Arial" w:eastAsia="Arial" w:hAnsi="Arial"/>
                <w:sz w:val="18"/>
                <w:szCs w:val="18"/>
                <w:color w:val="auto"/>
              </w:rPr>
              <w:t>(437)</w:t>
            </w:r>
          </w:p>
        </w:tc>
        <w:tc>
          <w:tcPr>
            <w:tcW w:w="8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86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(988)</w:t>
            </w:r>
          </w:p>
        </w:tc>
      </w:tr>
      <w:tr>
        <w:trPr>
          <w:trHeight w:val="27"/>
        </w:trPr>
        <w:tc>
          <w:tcPr>
            <w:tcW w:w="20" w:type="dxa"/>
            <w:vAlign w:val="bottom"/>
          </w:tcPr>
          <w:p>
            <w:pPr>
              <w:spacing w:after="0"/>
              <w:rPr>
                <w:sz w:val="2"/>
                <w:szCs w:val="2"/>
                <w:color w:val="auto"/>
              </w:rPr>
            </w:pPr>
          </w:p>
        </w:tc>
        <w:tc>
          <w:tcPr>
            <w:tcW w:w="5460" w:type="dxa"/>
            <w:vAlign w:val="bottom"/>
            <w:shd w:val="clear" w:color="auto" w:fill="CCFFCC"/>
          </w:tcPr>
          <w:p>
            <w:pPr>
              <w:spacing w:after="0"/>
              <w:rPr>
                <w:sz w:val="2"/>
                <w:szCs w:val="2"/>
                <w:color w:val="auto"/>
              </w:rPr>
            </w:pPr>
          </w:p>
        </w:tc>
        <w:tc>
          <w:tcPr>
            <w:tcW w:w="1940" w:type="dxa"/>
            <w:vAlign w:val="bottom"/>
            <w:shd w:val="clear" w:color="auto" w:fill="CCFFCC"/>
          </w:tcPr>
          <w:p>
            <w:pPr>
              <w:spacing w:after="0"/>
              <w:rPr>
                <w:sz w:val="2"/>
                <w:szCs w:val="2"/>
                <w:color w:val="auto"/>
              </w:rPr>
            </w:pPr>
          </w:p>
        </w:tc>
        <w:tc>
          <w:tcPr>
            <w:tcW w:w="260" w:type="dxa"/>
            <w:vAlign w:val="bottom"/>
            <w:tcBorders>
              <w:left w:val="single" w:sz="8" w:color="CCFFCC"/>
            </w:tcBorders>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20" w:type="dxa"/>
            <w:vAlign w:val="bottom"/>
            <w:shd w:val="clear" w:color="auto" w:fill="CCFFCC"/>
          </w:tcPr>
          <w:p>
            <w:pPr>
              <w:spacing w:after="0"/>
              <w:rPr>
                <w:sz w:val="2"/>
                <w:szCs w:val="2"/>
                <w:color w:val="auto"/>
              </w:rPr>
            </w:pPr>
          </w:p>
        </w:tc>
        <w:tc>
          <w:tcPr>
            <w:tcW w:w="80" w:type="dxa"/>
            <w:vAlign w:val="bottom"/>
            <w:shd w:val="clear" w:color="auto" w:fill="CCFFCC"/>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80" w:type="dxa"/>
            <w:vAlign w:val="bottom"/>
            <w:shd w:val="clear" w:color="auto" w:fill="CCFFCC"/>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5460" w:type="dxa"/>
            <w:vAlign w:val="bottom"/>
          </w:tcPr>
          <w:p>
            <w:pPr>
              <w:ind w:left="320"/>
              <w:spacing w:after="0"/>
              <w:rPr>
                <w:sz w:val="20"/>
                <w:szCs w:val="20"/>
                <w:color w:val="auto"/>
              </w:rPr>
            </w:pPr>
            <w:r>
              <w:rPr>
                <w:rFonts w:ascii="Arial" w:cs="Arial" w:eastAsia="Arial" w:hAnsi="Arial"/>
                <w:sz w:val="18"/>
                <w:szCs w:val="18"/>
                <w:color w:val="auto"/>
              </w:rPr>
              <w:t>Consolidated revenues</w:t>
            </w:r>
          </w:p>
        </w:tc>
        <w:tc>
          <w:tcPr>
            <w:tcW w:w="1940" w:type="dxa"/>
            <w:vAlign w:val="bottom"/>
          </w:tcPr>
          <w:p>
            <w:pPr>
              <w:spacing w:after="0"/>
              <w:rPr>
                <w:sz w:val="18"/>
                <w:szCs w:val="18"/>
                <w:color w:val="auto"/>
              </w:rPr>
            </w:pPr>
          </w:p>
        </w:tc>
        <w:tc>
          <w:tcPr>
            <w:tcW w:w="260" w:type="dxa"/>
            <w:vAlign w:val="bottom"/>
          </w:tcPr>
          <w:p>
            <w:pPr>
              <w:ind w:left="80"/>
              <w:spacing w:after="0"/>
              <w:rPr>
                <w:sz w:val="20"/>
                <w:szCs w:val="20"/>
                <w:color w:val="auto"/>
              </w:rPr>
            </w:pPr>
            <w:r>
              <w:rPr>
                <w:rFonts w:ascii="Arial" w:cs="Arial" w:eastAsia="Arial" w:hAnsi="Arial"/>
                <w:sz w:val="18"/>
                <w:szCs w:val="18"/>
                <w:color w:val="auto"/>
              </w:rPr>
              <w:t>$</w:t>
            </w:r>
          </w:p>
        </w:tc>
        <w:tc>
          <w:tcPr>
            <w:tcW w:w="900" w:type="dxa"/>
            <w:vAlign w:val="bottom"/>
            <w:gridSpan w:val="3"/>
          </w:tcPr>
          <w:p>
            <w:pPr>
              <w:jc w:val="right"/>
              <w:ind w:right="120"/>
              <w:spacing w:after="0"/>
              <w:rPr>
                <w:sz w:val="20"/>
                <w:szCs w:val="20"/>
                <w:color w:val="auto"/>
              </w:rPr>
            </w:pPr>
            <w:r>
              <w:rPr>
                <w:rFonts w:ascii="Arial" w:cs="Arial" w:eastAsia="Arial" w:hAnsi="Arial"/>
                <w:sz w:val="18"/>
                <w:szCs w:val="18"/>
                <w:color w:val="auto"/>
              </w:rPr>
              <w:t>15,939</w:t>
            </w: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12,124</w:t>
            </w:r>
          </w:p>
        </w:tc>
      </w:tr>
      <w:tr>
        <w:trPr>
          <w:trHeight w:val="21"/>
        </w:trPr>
        <w:tc>
          <w:tcPr>
            <w:tcW w:w="2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460" w:type="dxa"/>
            <w:vAlign w:val="bottom"/>
            <w:shd w:val="clear" w:color="auto" w:fill="CCFFCC"/>
          </w:tcPr>
          <w:p>
            <w:pPr>
              <w:spacing w:after="0"/>
              <w:rPr>
                <w:sz w:val="20"/>
                <w:szCs w:val="20"/>
                <w:color w:val="auto"/>
              </w:rPr>
            </w:pPr>
            <w:r>
              <w:rPr>
                <w:rFonts w:ascii="Arial" w:cs="Arial" w:eastAsia="Arial" w:hAnsi="Arial"/>
                <w:sz w:val="18"/>
                <w:szCs w:val="18"/>
                <w:color w:val="auto"/>
              </w:rPr>
              <w:t>Operating profit:</w:t>
            </w:r>
          </w:p>
        </w:tc>
        <w:tc>
          <w:tcPr>
            <w:tcW w:w="1940" w:type="dxa"/>
            <w:vAlign w:val="bottom"/>
            <w:shd w:val="clear" w:color="auto" w:fill="CCFFCC"/>
          </w:tcPr>
          <w:p>
            <w:pPr>
              <w:spacing w:after="0"/>
              <w:rPr>
                <w:sz w:val="18"/>
                <w:szCs w:val="18"/>
                <w:color w:val="auto"/>
              </w:rPr>
            </w:pPr>
          </w:p>
        </w:tc>
        <w:tc>
          <w:tcPr>
            <w:tcW w:w="260" w:type="dxa"/>
            <w:vAlign w:val="bottom"/>
            <w:tcBorders>
              <w:left w:val="single" w:sz="8" w:color="CCFFCC"/>
            </w:tcBorders>
            <w:shd w:val="clear" w:color="auto" w:fill="CCFFCC"/>
          </w:tcPr>
          <w:p>
            <w:pPr>
              <w:spacing w:after="0"/>
              <w:rPr>
                <w:sz w:val="18"/>
                <w:szCs w:val="18"/>
                <w:color w:val="auto"/>
              </w:rPr>
            </w:pPr>
          </w:p>
        </w:tc>
        <w:tc>
          <w:tcPr>
            <w:tcW w:w="70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78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60" w:type="dxa"/>
            <w:vAlign w:val="bottom"/>
          </w:tcPr>
          <w:p>
            <w:pPr>
              <w:ind w:left="160"/>
              <w:spacing w:after="0"/>
              <w:rPr>
                <w:sz w:val="20"/>
                <w:szCs w:val="20"/>
                <w:color w:val="auto"/>
              </w:rPr>
            </w:pPr>
            <w:r>
              <w:rPr>
                <w:rFonts w:ascii="Arial" w:cs="Arial" w:eastAsia="Arial" w:hAnsi="Arial"/>
                <w:sz w:val="18"/>
                <w:szCs w:val="18"/>
                <w:color w:val="auto"/>
              </w:rPr>
              <w:t>FEI-NY</w:t>
            </w:r>
          </w:p>
        </w:tc>
        <w:tc>
          <w:tcPr>
            <w:tcW w:w="2200" w:type="dxa"/>
            <w:vAlign w:val="bottom"/>
            <w:gridSpan w:val="2"/>
          </w:tcPr>
          <w:p>
            <w:pPr>
              <w:ind w:left="2020"/>
              <w:spacing w:after="0"/>
              <w:rPr>
                <w:sz w:val="20"/>
                <w:szCs w:val="20"/>
                <w:color w:val="auto"/>
              </w:rPr>
            </w:pPr>
            <w:r>
              <w:rPr>
                <w:rFonts w:ascii="Arial" w:cs="Arial" w:eastAsia="Arial" w:hAnsi="Arial"/>
                <w:sz w:val="18"/>
                <w:szCs w:val="18"/>
                <w:color w:val="auto"/>
              </w:rPr>
              <w:t>$</w:t>
            </w:r>
          </w:p>
        </w:tc>
        <w:tc>
          <w:tcPr>
            <w:tcW w:w="900" w:type="dxa"/>
            <w:vAlign w:val="bottom"/>
            <w:gridSpan w:val="3"/>
          </w:tcPr>
          <w:p>
            <w:pPr>
              <w:jc w:val="right"/>
              <w:ind w:right="120"/>
              <w:spacing w:after="0"/>
              <w:rPr>
                <w:sz w:val="20"/>
                <w:szCs w:val="20"/>
                <w:color w:val="auto"/>
              </w:rPr>
            </w:pPr>
            <w:r>
              <w:rPr>
                <w:rFonts w:ascii="Arial" w:cs="Arial" w:eastAsia="Arial" w:hAnsi="Arial"/>
                <w:sz w:val="18"/>
                <w:szCs w:val="18"/>
                <w:color w:val="auto"/>
              </w:rPr>
              <w:t>1,890</w:t>
            </w: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899</w:t>
            </w:r>
          </w:p>
        </w:tc>
      </w:tr>
      <w:tr>
        <w:trPr>
          <w:trHeight w:val="216"/>
        </w:trPr>
        <w:tc>
          <w:tcPr>
            <w:tcW w:w="20" w:type="dxa"/>
            <w:vAlign w:val="bottom"/>
          </w:tcPr>
          <w:p>
            <w:pPr>
              <w:spacing w:after="0"/>
              <w:rPr>
                <w:sz w:val="18"/>
                <w:szCs w:val="18"/>
                <w:color w:val="auto"/>
              </w:rPr>
            </w:pPr>
          </w:p>
        </w:tc>
        <w:tc>
          <w:tcPr>
            <w:tcW w:w="5460" w:type="dxa"/>
            <w:vAlign w:val="bottom"/>
            <w:shd w:val="clear" w:color="auto" w:fill="CCFFCC"/>
          </w:tcPr>
          <w:p>
            <w:pPr>
              <w:ind w:left="160"/>
              <w:spacing w:after="0"/>
              <w:rPr>
                <w:sz w:val="20"/>
                <w:szCs w:val="20"/>
                <w:color w:val="auto"/>
              </w:rPr>
            </w:pPr>
            <w:r>
              <w:rPr>
                <w:rFonts w:ascii="Arial" w:cs="Arial" w:eastAsia="Arial" w:hAnsi="Arial"/>
                <w:sz w:val="18"/>
                <w:szCs w:val="18"/>
                <w:color w:val="auto"/>
              </w:rPr>
              <w:t>Gillam-FEI</w:t>
            </w:r>
          </w:p>
        </w:tc>
        <w:tc>
          <w:tcPr>
            <w:tcW w:w="1940" w:type="dxa"/>
            <w:vAlign w:val="bottom"/>
            <w:shd w:val="clear" w:color="auto" w:fill="CCFFCC"/>
          </w:tcPr>
          <w:p>
            <w:pPr>
              <w:spacing w:after="0"/>
              <w:rPr>
                <w:sz w:val="18"/>
                <w:szCs w:val="18"/>
                <w:color w:val="auto"/>
              </w:rPr>
            </w:pPr>
          </w:p>
        </w:tc>
        <w:tc>
          <w:tcPr>
            <w:tcW w:w="260" w:type="dxa"/>
            <w:vAlign w:val="bottom"/>
            <w:tcBorders>
              <w:left w:val="single" w:sz="8" w:color="CCFFCC"/>
            </w:tcBorders>
            <w:shd w:val="clear" w:color="auto" w:fill="CCFFCC"/>
          </w:tcPr>
          <w:p>
            <w:pPr>
              <w:spacing w:after="0"/>
              <w:rPr>
                <w:sz w:val="18"/>
                <w:szCs w:val="18"/>
                <w:color w:val="auto"/>
              </w:rPr>
            </w:pPr>
          </w:p>
        </w:tc>
        <w:tc>
          <w:tcPr>
            <w:tcW w:w="900" w:type="dxa"/>
            <w:vAlign w:val="bottom"/>
            <w:gridSpan w:val="3"/>
            <w:shd w:val="clear" w:color="auto" w:fill="CCFFCC"/>
          </w:tcPr>
          <w:p>
            <w:pPr>
              <w:jc w:val="right"/>
              <w:ind w:right="60"/>
              <w:spacing w:after="0"/>
              <w:rPr>
                <w:sz w:val="20"/>
                <w:szCs w:val="20"/>
                <w:color w:val="auto"/>
              </w:rPr>
            </w:pPr>
            <w:r>
              <w:rPr>
                <w:rFonts w:ascii="Arial" w:cs="Arial" w:eastAsia="Arial" w:hAnsi="Arial"/>
                <w:sz w:val="18"/>
                <w:szCs w:val="18"/>
                <w:color w:val="auto"/>
              </w:rPr>
              <w:t>(230)</w:t>
            </w:r>
          </w:p>
        </w:tc>
        <w:tc>
          <w:tcPr>
            <w:tcW w:w="8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8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117</w:t>
            </w:r>
          </w:p>
        </w:tc>
      </w:tr>
      <w:tr>
        <w:trPr>
          <w:trHeight w:val="216"/>
        </w:trPr>
        <w:tc>
          <w:tcPr>
            <w:tcW w:w="20" w:type="dxa"/>
            <w:vAlign w:val="bottom"/>
          </w:tcPr>
          <w:p>
            <w:pPr>
              <w:spacing w:after="0"/>
              <w:rPr>
                <w:sz w:val="18"/>
                <w:szCs w:val="18"/>
                <w:color w:val="auto"/>
              </w:rPr>
            </w:pPr>
          </w:p>
        </w:tc>
        <w:tc>
          <w:tcPr>
            <w:tcW w:w="5460" w:type="dxa"/>
            <w:vAlign w:val="bottom"/>
          </w:tcPr>
          <w:p>
            <w:pPr>
              <w:ind w:left="160"/>
              <w:spacing w:after="0"/>
              <w:rPr>
                <w:sz w:val="20"/>
                <w:szCs w:val="20"/>
                <w:color w:val="auto"/>
              </w:rPr>
            </w:pPr>
            <w:r>
              <w:rPr>
                <w:rFonts w:ascii="Arial" w:cs="Arial" w:eastAsia="Arial" w:hAnsi="Arial"/>
                <w:sz w:val="18"/>
                <w:szCs w:val="18"/>
                <w:color w:val="auto"/>
              </w:rPr>
              <w:t>FEI-Zyfer</w:t>
            </w:r>
          </w:p>
        </w:tc>
        <w:tc>
          <w:tcPr>
            <w:tcW w:w="1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gridSpan w:val="3"/>
          </w:tcPr>
          <w:p>
            <w:pPr>
              <w:jc w:val="right"/>
              <w:ind w:right="120"/>
              <w:spacing w:after="0"/>
              <w:rPr>
                <w:sz w:val="20"/>
                <w:szCs w:val="20"/>
                <w:color w:val="auto"/>
              </w:rPr>
            </w:pPr>
            <w:r>
              <w:rPr>
                <w:rFonts w:ascii="Arial" w:cs="Arial" w:eastAsia="Arial" w:hAnsi="Arial"/>
                <w:sz w:val="18"/>
                <w:szCs w:val="18"/>
                <w:color w:val="auto"/>
              </w:rPr>
              <w:t>193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(161)</w:t>
            </w:r>
          </w:p>
        </w:tc>
      </w:tr>
      <w:tr>
        <w:trPr>
          <w:trHeight w:val="216"/>
        </w:trPr>
        <w:tc>
          <w:tcPr>
            <w:tcW w:w="20" w:type="dxa"/>
            <w:vAlign w:val="bottom"/>
          </w:tcPr>
          <w:p>
            <w:pPr>
              <w:spacing w:after="0"/>
              <w:rPr>
                <w:sz w:val="18"/>
                <w:szCs w:val="18"/>
                <w:color w:val="auto"/>
              </w:rPr>
            </w:pPr>
          </w:p>
        </w:tc>
        <w:tc>
          <w:tcPr>
            <w:tcW w:w="5460" w:type="dxa"/>
            <w:vAlign w:val="bottom"/>
            <w:shd w:val="clear" w:color="auto" w:fill="CCFFCC"/>
          </w:tcPr>
          <w:p>
            <w:pPr>
              <w:ind w:left="160"/>
              <w:spacing w:after="0"/>
              <w:rPr>
                <w:sz w:val="20"/>
                <w:szCs w:val="20"/>
                <w:color w:val="auto"/>
              </w:rPr>
            </w:pPr>
            <w:r>
              <w:rPr>
                <w:rFonts w:ascii="Arial" w:cs="Arial" w:eastAsia="Arial" w:hAnsi="Arial"/>
                <w:sz w:val="18"/>
                <w:szCs w:val="18"/>
                <w:color w:val="auto"/>
              </w:rPr>
              <w:t>Corporate</w:t>
            </w:r>
          </w:p>
        </w:tc>
        <w:tc>
          <w:tcPr>
            <w:tcW w:w="1940" w:type="dxa"/>
            <w:vAlign w:val="bottom"/>
            <w:shd w:val="clear" w:color="auto" w:fill="CCFFCC"/>
          </w:tcPr>
          <w:p>
            <w:pPr>
              <w:spacing w:after="0"/>
              <w:rPr>
                <w:sz w:val="18"/>
                <w:szCs w:val="18"/>
                <w:color w:val="auto"/>
              </w:rPr>
            </w:pPr>
          </w:p>
        </w:tc>
        <w:tc>
          <w:tcPr>
            <w:tcW w:w="260" w:type="dxa"/>
            <w:vAlign w:val="bottom"/>
            <w:tcBorders>
              <w:left w:val="single" w:sz="8" w:color="CCFFCC"/>
            </w:tcBorders>
            <w:shd w:val="clear" w:color="auto" w:fill="CCFFCC"/>
          </w:tcPr>
          <w:p>
            <w:pPr>
              <w:spacing w:after="0"/>
              <w:rPr>
                <w:sz w:val="18"/>
                <w:szCs w:val="18"/>
                <w:color w:val="auto"/>
              </w:rPr>
            </w:pPr>
          </w:p>
        </w:tc>
        <w:tc>
          <w:tcPr>
            <w:tcW w:w="900" w:type="dxa"/>
            <w:vAlign w:val="bottom"/>
            <w:gridSpan w:val="3"/>
            <w:shd w:val="clear" w:color="auto" w:fill="CCFFCC"/>
          </w:tcPr>
          <w:p>
            <w:pPr>
              <w:jc w:val="right"/>
              <w:ind w:right="60"/>
              <w:spacing w:after="0"/>
              <w:rPr>
                <w:sz w:val="20"/>
                <w:szCs w:val="20"/>
                <w:color w:val="auto"/>
              </w:rPr>
            </w:pPr>
            <w:r>
              <w:rPr>
                <w:rFonts w:ascii="Arial" w:cs="Arial" w:eastAsia="Arial" w:hAnsi="Arial"/>
                <w:sz w:val="18"/>
                <w:szCs w:val="18"/>
                <w:color w:val="auto"/>
              </w:rPr>
              <w:t>(69)</w:t>
            </w:r>
          </w:p>
        </w:tc>
        <w:tc>
          <w:tcPr>
            <w:tcW w:w="8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86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(66)</w:t>
            </w:r>
          </w:p>
        </w:tc>
      </w:tr>
      <w:tr>
        <w:trPr>
          <w:trHeight w:val="27"/>
        </w:trPr>
        <w:tc>
          <w:tcPr>
            <w:tcW w:w="20" w:type="dxa"/>
            <w:vAlign w:val="bottom"/>
          </w:tcPr>
          <w:p>
            <w:pPr>
              <w:spacing w:after="0"/>
              <w:rPr>
                <w:sz w:val="2"/>
                <w:szCs w:val="2"/>
                <w:color w:val="auto"/>
              </w:rPr>
            </w:pPr>
          </w:p>
        </w:tc>
        <w:tc>
          <w:tcPr>
            <w:tcW w:w="5460" w:type="dxa"/>
            <w:vAlign w:val="bottom"/>
            <w:shd w:val="clear" w:color="auto" w:fill="CCFFCC"/>
          </w:tcPr>
          <w:p>
            <w:pPr>
              <w:spacing w:after="0"/>
              <w:rPr>
                <w:sz w:val="2"/>
                <w:szCs w:val="2"/>
                <w:color w:val="auto"/>
              </w:rPr>
            </w:pPr>
          </w:p>
        </w:tc>
        <w:tc>
          <w:tcPr>
            <w:tcW w:w="1940" w:type="dxa"/>
            <w:vAlign w:val="bottom"/>
            <w:shd w:val="clear" w:color="auto" w:fill="CCFFCC"/>
          </w:tcPr>
          <w:p>
            <w:pPr>
              <w:spacing w:after="0"/>
              <w:rPr>
                <w:sz w:val="2"/>
                <w:szCs w:val="2"/>
                <w:color w:val="auto"/>
              </w:rPr>
            </w:pPr>
          </w:p>
        </w:tc>
        <w:tc>
          <w:tcPr>
            <w:tcW w:w="260" w:type="dxa"/>
            <w:vAlign w:val="bottom"/>
            <w:tcBorders>
              <w:left w:val="single" w:sz="8" w:color="CCFFCC"/>
            </w:tcBorders>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20" w:type="dxa"/>
            <w:vAlign w:val="bottom"/>
            <w:shd w:val="clear" w:color="auto" w:fill="CCFFCC"/>
          </w:tcPr>
          <w:p>
            <w:pPr>
              <w:spacing w:after="0"/>
              <w:rPr>
                <w:sz w:val="2"/>
                <w:szCs w:val="2"/>
                <w:color w:val="auto"/>
              </w:rPr>
            </w:pPr>
          </w:p>
        </w:tc>
        <w:tc>
          <w:tcPr>
            <w:tcW w:w="80" w:type="dxa"/>
            <w:vAlign w:val="bottom"/>
            <w:shd w:val="clear" w:color="auto" w:fill="CCFFCC"/>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80" w:type="dxa"/>
            <w:vAlign w:val="bottom"/>
            <w:shd w:val="clear" w:color="auto" w:fill="CCFFCC"/>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5460" w:type="dxa"/>
            <w:vAlign w:val="bottom"/>
          </w:tcPr>
          <w:p>
            <w:pPr>
              <w:ind w:left="320"/>
              <w:spacing w:after="0"/>
              <w:rPr>
                <w:sz w:val="20"/>
                <w:szCs w:val="20"/>
                <w:color w:val="auto"/>
              </w:rPr>
            </w:pPr>
            <w:r>
              <w:rPr>
                <w:rFonts w:ascii="Arial" w:cs="Arial" w:eastAsia="Arial" w:hAnsi="Arial"/>
                <w:sz w:val="18"/>
                <w:szCs w:val="18"/>
                <w:color w:val="auto"/>
              </w:rPr>
              <w:t>Consolidated operating profit</w:t>
            </w:r>
          </w:p>
        </w:tc>
        <w:tc>
          <w:tcPr>
            <w:tcW w:w="1940" w:type="dxa"/>
            <w:vAlign w:val="bottom"/>
          </w:tcPr>
          <w:p>
            <w:pPr>
              <w:spacing w:after="0"/>
              <w:rPr>
                <w:sz w:val="18"/>
                <w:szCs w:val="18"/>
                <w:color w:val="auto"/>
              </w:rPr>
            </w:pPr>
          </w:p>
        </w:tc>
        <w:tc>
          <w:tcPr>
            <w:tcW w:w="260" w:type="dxa"/>
            <w:vAlign w:val="bottom"/>
          </w:tcPr>
          <w:p>
            <w:pPr>
              <w:ind w:left="80"/>
              <w:spacing w:after="0"/>
              <w:rPr>
                <w:sz w:val="20"/>
                <w:szCs w:val="20"/>
                <w:color w:val="auto"/>
              </w:rPr>
            </w:pPr>
            <w:r>
              <w:rPr>
                <w:rFonts w:ascii="Arial" w:cs="Arial" w:eastAsia="Arial" w:hAnsi="Arial"/>
                <w:sz w:val="18"/>
                <w:szCs w:val="18"/>
                <w:color w:val="auto"/>
              </w:rPr>
              <w:t>$</w:t>
            </w:r>
          </w:p>
        </w:tc>
        <w:tc>
          <w:tcPr>
            <w:tcW w:w="900" w:type="dxa"/>
            <w:vAlign w:val="bottom"/>
            <w:gridSpan w:val="3"/>
          </w:tcPr>
          <w:p>
            <w:pPr>
              <w:jc w:val="right"/>
              <w:ind w:right="120"/>
              <w:spacing w:after="0"/>
              <w:rPr>
                <w:sz w:val="20"/>
                <w:szCs w:val="20"/>
                <w:color w:val="auto"/>
              </w:rPr>
            </w:pPr>
            <w:r>
              <w:rPr>
                <w:rFonts w:ascii="Arial" w:cs="Arial" w:eastAsia="Arial" w:hAnsi="Arial"/>
                <w:sz w:val="18"/>
                <w:szCs w:val="18"/>
                <w:color w:val="auto"/>
              </w:rPr>
              <w:t>1,784</w:t>
            </w: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789</w:t>
            </w:r>
          </w:p>
        </w:tc>
      </w:tr>
      <w:tr>
        <w:trPr>
          <w:trHeight w:val="21"/>
        </w:trPr>
        <w:tc>
          <w:tcPr>
            <w:tcW w:w="2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60"/>
        </w:trPr>
        <w:tc>
          <w:tcPr>
            <w:tcW w:w="2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3100" w:type="dxa"/>
            <w:vAlign w:val="bottom"/>
            <w:gridSpan w:val="5"/>
          </w:tcPr>
          <w:p>
            <w:pPr>
              <w:ind w:left="1940"/>
              <w:spacing w:after="0"/>
              <w:rPr>
                <w:sz w:val="20"/>
                <w:szCs w:val="20"/>
                <w:color w:val="auto"/>
              </w:rPr>
            </w:pPr>
            <w:r>
              <w:rPr>
                <w:rFonts w:ascii="Arial" w:cs="Arial" w:eastAsia="Arial" w:hAnsi="Arial"/>
                <w:sz w:val="18"/>
                <w:szCs w:val="18"/>
                <w:color w:val="auto"/>
              </w:rPr>
              <w:t>July 31, 2011</w:t>
            </w:r>
          </w:p>
        </w:tc>
        <w:tc>
          <w:tcPr>
            <w:tcW w:w="1120" w:type="dxa"/>
            <w:vAlign w:val="bottom"/>
            <w:gridSpan w:val="4"/>
          </w:tcPr>
          <w:p>
            <w:pPr>
              <w:spacing w:after="0"/>
              <w:rPr>
                <w:sz w:val="20"/>
                <w:szCs w:val="20"/>
                <w:color w:val="auto"/>
              </w:rPr>
            </w:pPr>
            <w:r>
              <w:rPr>
                <w:rFonts w:ascii="Arial" w:cs="Arial" w:eastAsia="Arial" w:hAnsi="Arial"/>
                <w:sz w:val="18"/>
                <w:szCs w:val="18"/>
                <w:color w:val="auto"/>
                <w:w w:val="99"/>
              </w:rPr>
              <w:t>April 30, 2011</w:t>
            </w:r>
          </w:p>
        </w:tc>
      </w:tr>
      <w:tr>
        <w:trPr>
          <w:trHeight w:val="216"/>
        </w:trPr>
        <w:tc>
          <w:tcPr>
            <w:tcW w:w="20" w:type="dxa"/>
            <w:vAlign w:val="bottom"/>
          </w:tcPr>
          <w:p>
            <w:pPr>
              <w:spacing w:after="0"/>
              <w:rPr>
                <w:sz w:val="18"/>
                <w:szCs w:val="18"/>
                <w:color w:val="auto"/>
              </w:rPr>
            </w:pPr>
          </w:p>
        </w:tc>
        <w:tc>
          <w:tcPr>
            <w:tcW w:w="5460" w:type="dxa"/>
            <w:vAlign w:val="bottom"/>
            <w:shd w:val="clear" w:color="auto" w:fill="CCFFCC"/>
          </w:tcPr>
          <w:p>
            <w:pPr>
              <w:spacing w:after="0"/>
              <w:rPr>
                <w:sz w:val="20"/>
                <w:szCs w:val="20"/>
                <w:color w:val="auto"/>
              </w:rPr>
            </w:pPr>
            <w:r>
              <w:rPr>
                <w:rFonts w:ascii="Arial" w:cs="Arial" w:eastAsia="Arial" w:hAnsi="Arial"/>
                <w:sz w:val="18"/>
                <w:szCs w:val="18"/>
                <w:color w:val="auto"/>
              </w:rPr>
              <w:t>Identifiable assets:</w:t>
            </w:r>
          </w:p>
        </w:tc>
        <w:tc>
          <w:tcPr>
            <w:tcW w:w="1940" w:type="dxa"/>
            <w:vAlign w:val="bottom"/>
            <w:shd w:val="clear" w:color="auto" w:fill="CCFFCC"/>
          </w:tcPr>
          <w:p>
            <w:pPr>
              <w:spacing w:after="0"/>
              <w:rPr>
                <w:sz w:val="18"/>
                <w:szCs w:val="18"/>
                <w:color w:val="auto"/>
              </w:rPr>
            </w:pPr>
          </w:p>
        </w:tc>
        <w:tc>
          <w:tcPr>
            <w:tcW w:w="260" w:type="dxa"/>
            <w:vAlign w:val="bottom"/>
            <w:tcBorders>
              <w:top w:val="single" w:sz="8" w:color="auto"/>
              <w:left w:val="single" w:sz="8" w:color="CCFFCC"/>
            </w:tcBorders>
            <w:shd w:val="clear" w:color="auto" w:fill="CCFFCC"/>
          </w:tcPr>
          <w:p>
            <w:pPr>
              <w:spacing w:after="0"/>
              <w:rPr>
                <w:sz w:val="18"/>
                <w:szCs w:val="18"/>
                <w:color w:val="auto"/>
              </w:rPr>
            </w:pPr>
          </w:p>
        </w:tc>
        <w:tc>
          <w:tcPr>
            <w:tcW w:w="700" w:type="dxa"/>
            <w:vAlign w:val="bottom"/>
            <w:tcBorders>
              <w:top w:val="single" w:sz="8" w:color="auto"/>
            </w:tcBorders>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80" w:type="dxa"/>
            <w:vAlign w:val="bottom"/>
            <w:tcBorders>
              <w:top w:val="single" w:sz="8" w:color="auto"/>
            </w:tcBorders>
            <w:shd w:val="clear" w:color="auto" w:fill="CCFFCC"/>
          </w:tcPr>
          <w:p>
            <w:pPr>
              <w:spacing w:after="0"/>
              <w:rPr>
                <w:sz w:val="18"/>
                <w:szCs w:val="18"/>
                <w:color w:val="auto"/>
              </w:rPr>
            </w:pPr>
          </w:p>
        </w:tc>
        <w:tc>
          <w:tcPr>
            <w:tcW w:w="180" w:type="dxa"/>
            <w:vAlign w:val="bottom"/>
            <w:tcBorders>
              <w:top w:val="single" w:sz="8" w:color="auto"/>
            </w:tcBorders>
            <w:shd w:val="clear" w:color="auto" w:fill="CCFFCC"/>
          </w:tcPr>
          <w:p>
            <w:pPr>
              <w:spacing w:after="0"/>
              <w:rPr>
                <w:sz w:val="18"/>
                <w:szCs w:val="18"/>
                <w:color w:val="auto"/>
              </w:rPr>
            </w:pPr>
          </w:p>
        </w:tc>
        <w:tc>
          <w:tcPr>
            <w:tcW w:w="780" w:type="dxa"/>
            <w:vAlign w:val="bottom"/>
            <w:tcBorders>
              <w:top w:val="single" w:sz="8" w:color="auto"/>
            </w:tcBorders>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60" w:type="dxa"/>
            <w:vAlign w:val="bottom"/>
          </w:tcPr>
          <w:p>
            <w:pPr>
              <w:ind w:left="160"/>
              <w:spacing w:after="0"/>
              <w:rPr>
                <w:sz w:val="20"/>
                <w:szCs w:val="20"/>
                <w:color w:val="auto"/>
              </w:rPr>
            </w:pPr>
            <w:r>
              <w:rPr>
                <w:rFonts w:ascii="Arial" w:cs="Arial" w:eastAsia="Arial" w:hAnsi="Arial"/>
                <w:sz w:val="18"/>
                <w:szCs w:val="18"/>
                <w:color w:val="auto"/>
              </w:rPr>
              <w:t>FEI-NY (approximately $3.6 million in China)</w:t>
            </w:r>
          </w:p>
        </w:tc>
        <w:tc>
          <w:tcPr>
            <w:tcW w:w="2200" w:type="dxa"/>
            <w:vAlign w:val="bottom"/>
            <w:gridSpan w:val="2"/>
          </w:tcPr>
          <w:p>
            <w:pPr>
              <w:ind w:left="194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37,998</w:t>
            </w:r>
          </w:p>
        </w:tc>
        <w:tc>
          <w:tcPr>
            <w:tcW w:w="120" w:type="dxa"/>
            <w:vAlign w:val="bottom"/>
          </w:tcPr>
          <w:p>
            <w:pPr>
              <w:spacing w:after="0"/>
              <w:rPr>
                <w:sz w:val="18"/>
                <w:szCs w:val="18"/>
                <w:color w:val="auto"/>
              </w:rPr>
            </w:pPr>
          </w:p>
        </w:tc>
        <w:tc>
          <w:tcPr>
            <w:tcW w:w="260" w:type="dxa"/>
            <w:vAlign w:val="bottom"/>
            <w:gridSpan w:val="2"/>
          </w:tcPr>
          <w:p>
            <w:pPr>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37,912</w:t>
            </w:r>
          </w:p>
        </w:tc>
      </w:tr>
      <w:tr>
        <w:trPr>
          <w:trHeight w:val="216"/>
        </w:trPr>
        <w:tc>
          <w:tcPr>
            <w:tcW w:w="20" w:type="dxa"/>
            <w:vAlign w:val="bottom"/>
          </w:tcPr>
          <w:p>
            <w:pPr>
              <w:spacing w:after="0"/>
              <w:rPr>
                <w:sz w:val="18"/>
                <w:szCs w:val="18"/>
                <w:color w:val="auto"/>
              </w:rPr>
            </w:pPr>
          </w:p>
        </w:tc>
        <w:tc>
          <w:tcPr>
            <w:tcW w:w="5460" w:type="dxa"/>
            <w:vAlign w:val="bottom"/>
            <w:shd w:val="clear" w:color="auto" w:fill="CCFFCC"/>
          </w:tcPr>
          <w:p>
            <w:pPr>
              <w:ind w:left="160"/>
              <w:spacing w:after="0"/>
              <w:rPr>
                <w:sz w:val="20"/>
                <w:szCs w:val="20"/>
                <w:color w:val="auto"/>
              </w:rPr>
            </w:pPr>
            <w:r>
              <w:rPr>
                <w:rFonts w:ascii="Arial" w:cs="Arial" w:eastAsia="Arial" w:hAnsi="Arial"/>
                <w:sz w:val="18"/>
                <w:szCs w:val="18"/>
                <w:color w:val="auto"/>
              </w:rPr>
              <w:t>Gillam-FEI (all in Belgium or France)</w:t>
            </w:r>
          </w:p>
        </w:tc>
        <w:tc>
          <w:tcPr>
            <w:tcW w:w="1940" w:type="dxa"/>
            <w:vAlign w:val="bottom"/>
            <w:shd w:val="clear" w:color="auto" w:fill="CCFFCC"/>
          </w:tcPr>
          <w:p>
            <w:pPr>
              <w:spacing w:after="0"/>
              <w:rPr>
                <w:sz w:val="18"/>
                <w:szCs w:val="18"/>
                <w:color w:val="auto"/>
              </w:rPr>
            </w:pPr>
          </w:p>
        </w:tc>
        <w:tc>
          <w:tcPr>
            <w:tcW w:w="260" w:type="dxa"/>
            <w:vAlign w:val="bottom"/>
            <w:tcBorders>
              <w:left w:val="single" w:sz="8" w:color="CCFFCC"/>
            </w:tcBorders>
            <w:shd w:val="clear" w:color="auto" w:fill="CCFFCC"/>
          </w:tcPr>
          <w:p>
            <w:pPr>
              <w:spacing w:after="0"/>
              <w:rPr>
                <w:sz w:val="18"/>
                <w:szCs w:val="18"/>
                <w:color w:val="auto"/>
              </w:rPr>
            </w:pPr>
          </w:p>
        </w:tc>
        <w:tc>
          <w:tcPr>
            <w:tcW w:w="7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21,046</w:t>
            </w:r>
          </w:p>
        </w:tc>
        <w:tc>
          <w:tcPr>
            <w:tcW w:w="1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8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20,875</w:t>
            </w:r>
          </w:p>
        </w:tc>
      </w:tr>
      <w:tr>
        <w:trPr>
          <w:trHeight w:val="216"/>
        </w:trPr>
        <w:tc>
          <w:tcPr>
            <w:tcW w:w="20" w:type="dxa"/>
            <w:vAlign w:val="bottom"/>
          </w:tcPr>
          <w:p>
            <w:pPr>
              <w:spacing w:after="0"/>
              <w:rPr>
                <w:sz w:val="18"/>
                <w:szCs w:val="18"/>
                <w:color w:val="auto"/>
              </w:rPr>
            </w:pPr>
          </w:p>
        </w:tc>
        <w:tc>
          <w:tcPr>
            <w:tcW w:w="5460" w:type="dxa"/>
            <w:vAlign w:val="bottom"/>
          </w:tcPr>
          <w:p>
            <w:pPr>
              <w:ind w:left="160"/>
              <w:spacing w:after="0"/>
              <w:rPr>
                <w:sz w:val="20"/>
                <w:szCs w:val="20"/>
                <w:color w:val="auto"/>
              </w:rPr>
            </w:pPr>
            <w:r>
              <w:rPr>
                <w:rFonts w:ascii="Arial" w:cs="Arial" w:eastAsia="Arial" w:hAnsi="Arial"/>
                <w:sz w:val="18"/>
                <w:szCs w:val="18"/>
                <w:color w:val="auto"/>
              </w:rPr>
              <w:t>FEI-Zyfer</w:t>
            </w:r>
          </w:p>
        </w:tc>
        <w:tc>
          <w:tcPr>
            <w:tcW w:w="1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7,638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8,434</w:t>
            </w:r>
          </w:p>
        </w:tc>
      </w:tr>
      <w:tr>
        <w:trPr>
          <w:trHeight w:val="216"/>
        </w:trPr>
        <w:tc>
          <w:tcPr>
            <w:tcW w:w="20" w:type="dxa"/>
            <w:vAlign w:val="bottom"/>
          </w:tcPr>
          <w:p>
            <w:pPr>
              <w:spacing w:after="0"/>
              <w:rPr>
                <w:sz w:val="18"/>
                <w:szCs w:val="18"/>
                <w:color w:val="auto"/>
              </w:rPr>
            </w:pPr>
          </w:p>
        </w:tc>
        <w:tc>
          <w:tcPr>
            <w:tcW w:w="5460" w:type="dxa"/>
            <w:vAlign w:val="bottom"/>
            <w:shd w:val="clear" w:color="auto" w:fill="CCFFCC"/>
          </w:tcPr>
          <w:p>
            <w:pPr>
              <w:ind w:left="160"/>
              <w:spacing w:after="0"/>
              <w:rPr>
                <w:sz w:val="20"/>
                <w:szCs w:val="20"/>
                <w:color w:val="auto"/>
              </w:rPr>
            </w:pPr>
            <w:r>
              <w:rPr>
                <w:rFonts w:ascii="Arial" w:cs="Arial" w:eastAsia="Arial" w:hAnsi="Arial"/>
                <w:sz w:val="18"/>
                <w:szCs w:val="18"/>
                <w:color w:val="auto"/>
              </w:rPr>
              <w:t>less intersegment balances</w:t>
            </w:r>
          </w:p>
        </w:tc>
        <w:tc>
          <w:tcPr>
            <w:tcW w:w="1940" w:type="dxa"/>
            <w:vAlign w:val="bottom"/>
            <w:shd w:val="clear" w:color="auto" w:fill="CCFFCC"/>
          </w:tcPr>
          <w:p>
            <w:pPr>
              <w:spacing w:after="0"/>
              <w:rPr>
                <w:sz w:val="18"/>
                <w:szCs w:val="18"/>
                <w:color w:val="auto"/>
              </w:rPr>
            </w:pPr>
          </w:p>
        </w:tc>
        <w:tc>
          <w:tcPr>
            <w:tcW w:w="260" w:type="dxa"/>
            <w:vAlign w:val="bottom"/>
            <w:tcBorders>
              <w:left w:val="single" w:sz="8" w:color="CCFFCC"/>
            </w:tcBorders>
            <w:shd w:val="clear" w:color="auto" w:fill="CCFFCC"/>
          </w:tcPr>
          <w:p>
            <w:pPr>
              <w:spacing w:after="0"/>
              <w:rPr>
                <w:sz w:val="18"/>
                <w:szCs w:val="18"/>
                <w:color w:val="auto"/>
              </w:rPr>
            </w:pPr>
          </w:p>
        </w:tc>
        <w:tc>
          <w:tcPr>
            <w:tcW w:w="7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(14,984)</w:t>
            </w:r>
          </w:p>
        </w:tc>
        <w:tc>
          <w:tcPr>
            <w:tcW w:w="1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86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(16,295)</w:t>
            </w:r>
          </w:p>
        </w:tc>
      </w:tr>
      <w:tr>
        <w:trPr>
          <w:trHeight w:val="216"/>
        </w:trPr>
        <w:tc>
          <w:tcPr>
            <w:tcW w:w="20" w:type="dxa"/>
            <w:vAlign w:val="bottom"/>
          </w:tcPr>
          <w:p>
            <w:pPr>
              <w:spacing w:after="0"/>
              <w:rPr>
                <w:sz w:val="18"/>
                <w:szCs w:val="18"/>
                <w:color w:val="auto"/>
              </w:rPr>
            </w:pPr>
          </w:p>
        </w:tc>
        <w:tc>
          <w:tcPr>
            <w:tcW w:w="5460" w:type="dxa"/>
            <w:vAlign w:val="bottom"/>
          </w:tcPr>
          <w:p>
            <w:pPr>
              <w:ind w:left="160"/>
              <w:spacing w:after="0"/>
              <w:rPr>
                <w:sz w:val="20"/>
                <w:szCs w:val="20"/>
                <w:color w:val="auto"/>
              </w:rPr>
            </w:pPr>
            <w:r>
              <w:rPr>
                <w:rFonts w:ascii="Arial" w:cs="Arial" w:eastAsia="Arial" w:hAnsi="Arial"/>
                <w:sz w:val="18"/>
                <w:szCs w:val="18"/>
                <w:color w:val="auto"/>
              </w:rPr>
              <w:t>Corporate</w:t>
            </w:r>
          </w:p>
        </w:tc>
        <w:tc>
          <w:tcPr>
            <w:tcW w:w="1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40,418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38,905</w:t>
            </w:r>
          </w:p>
        </w:tc>
      </w:tr>
      <w:tr>
        <w:trPr>
          <w:trHeight w:val="27"/>
        </w:trPr>
        <w:tc>
          <w:tcPr>
            <w:tcW w:w="20" w:type="dxa"/>
            <w:vAlign w:val="bottom"/>
          </w:tcPr>
          <w:p>
            <w:pPr>
              <w:spacing w:after="0"/>
              <w:rPr>
                <w:sz w:val="2"/>
                <w:szCs w:val="2"/>
                <w:color w:val="auto"/>
              </w:rPr>
            </w:pPr>
          </w:p>
        </w:tc>
        <w:tc>
          <w:tcPr>
            <w:tcW w:w="5460" w:type="dxa"/>
            <w:vAlign w:val="bottom"/>
          </w:tcPr>
          <w:p>
            <w:pPr>
              <w:spacing w:after="0"/>
              <w:rPr>
                <w:sz w:val="2"/>
                <w:szCs w:val="2"/>
                <w:color w:val="auto"/>
              </w:rPr>
            </w:pPr>
          </w:p>
        </w:tc>
        <w:tc>
          <w:tcPr>
            <w:tcW w:w="1940" w:type="dxa"/>
            <w:vAlign w:val="bottom"/>
          </w:tcPr>
          <w:p>
            <w:pPr>
              <w:spacing w:after="0"/>
              <w:rPr>
                <w:sz w:val="2"/>
                <w:szCs w:val="2"/>
                <w:color w:val="auto"/>
              </w:rPr>
            </w:pPr>
          </w:p>
        </w:tc>
        <w:tc>
          <w:tcPr>
            <w:tcW w:w="260" w:type="dxa"/>
            <w:vAlign w:val="bottom"/>
            <w:tcBorders>
              <w:left w:val="single" w:sz="8" w:color="auto"/>
            </w:tcBorders>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5460" w:type="dxa"/>
            <w:vAlign w:val="bottom"/>
            <w:shd w:val="clear" w:color="auto" w:fill="CCFFCC"/>
          </w:tcPr>
          <w:p>
            <w:pPr>
              <w:ind w:left="320"/>
              <w:spacing w:after="0"/>
              <w:rPr>
                <w:sz w:val="20"/>
                <w:szCs w:val="20"/>
                <w:color w:val="auto"/>
              </w:rPr>
            </w:pPr>
            <w:r>
              <w:rPr>
                <w:rFonts w:ascii="Arial" w:cs="Arial" w:eastAsia="Arial" w:hAnsi="Arial"/>
                <w:sz w:val="18"/>
                <w:szCs w:val="18"/>
                <w:color w:val="auto"/>
              </w:rPr>
              <w:t>Consolidated identifiable assets</w:t>
            </w:r>
          </w:p>
        </w:tc>
        <w:tc>
          <w:tcPr>
            <w:tcW w:w="1940" w:type="dxa"/>
            <w:vAlign w:val="bottom"/>
            <w:shd w:val="clear" w:color="auto" w:fill="CCFFCC"/>
          </w:tcPr>
          <w:p>
            <w:pPr>
              <w:spacing w:after="0"/>
              <w:rPr>
                <w:sz w:val="20"/>
                <w:szCs w:val="20"/>
                <w:color w:val="auto"/>
              </w:rPr>
            </w:pPr>
          </w:p>
        </w:tc>
        <w:tc>
          <w:tcPr>
            <w:tcW w:w="260" w:type="dxa"/>
            <w:vAlign w:val="bottom"/>
            <w:tcBorders>
              <w:left w:val="single" w:sz="8" w:color="CCFFCC"/>
            </w:tcBorders>
            <w:shd w:val="clear" w:color="auto" w:fill="CCFFCC"/>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92,116</w:t>
            </w:r>
          </w:p>
        </w:tc>
        <w:tc>
          <w:tcPr>
            <w:tcW w:w="120" w:type="dxa"/>
            <w:vAlign w:val="bottom"/>
            <w:shd w:val="clear" w:color="auto" w:fill="CCFFCC"/>
          </w:tcPr>
          <w:p>
            <w:pPr>
              <w:spacing w:after="0"/>
              <w:rPr>
                <w:sz w:val="20"/>
                <w:szCs w:val="20"/>
                <w:color w:val="auto"/>
              </w:rPr>
            </w:pPr>
          </w:p>
        </w:tc>
        <w:tc>
          <w:tcPr>
            <w:tcW w:w="26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89,831</w:t>
            </w:r>
          </w:p>
        </w:tc>
      </w:tr>
      <w:tr>
        <w:trPr>
          <w:trHeight w:val="20"/>
        </w:trPr>
        <w:tc>
          <w:tcPr>
            <w:tcW w:w="20" w:type="dxa"/>
            <w:vAlign w:val="bottom"/>
          </w:tcPr>
          <w:p>
            <w:pPr>
              <w:spacing w:after="0" w:line="20" w:lineRule="exact"/>
              <w:rPr>
                <w:sz w:val="1"/>
                <w:szCs w:val="1"/>
                <w:color w:val="auto"/>
              </w:rPr>
            </w:pPr>
          </w:p>
        </w:tc>
        <w:tc>
          <w:tcPr>
            <w:tcW w:w="5460" w:type="dxa"/>
            <w:vAlign w:val="bottom"/>
            <w:tcBorders>
              <w:top w:val="single" w:sz="8" w:color="CCFFCC"/>
            </w:tcBorders>
            <w:shd w:val="clear" w:color="auto" w:fill="CCFFCC"/>
          </w:tcPr>
          <w:p>
            <w:pPr>
              <w:spacing w:after="0" w:line="20" w:lineRule="exact"/>
              <w:rPr>
                <w:sz w:val="1"/>
                <w:szCs w:val="1"/>
                <w:color w:val="auto"/>
              </w:rPr>
            </w:pPr>
          </w:p>
        </w:tc>
        <w:tc>
          <w:tcPr>
            <w:tcW w:w="1940" w:type="dxa"/>
            <w:vAlign w:val="bottom"/>
            <w:tcBorders>
              <w:top w:val="single" w:sz="8" w:color="CCFFCC"/>
            </w:tcBorders>
            <w:shd w:val="clear" w:color="auto" w:fill="CCFFCC"/>
          </w:tcPr>
          <w:p>
            <w:pPr>
              <w:spacing w:after="0" w:line="20" w:lineRule="exact"/>
              <w:rPr>
                <w:sz w:val="1"/>
                <w:szCs w:val="1"/>
                <w:color w:val="auto"/>
              </w:rPr>
            </w:pPr>
          </w:p>
        </w:tc>
        <w:tc>
          <w:tcPr>
            <w:tcW w:w="260" w:type="dxa"/>
            <w:vAlign w:val="bottom"/>
            <w:tcBorders>
              <w:top w:val="single" w:sz="8" w:color="auto"/>
              <w:left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NOTE H – RELATED PARTY TRANSACTIONS</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 has an equity interest in two strategically important companies: Elcom Technologies, Inc. (“Elcom”) and Morion Inc. (“Morion”). During the three month periods ended July 31, 2011 and 2010, the Company acquired technical services from Elcom, purchased crystal oscillator products from Morion and sold certain of its products to both companies. The Company also receives interest from Elcom under two notes receivable. The table below summarizes these transactions:</w:t>
      </w:r>
    </w:p>
    <w:p>
      <w:pPr>
        <w:spacing w:after="0" w:line="200" w:lineRule="exact"/>
        <w:rPr>
          <w:sz w:val="20"/>
          <w:szCs w:val="20"/>
          <w:color w:val="auto"/>
        </w:rPr>
      </w:pPr>
    </w:p>
    <w:p>
      <w:pPr>
        <w:spacing w:after="0" w:line="257"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4460" w:type="dxa"/>
            <w:vAlign w:val="bottom"/>
          </w:tcPr>
          <w:p>
            <w:pPr>
              <w:spacing w:after="0"/>
              <w:rPr>
                <w:sz w:val="18"/>
                <w:szCs w:val="18"/>
                <w:color w:val="auto"/>
              </w:rPr>
            </w:pPr>
          </w:p>
        </w:tc>
        <w:tc>
          <w:tcPr>
            <w:tcW w:w="4140" w:type="dxa"/>
            <w:vAlign w:val="bottom"/>
            <w:gridSpan w:val="7"/>
          </w:tcPr>
          <w:p>
            <w:pPr>
              <w:ind w:left="1980"/>
              <w:spacing w:after="0"/>
              <w:rPr>
                <w:sz w:val="20"/>
                <w:szCs w:val="20"/>
                <w:color w:val="auto"/>
              </w:rPr>
            </w:pPr>
            <w:r>
              <w:rPr>
                <w:rFonts w:ascii="Arial" w:cs="Arial" w:eastAsia="Arial" w:hAnsi="Arial"/>
                <w:sz w:val="18"/>
                <w:szCs w:val="18"/>
                <w:color w:val="auto"/>
                <w:w w:val="91"/>
              </w:rPr>
              <w:t>Three months ended July 31,</w:t>
            </w:r>
          </w:p>
        </w:tc>
      </w:tr>
      <w:tr>
        <w:trPr>
          <w:trHeight w:val="237"/>
        </w:trPr>
        <w:tc>
          <w:tcPr>
            <w:tcW w:w="446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2011</w:t>
            </w:r>
          </w:p>
        </w:tc>
        <w:tc>
          <w:tcPr>
            <w:tcW w:w="28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2010</w:t>
            </w:r>
          </w:p>
        </w:tc>
        <w:tc>
          <w:tcPr>
            <w:tcW w:w="2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44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940" w:type="dxa"/>
            <w:vAlign w:val="bottom"/>
            <w:gridSpan w:val="2"/>
          </w:tcPr>
          <w:p>
            <w:pPr>
              <w:jc w:val="right"/>
              <w:ind w:right="130"/>
              <w:spacing w:after="0"/>
              <w:rPr>
                <w:sz w:val="20"/>
                <w:szCs w:val="20"/>
                <w:color w:val="auto"/>
              </w:rPr>
            </w:pPr>
            <w:r>
              <w:rPr>
                <w:rFonts w:ascii="Arial" w:cs="Arial" w:eastAsia="Arial" w:hAnsi="Arial"/>
                <w:sz w:val="18"/>
                <w:szCs w:val="18"/>
                <w:color w:val="auto"/>
              </w:rPr>
              <w:t>(in</w:t>
            </w:r>
          </w:p>
        </w:tc>
        <w:tc>
          <w:tcPr>
            <w:tcW w:w="860" w:type="dxa"/>
            <w:vAlign w:val="bottom"/>
            <w:gridSpan w:val="2"/>
          </w:tcPr>
          <w:p>
            <w:pPr>
              <w:jc w:val="right"/>
              <w:ind w:right="161"/>
              <w:spacing w:after="0"/>
              <w:rPr>
                <w:sz w:val="20"/>
                <w:szCs w:val="20"/>
                <w:color w:val="auto"/>
              </w:rPr>
            </w:pPr>
            <w:r>
              <w:rPr>
                <w:rFonts w:ascii="Arial" w:cs="Arial" w:eastAsia="Arial" w:hAnsi="Arial"/>
                <w:sz w:val="17"/>
                <w:szCs w:val="17"/>
                <w:color w:val="auto"/>
                <w:w w:val="71"/>
              </w:rPr>
              <w:t>thousands)</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460" w:type="dxa"/>
            <w:vAlign w:val="bottom"/>
            <w:shd w:val="clear" w:color="auto" w:fill="CCFFCC"/>
          </w:tcPr>
          <w:p>
            <w:pPr>
              <w:spacing w:after="0"/>
              <w:rPr>
                <w:sz w:val="20"/>
                <w:szCs w:val="20"/>
                <w:color w:val="auto"/>
              </w:rPr>
            </w:pPr>
            <w:r>
              <w:rPr>
                <w:rFonts w:ascii="Arial" w:cs="Arial" w:eastAsia="Arial" w:hAnsi="Arial"/>
                <w:sz w:val="18"/>
                <w:szCs w:val="18"/>
                <w:color w:val="auto"/>
              </w:rPr>
              <w:t>Purchases from:</w:t>
            </w:r>
          </w:p>
        </w:tc>
        <w:tc>
          <w:tcPr>
            <w:tcW w:w="1980" w:type="dxa"/>
            <w:vAlign w:val="bottom"/>
            <w:shd w:val="clear" w:color="auto" w:fill="CCFFCC"/>
          </w:tcPr>
          <w:p>
            <w:pPr>
              <w:spacing w:after="0"/>
              <w:rPr>
                <w:sz w:val="18"/>
                <w:szCs w:val="18"/>
                <w:color w:val="auto"/>
              </w:rPr>
            </w:pPr>
          </w:p>
        </w:tc>
        <w:tc>
          <w:tcPr>
            <w:tcW w:w="66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66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r>
      <w:tr>
        <w:trPr>
          <w:trHeight w:val="216"/>
        </w:trPr>
        <w:tc>
          <w:tcPr>
            <w:tcW w:w="4460" w:type="dxa"/>
            <w:vAlign w:val="bottom"/>
          </w:tcPr>
          <w:p>
            <w:pPr>
              <w:ind w:left="160"/>
              <w:spacing w:after="0"/>
              <w:rPr>
                <w:sz w:val="20"/>
                <w:szCs w:val="20"/>
                <w:color w:val="auto"/>
              </w:rPr>
            </w:pPr>
            <w:r>
              <w:rPr>
                <w:rFonts w:ascii="Arial" w:cs="Arial" w:eastAsia="Arial" w:hAnsi="Arial"/>
                <w:sz w:val="18"/>
                <w:szCs w:val="18"/>
                <w:color w:val="auto"/>
              </w:rPr>
              <w:t>Elcom</w:t>
            </w:r>
          </w:p>
        </w:tc>
        <w:tc>
          <w:tcPr>
            <w:tcW w:w="2640" w:type="dxa"/>
            <w:vAlign w:val="bottom"/>
            <w:gridSpan w:val="2"/>
          </w:tcPr>
          <w:p>
            <w:pPr>
              <w:ind w:left="1980"/>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16</w:t>
            </w:r>
          </w:p>
        </w:tc>
        <w:tc>
          <w:tcPr>
            <w:tcW w:w="200" w:type="dxa"/>
            <w:vAlign w:val="bottom"/>
          </w:tcPr>
          <w:p>
            <w:pPr>
              <w:spacing w:after="0"/>
              <w:rPr>
                <w:sz w:val="18"/>
                <w:szCs w:val="18"/>
                <w:color w:val="auto"/>
              </w:rPr>
            </w:pPr>
          </w:p>
        </w:tc>
        <w:tc>
          <w:tcPr>
            <w:tcW w:w="660" w:type="dxa"/>
            <w:vAlign w:val="bottom"/>
          </w:tcPr>
          <w:p>
            <w:pPr>
              <w:jc w:val="right"/>
              <w:ind w:right="501"/>
              <w:spacing w:after="0"/>
              <w:rPr>
                <w:sz w:val="20"/>
                <w:szCs w:val="20"/>
                <w:color w:val="auto"/>
              </w:rPr>
            </w:pPr>
            <w:r>
              <w:rPr>
                <w:rFonts w:ascii="Arial" w:cs="Arial" w:eastAsia="Arial" w:hAnsi="Arial"/>
                <w:sz w:val="15"/>
                <w:szCs w:val="15"/>
                <w:color w:val="auto"/>
                <w:w w:val="71"/>
              </w:rPr>
              <w:t>$</w:t>
            </w:r>
          </w:p>
        </w:tc>
        <w:tc>
          <w:tcPr>
            <w:tcW w:w="360" w:type="dxa"/>
            <w:vAlign w:val="bottom"/>
            <w:gridSpan w:val="2"/>
          </w:tcPr>
          <w:p>
            <w:pPr>
              <w:jc w:val="right"/>
              <w:ind w:right="80"/>
              <w:spacing w:after="0"/>
              <w:rPr>
                <w:sz w:val="20"/>
                <w:szCs w:val="20"/>
                <w:color w:val="auto"/>
              </w:rPr>
            </w:pPr>
            <w:r>
              <w:rPr>
                <w:rFonts w:ascii="Arial" w:cs="Arial" w:eastAsia="Arial" w:hAnsi="Arial"/>
                <w:sz w:val="18"/>
                <w:szCs w:val="18"/>
                <w:color w:val="auto"/>
              </w:rPr>
              <w:t>35</w:t>
            </w:r>
          </w:p>
        </w:tc>
      </w:tr>
      <w:tr>
        <w:trPr>
          <w:trHeight w:val="216"/>
        </w:trPr>
        <w:tc>
          <w:tcPr>
            <w:tcW w:w="4460" w:type="dxa"/>
            <w:vAlign w:val="bottom"/>
            <w:shd w:val="clear" w:color="auto" w:fill="CCFFCC"/>
          </w:tcPr>
          <w:p>
            <w:pPr>
              <w:ind w:left="160"/>
              <w:spacing w:after="0"/>
              <w:rPr>
                <w:sz w:val="20"/>
                <w:szCs w:val="20"/>
                <w:color w:val="auto"/>
              </w:rPr>
            </w:pPr>
            <w:r>
              <w:rPr>
                <w:rFonts w:ascii="Arial" w:cs="Arial" w:eastAsia="Arial" w:hAnsi="Arial"/>
                <w:sz w:val="18"/>
                <w:szCs w:val="18"/>
                <w:color w:val="auto"/>
              </w:rPr>
              <w:t>Morion</w:t>
            </w:r>
          </w:p>
        </w:tc>
        <w:tc>
          <w:tcPr>
            <w:tcW w:w="1980" w:type="dxa"/>
            <w:vAlign w:val="bottom"/>
            <w:shd w:val="clear" w:color="auto" w:fill="CCFFCC"/>
          </w:tcPr>
          <w:p>
            <w:pPr>
              <w:spacing w:after="0"/>
              <w:rPr>
                <w:sz w:val="18"/>
                <w:szCs w:val="18"/>
                <w:color w:val="auto"/>
              </w:rPr>
            </w:pPr>
          </w:p>
        </w:tc>
        <w:tc>
          <w:tcPr>
            <w:tcW w:w="660" w:type="dxa"/>
            <w:vAlign w:val="bottom"/>
            <w:shd w:val="clear" w:color="auto" w:fill="CCFFCC"/>
          </w:tcPr>
          <w:p>
            <w:pPr>
              <w:spacing w:after="0"/>
              <w:rPr>
                <w:sz w:val="18"/>
                <w:szCs w:val="18"/>
                <w:color w:val="auto"/>
              </w:rPr>
            </w:pPr>
          </w:p>
        </w:tc>
        <w:tc>
          <w:tcPr>
            <w:tcW w:w="2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85</w:t>
            </w:r>
          </w:p>
        </w:tc>
        <w:tc>
          <w:tcPr>
            <w:tcW w:w="200" w:type="dxa"/>
            <w:vAlign w:val="bottom"/>
            <w:shd w:val="clear" w:color="auto" w:fill="CCFFCC"/>
          </w:tcPr>
          <w:p>
            <w:pPr>
              <w:spacing w:after="0"/>
              <w:rPr>
                <w:sz w:val="18"/>
                <w:szCs w:val="18"/>
                <w:color w:val="auto"/>
              </w:rPr>
            </w:pPr>
          </w:p>
        </w:tc>
        <w:tc>
          <w:tcPr>
            <w:tcW w:w="660" w:type="dxa"/>
            <w:vAlign w:val="bottom"/>
            <w:shd w:val="clear" w:color="auto" w:fill="CCFFCC"/>
          </w:tcPr>
          <w:p>
            <w:pPr>
              <w:spacing w:after="0"/>
              <w:rPr>
                <w:sz w:val="18"/>
                <w:szCs w:val="18"/>
                <w:color w:val="auto"/>
              </w:rPr>
            </w:pPr>
          </w:p>
        </w:tc>
        <w:tc>
          <w:tcPr>
            <w:tcW w:w="3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17</w:t>
            </w: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Sales to:</w:t>
            </w:r>
          </w:p>
        </w:tc>
        <w:tc>
          <w:tcPr>
            <w:tcW w:w="19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460" w:type="dxa"/>
            <w:vAlign w:val="bottom"/>
            <w:shd w:val="clear" w:color="auto" w:fill="CCFFCC"/>
          </w:tcPr>
          <w:p>
            <w:pPr>
              <w:ind w:left="160"/>
              <w:spacing w:after="0"/>
              <w:rPr>
                <w:sz w:val="20"/>
                <w:szCs w:val="20"/>
                <w:color w:val="auto"/>
              </w:rPr>
            </w:pPr>
            <w:r>
              <w:rPr>
                <w:rFonts w:ascii="Arial" w:cs="Arial" w:eastAsia="Arial" w:hAnsi="Arial"/>
                <w:sz w:val="18"/>
                <w:szCs w:val="18"/>
                <w:color w:val="auto"/>
              </w:rPr>
              <w:t>Elcom</w:t>
            </w:r>
          </w:p>
        </w:tc>
        <w:tc>
          <w:tcPr>
            <w:tcW w:w="2640" w:type="dxa"/>
            <w:vAlign w:val="bottom"/>
            <w:gridSpan w:val="2"/>
            <w:shd w:val="clear" w:color="auto" w:fill="CCFFCC"/>
          </w:tcPr>
          <w:p>
            <w:pPr>
              <w:ind w:left="19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FFCC"/>
          </w:tcPr>
          <w:p>
            <w:pPr>
              <w:spacing w:after="0"/>
              <w:rPr>
                <w:sz w:val="18"/>
                <w:szCs w:val="18"/>
                <w:color w:val="auto"/>
              </w:rPr>
            </w:pPr>
          </w:p>
        </w:tc>
        <w:tc>
          <w:tcPr>
            <w:tcW w:w="660" w:type="dxa"/>
            <w:vAlign w:val="bottom"/>
            <w:shd w:val="clear" w:color="auto" w:fill="CCFFCC"/>
          </w:tcPr>
          <w:p>
            <w:pPr>
              <w:jc w:val="right"/>
              <w:ind w:right="501"/>
              <w:spacing w:after="0"/>
              <w:rPr>
                <w:sz w:val="20"/>
                <w:szCs w:val="20"/>
                <w:color w:val="auto"/>
              </w:rPr>
            </w:pPr>
            <w:r>
              <w:rPr>
                <w:rFonts w:ascii="Arial" w:cs="Arial" w:eastAsia="Arial" w:hAnsi="Arial"/>
                <w:sz w:val="15"/>
                <w:szCs w:val="15"/>
                <w:color w:val="auto"/>
                <w:w w:val="71"/>
              </w:rPr>
              <w:t>$</w:t>
            </w:r>
          </w:p>
        </w:tc>
        <w:tc>
          <w:tcPr>
            <w:tcW w:w="3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58</w:t>
            </w:r>
          </w:p>
        </w:tc>
      </w:tr>
      <w:tr>
        <w:trPr>
          <w:trHeight w:val="216"/>
        </w:trPr>
        <w:tc>
          <w:tcPr>
            <w:tcW w:w="4460" w:type="dxa"/>
            <w:vAlign w:val="bottom"/>
          </w:tcPr>
          <w:p>
            <w:pPr>
              <w:ind w:left="160"/>
              <w:spacing w:after="0"/>
              <w:rPr>
                <w:sz w:val="20"/>
                <w:szCs w:val="20"/>
                <w:color w:val="auto"/>
              </w:rPr>
            </w:pPr>
            <w:r>
              <w:rPr>
                <w:rFonts w:ascii="Arial" w:cs="Arial" w:eastAsia="Arial" w:hAnsi="Arial"/>
                <w:sz w:val="18"/>
                <w:szCs w:val="18"/>
                <w:color w:val="auto"/>
              </w:rPr>
              <w:t>Morion</w:t>
            </w:r>
          </w:p>
        </w:tc>
        <w:tc>
          <w:tcPr>
            <w:tcW w:w="19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80" w:type="dxa"/>
            <w:vAlign w:val="bottom"/>
            <w:gridSpan w:val="2"/>
          </w:tcPr>
          <w:p>
            <w:pPr>
              <w:jc w:val="right"/>
              <w:ind w:right="115"/>
              <w:spacing w:after="0"/>
              <w:rPr>
                <w:sz w:val="20"/>
                <w:szCs w:val="20"/>
                <w:color w:val="auto"/>
              </w:rPr>
            </w:pPr>
            <w:r>
              <w:rPr>
                <w:rFonts w:ascii="Arial" w:cs="Arial" w:eastAsia="Arial" w:hAnsi="Arial"/>
                <w:sz w:val="18"/>
                <w:szCs w:val="18"/>
                <w:color w:val="auto"/>
                <w:w w:val="86"/>
              </w:rPr>
              <w:t>766</w:t>
            </w:r>
          </w:p>
        </w:tc>
        <w:tc>
          <w:tcPr>
            <w:tcW w:w="660" w:type="dxa"/>
            <w:vAlign w:val="bottom"/>
          </w:tcPr>
          <w:p>
            <w:pPr>
              <w:spacing w:after="0"/>
              <w:rPr>
                <w:sz w:val="18"/>
                <w:szCs w:val="18"/>
                <w:color w:val="auto"/>
              </w:rPr>
            </w:pPr>
          </w:p>
        </w:tc>
        <w:tc>
          <w:tcPr>
            <w:tcW w:w="360" w:type="dxa"/>
            <w:vAlign w:val="bottom"/>
            <w:gridSpan w:val="2"/>
          </w:tcPr>
          <w:p>
            <w:pPr>
              <w:jc w:val="right"/>
              <w:ind w:right="80"/>
              <w:spacing w:after="0"/>
              <w:rPr>
                <w:sz w:val="20"/>
                <w:szCs w:val="20"/>
                <w:color w:val="auto"/>
              </w:rPr>
            </w:pPr>
            <w:r>
              <w:rPr>
                <w:rFonts w:ascii="Arial" w:cs="Arial" w:eastAsia="Arial" w:hAnsi="Arial"/>
                <w:sz w:val="18"/>
                <w:szCs w:val="18"/>
                <w:color w:val="auto"/>
                <w:w w:val="86"/>
              </w:rPr>
              <w:t>128</w:t>
            </w:r>
          </w:p>
        </w:tc>
      </w:tr>
      <w:tr>
        <w:trPr>
          <w:trHeight w:val="216"/>
        </w:trPr>
        <w:tc>
          <w:tcPr>
            <w:tcW w:w="4460" w:type="dxa"/>
            <w:vAlign w:val="bottom"/>
            <w:shd w:val="clear" w:color="auto" w:fill="CCFFCC"/>
          </w:tcPr>
          <w:p>
            <w:pPr>
              <w:spacing w:after="0"/>
              <w:rPr>
                <w:sz w:val="20"/>
                <w:szCs w:val="20"/>
                <w:color w:val="auto"/>
              </w:rPr>
            </w:pPr>
            <w:r>
              <w:rPr>
                <w:rFonts w:ascii="Arial" w:cs="Arial" w:eastAsia="Arial" w:hAnsi="Arial"/>
                <w:sz w:val="18"/>
                <w:szCs w:val="18"/>
                <w:color w:val="auto"/>
              </w:rPr>
              <w:t>Interest on Elcom notes receivable</w:t>
            </w:r>
          </w:p>
        </w:tc>
        <w:tc>
          <w:tcPr>
            <w:tcW w:w="2640" w:type="dxa"/>
            <w:vAlign w:val="bottom"/>
            <w:gridSpan w:val="2"/>
            <w:shd w:val="clear" w:color="auto" w:fill="CCFFCC"/>
          </w:tcPr>
          <w:p>
            <w:pPr>
              <w:ind w:left="19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21</w:t>
            </w:r>
          </w:p>
        </w:tc>
        <w:tc>
          <w:tcPr>
            <w:tcW w:w="200" w:type="dxa"/>
            <w:vAlign w:val="bottom"/>
            <w:shd w:val="clear" w:color="auto" w:fill="CCFFCC"/>
          </w:tcPr>
          <w:p>
            <w:pPr>
              <w:spacing w:after="0"/>
              <w:rPr>
                <w:sz w:val="18"/>
                <w:szCs w:val="18"/>
                <w:color w:val="auto"/>
              </w:rPr>
            </w:pPr>
          </w:p>
        </w:tc>
        <w:tc>
          <w:tcPr>
            <w:tcW w:w="660" w:type="dxa"/>
            <w:vAlign w:val="bottom"/>
            <w:shd w:val="clear" w:color="auto" w:fill="CCFFCC"/>
          </w:tcPr>
          <w:p>
            <w:pPr>
              <w:jc w:val="right"/>
              <w:ind w:right="501"/>
              <w:spacing w:after="0"/>
              <w:rPr>
                <w:sz w:val="20"/>
                <w:szCs w:val="20"/>
                <w:color w:val="auto"/>
              </w:rPr>
            </w:pPr>
            <w:r>
              <w:rPr>
                <w:rFonts w:ascii="Arial" w:cs="Arial" w:eastAsia="Arial" w:hAnsi="Arial"/>
                <w:sz w:val="15"/>
                <w:szCs w:val="15"/>
                <w:color w:val="auto"/>
                <w:w w:val="71"/>
              </w:rPr>
              <w:t>$</w:t>
            </w:r>
          </w:p>
        </w:tc>
        <w:tc>
          <w:tcPr>
            <w:tcW w:w="3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25</w:t>
            </w:r>
          </w:p>
        </w:tc>
      </w:tr>
    </w:tbl>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Company measures the current market value of Elcom based on comparisons to comparable companies as well as Elcom’s forecasts of future financial results. No impairment charges were recorded during the three months ended July 31, 2011 and 2010.</w:t>
      </w: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 of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color w:val="auto"/>
        </w:rPr>
        <w:t>FREQUENCY ELECTRONICS, INC. and SUBSIDIARIES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NOTE I – FAIR VALUE OF FINANCIAL INSTRUMENTS</w:t>
      </w:r>
    </w:p>
    <w:p>
      <w:pPr>
        <w:spacing w:after="0" w:line="252"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cost, gross unrealized gains, gross unrealized losses and fair market value of available-for-sale securities at July 31, 2011 and April 30, 2011 are as follows (in thousands):</w:t>
      </w:r>
    </w:p>
    <w:p>
      <w:pPr>
        <w:spacing w:after="0" w:line="197" w:lineRule="exact"/>
        <w:rPr>
          <w:sz w:val="20"/>
          <w:szCs w:val="20"/>
          <w:color w:val="auto"/>
        </w:rPr>
      </w:pPr>
    </w:p>
    <w:tbl>
      <w:tblPr>
        <w:tblLayout w:type="fixed"/>
        <w:tblInd w:w="50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gridSpan w:val="5"/>
          </w:tcPr>
          <w:p>
            <w:pPr>
              <w:jc w:val="right"/>
              <w:ind w:right="740"/>
              <w:spacing w:after="0"/>
              <w:rPr>
                <w:sz w:val="20"/>
                <w:szCs w:val="20"/>
                <w:color w:val="auto"/>
              </w:rPr>
            </w:pPr>
            <w:r>
              <w:rPr>
                <w:rFonts w:ascii="Arial" w:cs="Arial" w:eastAsia="Arial" w:hAnsi="Arial"/>
                <w:sz w:val="18"/>
                <w:szCs w:val="18"/>
                <w:color w:val="auto"/>
              </w:rPr>
              <w:t>July 31, 2011</w:t>
            </w:r>
          </w:p>
        </w:tc>
        <w:tc>
          <w:tcPr>
            <w:tcW w:w="1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33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gridSpan w:val="2"/>
          </w:tcPr>
          <w:p>
            <w:pPr>
              <w:jc w:val="center"/>
              <w:ind w:right="380"/>
              <w:spacing w:after="0" w:line="201" w:lineRule="exact"/>
              <w:rPr>
                <w:sz w:val="20"/>
                <w:szCs w:val="20"/>
                <w:color w:val="auto"/>
              </w:rPr>
            </w:pPr>
            <w:r>
              <w:rPr>
                <w:rFonts w:ascii="Arial" w:cs="Arial" w:eastAsia="Arial" w:hAnsi="Arial"/>
                <w:sz w:val="18"/>
                <w:szCs w:val="18"/>
                <w:color w:val="auto"/>
                <w:w w:val="87"/>
              </w:rPr>
              <w:t>Gross</w:t>
            </w:r>
          </w:p>
        </w:tc>
        <w:tc>
          <w:tcPr>
            <w:tcW w:w="140" w:type="dxa"/>
            <w:vAlign w:val="bottom"/>
          </w:tcPr>
          <w:p>
            <w:pPr>
              <w:spacing w:after="0"/>
              <w:rPr>
                <w:sz w:val="17"/>
                <w:szCs w:val="17"/>
                <w:color w:val="auto"/>
              </w:rPr>
            </w:pPr>
          </w:p>
        </w:tc>
        <w:tc>
          <w:tcPr>
            <w:tcW w:w="940" w:type="dxa"/>
            <w:vAlign w:val="bottom"/>
            <w:gridSpan w:val="2"/>
          </w:tcPr>
          <w:p>
            <w:pPr>
              <w:jc w:val="center"/>
              <w:ind w:right="320"/>
              <w:spacing w:after="0" w:line="201" w:lineRule="exact"/>
              <w:rPr>
                <w:sz w:val="20"/>
                <w:szCs w:val="20"/>
                <w:color w:val="auto"/>
              </w:rPr>
            </w:pPr>
            <w:r>
              <w:rPr>
                <w:rFonts w:ascii="Arial" w:cs="Arial" w:eastAsia="Arial" w:hAnsi="Arial"/>
                <w:sz w:val="18"/>
                <w:szCs w:val="18"/>
                <w:color w:val="auto"/>
                <w:w w:val="87"/>
              </w:rPr>
              <w:t>Gross</w:t>
            </w:r>
          </w:p>
        </w:tc>
        <w:tc>
          <w:tcPr>
            <w:tcW w:w="140" w:type="dxa"/>
            <w:vAlign w:val="bottom"/>
          </w:tcPr>
          <w:p>
            <w:pPr>
              <w:spacing w:after="0"/>
              <w:rPr>
                <w:sz w:val="17"/>
                <w:szCs w:val="17"/>
                <w:color w:val="auto"/>
              </w:rPr>
            </w:pPr>
          </w:p>
        </w:tc>
        <w:tc>
          <w:tcPr>
            <w:tcW w:w="780" w:type="dxa"/>
            <w:vAlign w:val="bottom"/>
          </w:tcPr>
          <w:p>
            <w:pPr>
              <w:jc w:val="center"/>
              <w:ind w:right="70"/>
              <w:spacing w:after="0" w:line="201" w:lineRule="exact"/>
              <w:rPr>
                <w:sz w:val="20"/>
                <w:szCs w:val="20"/>
                <w:color w:val="auto"/>
              </w:rPr>
            </w:pPr>
            <w:r>
              <w:rPr>
                <w:rFonts w:ascii="Arial" w:cs="Arial" w:eastAsia="Arial" w:hAnsi="Arial"/>
                <w:sz w:val="18"/>
                <w:szCs w:val="18"/>
                <w:color w:val="auto"/>
                <w:w w:val="96"/>
              </w:rPr>
              <w:t>Fair</w:t>
            </w:r>
          </w:p>
        </w:tc>
        <w:tc>
          <w:tcPr>
            <w:tcW w:w="8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3"/>
          </w:tcPr>
          <w:p>
            <w:pPr>
              <w:jc w:val="center"/>
              <w:ind w:right="200"/>
              <w:spacing w:after="0"/>
              <w:rPr>
                <w:sz w:val="20"/>
                <w:szCs w:val="20"/>
                <w:color w:val="auto"/>
              </w:rPr>
            </w:pPr>
            <w:r>
              <w:rPr>
                <w:rFonts w:ascii="Arial" w:cs="Arial" w:eastAsia="Arial" w:hAnsi="Arial"/>
                <w:sz w:val="18"/>
                <w:szCs w:val="18"/>
                <w:color w:val="auto"/>
                <w:w w:val="90"/>
              </w:rPr>
              <w:t>Unrealized</w:t>
            </w:r>
          </w:p>
        </w:tc>
        <w:tc>
          <w:tcPr>
            <w:tcW w:w="1080" w:type="dxa"/>
            <w:vAlign w:val="bottom"/>
            <w:gridSpan w:val="3"/>
          </w:tcPr>
          <w:p>
            <w:pPr>
              <w:jc w:val="center"/>
              <w:ind w:right="180"/>
              <w:spacing w:after="0"/>
              <w:rPr>
                <w:sz w:val="20"/>
                <w:szCs w:val="20"/>
                <w:color w:val="auto"/>
              </w:rPr>
            </w:pPr>
            <w:r>
              <w:rPr>
                <w:rFonts w:ascii="Arial" w:cs="Arial" w:eastAsia="Arial" w:hAnsi="Arial"/>
                <w:sz w:val="18"/>
                <w:szCs w:val="18"/>
                <w:color w:val="auto"/>
                <w:w w:val="90"/>
              </w:rPr>
              <w:t>Unrealized</w:t>
            </w:r>
          </w:p>
        </w:tc>
        <w:tc>
          <w:tcPr>
            <w:tcW w:w="140" w:type="dxa"/>
            <w:vAlign w:val="bottom"/>
          </w:tcPr>
          <w:p>
            <w:pPr>
              <w:spacing w:after="0"/>
              <w:rPr>
                <w:sz w:val="18"/>
                <w:szCs w:val="18"/>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8"/>
                <w:szCs w:val="18"/>
                <w:color w:val="auto"/>
                <w:w w:val="94"/>
              </w:rPr>
              <w:t>Market</w:t>
            </w:r>
          </w:p>
        </w:tc>
      </w:tr>
      <w:tr>
        <w:trPr>
          <w:trHeight w:val="237"/>
        </w:trPr>
        <w:tc>
          <w:tcPr>
            <w:tcW w:w="2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Cost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89"/>
              </w:rPr>
              <w:t>Gains</w:t>
            </w: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87"/>
              </w:rPr>
              <w:t>Losses</w:t>
            </w:r>
          </w:p>
        </w:tc>
        <w:tc>
          <w:tcPr>
            <w:tcW w:w="1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91"/>
              </w:rPr>
              <w:t>Value</w:t>
            </w:r>
          </w:p>
        </w:tc>
        <w:tc>
          <w:tcPr>
            <w:tcW w:w="8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3300" w:type="dxa"/>
            <w:vAlign w:val="bottom"/>
            <w:shd w:val="clear" w:color="auto" w:fill="CCFFCC"/>
          </w:tcPr>
          <w:p>
            <w:pPr>
              <w:spacing w:after="0"/>
              <w:rPr>
                <w:sz w:val="20"/>
                <w:szCs w:val="20"/>
                <w:color w:val="auto"/>
              </w:rPr>
            </w:pPr>
            <w:r>
              <w:rPr>
                <w:rFonts w:ascii="Arial" w:cs="Arial" w:eastAsia="Arial" w:hAnsi="Arial"/>
                <w:sz w:val="18"/>
                <w:szCs w:val="18"/>
                <w:color w:val="auto"/>
              </w:rPr>
              <w:t>Fixed income securities</w:t>
            </w:r>
          </w:p>
        </w:tc>
        <w:tc>
          <w:tcPr>
            <w:tcW w:w="1800" w:type="dxa"/>
            <w:vAlign w:val="bottom"/>
            <w:gridSpan w:val="2"/>
            <w:shd w:val="clear" w:color="auto" w:fill="CCFFCC"/>
          </w:tcPr>
          <w:p>
            <w:pPr>
              <w:jc w:val="right"/>
              <w:ind w:right="1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11,449</w:t>
            </w:r>
          </w:p>
        </w:tc>
        <w:tc>
          <w:tcPr>
            <w:tcW w:w="100" w:type="dxa"/>
            <w:vAlign w:val="bottom"/>
            <w:shd w:val="clear" w:color="auto" w:fill="CCFFCC"/>
          </w:tcPr>
          <w:p>
            <w:pPr>
              <w:spacing w:after="0"/>
              <w:rPr>
                <w:sz w:val="18"/>
                <w:szCs w:val="18"/>
                <w:color w:val="auto"/>
              </w:rPr>
            </w:pPr>
          </w:p>
        </w:tc>
        <w:tc>
          <w:tcPr>
            <w:tcW w:w="280" w:type="dxa"/>
            <w:vAlign w:val="bottom"/>
            <w:gridSpan w:val="2"/>
            <w:shd w:val="clear" w:color="auto" w:fill="CCFFCC"/>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281</w:t>
            </w:r>
          </w:p>
        </w:tc>
        <w:tc>
          <w:tcPr>
            <w:tcW w:w="140" w:type="dxa"/>
            <w:vAlign w:val="bottom"/>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(11)</w:t>
            </w:r>
          </w:p>
        </w:tc>
        <w:tc>
          <w:tcPr>
            <w:tcW w:w="140" w:type="dxa"/>
            <w:vAlign w:val="bottom"/>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11,719</w:t>
            </w:r>
          </w:p>
        </w:tc>
      </w:tr>
      <w:tr>
        <w:trPr>
          <w:trHeight w:val="216"/>
        </w:trPr>
        <w:tc>
          <w:tcPr>
            <w:tcW w:w="2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Equity securities</w:t>
            </w:r>
          </w:p>
        </w:tc>
        <w:tc>
          <w:tcPr>
            <w:tcW w:w="1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3,133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156</w:t>
            </w:r>
          </w:p>
        </w:tc>
        <w:tc>
          <w:tcPr>
            <w:tcW w:w="14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(9)</w:t>
            </w:r>
          </w:p>
        </w:tc>
        <w:tc>
          <w:tcPr>
            <w:tcW w:w="14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3,280</w:t>
            </w:r>
          </w:p>
        </w:tc>
      </w:tr>
      <w:tr>
        <w:trPr>
          <w:trHeight w:val="27"/>
        </w:trPr>
        <w:tc>
          <w:tcPr>
            <w:tcW w:w="20" w:type="dxa"/>
            <w:vAlign w:val="bottom"/>
          </w:tcPr>
          <w:p>
            <w:pPr>
              <w:spacing w:after="0"/>
              <w:rPr>
                <w:sz w:val="2"/>
                <w:szCs w:val="2"/>
                <w:color w:val="auto"/>
              </w:rPr>
            </w:pPr>
          </w:p>
        </w:tc>
        <w:tc>
          <w:tcPr>
            <w:tcW w:w="33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3300" w:type="dxa"/>
            <w:vAlign w:val="bottom"/>
            <w:shd w:val="clear" w:color="auto" w:fill="CCFFCC"/>
          </w:tcPr>
          <w:p>
            <w:pPr>
              <w:spacing w:after="0"/>
              <w:rPr>
                <w:sz w:val="20"/>
                <w:szCs w:val="20"/>
                <w:color w:val="auto"/>
              </w:rPr>
            </w:pPr>
          </w:p>
        </w:tc>
        <w:tc>
          <w:tcPr>
            <w:tcW w:w="1600" w:type="dxa"/>
            <w:vAlign w:val="bottom"/>
            <w:shd w:val="clear" w:color="auto" w:fill="CCFFCC"/>
          </w:tcPr>
          <w:p>
            <w:pPr>
              <w:spacing w:after="0"/>
              <w:rPr>
                <w:sz w:val="20"/>
                <w:szCs w:val="20"/>
                <w:color w:val="auto"/>
              </w:rPr>
            </w:pPr>
          </w:p>
        </w:tc>
        <w:tc>
          <w:tcPr>
            <w:tcW w:w="20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14,582</w:t>
            </w:r>
          </w:p>
        </w:tc>
        <w:tc>
          <w:tcPr>
            <w:tcW w:w="280" w:type="dxa"/>
            <w:vAlign w:val="bottom"/>
            <w:gridSpan w:val="2"/>
            <w:shd w:val="clear" w:color="auto" w:fill="CCFFCC"/>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437</w:t>
            </w:r>
          </w:p>
        </w:tc>
        <w:tc>
          <w:tcPr>
            <w:tcW w:w="140" w:type="dxa"/>
            <w:vAlign w:val="bottom"/>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(20)</w:t>
            </w:r>
          </w:p>
        </w:tc>
        <w:tc>
          <w:tcPr>
            <w:tcW w:w="140" w:type="dxa"/>
            <w:vAlign w:val="bottom"/>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14,999</w:t>
            </w:r>
          </w:p>
        </w:tc>
      </w:tr>
      <w:tr>
        <w:trPr>
          <w:trHeight w:val="20"/>
        </w:trPr>
        <w:tc>
          <w:tcPr>
            <w:tcW w:w="20" w:type="dxa"/>
            <w:vAlign w:val="bottom"/>
          </w:tcPr>
          <w:p>
            <w:pPr>
              <w:spacing w:after="0" w:line="20" w:lineRule="exact"/>
              <w:rPr>
                <w:sz w:val="1"/>
                <w:szCs w:val="1"/>
                <w:color w:val="auto"/>
              </w:rPr>
            </w:pPr>
          </w:p>
        </w:tc>
        <w:tc>
          <w:tcPr>
            <w:tcW w:w="3300" w:type="dxa"/>
            <w:vAlign w:val="bottom"/>
            <w:tcBorders>
              <w:top w:val="single" w:sz="8" w:color="CCFFCC"/>
            </w:tcBorders>
            <w:shd w:val="clear" w:color="auto" w:fill="CCFFCC"/>
          </w:tcPr>
          <w:p>
            <w:pPr>
              <w:spacing w:after="0" w:line="20" w:lineRule="exact"/>
              <w:rPr>
                <w:sz w:val="1"/>
                <w:szCs w:val="1"/>
                <w:color w:val="auto"/>
              </w:rPr>
            </w:pPr>
          </w:p>
        </w:tc>
        <w:tc>
          <w:tcPr>
            <w:tcW w:w="160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r>
      <w:tr>
        <w:trPr>
          <w:trHeight w:val="460"/>
        </w:trPr>
        <w:tc>
          <w:tcPr>
            <w:tcW w:w="2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gridSpan w:val="5"/>
          </w:tcPr>
          <w:p>
            <w:pPr>
              <w:jc w:val="right"/>
              <w:ind w:right="700"/>
              <w:spacing w:after="0"/>
              <w:rPr>
                <w:sz w:val="20"/>
                <w:szCs w:val="20"/>
                <w:color w:val="auto"/>
              </w:rPr>
            </w:pPr>
            <w:r>
              <w:rPr>
                <w:rFonts w:ascii="Arial" w:cs="Arial" w:eastAsia="Arial" w:hAnsi="Arial"/>
                <w:sz w:val="18"/>
                <w:szCs w:val="18"/>
                <w:color w:val="auto"/>
              </w:rPr>
              <w:t>April 30, 2011</w:t>
            </w:r>
          </w:p>
        </w:tc>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202"/>
        </w:trPr>
        <w:tc>
          <w:tcPr>
            <w:tcW w:w="20" w:type="dxa"/>
            <w:vAlign w:val="bottom"/>
          </w:tcPr>
          <w:p>
            <w:pPr>
              <w:spacing w:after="0"/>
              <w:rPr>
                <w:sz w:val="17"/>
                <w:szCs w:val="17"/>
                <w:color w:val="auto"/>
              </w:rPr>
            </w:pPr>
          </w:p>
        </w:tc>
        <w:tc>
          <w:tcPr>
            <w:tcW w:w="33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gridSpan w:val="2"/>
          </w:tcPr>
          <w:p>
            <w:pPr>
              <w:jc w:val="center"/>
              <w:ind w:right="380"/>
              <w:spacing w:after="0" w:line="201" w:lineRule="exact"/>
              <w:rPr>
                <w:sz w:val="20"/>
                <w:szCs w:val="20"/>
                <w:color w:val="auto"/>
              </w:rPr>
            </w:pPr>
            <w:r>
              <w:rPr>
                <w:rFonts w:ascii="Arial" w:cs="Arial" w:eastAsia="Arial" w:hAnsi="Arial"/>
                <w:sz w:val="18"/>
                <w:szCs w:val="18"/>
                <w:color w:val="auto"/>
                <w:w w:val="87"/>
              </w:rPr>
              <w:t>Gross</w:t>
            </w:r>
          </w:p>
        </w:tc>
        <w:tc>
          <w:tcPr>
            <w:tcW w:w="140" w:type="dxa"/>
            <w:vAlign w:val="bottom"/>
          </w:tcPr>
          <w:p>
            <w:pPr>
              <w:spacing w:after="0"/>
              <w:rPr>
                <w:sz w:val="17"/>
                <w:szCs w:val="17"/>
                <w:color w:val="auto"/>
              </w:rPr>
            </w:pPr>
          </w:p>
        </w:tc>
        <w:tc>
          <w:tcPr>
            <w:tcW w:w="940" w:type="dxa"/>
            <w:vAlign w:val="bottom"/>
            <w:gridSpan w:val="2"/>
          </w:tcPr>
          <w:p>
            <w:pPr>
              <w:jc w:val="center"/>
              <w:ind w:right="320"/>
              <w:spacing w:after="0" w:line="201" w:lineRule="exact"/>
              <w:rPr>
                <w:sz w:val="20"/>
                <w:szCs w:val="20"/>
                <w:color w:val="auto"/>
              </w:rPr>
            </w:pPr>
            <w:r>
              <w:rPr>
                <w:rFonts w:ascii="Arial" w:cs="Arial" w:eastAsia="Arial" w:hAnsi="Arial"/>
                <w:sz w:val="18"/>
                <w:szCs w:val="18"/>
                <w:color w:val="auto"/>
                <w:w w:val="87"/>
              </w:rPr>
              <w:t>Gross</w:t>
            </w:r>
          </w:p>
        </w:tc>
        <w:tc>
          <w:tcPr>
            <w:tcW w:w="140" w:type="dxa"/>
            <w:vAlign w:val="bottom"/>
          </w:tcPr>
          <w:p>
            <w:pPr>
              <w:spacing w:after="0"/>
              <w:rPr>
                <w:sz w:val="17"/>
                <w:szCs w:val="17"/>
                <w:color w:val="auto"/>
              </w:rPr>
            </w:pPr>
          </w:p>
        </w:tc>
        <w:tc>
          <w:tcPr>
            <w:tcW w:w="780" w:type="dxa"/>
            <w:vAlign w:val="bottom"/>
          </w:tcPr>
          <w:p>
            <w:pPr>
              <w:jc w:val="center"/>
              <w:ind w:right="70"/>
              <w:spacing w:after="0" w:line="201" w:lineRule="exact"/>
              <w:rPr>
                <w:sz w:val="20"/>
                <w:szCs w:val="20"/>
                <w:color w:val="auto"/>
              </w:rPr>
            </w:pPr>
            <w:r>
              <w:rPr>
                <w:rFonts w:ascii="Arial" w:cs="Arial" w:eastAsia="Arial" w:hAnsi="Arial"/>
                <w:sz w:val="18"/>
                <w:szCs w:val="18"/>
                <w:color w:val="auto"/>
                <w:w w:val="96"/>
              </w:rPr>
              <w:t>Fair</w:t>
            </w:r>
          </w:p>
        </w:tc>
        <w:tc>
          <w:tcPr>
            <w:tcW w:w="8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3"/>
          </w:tcPr>
          <w:p>
            <w:pPr>
              <w:jc w:val="center"/>
              <w:ind w:right="200"/>
              <w:spacing w:after="0"/>
              <w:rPr>
                <w:sz w:val="20"/>
                <w:szCs w:val="20"/>
                <w:color w:val="auto"/>
              </w:rPr>
            </w:pPr>
            <w:r>
              <w:rPr>
                <w:rFonts w:ascii="Arial" w:cs="Arial" w:eastAsia="Arial" w:hAnsi="Arial"/>
                <w:sz w:val="18"/>
                <w:szCs w:val="18"/>
                <w:color w:val="auto"/>
                <w:w w:val="90"/>
              </w:rPr>
              <w:t>Unrealized</w:t>
            </w:r>
          </w:p>
        </w:tc>
        <w:tc>
          <w:tcPr>
            <w:tcW w:w="1080" w:type="dxa"/>
            <w:vAlign w:val="bottom"/>
            <w:gridSpan w:val="3"/>
          </w:tcPr>
          <w:p>
            <w:pPr>
              <w:jc w:val="center"/>
              <w:ind w:right="180"/>
              <w:spacing w:after="0"/>
              <w:rPr>
                <w:sz w:val="20"/>
                <w:szCs w:val="20"/>
                <w:color w:val="auto"/>
              </w:rPr>
            </w:pPr>
            <w:r>
              <w:rPr>
                <w:rFonts w:ascii="Arial" w:cs="Arial" w:eastAsia="Arial" w:hAnsi="Arial"/>
                <w:sz w:val="18"/>
                <w:szCs w:val="18"/>
                <w:color w:val="auto"/>
                <w:w w:val="90"/>
              </w:rPr>
              <w:t>Unrealized</w:t>
            </w:r>
          </w:p>
        </w:tc>
        <w:tc>
          <w:tcPr>
            <w:tcW w:w="140" w:type="dxa"/>
            <w:vAlign w:val="bottom"/>
          </w:tcPr>
          <w:p>
            <w:pPr>
              <w:spacing w:after="0"/>
              <w:rPr>
                <w:sz w:val="18"/>
                <w:szCs w:val="18"/>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8"/>
                <w:szCs w:val="18"/>
                <w:color w:val="auto"/>
                <w:w w:val="94"/>
              </w:rPr>
              <w:t>Market</w:t>
            </w:r>
          </w:p>
        </w:tc>
      </w:tr>
      <w:tr>
        <w:trPr>
          <w:trHeight w:val="237"/>
        </w:trPr>
        <w:tc>
          <w:tcPr>
            <w:tcW w:w="2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Cost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89"/>
              </w:rPr>
              <w:t>Gains</w:t>
            </w: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87"/>
              </w:rPr>
              <w:t>Losses</w:t>
            </w:r>
          </w:p>
        </w:tc>
        <w:tc>
          <w:tcPr>
            <w:tcW w:w="1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91"/>
              </w:rPr>
              <w:t>Value</w:t>
            </w:r>
          </w:p>
        </w:tc>
        <w:tc>
          <w:tcPr>
            <w:tcW w:w="8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3300" w:type="dxa"/>
            <w:vAlign w:val="bottom"/>
            <w:shd w:val="clear" w:color="auto" w:fill="CCFFCC"/>
          </w:tcPr>
          <w:p>
            <w:pPr>
              <w:spacing w:after="0"/>
              <w:rPr>
                <w:sz w:val="20"/>
                <w:szCs w:val="20"/>
                <w:color w:val="auto"/>
              </w:rPr>
            </w:pPr>
            <w:r>
              <w:rPr>
                <w:rFonts w:ascii="Arial" w:cs="Arial" w:eastAsia="Arial" w:hAnsi="Arial"/>
                <w:sz w:val="18"/>
                <w:szCs w:val="18"/>
                <w:color w:val="auto"/>
              </w:rPr>
              <w:t>Fixed income securities</w:t>
            </w:r>
          </w:p>
        </w:tc>
        <w:tc>
          <w:tcPr>
            <w:tcW w:w="1800" w:type="dxa"/>
            <w:vAlign w:val="bottom"/>
            <w:gridSpan w:val="2"/>
            <w:shd w:val="clear" w:color="auto" w:fill="CCFFCC"/>
          </w:tcPr>
          <w:p>
            <w:pPr>
              <w:jc w:val="right"/>
              <w:ind w:right="1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11,741</w:t>
            </w:r>
          </w:p>
        </w:tc>
        <w:tc>
          <w:tcPr>
            <w:tcW w:w="100" w:type="dxa"/>
            <w:vAlign w:val="bottom"/>
            <w:shd w:val="clear" w:color="auto" w:fill="CCFFCC"/>
          </w:tcPr>
          <w:p>
            <w:pPr>
              <w:spacing w:after="0"/>
              <w:rPr>
                <w:sz w:val="18"/>
                <w:szCs w:val="18"/>
                <w:color w:val="auto"/>
              </w:rPr>
            </w:pPr>
          </w:p>
        </w:tc>
        <w:tc>
          <w:tcPr>
            <w:tcW w:w="280" w:type="dxa"/>
            <w:vAlign w:val="bottom"/>
            <w:gridSpan w:val="2"/>
            <w:shd w:val="clear" w:color="auto" w:fill="CCFFCC"/>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256</w:t>
            </w:r>
          </w:p>
        </w:tc>
        <w:tc>
          <w:tcPr>
            <w:tcW w:w="140" w:type="dxa"/>
            <w:vAlign w:val="bottom"/>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11,995</w:t>
            </w:r>
          </w:p>
        </w:tc>
      </w:tr>
      <w:tr>
        <w:trPr>
          <w:trHeight w:val="216"/>
        </w:trPr>
        <w:tc>
          <w:tcPr>
            <w:tcW w:w="2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Equity securities</w:t>
            </w:r>
          </w:p>
        </w:tc>
        <w:tc>
          <w:tcPr>
            <w:tcW w:w="1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3,016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346</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3,362</w:t>
            </w:r>
          </w:p>
        </w:tc>
      </w:tr>
      <w:tr>
        <w:trPr>
          <w:trHeight w:val="27"/>
        </w:trPr>
        <w:tc>
          <w:tcPr>
            <w:tcW w:w="20" w:type="dxa"/>
            <w:vAlign w:val="bottom"/>
          </w:tcPr>
          <w:p>
            <w:pPr>
              <w:spacing w:after="0"/>
              <w:rPr>
                <w:sz w:val="2"/>
                <w:szCs w:val="2"/>
                <w:color w:val="auto"/>
              </w:rPr>
            </w:pPr>
          </w:p>
        </w:tc>
        <w:tc>
          <w:tcPr>
            <w:tcW w:w="33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3300" w:type="dxa"/>
            <w:vAlign w:val="bottom"/>
            <w:shd w:val="clear" w:color="auto" w:fill="CCFFCC"/>
          </w:tcPr>
          <w:p>
            <w:pPr>
              <w:spacing w:after="0"/>
              <w:rPr>
                <w:sz w:val="20"/>
                <w:szCs w:val="20"/>
                <w:color w:val="auto"/>
              </w:rPr>
            </w:pPr>
          </w:p>
        </w:tc>
        <w:tc>
          <w:tcPr>
            <w:tcW w:w="1600" w:type="dxa"/>
            <w:vAlign w:val="bottom"/>
            <w:shd w:val="clear" w:color="auto" w:fill="CCFFCC"/>
          </w:tcPr>
          <w:p>
            <w:pPr>
              <w:spacing w:after="0"/>
              <w:rPr>
                <w:sz w:val="20"/>
                <w:szCs w:val="20"/>
                <w:color w:val="auto"/>
              </w:rPr>
            </w:pPr>
          </w:p>
        </w:tc>
        <w:tc>
          <w:tcPr>
            <w:tcW w:w="20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14,757</w:t>
            </w:r>
          </w:p>
        </w:tc>
        <w:tc>
          <w:tcPr>
            <w:tcW w:w="280" w:type="dxa"/>
            <w:vAlign w:val="bottom"/>
            <w:gridSpan w:val="2"/>
            <w:shd w:val="clear" w:color="auto" w:fill="CCFFCC"/>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602</w:t>
            </w:r>
          </w:p>
        </w:tc>
        <w:tc>
          <w:tcPr>
            <w:tcW w:w="140" w:type="dxa"/>
            <w:vAlign w:val="bottom"/>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15,357</w:t>
            </w:r>
          </w:p>
        </w:tc>
      </w:tr>
      <w:tr>
        <w:trPr>
          <w:trHeight w:val="20"/>
        </w:trPr>
        <w:tc>
          <w:tcPr>
            <w:tcW w:w="20" w:type="dxa"/>
            <w:vAlign w:val="bottom"/>
          </w:tcPr>
          <w:p>
            <w:pPr>
              <w:spacing w:after="0" w:line="20" w:lineRule="exact"/>
              <w:rPr>
                <w:sz w:val="1"/>
                <w:szCs w:val="1"/>
                <w:color w:val="auto"/>
              </w:rPr>
            </w:pPr>
          </w:p>
        </w:tc>
        <w:tc>
          <w:tcPr>
            <w:tcW w:w="3300" w:type="dxa"/>
            <w:vAlign w:val="bottom"/>
            <w:tcBorders>
              <w:top w:val="single" w:sz="8" w:color="CCFFCC"/>
            </w:tcBorders>
            <w:shd w:val="clear" w:color="auto" w:fill="CCFFCC"/>
          </w:tcPr>
          <w:p>
            <w:pPr>
              <w:spacing w:after="0" w:line="20" w:lineRule="exact"/>
              <w:rPr>
                <w:sz w:val="1"/>
                <w:szCs w:val="1"/>
                <w:color w:val="auto"/>
              </w:rPr>
            </w:pPr>
          </w:p>
        </w:tc>
        <w:tc>
          <w:tcPr>
            <w:tcW w:w="160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r>
    </w:tbl>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presents the fair value and unrealized losses, aggregated by investment type and length of time that individual securities have been in a continuous unrealized loss position (in thousands):</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80" w:type="dxa"/>
            <w:vAlign w:val="bottom"/>
            <w:gridSpan w:val="5"/>
          </w:tcPr>
          <w:p>
            <w:pPr>
              <w:jc w:val="right"/>
              <w:ind w:right="580"/>
              <w:spacing w:after="0"/>
              <w:rPr>
                <w:sz w:val="20"/>
                <w:szCs w:val="20"/>
                <w:color w:val="auto"/>
              </w:rPr>
            </w:pPr>
            <w:r>
              <w:rPr>
                <w:rFonts w:ascii="Arial" w:cs="Arial" w:eastAsia="Arial" w:hAnsi="Arial"/>
                <w:sz w:val="18"/>
                <w:szCs w:val="18"/>
                <w:color w:val="auto"/>
              </w:rPr>
              <w:t>Less than 12 months</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40" w:type="dxa"/>
            <w:vAlign w:val="bottom"/>
            <w:gridSpan w:val="4"/>
          </w:tcPr>
          <w:p>
            <w:pPr>
              <w:jc w:val="right"/>
              <w:ind w:right="290"/>
              <w:spacing w:after="0"/>
              <w:rPr>
                <w:sz w:val="20"/>
                <w:szCs w:val="20"/>
                <w:color w:val="auto"/>
              </w:rPr>
            </w:pPr>
            <w:r>
              <w:rPr>
                <w:rFonts w:ascii="Arial" w:cs="Arial" w:eastAsia="Arial" w:hAnsi="Arial"/>
                <w:sz w:val="18"/>
                <w:szCs w:val="18"/>
                <w:color w:val="auto"/>
              </w:rPr>
              <w:t>12 Months or more</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gridSpan w:val="4"/>
          </w:tcPr>
          <w:p>
            <w:pPr>
              <w:jc w:val="right"/>
              <w:ind w:right="20"/>
              <w:spacing w:after="0"/>
              <w:rPr>
                <w:sz w:val="20"/>
                <w:szCs w:val="20"/>
                <w:color w:val="auto"/>
              </w:rPr>
            </w:pPr>
            <w:r>
              <w:rPr>
                <w:rFonts w:ascii="Arial" w:cs="Arial" w:eastAsia="Arial" w:hAnsi="Arial"/>
                <w:sz w:val="18"/>
                <w:szCs w:val="18"/>
                <w:color w:val="auto"/>
              </w:rPr>
              <w:t>Total</w:t>
            </w: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ind w:right="310"/>
              <w:spacing w:after="0" w:line="201" w:lineRule="exact"/>
              <w:rPr>
                <w:sz w:val="20"/>
                <w:szCs w:val="20"/>
                <w:color w:val="auto"/>
              </w:rPr>
            </w:pPr>
            <w:r>
              <w:rPr>
                <w:rFonts w:ascii="Arial" w:cs="Arial" w:eastAsia="Arial" w:hAnsi="Arial"/>
                <w:sz w:val="18"/>
                <w:szCs w:val="18"/>
                <w:color w:val="auto"/>
              </w:rPr>
              <w:t>Fair</w:t>
            </w:r>
          </w:p>
        </w:tc>
        <w:tc>
          <w:tcPr>
            <w:tcW w:w="2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ind w:right="50"/>
              <w:spacing w:after="0" w:line="201" w:lineRule="exact"/>
              <w:rPr>
                <w:sz w:val="20"/>
                <w:szCs w:val="20"/>
                <w:color w:val="auto"/>
              </w:rPr>
            </w:pPr>
            <w:r>
              <w:rPr>
                <w:rFonts w:ascii="Arial" w:cs="Arial" w:eastAsia="Arial" w:hAnsi="Arial"/>
                <w:sz w:val="18"/>
                <w:szCs w:val="18"/>
                <w:color w:val="auto"/>
                <w:w w:val="92"/>
              </w:rPr>
              <w:t>Unrealized</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gridSpan w:val="2"/>
          </w:tcPr>
          <w:p>
            <w:pPr>
              <w:jc w:val="right"/>
              <w:ind w:right="480"/>
              <w:spacing w:after="0" w:line="201" w:lineRule="exact"/>
              <w:rPr>
                <w:sz w:val="20"/>
                <w:szCs w:val="20"/>
                <w:color w:val="auto"/>
              </w:rPr>
            </w:pPr>
            <w:r>
              <w:rPr>
                <w:rFonts w:ascii="Arial" w:cs="Arial" w:eastAsia="Arial" w:hAnsi="Arial"/>
                <w:sz w:val="18"/>
                <w:szCs w:val="18"/>
                <w:color w:val="auto"/>
              </w:rPr>
              <w:t>Fair</w:t>
            </w:r>
          </w:p>
        </w:tc>
        <w:tc>
          <w:tcPr>
            <w:tcW w:w="12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Unrealized</w:t>
            </w:r>
          </w:p>
        </w:tc>
        <w:tc>
          <w:tcPr>
            <w:tcW w:w="1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gridSpan w:val="2"/>
          </w:tcPr>
          <w:p>
            <w:pPr>
              <w:jc w:val="right"/>
              <w:ind w:right="480"/>
              <w:spacing w:after="0" w:line="201" w:lineRule="exact"/>
              <w:rPr>
                <w:sz w:val="20"/>
                <w:szCs w:val="20"/>
                <w:color w:val="auto"/>
              </w:rPr>
            </w:pPr>
            <w:r>
              <w:rPr>
                <w:rFonts w:ascii="Arial" w:cs="Arial" w:eastAsia="Arial" w:hAnsi="Arial"/>
                <w:sz w:val="18"/>
                <w:szCs w:val="18"/>
                <w:color w:val="auto"/>
              </w:rPr>
              <w:t>Fair</w:t>
            </w:r>
          </w:p>
        </w:tc>
        <w:tc>
          <w:tcPr>
            <w:tcW w:w="1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ind w:right="50"/>
              <w:spacing w:after="0" w:line="201" w:lineRule="exact"/>
              <w:rPr>
                <w:sz w:val="20"/>
                <w:szCs w:val="20"/>
                <w:color w:val="auto"/>
              </w:rPr>
            </w:pPr>
            <w:r>
              <w:rPr>
                <w:rFonts w:ascii="Arial" w:cs="Arial" w:eastAsia="Arial" w:hAnsi="Arial"/>
                <w:sz w:val="18"/>
                <w:szCs w:val="18"/>
                <w:color w:val="auto"/>
                <w:w w:val="90"/>
              </w:rPr>
              <w:t>Unrealized</w:t>
            </w:r>
          </w:p>
        </w:tc>
        <w:tc>
          <w:tcPr>
            <w:tcW w:w="80" w:type="dxa"/>
            <w:vAlign w:val="bottom"/>
          </w:tcPr>
          <w:p>
            <w:pPr>
              <w:spacing w:after="0"/>
              <w:rPr>
                <w:sz w:val="17"/>
                <w:szCs w:val="17"/>
                <w:color w:val="auto"/>
              </w:rPr>
            </w:pPr>
          </w:p>
        </w:tc>
      </w:tr>
      <w:tr>
        <w:trPr>
          <w:trHeight w:val="237"/>
        </w:trPr>
        <w:tc>
          <w:tcPr>
            <w:tcW w:w="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ind w:right="250"/>
              <w:spacing w:after="0"/>
              <w:rPr>
                <w:sz w:val="20"/>
                <w:szCs w:val="20"/>
                <w:color w:val="auto"/>
              </w:rPr>
            </w:pPr>
            <w:r>
              <w:rPr>
                <w:rFonts w:ascii="Arial" w:cs="Arial" w:eastAsia="Arial" w:hAnsi="Arial"/>
                <w:sz w:val="18"/>
                <w:szCs w:val="18"/>
                <w:color w:val="auto"/>
              </w:rPr>
              <w:t>Value</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right"/>
              <w:ind w:right="440"/>
              <w:spacing w:after="0"/>
              <w:rPr>
                <w:sz w:val="20"/>
                <w:szCs w:val="20"/>
                <w:color w:val="auto"/>
              </w:rPr>
            </w:pPr>
            <w:r>
              <w:rPr>
                <w:rFonts w:ascii="Arial" w:cs="Arial" w:eastAsia="Arial" w:hAnsi="Arial"/>
                <w:sz w:val="18"/>
                <w:szCs w:val="18"/>
                <w:color w:val="auto"/>
              </w:rPr>
              <w:t>Losses</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8"/>
                <w:szCs w:val="18"/>
                <w:color w:val="auto"/>
              </w:rPr>
              <w:t>Value</w:t>
            </w:r>
          </w:p>
        </w:tc>
        <w:tc>
          <w:tcPr>
            <w:tcW w:w="120" w:type="dxa"/>
            <w:vAlign w:val="bottom"/>
          </w:tcPr>
          <w:p>
            <w:pPr>
              <w:spacing w:after="0"/>
              <w:rPr>
                <w:sz w:val="20"/>
                <w:szCs w:val="20"/>
                <w:color w:val="auto"/>
              </w:rPr>
            </w:pP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Losses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8"/>
                <w:szCs w:val="18"/>
                <w:color w:val="auto"/>
              </w:rPr>
              <w:t>Value</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Losses</w:t>
            </w:r>
          </w:p>
        </w:tc>
      </w:tr>
      <w:tr>
        <w:trPr>
          <w:trHeight w:val="196"/>
        </w:trPr>
        <w:tc>
          <w:tcPr>
            <w:tcW w:w="20" w:type="dxa"/>
            <w:vAlign w:val="bottom"/>
          </w:tcPr>
          <w:p>
            <w:pPr>
              <w:spacing w:after="0"/>
              <w:rPr>
                <w:sz w:val="17"/>
                <w:szCs w:val="17"/>
                <w:color w:val="auto"/>
              </w:rPr>
            </w:pPr>
          </w:p>
        </w:tc>
        <w:tc>
          <w:tcPr>
            <w:tcW w:w="940" w:type="dxa"/>
            <w:vAlign w:val="bottom"/>
            <w:tcBorders>
              <w:bottom w:val="single" w:sz="8" w:color="CCFFCC"/>
            </w:tcBorders>
            <w:shd w:val="clear" w:color="auto" w:fill="CCFFCC"/>
          </w:tcPr>
          <w:p>
            <w:pPr>
              <w:spacing w:after="0"/>
              <w:rPr>
                <w:sz w:val="17"/>
                <w:szCs w:val="17"/>
                <w:color w:val="auto"/>
              </w:rPr>
            </w:pPr>
          </w:p>
        </w:tc>
        <w:tc>
          <w:tcPr>
            <w:tcW w:w="40" w:type="dxa"/>
            <w:vAlign w:val="bottom"/>
            <w:tcBorders>
              <w:bottom w:val="single" w:sz="8" w:color="CCFFCC"/>
            </w:tcBorders>
            <w:shd w:val="clear" w:color="auto" w:fill="CCFFCC"/>
          </w:tcPr>
          <w:p>
            <w:pPr>
              <w:spacing w:after="0"/>
              <w:rPr>
                <w:sz w:val="17"/>
                <w:szCs w:val="17"/>
                <w:color w:val="auto"/>
              </w:rPr>
            </w:pPr>
          </w:p>
        </w:tc>
        <w:tc>
          <w:tcPr>
            <w:tcW w:w="980" w:type="dxa"/>
            <w:vAlign w:val="bottom"/>
            <w:tcBorders>
              <w:bottom w:val="single" w:sz="8" w:color="auto"/>
            </w:tcBorders>
            <w:shd w:val="clear" w:color="auto" w:fill="CCFFCC"/>
          </w:tcPr>
          <w:p>
            <w:pPr>
              <w:jc w:val="center"/>
              <w:spacing w:after="0" w:line="176" w:lineRule="exact"/>
              <w:rPr>
                <w:sz w:val="20"/>
                <w:szCs w:val="20"/>
                <w:color w:val="auto"/>
              </w:rPr>
            </w:pPr>
            <w:r>
              <w:rPr>
                <w:rFonts w:ascii="Arial" w:cs="Arial" w:eastAsia="Arial" w:hAnsi="Arial"/>
                <w:sz w:val="18"/>
                <w:szCs w:val="18"/>
                <w:color w:val="auto"/>
                <w:w w:val="91"/>
              </w:rPr>
              <w:t>July 31, 2011</w:t>
            </w:r>
          </w:p>
        </w:tc>
        <w:tc>
          <w:tcPr>
            <w:tcW w:w="1100" w:type="dxa"/>
            <w:vAlign w:val="bottom"/>
            <w:tcBorders>
              <w:bottom w:val="single" w:sz="8" w:color="CCFFCC"/>
            </w:tcBorders>
            <w:gridSpan w:val="2"/>
            <w:shd w:val="clear" w:color="auto" w:fill="CCFFCC"/>
          </w:tcPr>
          <w:p>
            <w:pPr>
              <w:spacing w:after="0"/>
              <w:rPr>
                <w:sz w:val="17"/>
                <w:szCs w:val="17"/>
                <w:color w:val="auto"/>
              </w:rPr>
            </w:pPr>
          </w:p>
        </w:tc>
        <w:tc>
          <w:tcPr>
            <w:tcW w:w="220" w:type="dxa"/>
            <w:vAlign w:val="bottom"/>
            <w:tcBorders>
              <w:top w:val="single" w:sz="8" w:color="auto"/>
              <w:bottom w:val="single" w:sz="8" w:color="CCFFCC"/>
            </w:tcBorders>
            <w:shd w:val="clear" w:color="auto" w:fill="CCFFCC"/>
          </w:tcPr>
          <w:p>
            <w:pPr>
              <w:spacing w:after="0"/>
              <w:rPr>
                <w:sz w:val="17"/>
                <w:szCs w:val="17"/>
                <w:color w:val="auto"/>
              </w:rPr>
            </w:pPr>
          </w:p>
        </w:tc>
        <w:tc>
          <w:tcPr>
            <w:tcW w:w="860" w:type="dxa"/>
            <w:vAlign w:val="bottom"/>
            <w:tcBorders>
              <w:top w:val="single" w:sz="8" w:color="auto"/>
              <w:bottom w:val="single" w:sz="8" w:color="CCFFCC"/>
            </w:tcBorders>
            <w:shd w:val="clear" w:color="auto" w:fill="CCFFCC"/>
          </w:tcPr>
          <w:p>
            <w:pPr>
              <w:spacing w:after="0"/>
              <w:rPr>
                <w:sz w:val="17"/>
                <w:szCs w:val="17"/>
                <w:color w:val="auto"/>
              </w:rPr>
            </w:pPr>
          </w:p>
        </w:tc>
        <w:tc>
          <w:tcPr>
            <w:tcW w:w="220" w:type="dxa"/>
            <w:vAlign w:val="bottom"/>
            <w:tcBorders>
              <w:bottom w:val="single" w:sz="8" w:color="CCFFCC"/>
            </w:tcBorders>
            <w:shd w:val="clear" w:color="auto" w:fill="CCFFCC"/>
          </w:tcPr>
          <w:p>
            <w:pPr>
              <w:spacing w:after="0"/>
              <w:rPr>
                <w:sz w:val="17"/>
                <w:szCs w:val="17"/>
                <w:color w:val="auto"/>
              </w:rPr>
            </w:pPr>
          </w:p>
        </w:tc>
        <w:tc>
          <w:tcPr>
            <w:tcW w:w="100" w:type="dxa"/>
            <w:vAlign w:val="bottom"/>
            <w:tcBorders>
              <w:top w:val="single" w:sz="8" w:color="auto"/>
              <w:bottom w:val="single" w:sz="8" w:color="CCFFCC"/>
            </w:tcBorders>
            <w:shd w:val="clear" w:color="auto" w:fill="CCFFCC"/>
          </w:tcPr>
          <w:p>
            <w:pPr>
              <w:spacing w:after="0"/>
              <w:rPr>
                <w:sz w:val="17"/>
                <w:szCs w:val="17"/>
                <w:color w:val="auto"/>
              </w:rPr>
            </w:pPr>
          </w:p>
        </w:tc>
        <w:tc>
          <w:tcPr>
            <w:tcW w:w="960" w:type="dxa"/>
            <w:vAlign w:val="bottom"/>
            <w:tcBorders>
              <w:top w:val="single" w:sz="8" w:color="auto"/>
              <w:bottom w:val="single" w:sz="8" w:color="CCFFCC"/>
            </w:tcBorders>
            <w:shd w:val="clear" w:color="auto" w:fill="CCFFCC"/>
          </w:tcPr>
          <w:p>
            <w:pPr>
              <w:spacing w:after="0"/>
              <w:rPr>
                <w:sz w:val="17"/>
                <w:szCs w:val="17"/>
                <w:color w:val="auto"/>
              </w:rPr>
            </w:pPr>
          </w:p>
        </w:tc>
        <w:tc>
          <w:tcPr>
            <w:tcW w:w="140" w:type="dxa"/>
            <w:vAlign w:val="bottom"/>
            <w:tcBorders>
              <w:bottom w:val="single" w:sz="8" w:color="CCFFCC"/>
            </w:tcBorders>
            <w:shd w:val="clear" w:color="auto" w:fill="CCFFCC"/>
          </w:tcPr>
          <w:p>
            <w:pPr>
              <w:spacing w:after="0"/>
              <w:rPr>
                <w:sz w:val="17"/>
                <w:szCs w:val="17"/>
                <w:color w:val="auto"/>
              </w:rPr>
            </w:pPr>
          </w:p>
        </w:tc>
        <w:tc>
          <w:tcPr>
            <w:tcW w:w="80" w:type="dxa"/>
            <w:vAlign w:val="bottom"/>
            <w:tcBorders>
              <w:bottom w:val="single" w:sz="8" w:color="CCFFCC"/>
            </w:tcBorders>
            <w:shd w:val="clear" w:color="auto" w:fill="CCFFCC"/>
          </w:tcPr>
          <w:p>
            <w:pPr>
              <w:spacing w:after="0"/>
              <w:rPr>
                <w:sz w:val="17"/>
                <w:szCs w:val="17"/>
                <w:color w:val="auto"/>
              </w:rPr>
            </w:pPr>
          </w:p>
        </w:tc>
        <w:tc>
          <w:tcPr>
            <w:tcW w:w="200" w:type="dxa"/>
            <w:vAlign w:val="bottom"/>
            <w:tcBorders>
              <w:top w:val="single" w:sz="8" w:color="auto"/>
              <w:bottom w:val="single" w:sz="8" w:color="CCFFCC"/>
            </w:tcBorders>
            <w:shd w:val="clear" w:color="auto" w:fill="CCFFCC"/>
          </w:tcPr>
          <w:p>
            <w:pPr>
              <w:spacing w:after="0"/>
              <w:rPr>
                <w:sz w:val="17"/>
                <w:szCs w:val="17"/>
                <w:color w:val="auto"/>
              </w:rPr>
            </w:pPr>
          </w:p>
        </w:tc>
        <w:tc>
          <w:tcPr>
            <w:tcW w:w="860" w:type="dxa"/>
            <w:vAlign w:val="bottom"/>
            <w:tcBorders>
              <w:top w:val="single" w:sz="8" w:color="auto"/>
              <w:bottom w:val="single" w:sz="8" w:color="CCFFCC"/>
            </w:tcBorders>
            <w:shd w:val="clear" w:color="auto" w:fill="CCFFCC"/>
          </w:tcPr>
          <w:p>
            <w:pPr>
              <w:spacing w:after="0"/>
              <w:rPr>
                <w:sz w:val="17"/>
                <w:szCs w:val="17"/>
                <w:color w:val="auto"/>
              </w:rPr>
            </w:pPr>
          </w:p>
        </w:tc>
        <w:tc>
          <w:tcPr>
            <w:tcW w:w="100" w:type="dxa"/>
            <w:vAlign w:val="bottom"/>
            <w:tcBorders>
              <w:bottom w:val="single" w:sz="8" w:color="CCFFCC"/>
            </w:tcBorders>
            <w:shd w:val="clear" w:color="auto" w:fill="CCFFCC"/>
          </w:tcPr>
          <w:p>
            <w:pPr>
              <w:spacing w:after="0"/>
              <w:rPr>
                <w:sz w:val="17"/>
                <w:szCs w:val="17"/>
                <w:color w:val="auto"/>
              </w:rPr>
            </w:pPr>
          </w:p>
        </w:tc>
        <w:tc>
          <w:tcPr>
            <w:tcW w:w="120" w:type="dxa"/>
            <w:vAlign w:val="bottom"/>
            <w:tcBorders>
              <w:bottom w:val="single" w:sz="8" w:color="CCFFCC"/>
            </w:tcBorders>
            <w:shd w:val="clear" w:color="auto" w:fill="CCFFCC"/>
          </w:tcPr>
          <w:p>
            <w:pPr>
              <w:spacing w:after="0"/>
              <w:rPr>
                <w:sz w:val="17"/>
                <w:szCs w:val="17"/>
                <w:color w:val="auto"/>
              </w:rPr>
            </w:pPr>
          </w:p>
        </w:tc>
        <w:tc>
          <w:tcPr>
            <w:tcW w:w="960" w:type="dxa"/>
            <w:vAlign w:val="bottom"/>
            <w:tcBorders>
              <w:top w:val="single" w:sz="8" w:color="auto"/>
              <w:bottom w:val="single" w:sz="8" w:color="CCFFCC"/>
            </w:tcBorders>
            <w:shd w:val="clear" w:color="auto" w:fill="CCFFCC"/>
          </w:tcPr>
          <w:p>
            <w:pPr>
              <w:spacing w:after="0"/>
              <w:rPr>
                <w:sz w:val="17"/>
                <w:szCs w:val="17"/>
                <w:color w:val="auto"/>
              </w:rPr>
            </w:pPr>
          </w:p>
        </w:tc>
        <w:tc>
          <w:tcPr>
            <w:tcW w:w="100" w:type="dxa"/>
            <w:vAlign w:val="bottom"/>
            <w:tcBorders>
              <w:top w:val="single" w:sz="8" w:color="auto"/>
              <w:bottom w:val="single" w:sz="8" w:color="CCFFCC"/>
            </w:tcBorders>
            <w:shd w:val="clear" w:color="auto" w:fill="CCFFCC"/>
          </w:tcPr>
          <w:p>
            <w:pPr>
              <w:spacing w:after="0"/>
              <w:rPr>
                <w:sz w:val="17"/>
                <w:szCs w:val="17"/>
                <w:color w:val="auto"/>
              </w:rPr>
            </w:pPr>
          </w:p>
        </w:tc>
        <w:tc>
          <w:tcPr>
            <w:tcW w:w="120" w:type="dxa"/>
            <w:vAlign w:val="bottom"/>
            <w:tcBorders>
              <w:bottom w:val="single" w:sz="8" w:color="CCFFCC"/>
            </w:tcBorders>
            <w:shd w:val="clear" w:color="auto" w:fill="CCFFCC"/>
          </w:tcPr>
          <w:p>
            <w:pPr>
              <w:spacing w:after="0"/>
              <w:rPr>
                <w:sz w:val="17"/>
                <w:szCs w:val="17"/>
                <w:color w:val="auto"/>
              </w:rPr>
            </w:pPr>
          </w:p>
        </w:tc>
        <w:tc>
          <w:tcPr>
            <w:tcW w:w="100" w:type="dxa"/>
            <w:vAlign w:val="bottom"/>
            <w:tcBorders>
              <w:bottom w:val="single" w:sz="8" w:color="CCFFCC"/>
            </w:tcBorders>
            <w:shd w:val="clear" w:color="auto" w:fill="CCFFCC"/>
          </w:tcPr>
          <w:p>
            <w:pPr>
              <w:spacing w:after="0"/>
              <w:rPr>
                <w:sz w:val="17"/>
                <w:szCs w:val="17"/>
                <w:color w:val="auto"/>
              </w:rPr>
            </w:pPr>
          </w:p>
        </w:tc>
        <w:tc>
          <w:tcPr>
            <w:tcW w:w="200" w:type="dxa"/>
            <w:vAlign w:val="bottom"/>
            <w:tcBorders>
              <w:top w:val="single" w:sz="8" w:color="auto"/>
              <w:bottom w:val="single" w:sz="8" w:color="CCFFCC"/>
            </w:tcBorders>
            <w:shd w:val="clear" w:color="auto" w:fill="CCFFCC"/>
          </w:tcPr>
          <w:p>
            <w:pPr>
              <w:spacing w:after="0"/>
              <w:rPr>
                <w:sz w:val="17"/>
                <w:szCs w:val="17"/>
                <w:color w:val="auto"/>
              </w:rPr>
            </w:pPr>
          </w:p>
        </w:tc>
        <w:tc>
          <w:tcPr>
            <w:tcW w:w="860" w:type="dxa"/>
            <w:vAlign w:val="bottom"/>
            <w:tcBorders>
              <w:top w:val="single" w:sz="8" w:color="auto"/>
              <w:bottom w:val="single" w:sz="8" w:color="CCFFCC"/>
            </w:tcBorders>
            <w:shd w:val="clear" w:color="auto" w:fill="CCFFCC"/>
          </w:tcPr>
          <w:p>
            <w:pPr>
              <w:spacing w:after="0"/>
              <w:rPr>
                <w:sz w:val="17"/>
                <w:szCs w:val="17"/>
                <w:color w:val="auto"/>
              </w:rPr>
            </w:pPr>
          </w:p>
        </w:tc>
        <w:tc>
          <w:tcPr>
            <w:tcW w:w="100" w:type="dxa"/>
            <w:vAlign w:val="bottom"/>
            <w:tcBorders>
              <w:bottom w:val="single" w:sz="8" w:color="CCFFCC"/>
            </w:tcBorders>
            <w:shd w:val="clear" w:color="auto" w:fill="CCFFCC"/>
          </w:tcPr>
          <w:p>
            <w:pPr>
              <w:spacing w:after="0"/>
              <w:rPr>
                <w:sz w:val="17"/>
                <w:szCs w:val="17"/>
                <w:color w:val="auto"/>
              </w:rPr>
            </w:pPr>
          </w:p>
        </w:tc>
        <w:tc>
          <w:tcPr>
            <w:tcW w:w="100" w:type="dxa"/>
            <w:vAlign w:val="bottom"/>
            <w:tcBorders>
              <w:bottom w:val="single" w:sz="8" w:color="CCFFCC"/>
            </w:tcBorders>
            <w:shd w:val="clear" w:color="auto" w:fill="CCFFCC"/>
          </w:tcPr>
          <w:p>
            <w:pPr>
              <w:spacing w:after="0"/>
              <w:rPr>
                <w:sz w:val="17"/>
                <w:szCs w:val="17"/>
                <w:color w:val="auto"/>
              </w:rPr>
            </w:pPr>
          </w:p>
        </w:tc>
        <w:tc>
          <w:tcPr>
            <w:tcW w:w="100" w:type="dxa"/>
            <w:vAlign w:val="bottom"/>
            <w:tcBorders>
              <w:top w:val="single" w:sz="8" w:color="auto"/>
              <w:bottom w:val="single" w:sz="8" w:color="CCFFCC"/>
            </w:tcBorders>
            <w:shd w:val="clear" w:color="auto" w:fill="CCFFCC"/>
          </w:tcPr>
          <w:p>
            <w:pPr>
              <w:spacing w:after="0"/>
              <w:rPr>
                <w:sz w:val="17"/>
                <w:szCs w:val="17"/>
                <w:color w:val="auto"/>
              </w:rPr>
            </w:pPr>
          </w:p>
        </w:tc>
        <w:tc>
          <w:tcPr>
            <w:tcW w:w="940" w:type="dxa"/>
            <w:vAlign w:val="bottom"/>
            <w:tcBorders>
              <w:top w:val="single" w:sz="8" w:color="auto"/>
              <w:bottom w:val="single" w:sz="8" w:color="CCFFCC"/>
            </w:tcBorders>
            <w:shd w:val="clear" w:color="auto" w:fill="CCFFCC"/>
          </w:tcPr>
          <w:p>
            <w:pPr>
              <w:spacing w:after="0"/>
              <w:rPr>
                <w:sz w:val="17"/>
                <w:szCs w:val="17"/>
                <w:color w:val="auto"/>
              </w:rPr>
            </w:pPr>
          </w:p>
        </w:tc>
        <w:tc>
          <w:tcPr>
            <w:tcW w:w="80" w:type="dxa"/>
            <w:vAlign w:val="bottom"/>
            <w:tcBorders>
              <w:bottom w:val="single" w:sz="8" w:color="CCFFCC"/>
            </w:tcBorders>
            <w:shd w:val="clear" w:color="auto" w:fill="CCFFCC"/>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3060" w:type="dxa"/>
            <w:vAlign w:val="bottom"/>
            <w:gridSpan w:val="5"/>
          </w:tcPr>
          <w:p>
            <w:pPr>
              <w:spacing w:after="0"/>
              <w:rPr>
                <w:sz w:val="20"/>
                <w:szCs w:val="20"/>
                <w:color w:val="auto"/>
              </w:rPr>
            </w:pPr>
            <w:r>
              <w:rPr>
                <w:rFonts w:ascii="Arial" w:cs="Arial" w:eastAsia="Arial" w:hAnsi="Arial"/>
                <w:sz w:val="18"/>
                <w:szCs w:val="18"/>
                <w:color w:val="auto"/>
              </w:rPr>
              <w:t>Fixed Income Securities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3,200</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(11)</w:t>
            </w: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79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3,200</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r>
      <w:tr>
        <w:trPr>
          <w:trHeight w:val="216"/>
        </w:trPr>
        <w:tc>
          <w:tcPr>
            <w:tcW w:w="20" w:type="dxa"/>
            <w:vAlign w:val="bottom"/>
          </w:tcPr>
          <w:p>
            <w:pPr>
              <w:spacing w:after="0"/>
              <w:rPr>
                <w:sz w:val="18"/>
                <w:szCs w:val="18"/>
                <w:color w:val="auto"/>
              </w:rPr>
            </w:pPr>
          </w:p>
        </w:tc>
        <w:tc>
          <w:tcPr>
            <w:tcW w:w="3060" w:type="dxa"/>
            <w:vAlign w:val="bottom"/>
            <w:gridSpan w:val="5"/>
            <w:shd w:val="clear" w:color="auto" w:fill="CCFFCC"/>
          </w:tcPr>
          <w:p>
            <w:pPr>
              <w:spacing w:after="0"/>
              <w:rPr>
                <w:sz w:val="20"/>
                <w:szCs w:val="20"/>
                <w:color w:val="auto"/>
              </w:rPr>
            </w:pPr>
            <w:r>
              <w:rPr>
                <w:rFonts w:ascii="Arial" w:cs="Arial" w:eastAsia="Arial" w:hAnsi="Arial"/>
                <w:sz w:val="18"/>
                <w:szCs w:val="18"/>
                <w:color w:val="auto"/>
              </w:rPr>
              <w:t>Equity Securities</w:t>
            </w:r>
          </w:p>
        </w:tc>
        <w:tc>
          <w:tcPr>
            <w:tcW w:w="220" w:type="dxa"/>
            <w:vAlign w:val="bottom"/>
            <w:shd w:val="clear" w:color="auto" w:fill="CCFFCC"/>
          </w:tcPr>
          <w:p>
            <w:pPr>
              <w:spacing w:after="0"/>
              <w:rPr>
                <w:sz w:val="18"/>
                <w:szCs w:val="18"/>
                <w:color w:val="auto"/>
              </w:rPr>
            </w:pPr>
          </w:p>
        </w:tc>
        <w:tc>
          <w:tcPr>
            <w:tcW w:w="8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531</w:t>
            </w:r>
          </w:p>
        </w:tc>
        <w:tc>
          <w:tcPr>
            <w:tcW w:w="2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1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(9)</w:t>
            </w:r>
          </w:p>
        </w:tc>
        <w:tc>
          <w:tcPr>
            <w:tcW w:w="8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9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FFCC"/>
          </w:tcPr>
          <w:p>
            <w:pPr>
              <w:spacing w:after="0"/>
              <w:rPr>
                <w:sz w:val="18"/>
                <w:szCs w:val="18"/>
                <w:color w:val="auto"/>
              </w:rPr>
            </w:pPr>
          </w:p>
        </w:tc>
        <w:tc>
          <w:tcPr>
            <w:tcW w:w="960" w:type="dxa"/>
            <w:vAlign w:val="bottom"/>
            <w:shd w:val="clear" w:color="auto" w:fill="CCFFCC"/>
          </w:tcPr>
          <w:p>
            <w:pPr>
              <w:spacing w:after="0"/>
              <w:rPr>
                <w:sz w:val="18"/>
                <w:szCs w:val="18"/>
                <w:color w:val="auto"/>
              </w:rPr>
            </w:pPr>
          </w:p>
        </w:tc>
        <w:tc>
          <w:tcPr>
            <w:tcW w:w="2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9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531</w:t>
            </w: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2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(9)</w:t>
            </w:r>
          </w:p>
        </w:tc>
      </w:tr>
      <w:tr>
        <w:trPr>
          <w:trHeight w:val="27"/>
        </w:trPr>
        <w:tc>
          <w:tcPr>
            <w:tcW w:w="20" w:type="dxa"/>
            <w:vAlign w:val="bottom"/>
          </w:tcPr>
          <w:p>
            <w:pPr>
              <w:spacing w:after="0"/>
              <w:rPr>
                <w:sz w:val="2"/>
                <w:szCs w:val="2"/>
                <w:color w:val="auto"/>
              </w:rPr>
            </w:pPr>
          </w:p>
        </w:tc>
        <w:tc>
          <w:tcPr>
            <w:tcW w:w="940" w:type="dxa"/>
            <w:vAlign w:val="bottom"/>
            <w:shd w:val="clear" w:color="auto" w:fill="CCFFCC"/>
          </w:tcPr>
          <w:p>
            <w:pPr>
              <w:spacing w:after="0"/>
              <w:rPr>
                <w:sz w:val="2"/>
                <w:szCs w:val="2"/>
                <w:color w:val="auto"/>
              </w:rPr>
            </w:pPr>
          </w:p>
        </w:tc>
        <w:tc>
          <w:tcPr>
            <w:tcW w:w="40" w:type="dxa"/>
            <w:vAlign w:val="bottom"/>
            <w:shd w:val="clear" w:color="auto" w:fill="CCFFCC"/>
          </w:tcPr>
          <w:p>
            <w:pPr>
              <w:spacing w:after="0"/>
              <w:rPr>
                <w:sz w:val="2"/>
                <w:szCs w:val="2"/>
                <w:color w:val="auto"/>
              </w:rPr>
            </w:pPr>
          </w:p>
        </w:tc>
        <w:tc>
          <w:tcPr>
            <w:tcW w:w="980" w:type="dxa"/>
            <w:vAlign w:val="bottom"/>
            <w:shd w:val="clear" w:color="auto" w:fill="CCFFCC"/>
          </w:tcPr>
          <w:p>
            <w:pPr>
              <w:spacing w:after="0"/>
              <w:rPr>
                <w:sz w:val="2"/>
                <w:szCs w:val="2"/>
                <w:color w:val="auto"/>
              </w:rPr>
            </w:pPr>
          </w:p>
        </w:tc>
        <w:tc>
          <w:tcPr>
            <w:tcW w:w="40" w:type="dxa"/>
            <w:vAlign w:val="bottom"/>
            <w:shd w:val="clear" w:color="auto" w:fill="CCFFCC"/>
          </w:tcPr>
          <w:p>
            <w:pPr>
              <w:spacing w:after="0"/>
              <w:rPr>
                <w:sz w:val="2"/>
                <w:szCs w:val="2"/>
                <w:color w:val="auto"/>
              </w:rPr>
            </w:pPr>
          </w:p>
        </w:tc>
        <w:tc>
          <w:tcPr>
            <w:tcW w:w="1060" w:type="dxa"/>
            <w:vAlign w:val="bottom"/>
            <w:shd w:val="clear" w:color="auto" w:fill="CCFFCC"/>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shd w:val="clear" w:color="auto" w:fill="CCFFCC"/>
          </w:tcPr>
          <w:p>
            <w:pPr>
              <w:spacing w:after="0"/>
              <w:rPr>
                <w:sz w:val="2"/>
                <w:szCs w:val="2"/>
                <w:color w:val="auto"/>
              </w:rPr>
            </w:pPr>
          </w:p>
        </w:tc>
        <w:tc>
          <w:tcPr>
            <w:tcW w:w="80" w:type="dxa"/>
            <w:vAlign w:val="bottom"/>
            <w:shd w:val="clear" w:color="auto" w:fill="CCFFCC"/>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120" w:type="dxa"/>
            <w:vAlign w:val="bottom"/>
            <w:shd w:val="clear" w:color="auto" w:fill="CCFFCC"/>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80" w:type="dxa"/>
            <w:vAlign w:val="bottom"/>
            <w:shd w:val="clear" w:color="auto" w:fill="CCFFCC"/>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3,731</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(20)</w:t>
            </w: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79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3,731</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(20)</w:t>
            </w:r>
          </w:p>
        </w:tc>
      </w:tr>
      <w:tr>
        <w:trPr>
          <w:trHeight w:val="21"/>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940" w:type="dxa"/>
            <w:vAlign w:val="bottom"/>
            <w:tcBorders>
              <w:bottom w:val="single" w:sz="8" w:color="CCFFCC"/>
            </w:tcBorders>
            <w:shd w:val="clear" w:color="auto" w:fill="CCFFCC"/>
          </w:tcPr>
          <w:p>
            <w:pPr>
              <w:spacing w:after="0"/>
              <w:rPr>
                <w:sz w:val="16"/>
                <w:szCs w:val="16"/>
                <w:color w:val="auto"/>
              </w:rPr>
            </w:pPr>
          </w:p>
        </w:tc>
        <w:tc>
          <w:tcPr>
            <w:tcW w:w="1060" w:type="dxa"/>
            <w:vAlign w:val="bottom"/>
            <w:tcBorders>
              <w:bottom w:val="single" w:sz="8" w:color="auto"/>
            </w:tcBorders>
            <w:gridSpan w:val="3"/>
            <w:shd w:val="clear" w:color="auto" w:fill="CCFFCC"/>
          </w:tcPr>
          <w:p>
            <w:pPr>
              <w:jc w:val="center"/>
              <w:spacing w:after="0" w:line="170" w:lineRule="exact"/>
              <w:rPr>
                <w:sz w:val="20"/>
                <w:szCs w:val="20"/>
                <w:color w:val="auto"/>
              </w:rPr>
            </w:pPr>
            <w:r>
              <w:rPr>
                <w:rFonts w:ascii="Arial" w:cs="Arial" w:eastAsia="Arial" w:hAnsi="Arial"/>
                <w:sz w:val="18"/>
                <w:szCs w:val="18"/>
                <w:color w:val="auto"/>
                <w:w w:val="95"/>
              </w:rPr>
              <w:t>April 30, 2011</w:t>
            </w:r>
          </w:p>
        </w:tc>
        <w:tc>
          <w:tcPr>
            <w:tcW w:w="1060" w:type="dxa"/>
            <w:vAlign w:val="bottom"/>
            <w:tcBorders>
              <w:bottom w:val="single" w:sz="8" w:color="CCFFCC"/>
            </w:tcBorders>
            <w:shd w:val="clear" w:color="auto" w:fill="CCFFCC"/>
          </w:tcPr>
          <w:p>
            <w:pPr>
              <w:spacing w:after="0"/>
              <w:rPr>
                <w:sz w:val="16"/>
                <w:szCs w:val="16"/>
                <w:color w:val="auto"/>
              </w:rPr>
            </w:pPr>
          </w:p>
        </w:tc>
        <w:tc>
          <w:tcPr>
            <w:tcW w:w="220" w:type="dxa"/>
            <w:vAlign w:val="bottom"/>
            <w:tcBorders>
              <w:bottom w:val="single" w:sz="8" w:color="CCFFCC"/>
            </w:tcBorders>
            <w:shd w:val="clear" w:color="auto" w:fill="CCFFCC"/>
          </w:tcPr>
          <w:p>
            <w:pPr>
              <w:spacing w:after="0"/>
              <w:rPr>
                <w:sz w:val="16"/>
                <w:szCs w:val="16"/>
                <w:color w:val="auto"/>
              </w:rPr>
            </w:pPr>
          </w:p>
        </w:tc>
        <w:tc>
          <w:tcPr>
            <w:tcW w:w="860" w:type="dxa"/>
            <w:vAlign w:val="bottom"/>
            <w:tcBorders>
              <w:bottom w:val="single" w:sz="8" w:color="CCFFCC"/>
            </w:tcBorders>
            <w:shd w:val="clear" w:color="auto" w:fill="CCFFCC"/>
          </w:tcPr>
          <w:p>
            <w:pPr>
              <w:spacing w:after="0"/>
              <w:rPr>
                <w:sz w:val="16"/>
                <w:szCs w:val="16"/>
                <w:color w:val="auto"/>
              </w:rPr>
            </w:pPr>
          </w:p>
        </w:tc>
        <w:tc>
          <w:tcPr>
            <w:tcW w:w="220" w:type="dxa"/>
            <w:vAlign w:val="bottom"/>
            <w:tcBorders>
              <w:bottom w:val="single" w:sz="8" w:color="CCFFCC"/>
            </w:tcBorders>
            <w:shd w:val="clear" w:color="auto" w:fill="CCFFCC"/>
          </w:tcPr>
          <w:p>
            <w:pPr>
              <w:spacing w:after="0"/>
              <w:rPr>
                <w:sz w:val="16"/>
                <w:szCs w:val="16"/>
                <w:color w:val="auto"/>
              </w:rPr>
            </w:pPr>
          </w:p>
        </w:tc>
        <w:tc>
          <w:tcPr>
            <w:tcW w:w="100" w:type="dxa"/>
            <w:vAlign w:val="bottom"/>
            <w:tcBorders>
              <w:bottom w:val="single" w:sz="8" w:color="CCFFCC"/>
            </w:tcBorders>
            <w:shd w:val="clear" w:color="auto" w:fill="CCFFCC"/>
          </w:tcPr>
          <w:p>
            <w:pPr>
              <w:spacing w:after="0"/>
              <w:rPr>
                <w:sz w:val="16"/>
                <w:szCs w:val="16"/>
                <w:color w:val="auto"/>
              </w:rPr>
            </w:pPr>
          </w:p>
        </w:tc>
        <w:tc>
          <w:tcPr>
            <w:tcW w:w="960" w:type="dxa"/>
            <w:vAlign w:val="bottom"/>
            <w:tcBorders>
              <w:bottom w:val="single" w:sz="8" w:color="CCFFCC"/>
            </w:tcBorders>
            <w:shd w:val="clear" w:color="auto" w:fill="CCFFCC"/>
          </w:tcPr>
          <w:p>
            <w:pPr>
              <w:spacing w:after="0"/>
              <w:rPr>
                <w:sz w:val="16"/>
                <w:szCs w:val="16"/>
                <w:color w:val="auto"/>
              </w:rPr>
            </w:pPr>
          </w:p>
        </w:tc>
        <w:tc>
          <w:tcPr>
            <w:tcW w:w="140" w:type="dxa"/>
            <w:vAlign w:val="bottom"/>
            <w:tcBorders>
              <w:bottom w:val="single" w:sz="8" w:color="CCFFCC"/>
            </w:tcBorders>
            <w:shd w:val="clear" w:color="auto" w:fill="CCFFCC"/>
          </w:tcPr>
          <w:p>
            <w:pPr>
              <w:spacing w:after="0"/>
              <w:rPr>
                <w:sz w:val="16"/>
                <w:szCs w:val="16"/>
                <w:color w:val="auto"/>
              </w:rPr>
            </w:pPr>
          </w:p>
        </w:tc>
        <w:tc>
          <w:tcPr>
            <w:tcW w:w="80" w:type="dxa"/>
            <w:vAlign w:val="bottom"/>
            <w:tcBorders>
              <w:bottom w:val="single" w:sz="8" w:color="CCFFCC"/>
            </w:tcBorders>
            <w:shd w:val="clear" w:color="auto" w:fill="CCFFCC"/>
          </w:tcPr>
          <w:p>
            <w:pPr>
              <w:spacing w:after="0"/>
              <w:rPr>
                <w:sz w:val="16"/>
                <w:szCs w:val="16"/>
                <w:color w:val="auto"/>
              </w:rPr>
            </w:pPr>
          </w:p>
        </w:tc>
        <w:tc>
          <w:tcPr>
            <w:tcW w:w="200" w:type="dxa"/>
            <w:vAlign w:val="bottom"/>
            <w:tcBorders>
              <w:bottom w:val="single" w:sz="8" w:color="CCFFCC"/>
            </w:tcBorders>
            <w:shd w:val="clear" w:color="auto" w:fill="CCFFCC"/>
          </w:tcPr>
          <w:p>
            <w:pPr>
              <w:spacing w:after="0"/>
              <w:rPr>
                <w:sz w:val="16"/>
                <w:szCs w:val="16"/>
                <w:color w:val="auto"/>
              </w:rPr>
            </w:pPr>
          </w:p>
        </w:tc>
        <w:tc>
          <w:tcPr>
            <w:tcW w:w="860" w:type="dxa"/>
            <w:vAlign w:val="bottom"/>
            <w:tcBorders>
              <w:bottom w:val="single" w:sz="8" w:color="CCFFCC"/>
            </w:tcBorders>
            <w:shd w:val="clear" w:color="auto" w:fill="CCFFCC"/>
          </w:tcPr>
          <w:p>
            <w:pPr>
              <w:spacing w:after="0"/>
              <w:rPr>
                <w:sz w:val="16"/>
                <w:szCs w:val="16"/>
                <w:color w:val="auto"/>
              </w:rPr>
            </w:pPr>
          </w:p>
        </w:tc>
        <w:tc>
          <w:tcPr>
            <w:tcW w:w="100" w:type="dxa"/>
            <w:vAlign w:val="bottom"/>
            <w:tcBorders>
              <w:bottom w:val="single" w:sz="8" w:color="CCFFCC"/>
            </w:tcBorders>
            <w:shd w:val="clear" w:color="auto" w:fill="CCFFCC"/>
          </w:tcPr>
          <w:p>
            <w:pPr>
              <w:spacing w:after="0"/>
              <w:rPr>
                <w:sz w:val="16"/>
                <w:szCs w:val="16"/>
                <w:color w:val="auto"/>
              </w:rPr>
            </w:pPr>
          </w:p>
        </w:tc>
        <w:tc>
          <w:tcPr>
            <w:tcW w:w="120" w:type="dxa"/>
            <w:vAlign w:val="bottom"/>
            <w:tcBorders>
              <w:bottom w:val="single" w:sz="8" w:color="CCFFCC"/>
            </w:tcBorders>
            <w:shd w:val="clear" w:color="auto" w:fill="CCFFCC"/>
          </w:tcPr>
          <w:p>
            <w:pPr>
              <w:spacing w:after="0"/>
              <w:rPr>
                <w:sz w:val="16"/>
                <w:szCs w:val="16"/>
                <w:color w:val="auto"/>
              </w:rPr>
            </w:pPr>
          </w:p>
        </w:tc>
        <w:tc>
          <w:tcPr>
            <w:tcW w:w="960" w:type="dxa"/>
            <w:vAlign w:val="bottom"/>
            <w:tcBorders>
              <w:bottom w:val="single" w:sz="8" w:color="CCFFCC"/>
            </w:tcBorders>
            <w:shd w:val="clear" w:color="auto" w:fill="CCFFCC"/>
          </w:tcPr>
          <w:p>
            <w:pPr>
              <w:spacing w:after="0"/>
              <w:rPr>
                <w:sz w:val="16"/>
                <w:szCs w:val="16"/>
                <w:color w:val="auto"/>
              </w:rPr>
            </w:pPr>
          </w:p>
        </w:tc>
        <w:tc>
          <w:tcPr>
            <w:tcW w:w="100" w:type="dxa"/>
            <w:vAlign w:val="bottom"/>
            <w:tcBorders>
              <w:bottom w:val="single" w:sz="8" w:color="CCFFCC"/>
            </w:tcBorders>
            <w:shd w:val="clear" w:color="auto" w:fill="CCFFCC"/>
          </w:tcPr>
          <w:p>
            <w:pPr>
              <w:spacing w:after="0"/>
              <w:rPr>
                <w:sz w:val="16"/>
                <w:szCs w:val="16"/>
                <w:color w:val="auto"/>
              </w:rPr>
            </w:pPr>
          </w:p>
        </w:tc>
        <w:tc>
          <w:tcPr>
            <w:tcW w:w="120" w:type="dxa"/>
            <w:vAlign w:val="bottom"/>
            <w:tcBorders>
              <w:bottom w:val="single" w:sz="8" w:color="CCFFCC"/>
            </w:tcBorders>
            <w:shd w:val="clear" w:color="auto" w:fill="CCFFCC"/>
          </w:tcPr>
          <w:p>
            <w:pPr>
              <w:spacing w:after="0"/>
              <w:rPr>
                <w:sz w:val="16"/>
                <w:szCs w:val="16"/>
                <w:color w:val="auto"/>
              </w:rPr>
            </w:pPr>
          </w:p>
        </w:tc>
        <w:tc>
          <w:tcPr>
            <w:tcW w:w="100" w:type="dxa"/>
            <w:vAlign w:val="bottom"/>
            <w:tcBorders>
              <w:bottom w:val="single" w:sz="8" w:color="CCFFCC"/>
            </w:tcBorders>
            <w:shd w:val="clear" w:color="auto" w:fill="CCFFCC"/>
          </w:tcPr>
          <w:p>
            <w:pPr>
              <w:spacing w:after="0"/>
              <w:rPr>
                <w:sz w:val="16"/>
                <w:szCs w:val="16"/>
                <w:color w:val="auto"/>
              </w:rPr>
            </w:pPr>
          </w:p>
        </w:tc>
        <w:tc>
          <w:tcPr>
            <w:tcW w:w="200" w:type="dxa"/>
            <w:vAlign w:val="bottom"/>
            <w:tcBorders>
              <w:bottom w:val="single" w:sz="8" w:color="CCFFCC"/>
            </w:tcBorders>
            <w:shd w:val="clear" w:color="auto" w:fill="CCFFCC"/>
          </w:tcPr>
          <w:p>
            <w:pPr>
              <w:spacing w:after="0"/>
              <w:rPr>
                <w:sz w:val="16"/>
                <w:szCs w:val="16"/>
                <w:color w:val="auto"/>
              </w:rPr>
            </w:pPr>
          </w:p>
        </w:tc>
        <w:tc>
          <w:tcPr>
            <w:tcW w:w="860" w:type="dxa"/>
            <w:vAlign w:val="bottom"/>
            <w:tcBorders>
              <w:bottom w:val="single" w:sz="8" w:color="CCFFCC"/>
            </w:tcBorders>
            <w:shd w:val="clear" w:color="auto" w:fill="CCFFCC"/>
          </w:tcPr>
          <w:p>
            <w:pPr>
              <w:spacing w:after="0"/>
              <w:rPr>
                <w:sz w:val="16"/>
                <w:szCs w:val="16"/>
                <w:color w:val="auto"/>
              </w:rPr>
            </w:pPr>
          </w:p>
        </w:tc>
        <w:tc>
          <w:tcPr>
            <w:tcW w:w="100" w:type="dxa"/>
            <w:vAlign w:val="bottom"/>
            <w:tcBorders>
              <w:bottom w:val="single" w:sz="8" w:color="CCFFCC"/>
            </w:tcBorders>
            <w:shd w:val="clear" w:color="auto" w:fill="CCFFCC"/>
          </w:tcPr>
          <w:p>
            <w:pPr>
              <w:spacing w:after="0"/>
              <w:rPr>
                <w:sz w:val="16"/>
                <w:szCs w:val="16"/>
                <w:color w:val="auto"/>
              </w:rPr>
            </w:pPr>
          </w:p>
        </w:tc>
        <w:tc>
          <w:tcPr>
            <w:tcW w:w="100" w:type="dxa"/>
            <w:vAlign w:val="bottom"/>
            <w:tcBorders>
              <w:bottom w:val="single" w:sz="8" w:color="CCFFCC"/>
            </w:tcBorders>
            <w:shd w:val="clear" w:color="auto" w:fill="CCFFCC"/>
          </w:tcPr>
          <w:p>
            <w:pPr>
              <w:spacing w:after="0"/>
              <w:rPr>
                <w:sz w:val="16"/>
                <w:szCs w:val="16"/>
                <w:color w:val="auto"/>
              </w:rPr>
            </w:pPr>
          </w:p>
        </w:tc>
        <w:tc>
          <w:tcPr>
            <w:tcW w:w="100" w:type="dxa"/>
            <w:vAlign w:val="bottom"/>
            <w:tcBorders>
              <w:bottom w:val="single" w:sz="8" w:color="CCFFCC"/>
            </w:tcBorders>
            <w:shd w:val="clear" w:color="auto" w:fill="CCFFCC"/>
          </w:tcPr>
          <w:p>
            <w:pPr>
              <w:spacing w:after="0"/>
              <w:rPr>
                <w:sz w:val="16"/>
                <w:szCs w:val="16"/>
                <w:color w:val="auto"/>
              </w:rPr>
            </w:pPr>
          </w:p>
        </w:tc>
        <w:tc>
          <w:tcPr>
            <w:tcW w:w="940" w:type="dxa"/>
            <w:vAlign w:val="bottom"/>
            <w:tcBorders>
              <w:bottom w:val="single" w:sz="8" w:color="CCFFCC"/>
            </w:tcBorders>
            <w:shd w:val="clear" w:color="auto" w:fill="CCFFCC"/>
          </w:tcPr>
          <w:p>
            <w:pPr>
              <w:spacing w:after="0"/>
              <w:rPr>
                <w:sz w:val="16"/>
                <w:szCs w:val="16"/>
                <w:color w:val="auto"/>
              </w:rPr>
            </w:pPr>
          </w:p>
        </w:tc>
        <w:tc>
          <w:tcPr>
            <w:tcW w:w="80" w:type="dxa"/>
            <w:vAlign w:val="bottom"/>
            <w:tcBorders>
              <w:bottom w:val="single" w:sz="8" w:color="CCFFCC"/>
            </w:tcBorders>
            <w:shd w:val="clear" w:color="auto" w:fill="CCFFCC"/>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3060" w:type="dxa"/>
            <w:vAlign w:val="bottom"/>
            <w:gridSpan w:val="5"/>
          </w:tcPr>
          <w:p>
            <w:pPr>
              <w:spacing w:after="0"/>
              <w:rPr>
                <w:sz w:val="20"/>
                <w:szCs w:val="20"/>
                <w:color w:val="auto"/>
              </w:rPr>
            </w:pPr>
            <w:r>
              <w:rPr>
                <w:rFonts w:ascii="Arial" w:cs="Arial" w:eastAsia="Arial" w:hAnsi="Arial"/>
                <w:sz w:val="18"/>
                <w:szCs w:val="18"/>
                <w:color w:val="auto"/>
              </w:rPr>
              <w:t>Fixed Income Securities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1,426</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(2)</w:t>
            </w: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79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1,426</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r>
      <w:tr>
        <w:trPr>
          <w:trHeight w:val="216"/>
        </w:trPr>
        <w:tc>
          <w:tcPr>
            <w:tcW w:w="20" w:type="dxa"/>
            <w:vAlign w:val="bottom"/>
          </w:tcPr>
          <w:p>
            <w:pPr>
              <w:spacing w:after="0"/>
              <w:rPr>
                <w:sz w:val="18"/>
                <w:szCs w:val="18"/>
                <w:color w:val="auto"/>
              </w:rPr>
            </w:pPr>
          </w:p>
        </w:tc>
        <w:tc>
          <w:tcPr>
            <w:tcW w:w="3060" w:type="dxa"/>
            <w:vAlign w:val="bottom"/>
            <w:gridSpan w:val="5"/>
            <w:shd w:val="clear" w:color="auto" w:fill="CCFFCC"/>
          </w:tcPr>
          <w:p>
            <w:pPr>
              <w:spacing w:after="0"/>
              <w:rPr>
                <w:sz w:val="20"/>
                <w:szCs w:val="20"/>
                <w:color w:val="auto"/>
              </w:rPr>
            </w:pPr>
            <w:r>
              <w:rPr>
                <w:rFonts w:ascii="Arial" w:cs="Arial" w:eastAsia="Arial" w:hAnsi="Arial"/>
                <w:sz w:val="18"/>
                <w:szCs w:val="18"/>
                <w:color w:val="auto"/>
              </w:rPr>
              <w:t>Equity Securities</w:t>
            </w:r>
          </w:p>
        </w:tc>
        <w:tc>
          <w:tcPr>
            <w:tcW w:w="220" w:type="dxa"/>
            <w:vAlign w:val="bottom"/>
            <w:shd w:val="clear" w:color="auto" w:fill="CCFFCC"/>
          </w:tcPr>
          <w:p>
            <w:pPr>
              <w:spacing w:after="0"/>
              <w:rPr>
                <w:sz w:val="18"/>
                <w:szCs w:val="18"/>
                <w:color w:val="auto"/>
              </w:rPr>
            </w:pPr>
          </w:p>
        </w:tc>
        <w:tc>
          <w:tcPr>
            <w:tcW w:w="8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9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9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FFCC"/>
          </w:tcPr>
          <w:p>
            <w:pPr>
              <w:spacing w:after="0"/>
              <w:rPr>
                <w:sz w:val="18"/>
                <w:szCs w:val="18"/>
                <w:color w:val="auto"/>
              </w:rPr>
            </w:pPr>
          </w:p>
        </w:tc>
        <w:tc>
          <w:tcPr>
            <w:tcW w:w="960" w:type="dxa"/>
            <w:vAlign w:val="bottom"/>
            <w:shd w:val="clear" w:color="auto" w:fill="CCFFCC"/>
          </w:tcPr>
          <w:p>
            <w:pPr>
              <w:spacing w:after="0"/>
              <w:rPr>
                <w:sz w:val="18"/>
                <w:szCs w:val="18"/>
                <w:color w:val="auto"/>
              </w:rPr>
            </w:pPr>
          </w:p>
        </w:tc>
        <w:tc>
          <w:tcPr>
            <w:tcW w:w="2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9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w:t>
            </w:r>
          </w:p>
        </w:tc>
      </w:tr>
      <w:tr>
        <w:trPr>
          <w:trHeight w:val="27"/>
        </w:trPr>
        <w:tc>
          <w:tcPr>
            <w:tcW w:w="20" w:type="dxa"/>
            <w:vAlign w:val="bottom"/>
          </w:tcPr>
          <w:p>
            <w:pPr>
              <w:spacing w:after="0"/>
              <w:rPr>
                <w:sz w:val="2"/>
                <w:szCs w:val="2"/>
                <w:color w:val="auto"/>
              </w:rPr>
            </w:pPr>
          </w:p>
        </w:tc>
        <w:tc>
          <w:tcPr>
            <w:tcW w:w="940" w:type="dxa"/>
            <w:vAlign w:val="bottom"/>
            <w:shd w:val="clear" w:color="auto" w:fill="CCFFCC"/>
          </w:tcPr>
          <w:p>
            <w:pPr>
              <w:spacing w:after="0"/>
              <w:rPr>
                <w:sz w:val="2"/>
                <w:szCs w:val="2"/>
                <w:color w:val="auto"/>
              </w:rPr>
            </w:pPr>
          </w:p>
        </w:tc>
        <w:tc>
          <w:tcPr>
            <w:tcW w:w="40" w:type="dxa"/>
            <w:vAlign w:val="bottom"/>
            <w:shd w:val="clear" w:color="auto" w:fill="CCFFCC"/>
          </w:tcPr>
          <w:p>
            <w:pPr>
              <w:spacing w:after="0"/>
              <w:rPr>
                <w:sz w:val="2"/>
                <w:szCs w:val="2"/>
                <w:color w:val="auto"/>
              </w:rPr>
            </w:pPr>
          </w:p>
        </w:tc>
        <w:tc>
          <w:tcPr>
            <w:tcW w:w="980" w:type="dxa"/>
            <w:vAlign w:val="bottom"/>
            <w:shd w:val="clear" w:color="auto" w:fill="CCFFCC"/>
          </w:tcPr>
          <w:p>
            <w:pPr>
              <w:spacing w:after="0"/>
              <w:rPr>
                <w:sz w:val="2"/>
                <w:szCs w:val="2"/>
                <w:color w:val="auto"/>
              </w:rPr>
            </w:pPr>
          </w:p>
        </w:tc>
        <w:tc>
          <w:tcPr>
            <w:tcW w:w="40" w:type="dxa"/>
            <w:vAlign w:val="bottom"/>
            <w:shd w:val="clear" w:color="auto" w:fill="CCFFCC"/>
          </w:tcPr>
          <w:p>
            <w:pPr>
              <w:spacing w:after="0"/>
              <w:rPr>
                <w:sz w:val="2"/>
                <w:szCs w:val="2"/>
                <w:color w:val="auto"/>
              </w:rPr>
            </w:pPr>
          </w:p>
        </w:tc>
        <w:tc>
          <w:tcPr>
            <w:tcW w:w="1060" w:type="dxa"/>
            <w:vAlign w:val="bottom"/>
            <w:shd w:val="clear" w:color="auto" w:fill="CCFFCC"/>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shd w:val="clear" w:color="auto" w:fill="CCFFCC"/>
          </w:tcPr>
          <w:p>
            <w:pPr>
              <w:spacing w:after="0"/>
              <w:rPr>
                <w:sz w:val="2"/>
                <w:szCs w:val="2"/>
                <w:color w:val="auto"/>
              </w:rPr>
            </w:pPr>
          </w:p>
        </w:tc>
        <w:tc>
          <w:tcPr>
            <w:tcW w:w="80" w:type="dxa"/>
            <w:vAlign w:val="bottom"/>
            <w:shd w:val="clear" w:color="auto" w:fill="CCFFCC"/>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120" w:type="dxa"/>
            <w:vAlign w:val="bottom"/>
            <w:shd w:val="clear" w:color="auto" w:fill="CCFFCC"/>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80" w:type="dxa"/>
            <w:vAlign w:val="bottom"/>
            <w:shd w:val="clear" w:color="auto" w:fill="CCFFCC"/>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1,426</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(2)</w:t>
            </w: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79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1,426</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r>
      <w:tr>
        <w:trPr>
          <w:trHeight w:val="21"/>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 regularly reviews its investment portfolio to identify and evaluate investments that have indications of possible impairment. The Company does not believe that its investments in marketable securities with unrealized losses at July 31, 2011 are other-than-temporary due to market volatility of the security’s fair value, analysts’ expectations and the Company’s ability to hold the securities for a period of time sufficient to allow for any anticipated recoveries in market value.</w:t>
      </w:r>
    </w:p>
    <w:p>
      <w:pPr>
        <w:spacing w:after="0" w:line="21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During the three months ended July 31, 2011 and 2010, the Company redeemed available-for-sale securities in the amount of $4.5 million and $1.5 million, respectively, and realized a gain of $6,800 in the fiscal year 2012 period and a loss of $27,800 for the same period in fiscal year 2011. These amounts are included in the determination of net income for each period.</w:t>
      </w:r>
    </w:p>
    <w:p>
      <w:pPr>
        <w:spacing w:after="0" w:line="20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Maturities of fixed income securities classified as available-for-sale at July 31, 2011 are as follows, at cost (in thousands):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720" w:type="dxa"/>
            <w:vAlign w:val="bottom"/>
          </w:tcPr>
          <w:p>
            <w:pPr>
              <w:spacing w:after="0"/>
              <w:rPr>
                <w:sz w:val="18"/>
                <w:szCs w:val="18"/>
                <w:color w:val="auto"/>
              </w:rPr>
            </w:pPr>
          </w:p>
        </w:tc>
        <w:tc>
          <w:tcPr>
            <w:tcW w:w="3240" w:type="dxa"/>
            <w:vAlign w:val="bottom"/>
            <w:shd w:val="clear" w:color="auto" w:fill="CCFFCC"/>
          </w:tcPr>
          <w:p>
            <w:pPr>
              <w:spacing w:after="0"/>
              <w:rPr>
                <w:sz w:val="20"/>
                <w:szCs w:val="20"/>
                <w:color w:val="auto"/>
              </w:rPr>
            </w:pPr>
            <w:r>
              <w:rPr>
                <w:rFonts w:ascii="Arial" w:cs="Arial" w:eastAsia="Arial" w:hAnsi="Arial"/>
                <w:sz w:val="18"/>
                <w:szCs w:val="18"/>
                <w:color w:val="auto"/>
              </w:rPr>
              <w:t>Current</w:t>
            </w:r>
          </w:p>
        </w:tc>
        <w:tc>
          <w:tcPr>
            <w:tcW w:w="4080" w:type="dxa"/>
            <w:vAlign w:val="bottom"/>
            <w:gridSpan w:val="2"/>
            <w:shd w:val="clear" w:color="auto" w:fill="CCFFCC"/>
          </w:tcPr>
          <w:p>
            <w:pPr>
              <w:jc w:val="right"/>
              <w:ind w:right="30"/>
              <w:spacing w:after="0"/>
              <w:rPr>
                <w:sz w:val="20"/>
                <w:szCs w:val="20"/>
                <w:color w:val="auto"/>
              </w:rPr>
            </w:pPr>
            <w:r>
              <w:rPr>
                <w:rFonts w:ascii="Arial" w:cs="Arial" w:eastAsia="Arial" w:hAnsi="Arial"/>
                <w:sz w:val="18"/>
                <w:szCs w:val="18"/>
                <w:color w:val="auto"/>
              </w:rPr>
              <w:t>$</w:t>
            </w:r>
          </w:p>
        </w:tc>
        <w:tc>
          <w:tcPr>
            <w:tcW w:w="66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2,008</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Due after one year through five years</w:t>
            </w:r>
          </w:p>
        </w:tc>
        <w:tc>
          <w:tcPr>
            <w:tcW w:w="3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8,727</w:t>
            </w:r>
          </w:p>
        </w:tc>
        <w:tc>
          <w:tcPr>
            <w:tcW w:w="1720" w:type="dxa"/>
            <w:vAlign w:val="bottom"/>
          </w:tcPr>
          <w:p>
            <w:pPr>
              <w:spacing w:after="0"/>
              <w:rPr>
                <w:sz w:val="18"/>
                <w:szCs w:val="18"/>
                <w:color w:val="auto"/>
              </w:rPr>
            </w:pPr>
          </w:p>
        </w:tc>
      </w:tr>
      <w:tr>
        <w:trPr>
          <w:trHeight w:val="223"/>
        </w:trPr>
        <w:tc>
          <w:tcPr>
            <w:tcW w:w="1720" w:type="dxa"/>
            <w:vAlign w:val="bottom"/>
          </w:tcPr>
          <w:p>
            <w:pPr>
              <w:spacing w:after="0"/>
              <w:rPr>
                <w:sz w:val="19"/>
                <w:szCs w:val="19"/>
                <w:color w:val="auto"/>
              </w:rPr>
            </w:pPr>
          </w:p>
        </w:tc>
        <w:tc>
          <w:tcPr>
            <w:tcW w:w="324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Due after five years through ten years</w:t>
            </w:r>
          </w:p>
        </w:tc>
        <w:tc>
          <w:tcPr>
            <w:tcW w:w="3860" w:type="dxa"/>
            <w:vAlign w:val="bottom"/>
            <w:tcBorders>
              <w:bottom w:val="single" w:sz="8" w:color="CCFFCC"/>
            </w:tcBorders>
            <w:shd w:val="clear" w:color="auto" w:fill="CCFFCC"/>
          </w:tcPr>
          <w:p>
            <w:pPr>
              <w:spacing w:after="0"/>
              <w:rPr>
                <w:sz w:val="19"/>
                <w:szCs w:val="19"/>
                <w:color w:val="auto"/>
              </w:rPr>
            </w:pPr>
          </w:p>
        </w:tc>
        <w:tc>
          <w:tcPr>
            <w:tcW w:w="220" w:type="dxa"/>
            <w:vAlign w:val="bottom"/>
            <w:tcBorders>
              <w:bottom w:val="single" w:sz="8" w:color="auto"/>
            </w:tcBorders>
            <w:shd w:val="clear" w:color="auto" w:fill="CCFFCC"/>
          </w:tcPr>
          <w:p>
            <w:pPr>
              <w:spacing w:after="0"/>
              <w:rPr>
                <w:sz w:val="19"/>
                <w:szCs w:val="19"/>
                <w:color w:val="auto"/>
              </w:rPr>
            </w:pPr>
          </w:p>
        </w:tc>
        <w:tc>
          <w:tcPr>
            <w:tcW w:w="660" w:type="dxa"/>
            <w:vAlign w:val="bottom"/>
            <w:tcBorders>
              <w:bottom w:val="single" w:sz="8" w:color="auto"/>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714</w:t>
            </w:r>
          </w:p>
        </w:tc>
        <w:tc>
          <w:tcPr>
            <w:tcW w:w="1720" w:type="dxa"/>
            <w:vAlign w:val="bottom"/>
          </w:tcPr>
          <w:p>
            <w:pPr>
              <w:spacing w:after="0"/>
              <w:rPr>
                <w:sz w:val="19"/>
                <w:szCs w:val="19"/>
                <w:color w:val="auto"/>
              </w:rPr>
            </w:pPr>
          </w:p>
        </w:tc>
      </w:tr>
      <w:tr>
        <w:trPr>
          <w:trHeight w:val="216"/>
        </w:trPr>
        <w:tc>
          <w:tcPr>
            <w:tcW w:w="172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11,449</w:t>
            </w:r>
          </w:p>
        </w:tc>
        <w:tc>
          <w:tcPr>
            <w:tcW w:w="1720" w:type="dxa"/>
            <w:vAlign w:val="bottom"/>
          </w:tcPr>
          <w:p>
            <w:pPr>
              <w:spacing w:after="0"/>
              <w:rPr>
                <w:sz w:val="18"/>
                <w:szCs w:val="18"/>
                <w:color w:val="auto"/>
              </w:rPr>
            </w:pPr>
          </w:p>
        </w:tc>
      </w:tr>
      <w:tr>
        <w:trPr>
          <w:trHeight w:val="21"/>
        </w:trPr>
        <w:tc>
          <w:tcPr>
            <w:tcW w:w="172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601"/>
        </w:trPr>
        <w:tc>
          <w:tcPr>
            <w:tcW w:w="172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4080" w:type="dxa"/>
            <w:vAlign w:val="bottom"/>
            <w:gridSpan w:val="2"/>
          </w:tcPr>
          <w:p>
            <w:pPr>
              <w:jc w:val="right"/>
              <w:ind w:right="2990"/>
              <w:spacing w:after="0"/>
              <w:rPr>
                <w:sz w:val="20"/>
                <w:szCs w:val="20"/>
                <w:color w:val="auto"/>
              </w:rPr>
            </w:pPr>
            <w:r>
              <w:rPr>
                <w:rFonts w:ascii="Arial" w:cs="Arial" w:eastAsia="Arial" w:hAnsi="Arial"/>
                <w:sz w:val="18"/>
                <w:szCs w:val="18"/>
                <w:color w:val="auto"/>
              </w:rPr>
              <w:t>9 of 18</w:t>
            </w:r>
          </w:p>
        </w:tc>
        <w:tc>
          <w:tcPr>
            <w:tcW w:w="66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118"/>
        </w:trPr>
        <w:tc>
          <w:tcPr>
            <w:tcW w:w="1720" w:type="dxa"/>
            <w:vAlign w:val="bottom"/>
            <w:tcBorders>
              <w:bottom w:val="single" w:sz="8" w:color="808080"/>
            </w:tcBorders>
          </w:tcPr>
          <w:p>
            <w:pPr>
              <w:spacing w:after="0"/>
              <w:rPr>
                <w:sz w:val="10"/>
                <w:szCs w:val="10"/>
                <w:color w:val="auto"/>
              </w:rPr>
            </w:pPr>
          </w:p>
        </w:tc>
        <w:tc>
          <w:tcPr>
            <w:tcW w:w="3240" w:type="dxa"/>
            <w:vAlign w:val="bottom"/>
            <w:tcBorders>
              <w:bottom w:val="single" w:sz="8" w:color="808080"/>
            </w:tcBorders>
          </w:tcPr>
          <w:p>
            <w:pPr>
              <w:spacing w:after="0"/>
              <w:rPr>
                <w:sz w:val="10"/>
                <w:szCs w:val="10"/>
                <w:color w:val="auto"/>
              </w:rPr>
            </w:pPr>
          </w:p>
        </w:tc>
        <w:tc>
          <w:tcPr>
            <w:tcW w:w="386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172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color w:val="auto"/>
        </w:rPr>
        <w:t>FREQUENCY ELECTRONICS, INC. and SUBSIDIARIES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The fair value accounting framework provides a fair value hierarchy that prioritizes the inputs to valuation techniques used to measure fair value. The hierarchy gives the highest priority to unadjusted quoted prices in active markets for identical assets or liabilities (level 1 measurements) and the lowest priority to unobservable inputs (level 3 measurements). The three levels of the fair value hierarchy are described below:</w:t>
      </w:r>
    </w:p>
    <w:p>
      <w:pPr>
        <w:spacing w:after="0" w:line="193" w:lineRule="exact"/>
        <w:rPr>
          <w:sz w:val="20"/>
          <w:szCs w:val="20"/>
          <w:color w:val="auto"/>
        </w:rPr>
      </w:pPr>
    </w:p>
    <w:p>
      <w:pPr>
        <w:ind w:left="1380" w:right="20" w:hanging="971"/>
        <w:spacing w:after="0" w:line="277" w:lineRule="auto"/>
        <w:tabs>
          <w:tab w:leader="none" w:pos="136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8"/>
          <w:szCs w:val="18"/>
          <w:color w:val="auto"/>
        </w:rPr>
        <w:t>Inputs to the valuation methodology are unadjusted quoted prices for identical assets or liabilities in active markets that the Company has the ability to access.</w:t>
      </w:r>
    </w:p>
    <w:p>
      <w:pPr>
        <w:spacing w:after="0" w:line="197" w:lineRule="exact"/>
        <w:rPr>
          <w:sz w:val="20"/>
          <w:szCs w:val="20"/>
          <w:color w:val="auto"/>
        </w:rPr>
      </w:pPr>
    </w:p>
    <w:p>
      <w:pPr>
        <w:ind w:left="420"/>
        <w:spacing w:after="0"/>
        <w:tabs>
          <w:tab w:leader="none" w:pos="136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6"/>
          <w:szCs w:val="16"/>
          <w:color w:val="auto"/>
        </w:rPr>
        <w:t>Inputs to the valuation methodology include:</w:t>
      </w:r>
    </w:p>
    <w:p>
      <w:pPr>
        <w:spacing w:after="0" w:line="23" w:lineRule="exact"/>
        <w:rPr>
          <w:sz w:val="20"/>
          <w:szCs w:val="20"/>
          <w:color w:val="auto"/>
        </w:rPr>
      </w:pPr>
    </w:p>
    <w:p>
      <w:pPr>
        <w:ind w:left="1740" w:hanging="111"/>
        <w:spacing w:after="0"/>
        <w:tabs>
          <w:tab w:leader="none" w:pos="1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Quoted prices for similar assets or liabilities in active markets;</w:t>
      </w:r>
    </w:p>
    <w:p>
      <w:pPr>
        <w:spacing w:after="0" w:line="9" w:lineRule="exact"/>
        <w:rPr>
          <w:rFonts w:ascii="Arial" w:cs="Arial" w:eastAsia="Arial" w:hAnsi="Arial"/>
          <w:sz w:val="18"/>
          <w:szCs w:val="18"/>
          <w:color w:val="auto"/>
        </w:rPr>
      </w:pPr>
    </w:p>
    <w:p>
      <w:pPr>
        <w:ind w:left="1740" w:hanging="111"/>
        <w:spacing w:after="0"/>
        <w:tabs>
          <w:tab w:leader="none" w:pos="1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Quoted prices for identical or similar assets or liabilities in inactive markets</w:t>
      </w:r>
    </w:p>
    <w:p>
      <w:pPr>
        <w:spacing w:after="0" w:line="9" w:lineRule="exact"/>
        <w:rPr>
          <w:rFonts w:ascii="Arial" w:cs="Arial" w:eastAsia="Arial" w:hAnsi="Arial"/>
          <w:sz w:val="18"/>
          <w:szCs w:val="18"/>
          <w:color w:val="auto"/>
        </w:rPr>
      </w:pPr>
    </w:p>
    <w:p>
      <w:pPr>
        <w:ind w:left="1740" w:hanging="111"/>
        <w:spacing w:after="0"/>
        <w:tabs>
          <w:tab w:leader="none" w:pos="1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Inputs other than quoted prices that are observable for the asset or liability;</w:t>
      </w:r>
    </w:p>
    <w:p>
      <w:pPr>
        <w:spacing w:after="0" w:line="9" w:lineRule="exact"/>
        <w:rPr>
          <w:rFonts w:ascii="Arial" w:cs="Arial" w:eastAsia="Arial" w:hAnsi="Arial"/>
          <w:sz w:val="18"/>
          <w:szCs w:val="18"/>
          <w:color w:val="auto"/>
        </w:rPr>
      </w:pPr>
    </w:p>
    <w:p>
      <w:pPr>
        <w:ind w:left="1740" w:hanging="111"/>
        <w:spacing w:after="0"/>
        <w:tabs>
          <w:tab w:leader="none" w:pos="1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Inputs that are derived principally from or corroborated by observable market data by correlation or other means.</w:t>
      </w:r>
    </w:p>
    <w:p>
      <w:pPr>
        <w:spacing w:after="0" w:line="238" w:lineRule="exact"/>
        <w:rPr>
          <w:sz w:val="20"/>
          <w:szCs w:val="20"/>
          <w:color w:val="auto"/>
        </w:rPr>
      </w:pPr>
    </w:p>
    <w:p>
      <w:pPr>
        <w:ind w:left="420"/>
        <w:spacing w:after="0"/>
        <w:tabs>
          <w:tab w:leader="none" w:pos="136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6"/>
          <w:szCs w:val="16"/>
          <w:color w:val="auto"/>
        </w:rPr>
        <w:t>Inputs to the valuation methodology are unobservable and significant to the fair value measurement.</w:t>
      </w:r>
    </w:p>
    <w:p>
      <w:pPr>
        <w:spacing w:after="0" w:line="252"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The asset’s or liability’s fair value measurement level within the fair value hierarchy is based on the lowest level of any input that is significant to the fair value measurement. Valuation techniques used need to maximize the use of observable inputs and minimize the use of unobservable inputs. All of the Company’s investments in marketable securities are valued on a Level 1 basis.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NOTE J – INCOME TAXES</w:t>
      </w:r>
    </w:p>
    <w:p>
      <w:pPr>
        <w:spacing w:after="0" w:line="252"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As of the end of fiscal year 2011, the Company reduced the valuation allowance on the deferred tax assets of its U.S. subsidiaries. Consequently, for the quarter ended July 31, 2011, the Company recorded a provision for income taxes based on both current taxes due in the United States as well as the tax provision or benefit to be realized from temporary tax differences. In the same quarter of fiscal year 2011, the provision for income taxes consisted solely of taxes currently due to taxing authorities in the United States because of the full valuation allowance against deferred tax assets in effect at that time. As of July 31, 2011 and April 30, 2011, the remaining deferred tax asset valuation allowance is approximately $4.6 million.</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color w:val="auto"/>
        </w:rPr>
        <w:t>NOTE K – RECENTLY ISSUED ACCOUNTING PRONOUNCEMENTS</w:t>
      </w:r>
    </w:p>
    <w:p>
      <w:pPr>
        <w:spacing w:after="0" w:line="252"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In June 2011, the FASB issued standards which require entities to present net income and other comprehensive income in either a single continuous statement or in two separate, but consecutive, statements of net income and other comprehensive income. The option to present items of other comprehensive income in the statement of changes in equity is eliminated. The new standard is effective as of the beginning of a fiscal year beginning after December 15, 2011 with earlier adoption permitted. This standard, upon adoption by the Company at the beginning of its fiscal year 2013, will have no impact on the Company’s financial condition, results of operations and cash flows but will require the Company to present comprehensive income in a different manner than it did in previous interim and annual financial reports.</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2</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Management’s Discussion and Analysis of Financial Condition and Results of Operations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“Safe Harbor” Statement under the Private Securities Litigation Reform Act of 1995</w:t>
      </w:r>
      <w:r>
        <w:rPr>
          <w:rFonts w:ascii="Arial" w:cs="Arial" w:eastAsia="Arial" w:hAnsi="Arial"/>
          <w:sz w:val="18"/>
          <w:szCs w:val="18"/>
          <w:color w:val="auto"/>
        </w:rPr>
        <w:t>:</w:t>
      </w:r>
    </w:p>
    <w:p>
      <w:pPr>
        <w:spacing w:after="0" w:line="252" w:lineRule="exact"/>
        <w:rPr>
          <w:sz w:val="20"/>
          <w:szCs w:val="20"/>
          <w:color w:val="auto"/>
        </w:rPr>
      </w:pPr>
    </w:p>
    <w:p>
      <w:pPr>
        <w:jc w:val="both"/>
        <w:ind w:firstLine="486"/>
        <w:spacing w:after="0" w:line="271" w:lineRule="auto"/>
        <w:rPr>
          <w:sz w:val="20"/>
          <w:szCs w:val="20"/>
          <w:color w:val="auto"/>
        </w:rPr>
      </w:pPr>
      <w:r>
        <w:rPr>
          <w:rFonts w:ascii="Arial" w:cs="Arial" w:eastAsia="Arial" w:hAnsi="Arial"/>
          <w:sz w:val="17"/>
          <w:szCs w:val="17"/>
          <w:color w:val="auto"/>
        </w:rPr>
        <w:t>The statements in this quarterly report on Form 10-Q regarding future earnings and operations and other statements relating to the future constitute "forward-looking" statements pursuant to the safe harbor provisions of the Private Securities Litigation Reform Act of 1995. Forward-looking statements inherently involve risks and uncertainties that could cause actual results to differ materially from the forward-looking statements. Factors that would cause or contribute to such differences include, but are not limited to, continued acceptance of the Company's products in the marketplace, competitive factors, new products and technological changes, product prices and raw material costs, dependence upon third-party vendors, competitive developments, changes in manufacturing and transportation costs, changes in contractual terms, the availability of capital, and other risks detailed in the Company's periodic report filings with the Securities and Exchange Commission. By making these forward-looking statements, the Company undertakes no obligation to update these statements for revisions or changes after the date of this report.</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 of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color w:val="auto"/>
        </w:rPr>
        <w:t>FREQUENCY ELECTRONICS,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56"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The Company’s significant accounting policies are described in Note 1 to the consolidated financial statements included in the Company’s April 30, 2011 Annual Report to Stockholders. The Company believes its most critical accounting policies to be the recognition of revenue and costs on production contracts and the valuation of inventory. Each of these areas requires the Company to make use of reasoned estimates including estimating the cost to complete a contract, the realizable value of its inventory or the market value of its products. Changes in estimates can have a material impact on the Company’s financial position and results of operations.</w:t>
      </w:r>
    </w:p>
    <w:p>
      <w:pPr>
        <w:spacing w:after="0" w:line="215" w:lineRule="exact"/>
        <w:rPr>
          <w:sz w:val="20"/>
          <w:szCs w:val="20"/>
          <w:color w:val="auto"/>
        </w:rPr>
      </w:pPr>
    </w:p>
    <w:p>
      <w:pPr>
        <w:ind w:left="500"/>
        <w:spacing w:after="0"/>
        <w:rPr>
          <w:sz w:val="20"/>
          <w:szCs w:val="20"/>
          <w:color w:val="auto"/>
        </w:rPr>
      </w:pPr>
      <w:r>
        <w:rPr>
          <w:rFonts w:ascii="Arial" w:cs="Arial" w:eastAsia="Arial" w:hAnsi="Arial"/>
          <w:sz w:val="18"/>
          <w:szCs w:val="18"/>
          <w:u w:val="single" w:color="auto"/>
          <w:color w:val="auto"/>
        </w:rPr>
        <w:t>Revenue Recognition</w:t>
      </w:r>
    </w:p>
    <w:p>
      <w:pPr>
        <w:spacing w:after="0" w:line="252" w:lineRule="exact"/>
        <w:rPr>
          <w:sz w:val="20"/>
          <w:szCs w:val="20"/>
          <w:color w:val="auto"/>
        </w:rPr>
      </w:pPr>
    </w:p>
    <w:p>
      <w:pPr>
        <w:jc w:val="both"/>
        <w:ind w:firstLine="486"/>
        <w:spacing w:after="0" w:line="271" w:lineRule="auto"/>
        <w:rPr>
          <w:sz w:val="20"/>
          <w:szCs w:val="20"/>
          <w:color w:val="auto"/>
        </w:rPr>
      </w:pPr>
      <w:r>
        <w:rPr>
          <w:rFonts w:ascii="Arial" w:cs="Arial" w:eastAsia="Arial" w:hAnsi="Arial"/>
          <w:sz w:val="17"/>
          <w:szCs w:val="17"/>
          <w:color w:val="auto"/>
        </w:rPr>
        <w:t>Revenues under larger, long-term contracts which generally require billings based on achievement of milestones rather than delivery of product, are reported in operating results using the percentage of completion method. On fixed-price contracts, which are typical for commercial and U.S. Government satellite programs and other long-term U.S. Government projects, and which require initial design and development of the product, revenue is recognized on the cost-to-cost method. Under this method, revenue is recorded based upon the ratio that incurred costs bear to total estimated contract costs with related cost of sales recorded as the costs are incurred. Each month management reviews estimated contract costs through a process of aggregating actual costs incurred and updating estimated costs to completion based upon the current available information and status of the contract. The effect of any change in the estimated gross margin percentage for a contract is reflected in revenues in the period in which the change is known. Provisions for anticipated losses on contracts are made in the period in which they become determinable.</w:t>
      </w:r>
    </w:p>
    <w:p>
      <w:pPr>
        <w:spacing w:after="0" w:line="206" w:lineRule="exact"/>
        <w:rPr>
          <w:sz w:val="20"/>
          <w:szCs w:val="20"/>
          <w:color w:val="auto"/>
        </w:rPr>
      </w:pPr>
    </w:p>
    <w:p>
      <w:pPr>
        <w:jc w:val="both"/>
        <w:ind w:firstLine="486"/>
        <w:spacing w:after="0" w:line="312" w:lineRule="auto"/>
        <w:rPr>
          <w:sz w:val="20"/>
          <w:szCs w:val="20"/>
          <w:color w:val="auto"/>
        </w:rPr>
      </w:pPr>
      <w:r>
        <w:rPr>
          <w:rFonts w:ascii="Arial" w:cs="Arial" w:eastAsia="Arial" w:hAnsi="Arial"/>
          <w:sz w:val="16"/>
          <w:szCs w:val="16"/>
          <w:color w:val="auto"/>
        </w:rPr>
        <w:t>On production-type orders, revenue is recorded as units are delivered with the related cost of sales recognized on each shipment based upon a percentage of estimated final program costs. Changes in job performance may result in revisions to costs and income and are recognized in the period in which revisions are determined to be required. Provisions for anticipated losses on contracts are made in the period in which they become determinable.</w:t>
      </w:r>
    </w:p>
    <w:p>
      <w:pPr>
        <w:spacing w:after="0" w:line="174"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For customer orders in the Company’s Gillam-FEI and FEI-Zyfer segments or smaller contracts or orders in the FEI-NY segment, sales of products and services to customers are reported in operating results based upon (i) shipment of the product or (ii) performance of the services pursuant to terms of the customer order. When payment is contingent upon customer acceptance of the installed system, revenue is deferred until such acceptance is received and installation completed.</w:t>
      </w:r>
    </w:p>
    <w:p>
      <w:pPr>
        <w:spacing w:after="0" w:line="214" w:lineRule="exact"/>
        <w:rPr>
          <w:sz w:val="20"/>
          <w:szCs w:val="20"/>
          <w:color w:val="auto"/>
        </w:rPr>
      </w:pPr>
    </w:p>
    <w:p>
      <w:pPr>
        <w:ind w:left="500"/>
        <w:spacing w:after="0"/>
        <w:rPr>
          <w:sz w:val="20"/>
          <w:szCs w:val="20"/>
          <w:color w:val="auto"/>
        </w:rPr>
      </w:pPr>
      <w:r>
        <w:rPr>
          <w:rFonts w:ascii="Arial" w:cs="Arial" w:eastAsia="Arial" w:hAnsi="Arial"/>
          <w:sz w:val="18"/>
          <w:szCs w:val="18"/>
          <w:u w:val="single" w:color="auto"/>
          <w:color w:val="auto"/>
        </w:rPr>
        <w:t>Costs and Expenses</w:t>
      </w:r>
    </w:p>
    <w:p>
      <w:pPr>
        <w:spacing w:after="0" w:line="252"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Contract costs include all direct material, direct labor costs, manufacturing overhead and other direct costs related to contract performance. Selling, general and administrative costs are charged to expense as incurred.</w:t>
      </w:r>
    </w:p>
    <w:p>
      <w:pPr>
        <w:spacing w:after="0" w:line="197" w:lineRule="exact"/>
        <w:rPr>
          <w:sz w:val="20"/>
          <w:szCs w:val="20"/>
          <w:color w:val="auto"/>
        </w:rPr>
      </w:pPr>
    </w:p>
    <w:p>
      <w:pPr>
        <w:ind w:left="500"/>
        <w:spacing w:after="0"/>
        <w:rPr>
          <w:sz w:val="20"/>
          <w:szCs w:val="20"/>
          <w:color w:val="auto"/>
        </w:rPr>
      </w:pPr>
      <w:r>
        <w:rPr>
          <w:rFonts w:ascii="Arial" w:cs="Arial" w:eastAsia="Arial" w:hAnsi="Arial"/>
          <w:sz w:val="18"/>
          <w:szCs w:val="18"/>
          <w:u w:val="single" w:color="auto"/>
          <w:color w:val="auto"/>
        </w:rPr>
        <w:t>Inventory</w:t>
      </w:r>
    </w:p>
    <w:p>
      <w:pPr>
        <w:spacing w:after="0" w:line="252"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In accordance with industry practice, inventoried costs contain amounts relating to contracts and programs with long production cycles, a portion of which will not be realized within one year. Inventory write downs are established for slow-moving and obsolete items and are based upon management’s experience and expectations for future business. Any changes arising from revised expectations are reflected in cost of sales in the period the revision is made.</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 of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color w:val="auto"/>
        </w:rPr>
        <w:t>FREQUENCY ELECTRONICS,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w:t>
      </w:r>
    </w:p>
    <w:p>
      <w:pPr>
        <w:spacing w:after="0" w:line="238" w:lineRule="exact"/>
        <w:rPr>
          <w:sz w:val="20"/>
          <w:szCs w:val="20"/>
          <w:color w:val="auto"/>
        </w:rPr>
      </w:pPr>
    </w:p>
    <w:p>
      <w:pPr>
        <w:ind w:left="500"/>
        <w:spacing w:after="0"/>
        <w:rPr>
          <w:sz w:val="20"/>
          <w:szCs w:val="20"/>
          <w:color w:val="auto"/>
        </w:rPr>
      </w:pPr>
      <w:r>
        <w:rPr>
          <w:rFonts w:ascii="Arial" w:cs="Arial" w:eastAsia="Arial" w:hAnsi="Arial"/>
          <w:sz w:val="18"/>
          <w:szCs w:val="18"/>
          <w:u w:val="single" w:color="auto"/>
          <w:color w:val="auto"/>
        </w:rPr>
        <w:t>Marketable Securities</w:t>
      </w:r>
    </w:p>
    <w:p>
      <w:pPr>
        <w:spacing w:after="0" w:line="252" w:lineRule="exact"/>
        <w:rPr>
          <w:sz w:val="20"/>
          <w:szCs w:val="20"/>
          <w:color w:val="auto"/>
        </w:rPr>
      </w:pPr>
    </w:p>
    <w:p>
      <w:pPr>
        <w:ind w:right="60" w:firstLine="486"/>
        <w:spacing w:after="0" w:line="302" w:lineRule="auto"/>
        <w:rPr>
          <w:sz w:val="20"/>
          <w:szCs w:val="20"/>
          <w:color w:val="auto"/>
        </w:rPr>
      </w:pPr>
      <w:r>
        <w:rPr>
          <w:rFonts w:ascii="Arial" w:cs="Arial" w:eastAsia="Arial" w:hAnsi="Arial"/>
          <w:sz w:val="16"/>
          <w:szCs w:val="16"/>
          <w:color w:val="auto"/>
        </w:rPr>
        <w:t>All of the Company’s investments in marketable securities are Level 1 securities which trade on public markets and have current prices that are readily available. In general, investments in fixed price securities are only in the commercial paper of financially sound corporations or the bonds of U.S. Government agencies. Although the value of such investments may fluctuate significantly based on economic factors, the Company’s own financial strength enables it to wait for the securities to either recover their value or to mature such that any interim unrealized gains or losses are deemed to be temporary.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56"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table below sets forth for the respective periods of fiscal years 2012 and 2011 the percentage of consolidated revenues represented by certain items in the Company’s consolidated statements of operations:</w:t>
      </w:r>
    </w:p>
    <w:p>
      <w:pPr>
        <w:spacing w:after="0" w:line="197"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6540" w:type="dxa"/>
            <w:vAlign w:val="bottom"/>
          </w:tcPr>
          <w:p>
            <w:pPr>
              <w:spacing w:after="0"/>
              <w:rPr>
                <w:sz w:val="18"/>
                <w:szCs w:val="18"/>
                <w:color w:val="auto"/>
              </w:rPr>
            </w:pPr>
          </w:p>
        </w:tc>
        <w:tc>
          <w:tcPr>
            <w:tcW w:w="2320" w:type="dxa"/>
            <w:vAlign w:val="bottom"/>
            <w:gridSpan w:val="4"/>
          </w:tcPr>
          <w:p>
            <w:pPr>
              <w:jc w:val="right"/>
              <w:ind w:right="200"/>
              <w:spacing w:after="0"/>
              <w:rPr>
                <w:sz w:val="20"/>
                <w:szCs w:val="20"/>
                <w:color w:val="auto"/>
              </w:rPr>
            </w:pPr>
            <w:r>
              <w:rPr>
                <w:rFonts w:ascii="Arial" w:cs="Arial" w:eastAsia="Arial" w:hAnsi="Arial"/>
                <w:sz w:val="18"/>
                <w:szCs w:val="18"/>
                <w:color w:val="auto"/>
                <w:w w:val="90"/>
              </w:rPr>
              <w:t>Three months ended July 31,</w:t>
            </w:r>
          </w:p>
        </w:tc>
      </w:tr>
      <w:tr>
        <w:trPr>
          <w:trHeight w:val="237"/>
        </w:trPr>
        <w:tc>
          <w:tcPr>
            <w:tcW w:w="6540" w:type="dxa"/>
            <w:vAlign w:val="bottom"/>
          </w:tcPr>
          <w:p>
            <w:pPr>
              <w:spacing w:after="0"/>
              <w:rPr>
                <w:sz w:val="20"/>
                <w:szCs w:val="20"/>
                <w:color w:val="auto"/>
              </w:rPr>
            </w:pPr>
          </w:p>
        </w:tc>
        <w:tc>
          <w:tcPr>
            <w:tcW w:w="9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2011</w:t>
            </w:r>
          </w:p>
        </w:tc>
        <w:tc>
          <w:tcPr>
            <w:tcW w:w="260" w:type="dxa"/>
            <w:vAlign w:val="bottom"/>
          </w:tcPr>
          <w:p>
            <w:pPr>
              <w:spacing w:after="0"/>
              <w:rPr>
                <w:sz w:val="20"/>
                <w:szCs w:val="20"/>
                <w:color w:val="auto"/>
              </w:rPr>
            </w:pPr>
          </w:p>
        </w:tc>
        <w:tc>
          <w:tcPr>
            <w:tcW w:w="9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2010</w:t>
            </w:r>
          </w:p>
        </w:tc>
        <w:tc>
          <w:tcPr>
            <w:tcW w:w="180" w:type="dxa"/>
            <w:vAlign w:val="bottom"/>
          </w:tcPr>
          <w:p>
            <w:pPr>
              <w:spacing w:after="0"/>
              <w:rPr>
                <w:sz w:val="20"/>
                <w:szCs w:val="20"/>
                <w:color w:val="auto"/>
              </w:rPr>
            </w:pPr>
          </w:p>
        </w:tc>
      </w:tr>
      <w:tr>
        <w:trPr>
          <w:trHeight w:val="216"/>
        </w:trPr>
        <w:tc>
          <w:tcPr>
            <w:tcW w:w="6540" w:type="dxa"/>
            <w:vAlign w:val="bottom"/>
            <w:shd w:val="clear" w:color="auto" w:fill="CCFFCC"/>
          </w:tcPr>
          <w:p>
            <w:pPr>
              <w:spacing w:after="0"/>
              <w:rPr>
                <w:sz w:val="20"/>
                <w:szCs w:val="20"/>
                <w:color w:val="auto"/>
              </w:rPr>
            </w:pPr>
            <w:r>
              <w:rPr>
                <w:rFonts w:ascii="Arial" w:cs="Arial" w:eastAsia="Arial" w:hAnsi="Arial"/>
                <w:sz w:val="18"/>
                <w:szCs w:val="18"/>
                <w:color w:val="auto"/>
              </w:rPr>
              <w:t>Net Revenues</w:t>
            </w:r>
          </w:p>
        </w:tc>
        <w:tc>
          <w:tcPr>
            <w:tcW w:w="94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94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r>
      <w:tr>
        <w:trPr>
          <w:trHeight w:val="216"/>
        </w:trPr>
        <w:tc>
          <w:tcPr>
            <w:tcW w:w="6540" w:type="dxa"/>
            <w:vAlign w:val="bottom"/>
          </w:tcPr>
          <w:p>
            <w:pPr>
              <w:ind w:left="160"/>
              <w:spacing w:after="0"/>
              <w:rPr>
                <w:sz w:val="20"/>
                <w:szCs w:val="20"/>
                <w:color w:val="auto"/>
              </w:rPr>
            </w:pPr>
            <w:r>
              <w:rPr>
                <w:rFonts w:ascii="Arial" w:cs="Arial" w:eastAsia="Arial" w:hAnsi="Arial"/>
                <w:sz w:val="18"/>
                <w:szCs w:val="18"/>
                <w:color w:val="auto"/>
              </w:rPr>
              <w:t>FEI-NY</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66.6%</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63.0%</w:t>
            </w:r>
          </w:p>
        </w:tc>
      </w:tr>
      <w:tr>
        <w:trPr>
          <w:trHeight w:val="216"/>
        </w:trPr>
        <w:tc>
          <w:tcPr>
            <w:tcW w:w="6540" w:type="dxa"/>
            <w:vAlign w:val="bottom"/>
            <w:shd w:val="clear" w:color="auto" w:fill="CCFFCC"/>
          </w:tcPr>
          <w:p>
            <w:pPr>
              <w:ind w:left="160"/>
              <w:spacing w:after="0"/>
              <w:rPr>
                <w:sz w:val="20"/>
                <w:szCs w:val="20"/>
                <w:color w:val="auto"/>
              </w:rPr>
            </w:pPr>
            <w:r>
              <w:rPr>
                <w:rFonts w:ascii="Arial" w:cs="Arial" w:eastAsia="Arial" w:hAnsi="Arial"/>
                <w:sz w:val="18"/>
                <w:szCs w:val="18"/>
                <w:color w:val="auto"/>
              </w:rPr>
              <w:t>Gillam-FEI</w:t>
            </w:r>
          </w:p>
        </w:tc>
        <w:tc>
          <w:tcPr>
            <w:tcW w:w="120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12.5</w:t>
            </w:r>
          </w:p>
        </w:tc>
        <w:tc>
          <w:tcPr>
            <w:tcW w:w="11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24.5</w:t>
            </w:r>
          </w:p>
        </w:tc>
      </w:tr>
      <w:tr>
        <w:trPr>
          <w:trHeight w:val="216"/>
        </w:trPr>
        <w:tc>
          <w:tcPr>
            <w:tcW w:w="6540" w:type="dxa"/>
            <w:vAlign w:val="bottom"/>
          </w:tcPr>
          <w:p>
            <w:pPr>
              <w:ind w:left="160"/>
              <w:spacing w:after="0"/>
              <w:rPr>
                <w:sz w:val="20"/>
                <w:szCs w:val="20"/>
                <w:color w:val="auto"/>
              </w:rPr>
            </w:pPr>
            <w:r>
              <w:rPr>
                <w:rFonts w:ascii="Arial" w:cs="Arial" w:eastAsia="Arial" w:hAnsi="Arial"/>
                <w:sz w:val="18"/>
                <w:szCs w:val="18"/>
                <w:color w:val="auto"/>
              </w:rPr>
              <w:t>FEI-Zyfer</w:t>
            </w: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23.7</w:t>
            </w: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20.6</w:t>
            </w:r>
          </w:p>
        </w:tc>
      </w:tr>
      <w:tr>
        <w:trPr>
          <w:trHeight w:val="216"/>
        </w:trPr>
        <w:tc>
          <w:tcPr>
            <w:tcW w:w="6540" w:type="dxa"/>
            <w:vAlign w:val="bottom"/>
            <w:shd w:val="clear" w:color="auto" w:fill="CCFFCC"/>
          </w:tcPr>
          <w:p>
            <w:pPr>
              <w:ind w:left="160"/>
              <w:spacing w:after="0"/>
              <w:rPr>
                <w:sz w:val="20"/>
                <w:szCs w:val="20"/>
                <w:color w:val="auto"/>
              </w:rPr>
            </w:pPr>
            <w:r>
              <w:rPr>
                <w:rFonts w:ascii="Arial" w:cs="Arial" w:eastAsia="Arial" w:hAnsi="Arial"/>
                <w:sz w:val="18"/>
                <w:szCs w:val="18"/>
                <w:color w:val="auto"/>
              </w:rPr>
              <w:t>Less intersegment revenues</w:t>
            </w:r>
          </w:p>
        </w:tc>
        <w:tc>
          <w:tcPr>
            <w:tcW w:w="12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(2.8)</w:t>
            </w:r>
          </w:p>
        </w:tc>
        <w:tc>
          <w:tcPr>
            <w:tcW w:w="11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(8.1)</w:t>
            </w:r>
          </w:p>
        </w:tc>
      </w:tr>
      <w:tr>
        <w:trPr>
          <w:trHeight w:val="27"/>
        </w:trPr>
        <w:tc>
          <w:tcPr>
            <w:tcW w:w="6540" w:type="dxa"/>
            <w:vAlign w:val="bottom"/>
            <w:shd w:val="clear" w:color="auto" w:fill="CCFFCC"/>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80" w:type="dxa"/>
            <w:vAlign w:val="bottom"/>
            <w:shd w:val="clear" w:color="auto" w:fill="CCFFCC"/>
          </w:tcPr>
          <w:p>
            <w:pPr>
              <w:spacing w:after="0"/>
              <w:rPr>
                <w:sz w:val="2"/>
                <w:szCs w:val="2"/>
                <w:color w:val="auto"/>
              </w:rPr>
            </w:pPr>
          </w:p>
        </w:tc>
      </w:tr>
      <w:tr>
        <w:trPr>
          <w:trHeight w:val="216"/>
        </w:trPr>
        <w:tc>
          <w:tcPr>
            <w:tcW w:w="654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100.0</w:t>
            </w: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100.0</w:t>
            </w:r>
          </w:p>
        </w:tc>
      </w:tr>
      <w:tr>
        <w:trPr>
          <w:trHeight w:val="216"/>
        </w:trPr>
        <w:tc>
          <w:tcPr>
            <w:tcW w:w="6540" w:type="dxa"/>
            <w:vAlign w:val="bottom"/>
            <w:shd w:val="clear" w:color="auto" w:fill="CCFFCC"/>
          </w:tcPr>
          <w:p>
            <w:pPr>
              <w:spacing w:after="0"/>
              <w:rPr>
                <w:sz w:val="20"/>
                <w:szCs w:val="20"/>
                <w:color w:val="auto"/>
              </w:rPr>
            </w:pPr>
            <w:r>
              <w:rPr>
                <w:rFonts w:ascii="Arial" w:cs="Arial" w:eastAsia="Arial" w:hAnsi="Arial"/>
                <w:sz w:val="18"/>
                <w:szCs w:val="18"/>
                <w:color w:val="auto"/>
              </w:rPr>
              <w:t>Cost of revenues</w:t>
            </w:r>
          </w:p>
        </w:tc>
        <w:tc>
          <w:tcPr>
            <w:tcW w:w="120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61.5</w:t>
            </w:r>
          </w:p>
        </w:tc>
        <w:tc>
          <w:tcPr>
            <w:tcW w:w="11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60.9</w:t>
            </w:r>
          </w:p>
        </w:tc>
      </w:tr>
      <w:tr>
        <w:trPr>
          <w:trHeight w:val="27"/>
        </w:trPr>
        <w:tc>
          <w:tcPr>
            <w:tcW w:w="6540" w:type="dxa"/>
            <w:vAlign w:val="bottom"/>
            <w:shd w:val="clear" w:color="auto" w:fill="CCFFCC"/>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80" w:type="dxa"/>
            <w:vAlign w:val="bottom"/>
            <w:shd w:val="clear" w:color="auto" w:fill="CCFFCC"/>
          </w:tcPr>
          <w:p>
            <w:pPr>
              <w:spacing w:after="0"/>
              <w:rPr>
                <w:sz w:val="2"/>
                <w:szCs w:val="2"/>
                <w:color w:val="auto"/>
              </w:rPr>
            </w:pPr>
          </w:p>
        </w:tc>
      </w:tr>
      <w:tr>
        <w:trPr>
          <w:trHeight w:val="216"/>
        </w:trPr>
        <w:tc>
          <w:tcPr>
            <w:tcW w:w="6540" w:type="dxa"/>
            <w:vAlign w:val="bottom"/>
          </w:tcPr>
          <w:p>
            <w:pPr>
              <w:ind w:left="320"/>
              <w:spacing w:after="0"/>
              <w:rPr>
                <w:sz w:val="20"/>
                <w:szCs w:val="20"/>
                <w:color w:val="auto"/>
              </w:rPr>
            </w:pPr>
            <w:r>
              <w:rPr>
                <w:rFonts w:ascii="Arial" w:cs="Arial" w:eastAsia="Arial" w:hAnsi="Arial"/>
                <w:sz w:val="18"/>
                <w:szCs w:val="18"/>
                <w:color w:val="auto"/>
              </w:rPr>
              <w:t>Gross margin</w:t>
            </w: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38.5</w:t>
            </w: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39.1</w:t>
            </w:r>
          </w:p>
        </w:tc>
      </w:tr>
      <w:tr>
        <w:trPr>
          <w:trHeight w:val="216"/>
        </w:trPr>
        <w:tc>
          <w:tcPr>
            <w:tcW w:w="6540" w:type="dxa"/>
            <w:vAlign w:val="bottom"/>
            <w:shd w:val="clear" w:color="auto" w:fill="CCFFCC"/>
          </w:tcPr>
          <w:p>
            <w:pPr>
              <w:spacing w:after="0"/>
              <w:rPr>
                <w:sz w:val="20"/>
                <w:szCs w:val="20"/>
                <w:color w:val="auto"/>
              </w:rPr>
            </w:pPr>
            <w:r>
              <w:rPr>
                <w:rFonts w:ascii="Arial" w:cs="Arial" w:eastAsia="Arial" w:hAnsi="Arial"/>
                <w:sz w:val="18"/>
                <w:szCs w:val="18"/>
                <w:color w:val="auto"/>
              </w:rPr>
              <w:t>Selling and administrative expenses</w:t>
            </w:r>
          </w:p>
        </w:tc>
        <w:tc>
          <w:tcPr>
            <w:tcW w:w="120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19.8</w:t>
            </w:r>
          </w:p>
        </w:tc>
        <w:tc>
          <w:tcPr>
            <w:tcW w:w="11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23.0</w:t>
            </w: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7.5</w:t>
            </w: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9.6</w:t>
            </w:r>
          </w:p>
        </w:tc>
      </w:tr>
      <w:tr>
        <w:trPr>
          <w:trHeight w:val="27"/>
        </w:trPr>
        <w:tc>
          <w:tcPr>
            <w:tcW w:w="654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r>
      <w:tr>
        <w:trPr>
          <w:trHeight w:val="216"/>
        </w:trPr>
        <w:tc>
          <w:tcPr>
            <w:tcW w:w="6540" w:type="dxa"/>
            <w:vAlign w:val="bottom"/>
            <w:shd w:val="clear" w:color="auto" w:fill="CCFFCC"/>
          </w:tcPr>
          <w:p>
            <w:pPr>
              <w:ind w:left="320"/>
              <w:spacing w:after="0"/>
              <w:rPr>
                <w:sz w:val="20"/>
                <w:szCs w:val="20"/>
                <w:color w:val="auto"/>
              </w:rPr>
            </w:pPr>
            <w:r>
              <w:rPr>
                <w:rFonts w:ascii="Arial" w:cs="Arial" w:eastAsia="Arial" w:hAnsi="Arial"/>
                <w:sz w:val="18"/>
                <w:szCs w:val="18"/>
                <w:color w:val="auto"/>
              </w:rPr>
              <w:t>Operating profit</w:t>
            </w:r>
          </w:p>
        </w:tc>
        <w:tc>
          <w:tcPr>
            <w:tcW w:w="120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11.2</w:t>
            </w:r>
          </w:p>
        </w:tc>
        <w:tc>
          <w:tcPr>
            <w:tcW w:w="11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6.5</w:t>
            </w: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Other income, net</w:t>
            </w: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1.2</w:t>
            </w: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0.6</w:t>
            </w:r>
          </w:p>
        </w:tc>
      </w:tr>
      <w:tr>
        <w:trPr>
          <w:trHeight w:val="27"/>
        </w:trPr>
        <w:tc>
          <w:tcPr>
            <w:tcW w:w="654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r>
      <w:tr>
        <w:trPr>
          <w:trHeight w:val="216"/>
        </w:trPr>
        <w:tc>
          <w:tcPr>
            <w:tcW w:w="6540" w:type="dxa"/>
            <w:vAlign w:val="bottom"/>
            <w:shd w:val="clear" w:color="auto" w:fill="CCFFCC"/>
          </w:tcPr>
          <w:p>
            <w:pPr>
              <w:spacing w:after="0"/>
              <w:rPr>
                <w:sz w:val="20"/>
                <w:szCs w:val="20"/>
                <w:color w:val="auto"/>
              </w:rPr>
            </w:pPr>
            <w:r>
              <w:rPr>
                <w:rFonts w:ascii="Arial" w:cs="Arial" w:eastAsia="Arial" w:hAnsi="Arial"/>
                <w:sz w:val="18"/>
                <w:szCs w:val="18"/>
                <w:color w:val="auto"/>
              </w:rPr>
              <w:t>Pretax income</w:t>
            </w:r>
          </w:p>
        </w:tc>
        <w:tc>
          <w:tcPr>
            <w:tcW w:w="120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12.4</w:t>
            </w:r>
          </w:p>
        </w:tc>
        <w:tc>
          <w:tcPr>
            <w:tcW w:w="11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7.1</w:t>
            </w: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4.0</w:t>
            </w: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2.9</w:t>
            </w:r>
          </w:p>
        </w:tc>
      </w:tr>
      <w:tr>
        <w:trPr>
          <w:trHeight w:val="27"/>
        </w:trPr>
        <w:tc>
          <w:tcPr>
            <w:tcW w:w="654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r>
      <w:tr>
        <w:trPr>
          <w:trHeight w:val="237"/>
        </w:trPr>
        <w:tc>
          <w:tcPr>
            <w:tcW w:w="6540" w:type="dxa"/>
            <w:vAlign w:val="bottom"/>
            <w:shd w:val="clear" w:color="auto" w:fill="CCFFCC"/>
          </w:tcPr>
          <w:p>
            <w:pPr>
              <w:ind w:left="320"/>
              <w:spacing w:after="0"/>
              <w:rPr>
                <w:sz w:val="20"/>
                <w:szCs w:val="20"/>
                <w:color w:val="auto"/>
              </w:rPr>
            </w:pPr>
            <w:r>
              <w:rPr>
                <w:rFonts w:ascii="Arial" w:cs="Arial" w:eastAsia="Arial" w:hAnsi="Arial"/>
                <w:sz w:val="18"/>
                <w:szCs w:val="18"/>
                <w:color w:val="auto"/>
              </w:rPr>
              <w:t>Net income</w:t>
            </w:r>
          </w:p>
        </w:tc>
        <w:tc>
          <w:tcPr>
            <w:tcW w:w="12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8.4%</w:t>
            </w:r>
          </w:p>
        </w:tc>
        <w:tc>
          <w:tcPr>
            <w:tcW w:w="112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4.2%</w:t>
            </w:r>
          </w:p>
        </w:tc>
      </w:tr>
      <w:tr>
        <w:trPr>
          <w:trHeight w:val="20"/>
        </w:trPr>
        <w:tc>
          <w:tcPr>
            <w:tcW w:w="6540" w:type="dxa"/>
            <w:vAlign w:val="bottom"/>
            <w:tcBorders>
              <w:top w:val="single" w:sz="8" w:color="CCFFCC"/>
            </w:tcBorders>
            <w:shd w:val="clear" w:color="auto" w:fill="CCFFCC"/>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FFCC"/>
            </w:tcBorders>
            <w:shd w:val="clear" w:color="auto" w:fill="CCFFCC"/>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r>
    </w:tbl>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(Note: All dollar amounts in following tables are in thousands, except Revenues which are in millions)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760" w:type="dxa"/>
            <w:vAlign w:val="bottom"/>
            <w:gridSpan w:val="3"/>
          </w:tcPr>
          <w:p>
            <w:pPr>
              <w:spacing w:after="0"/>
              <w:rPr>
                <w:sz w:val="20"/>
                <w:szCs w:val="20"/>
                <w:color w:val="auto"/>
              </w:rPr>
            </w:pPr>
            <w:r>
              <w:rPr>
                <w:rFonts w:ascii="Arial" w:cs="Arial" w:eastAsia="Arial" w:hAnsi="Arial"/>
                <w:sz w:val="18"/>
                <w:szCs w:val="18"/>
                <w:b w:val="1"/>
                <w:bCs w:val="1"/>
                <w:color w:val="auto"/>
              </w:rPr>
              <w:t>Revenues</w:t>
            </w:r>
          </w:p>
        </w:tc>
        <w:tc>
          <w:tcPr>
            <w:tcW w:w="3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gridSpan w:val="3"/>
            <w:vMerge w:val="restart"/>
          </w:tcPr>
          <w:p>
            <w:pPr>
              <w:jc w:val="right"/>
              <w:ind w:right="150"/>
              <w:spacing w:after="0"/>
              <w:rPr>
                <w:sz w:val="20"/>
                <w:szCs w:val="20"/>
                <w:color w:val="auto"/>
              </w:rPr>
            </w:pPr>
            <w:r>
              <w:rPr>
                <w:rFonts w:ascii="Arial" w:cs="Arial" w:eastAsia="Arial" w:hAnsi="Arial"/>
                <w:sz w:val="18"/>
                <w:szCs w:val="18"/>
                <w:color w:val="auto"/>
              </w:rPr>
              <w:t>(in millions)</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02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60" w:type="dxa"/>
            <w:vAlign w:val="bottom"/>
            <w:gridSpan w:val="3"/>
            <w:vMerge w:val="continue"/>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580" w:type="dxa"/>
            <w:vAlign w:val="bottom"/>
            <w:tcBorders>
              <w:bottom w:val="single" w:sz="8" w:color="auto"/>
            </w:tcBorders>
            <w:gridSpan w:val="7"/>
          </w:tcPr>
          <w:p>
            <w:pPr>
              <w:spacing w:after="0"/>
              <w:rPr>
                <w:sz w:val="20"/>
                <w:szCs w:val="20"/>
                <w:color w:val="auto"/>
              </w:rPr>
            </w:pPr>
            <w:r>
              <w:rPr>
                <w:rFonts w:ascii="Arial" w:cs="Arial" w:eastAsia="Arial" w:hAnsi="Arial"/>
                <w:sz w:val="18"/>
                <w:szCs w:val="18"/>
                <w:color w:val="auto"/>
              </w:rPr>
              <w:t>Three months ended July 31,</w:t>
            </w:r>
          </w:p>
        </w:tc>
        <w:tc>
          <w:tcPr>
            <w:tcW w:w="6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gridSpan w:val="3"/>
          </w:tcPr>
          <w:p>
            <w:pPr>
              <w:ind w:left="180"/>
              <w:spacing w:after="0"/>
              <w:rPr>
                <w:sz w:val="20"/>
                <w:szCs w:val="20"/>
                <w:color w:val="auto"/>
              </w:rPr>
            </w:pPr>
            <w:r>
              <w:rPr>
                <w:rFonts w:ascii="Arial" w:cs="Arial" w:eastAsia="Arial" w:hAnsi="Arial"/>
                <w:sz w:val="18"/>
                <w:szCs w:val="18"/>
                <w:color w:val="auto"/>
              </w:rPr>
              <w:t>Change</w:t>
            </w:r>
          </w:p>
        </w:tc>
        <w:tc>
          <w:tcPr>
            <w:tcW w:w="66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324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Segment</w:t>
            </w:r>
          </w:p>
        </w:tc>
        <w:tc>
          <w:tcPr>
            <w:tcW w:w="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2011</w:t>
            </w:r>
          </w:p>
        </w:tc>
        <w:tc>
          <w:tcPr>
            <w:tcW w:w="2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2010</w:t>
            </w:r>
          </w:p>
        </w:tc>
        <w:tc>
          <w:tcPr>
            <w:tcW w:w="18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FEI-NY</w:t>
            </w:r>
          </w:p>
        </w:tc>
        <w:tc>
          <w:tcPr>
            <w:tcW w:w="3520" w:type="dxa"/>
            <w:vAlign w:val="bottom"/>
            <w:gridSpan w:val="3"/>
            <w:shd w:val="clear" w:color="auto" w:fill="CCFFCC"/>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10.6</w:t>
            </w:r>
          </w:p>
        </w:tc>
        <w:tc>
          <w:tcPr>
            <w:tcW w:w="180" w:type="dxa"/>
            <w:vAlign w:val="bottom"/>
            <w:shd w:val="clear" w:color="auto" w:fill="CCFFCC"/>
          </w:tcPr>
          <w:p>
            <w:pPr>
              <w:spacing w:after="0"/>
              <w:rPr>
                <w:sz w:val="20"/>
                <w:szCs w:val="20"/>
                <w:color w:val="auto"/>
              </w:rPr>
            </w:pPr>
            <w:r>
              <w:rPr>
                <w:rFonts w:ascii="Arial" w:cs="Arial" w:eastAsia="Arial" w:hAnsi="Arial"/>
                <w:sz w:val="18"/>
                <w:szCs w:val="18"/>
                <w:color w:val="auto"/>
              </w:rPr>
              <w:t>$</w:t>
            </w:r>
          </w:p>
        </w:tc>
        <w:tc>
          <w:tcPr>
            <w:tcW w:w="7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7.6</w:t>
            </w:r>
          </w:p>
        </w:tc>
        <w:tc>
          <w:tcPr>
            <w:tcW w:w="180" w:type="dxa"/>
            <w:vAlign w:val="bottom"/>
            <w:tcBorders>
              <w:right w:val="single" w:sz="8" w:color="CCFFCC"/>
            </w:tcBorders>
            <w:shd w:val="clear" w:color="auto" w:fill="CCFFCC"/>
          </w:tcPr>
          <w:p>
            <w:pPr>
              <w:spacing w:after="0"/>
              <w:rPr>
                <w:sz w:val="18"/>
                <w:szCs w:val="18"/>
                <w:color w:val="auto"/>
              </w:rPr>
            </w:pPr>
          </w:p>
        </w:tc>
        <w:tc>
          <w:tcPr>
            <w:tcW w:w="600" w:type="dxa"/>
            <w:vAlign w:val="bottom"/>
            <w:shd w:val="clear" w:color="auto" w:fill="CCFFCC"/>
          </w:tcPr>
          <w:p>
            <w:pPr>
              <w:jc w:val="right"/>
              <w:ind w:right="410"/>
              <w:spacing w:after="0"/>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3.0</w:t>
            </w:r>
          </w:p>
        </w:tc>
        <w:tc>
          <w:tcPr>
            <w:tcW w:w="300" w:type="dxa"/>
            <w:vAlign w:val="bottom"/>
            <w:shd w:val="clear" w:color="auto" w:fill="CCFFCC"/>
          </w:tcPr>
          <w:p>
            <w:pPr>
              <w:spacing w:after="0"/>
              <w:rPr>
                <w:sz w:val="18"/>
                <w:szCs w:val="18"/>
                <w:color w:val="auto"/>
              </w:rPr>
            </w:pPr>
          </w:p>
        </w:tc>
        <w:tc>
          <w:tcPr>
            <w:tcW w:w="8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gridSpan w:val="2"/>
          </w:tcPr>
          <w:p>
            <w:pPr>
              <w:spacing w:after="0"/>
              <w:rPr>
                <w:sz w:val="20"/>
                <w:szCs w:val="20"/>
                <w:color w:val="auto"/>
              </w:rPr>
            </w:pPr>
            <w:r>
              <w:rPr>
                <w:rFonts w:ascii="Arial" w:cs="Arial" w:eastAsia="Arial" w:hAnsi="Arial"/>
                <w:sz w:val="18"/>
                <w:szCs w:val="18"/>
                <w:color w:val="auto"/>
              </w:rPr>
              <w:t>Gillam-FEI</w:t>
            </w:r>
          </w:p>
        </w:tc>
        <w:tc>
          <w:tcPr>
            <w:tcW w:w="3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2.0</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3.0</w:t>
            </w: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rPr>
              <w:t>(1.0)</w:t>
            </w:r>
          </w:p>
        </w:tc>
        <w:tc>
          <w:tcPr>
            <w:tcW w:w="30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FEI-Zyfer</w:t>
            </w:r>
          </w:p>
        </w:tc>
        <w:tc>
          <w:tcPr>
            <w:tcW w:w="32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9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3.8</w:t>
            </w:r>
          </w:p>
        </w:tc>
        <w:tc>
          <w:tcPr>
            <w:tcW w:w="180" w:type="dxa"/>
            <w:vAlign w:val="bottom"/>
            <w:shd w:val="clear" w:color="auto" w:fill="CCFFCC"/>
          </w:tcPr>
          <w:p>
            <w:pPr>
              <w:spacing w:after="0"/>
              <w:rPr>
                <w:sz w:val="18"/>
                <w:szCs w:val="18"/>
                <w:color w:val="auto"/>
              </w:rPr>
            </w:pPr>
          </w:p>
        </w:tc>
        <w:tc>
          <w:tcPr>
            <w:tcW w:w="7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2.5</w:t>
            </w:r>
          </w:p>
        </w:tc>
        <w:tc>
          <w:tcPr>
            <w:tcW w:w="180" w:type="dxa"/>
            <w:vAlign w:val="bottom"/>
            <w:tcBorders>
              <w:right w:val="single" w:sz="8" w:color="CCFFCC"/>
            </w:tcBorders>
            <w:shd w:val="clear" w:color="auto" w:fill="CCFFCC"/>
          </w:tcPr>
          <w:p>
            <w:pPr>
              <w:spacing w:after="0"/>
              <w:rPr>
                <w:sz w:val="18"/>
                <w:szCs w:val="18"/>
                <w:color w:val="auto"/>
              </w:rPr>
            </w:pPr>
          </w:p>
        </w:tc>
        <w:tc>
          <w:tcPr>
            <w:tcW w:w="600" w:type="dxa"/>
            <w:vAlign w:val="bottom"/>
            <w:shd w:val="clear" w:color="auto" w:fill="CCFFCC"/>
          </w:tcPr>
          <w:p>
            <w:pPr>
              <w:spacing w:after="0"/>
              <w:rPr>
                <w:sz w:val="18"/>
                <w:szCs w:val="18"/>
                <w:color w:val="auto"/>
              </w:rPr>
            </w:pPr>
          </w:p>
        </w:tc>
        <w:tc>
          <w:tcPr>
            <w:tcW w:w="54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1.3</w:t>
            </w:r>
          </w:p>
        </w:tc>
        <w:tc>
          <w:tcPr>
            <w:tcW w:w="300" w:type="dxa"/>
            <w:vAlign w:val="bottom"/>
            <w:shd w:val="clear" w:color="auto" w:fill="CCFFCC"/>
          </w:tcPr>
          <w:p>
            <w:pPr>
              <w:spacing w:after="0"/>
              <w:rPr>
                <w:sz w:val="18"/>
                <w:szCs w:val="18"/>
                <w:color w:val="auto"/>
              </w:rPr>
            </w:pPr>
          </w:p>
        </w:tc>
        <w:tc>
          <w:tcPr>
            <w:tcW w:w="8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gridSpan w:val="2"/>
          </w:tcPr>
          <w:p>
            <w:pPr>
              <w:spacing w:after="0"/>
              <w:rPr>
                <w:sz w:val="20"/>
                <w:szCs w:val="20"/>
                <w:color w:val="auto"/>
              </w:rPr>
            </w:pPr>
            <w:r>
              <w:rPr>
                <w:rFonts w:ascii="Arial" w:cs="Arial" w:eastAsia="Arial" w:hAnsi="Arial"/>
                <w:sz w:val="18"/>
                <w:szCs w:val="18"/>
                <w:color w:val="auto"/>
              </w:rPr>
              <w:t>Intersegment sales</w:t>
            </w:r>
          </w:p>
        </w:tc>
        <w:tc>
          <w:tcPr>
            <w:tcW w:w="3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(0.5)</w:t>
            </w:r>
          </w:p>
        </w:tc>
        <w:tc>
          <w:tcPr>
            <w:tcW w:w="18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(1.0)</w:t>
            </w:r>
          </w:p>
        </w:tc>
        <w:tc>
          <w:tcPr>
            <w:tcW w:w="600" w:type="dxa"/>
            <w:vAlign w:val="bottom"/>
          </w:tcPr>
          <w:p>
            <w:pPr>
              <w:spacing w:after="0"/>
              <w:rPr>
                <w:sz w:val="18"/>
                <w:szCs w:val="18"/>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8"/>
                <w:szCs w:val="18"/>
                <w:color w:val="auto"/>
              </w:rPr>
              <w:t>0.5</w:t>
            </w: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720" w:type="dxa"/>
            <w:vAlign w:val="bottom"/>
            <w:shd w:val="clear" w:color="auto" w:fill="CCFFCC"/>
          </w:tcPr>
          <w:p>
            <w:pPr>
              <w:spacing w:after="0"/>
              <w:rPr>
                <w:sz w:val="20"/>
                <w:szCs w:val="20"/>
                <w:color w:val="auto"/>
              </w:rPr>
            </w:pPr>
          </w:p>
        </w:tc>
        <w:tc>
          <w:tcPr>
            <w:tcW w:w="1020" w:type="dxa"/>
            <w:vAlign w:val="bottom"/>
            <w:shd w:val="clear" w:color="auto" w:fill="CCFFCC"/>
          </w:tcPr>
          <w:p>
            <w:pPr>
              <w:spacing w:after="0"/>
              <w:rPr>
                <w:sz w:val="20"/>
                <w:szCs w:val="20"/>
                <w:color w:val="auto"/>
              </w:rPr>
            </w:pPr>
          </w:p>
        </w:tc>
        <w:tc>
          <w:tcPr>
            <w:tcW w:w="3320" w:type="dxa"/>
            <w:vAlign w:val="bottom"/>
            <w:gridSpan w:val="2"/>
            <w:shd w:val="clear" w:color="auto" w:fill="CCFFCC"/>
          </w:tcPr>
          <w:p>
            <w:pPr>
              <w:spacing w:after="0"/>
              <w:rPr>
                <w:sz w:val="20"/>
                <w:szCs w:val="20"/>
                <w:color w:val="auto"/>
              </w:rPr>
            </w:pPr>
          </w:p>
        </w:tc>
        <w:tc>
          <w:tcPr>
            <w:tcW w:w="20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15.9</w:t>
            </w:r>
          </w:p>
        </w:tc>
        <w:tc>
          <w:tcPr>
            <w:tcW w:w="180" w:type="dxa"/>
            <w:vAlign w:val="bottom"/>
            <w:shd w:val="clear" w:color="auto" w:fill="CCFFCC"/>
          </w:tcPr>
          <w:p>
            <w:pPr>
              <w:spacing w:after="0"/>
              <w:rPr>
                <w:sz w:val="20"/>
                <w:szCs w:val="20"/>
                <w:color w:val="auto"/>
              </w:rPr>
            </w:pPr>
            <w:r>
              <w:rPr>
                <w:rFonts w:ascii="Arial" w:cs="Arial" w:eastAsia="Arial" w:hAnsi="Arial"/>
                <w:sz w:val="18"/>
                <w:szCs w:val="18"/>
                <w:color w:val="auto"/>
              </w:rPr>
              <w:t>$</w:t>
            </w:r>
          </w:p>
        </w:tc>
        <w:tc>
          <w:tcPr>
            <w:tcW w:w="960" w:type="dxa"/>
            <w:vAlign w:val="bottom"/>
            <w:tcBorders>
              <w:right w:val="single" w:sz="8" w:color="CCFFCC"/>
            </w:tcBorders>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12.1</w:t>
            </w:r>
          </w:p>
        </w:tc>
        <w:tc>
          <w:tcPr>
            <w:tcW w:w="600" w:type="dxa"/>
            <w:vAlign w:val="bottom"/>
            <w:shd w:val="clear" w:color="auto" w:fill="CCFFCC"/>
          </w:tcPr>
          <w:p>
            <w:pPr>
              <w:jc w:val="right"/>
              <w:ind w:right="410"/>
              <w:spacing w:after="0"/>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3.8</w:t>
            </w:r>
          </w:p>
        </w:tc>
        <w:tc>
          <w:tcPr>
            <w:tcW w:w="300" w:type="dxa"/>
            <w:vAlign w:val="bottom"/>
            <w:shd w:val="clear" w:color="auto" w:fill="CCFFCC"/>
          </w:tcPr>
          <w:p>
            <w:pPr>
              <w:spacing w:after="0"/>
              <w:rPr>
                <w:sz w:val="20"/>
                <w:szCs w:val="20"/>
                <w:color w:val="auto"/>
              </w:rPr>
            </w:pPr>
          </w:p>
        </w:tc>
        <w:tc>
          <w:tcPr>
            <w:tcW w:w="8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tcBorders>
              <w:top w:val="single" w:sz="8" w:color="CCFFCC"/>
            </w:tcBorders>
            <w:shd w:val="clear" w:color="auto" w:fill="CCFFCC"/>
          </w:tcPr>
          <w:p>
            <w:pPr>
              <w:spacing w:after="0" w:line="20" w:lineRule="exact"/>
              <w:rPr>
                <w:sz w:val="1"/>
                <w:szCs w:val="1"/>
                <w:color w:val="auto"/>
              </w:rPr>
            </w:pPr>
          </w:p>
        </w:tc>
        <w:tc>
          <w:tcPr>
            <w:tcW w:w="1020" w:type="dxa"/>
            <w:vAlign w:val="bottom"/>
            <w:tcBorders>
              <w:top w:val="single" w:sz="8" w:color="CCFFCC"/>
            </w:tcBorders>
            <w:shd w:val="clear" w:color="auto" w:fill="CCFFCC"/>
          </w:tcPr>
          <w:p>
            <w:pPr>
              <w:spacing w:after="0" w:line="20" w:lineRule="exact"/>
              <w:rPr>
                <w:sz w:val="1"/>
                <w:szCs w:val="1"/>
                <w:color w:val="auto"/>
              </w:rPr>
            </w:pPr>
          </w:p>
        </w:tc>
        <w:tc>
          <w:tcPr>
            <w:tcW w:w="324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300" w:type="dxa"/>
            <w:vAlign w:val="bottom"/>
            <w:tcBorders>
              <w:top w:val="single" w:sz="8" w:color="CCFFCC"/>
            </w:tcBorders>
            <w:shd w:val="clear" w:color="auto" w:fill="CCFFCC"/>
          </w:tcPr>
          <w:p>
            <w:pPr>
              <w:spacing w:after="0" w:line="20" w:lineRule="exact"/>
              <w:rPr>
                <w:sz w:val="1"/>
                <w:szCs w:val="1"/>
                <w:color w:val="auto"/>
              </w:rPr>
            </w:pPr>
          </w:p>
        </w:tc>
        <w:tc>
          <w:tcPr>
            <w:tcW w:w="660" w:type="dxa"/>
            <w:vAlign w:val="bottom"/>
            <w:tcBorders>
              <w:top w:val="single" w:sz="8" w:color="CCFFCC"/>
            </w:tcBorders>
            <w:shd w:val="clear" w:color="auto" w:fill="CCFFCC"/>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31% increase in consolidated revenues for the three months ended July 31, 2011 compared to the same period of fiscal year 2011, was generated primarily from satellite payload programs as a result of recent contract bookings in the FEI-NY segment. In the fiscal year 2012 period, revenues from commercial and U.S. Government satellite programs accounted for approximately 40% of consolidated revenues compared to approximately 30% for the same period of fiscal year 2011. Revenues on these contracts are recognized primarily under the percentage of completion method. Increased network infrastructure revenues generated by the FEI-Zyfer segment were partially offset by declines in that business area in the Gillam-FEI segment. Network infrastructure revenues were less than 30% of consolidated revenues for the three months ended July 31, 2011 compared to approximately 30% for the same period of fiscal year 2011. In the fiscal year 2012 quarter, revenues from the U.S. Government/DOD business area, which are recorded in the FEI-NY and FEI-Zyfer segments, were approximately the same dollar amount as the same period of fiscal year 2011, accounting for approximately 20% and 25%, respectively, of consolidated revenues.</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 of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color w:val="auto"/>
        </w:rPr>
        <w:t>FREQUENCY ELECTRONICS,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w:t>
      </w:r>
    </w:p>
    <w:p>
      <w:pPr>
        <w:spacing w:after="0" w:line="238" w:lineRule="exact"/>
        <w:rPr>
          <w:sz w:val="20"/>
          <w:szCs w:val="20"/>
          <w:color w:val="auto"/>
        </w:rPr>
      </w:pPr>
    </w:p>
    <w:p>
      <w:pPr>
        <w:jc w:val="both"/>
        <w:ind w:firstLine="486"/>
        <w:spacing w:after="0" w:line="290" w:lineRule="auto"/>
        <w:rPr>
          <w:sz w:val="20"/>
          <w:szCs w:val="20"/>
          <w:color w:val="auto"/>
        </w:rPr>
      </w:pPr>
      <w:r>
        <w:rPr>
          <w:rFonts w:ascii="Arial" w:cs="Arial" w:eastAsia="Arial" w:hAnsi="Arial"/>
          <w:sz w:val="16"/>
          <w:szCs w:val="16"/>
          <w:color w:val="auto"/>
        </w:rPr>
        <w:t>For the three months ended July 31, 2010, consolidated revenues decreased by 3% from the fiscal year 2010 quarter due primarily from lower levels of network infrastructure revenues generated by the FEI-Zyfer segment. These lower network infrastructure revenues in fiscal year 2011 were partially offset by increased revenues from the FEI-NY and Gillam-FEI segments and the Company’s other two major market areas: satellite payloads and non-satellite U.S. Government/DOD. Revenues from satellite payload programs increased modestly while U.S. Government/DOD non-space revenues increased by more than 20% compared to the same period of fiscal year 2010. Revenues from Gillam-FEI’s non-telecommunication product line accounted for an increase in fiscal year 2011 revenues in that segment. During the remainder of fiscal year 2012, the Company expects to realize increased revenues from both U.S. Government and commercial satellite payload programs as compared to the previous fiscal year. Similarly, the Company expects to realize continued sales growth in U.S. Government/DOD non-space programs and from wireline telecommunication infrastructure products.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Gross margin</w:t>
      </w:r>
    </w:p>
    <w:p>
      <w:pPr>
        <w:spacing w:after="0" w:line="27" w:lineRule="exact"/>
        <w:rPr>
          <w:sz w:val="20"/>
          <w:szCs w:val="20"/>
          <w:color w:val="auto"/>
        </w:rPr>
      </w:pPr>
    </w:p>
    <w:tbl>
      <w:tblPr>
        <w:tblLayout w:type="fixed"/>
        <w:tblInd w:w="172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40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40" w:type="dxa"/>
            <w:vAlign w:val="bottom"/>
            <w:tcBorders>
              <w:bottom w:val="single" w:sz="8" w:color="auto"/>
            </w:tcBorders>
            <w:gridSpan w:val="8"/>
          </w:tcPr>
          <w:p>
            <w:pPr>
              <w:ind w:left="20"/>
              <w:spacing w:after="0"/>
              <w:rPr>
                <w:sz w:val="20"/>
                <w:szCs w:val="20"/>
                <w:color w:val="auto"/>
              </w:rPr>
            </w:pPr>
            <w:r>
              <w:rPr>
                <w:rFonts w:ascii="Arial" w:cs="Arial" w:eastAsia="Arial" w:hAnsi="Arial"/>
                <w:sz w:val="18"/>
                <w:szCs w:val="18"/>
                <w:color w:val="auto"/>
              </w:rPr>
              <w:t>Three months ended July 31,</w:t>
            </w:r>
          </w:p>
        </w:tc>
        <w:tc>
          <w:tcPr>
            <w:tcW w:w="52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3"/>
          </w:tcPr>
          <w:p>
            <w:pPr>
              <w:ind w:left="360"/>
              <w:spacing w:after="0"/>
              <w:rPr>
                <w:sz w:val="20"/>
                <w:szCs w:val="20"/>
                <w:color w:val="auto"/>
              </w:rPr>
            </w:pPr>
            <w:r>
              <w:rPr>
                <w:rFonts w:ascii="Arial" w:cs="Arial" w:eastAsia="Arial" w:hAnsi="Arial"/>
                <w:sz w:val="18"/>
                <w:szCs w:val="18"/>
                <w:color w:val="auto"/>
                <w:w w:val="91"/>
              </w:rPr>
              <w:t>Change</w:t>
            </w:r>
          </w:p>
        </w:tc>
        <w:tc>
          <w:tcPr>
            <w:tcW w:w="52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2011</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2010</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6,144</w:t>
            </w:r>
          </w:p>
        </w:tc>
        <w:tc>
          <w:tcPr>
            <w:tcW w:w="3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4,746</w:t>
            </w:r>
          </w:p>
        </w:tc>
        <w:tc>
          <w:tcPr>
            <w:tcW w:w="240" w:type="dxa"/>
            <w:vAlign w:val="bottom"/>
            <w:shd w:val="clear" w:color="auto" w:fill="CCFFCC"/>
          </w:tcPr>
          <w:p>
            <w:pPr>
              <w:jc w:val="right"/>
              <w:ind w:right="50"/>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1,398</w:t>
            </w:r>
          </w:p>
        </w:tc>
        <w:tc>
          <w:tcPr>
            <w:tcW w:w="240" w:type="dxa"/>
            <w:vAlign w:val="bottom"/>
            <w:shd w:val="clear" w:color="auto" w:fill="CCFFCC"/>
          </w:tcPr>
          <w:p>
            <w:pPr>
              <w:spacing w:after="0"/>
              <w:rPr>
                <w:sz w:val="18"/>
                <w:szCs w:val="18"/>
                <w:color w:val="auto"/>
              </w:rPr>
            </w:pPr>
          </w:p>
        </w:tc>
        <w:tc>
          <w:tcPr>
            <w:tcW w:w="6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80" w:type="dxa"/>
            <w:vAlign w:val="bottom"/>
            <w:gridSpan w:val="2"/>
            <w:shd w:val="clear" w:color="auto" w:fill="CCFFCC"/>
          </w:tcPr>
          <w:p>
            <w:pPr>
              <w:jc w:val="right"/>
              <w:ind w:right="3540"/>
              <w:spacing w:after="0"/>
              <w:rPr>
                <w:sz w:val="20"/>
                <w:szCs w:val="20"/>
                <w:color w:val="auto"/>
              </w:rPr>
            </w:pPr>
            <w:r>
              <w:rPr>
                <w:rFonts w:ascii="Arial" w:cs="Arial" w:eastAsia="Arial" w:hAnsi="Arial"/>
                <w:sz w:val="18"/>
                <w:szCs w:val="18"/>
                <w:color w:val="auto"/>
                <w:w w:val="86"/>
              </w:rPr>
              <w:t>GM Rate</w:t>
            </w:r>
          </w:p>
        </w:tc>
        <w:tc>
          <w:tcPr>
            <w:tcW w:w="860" w:type="dxa"/>
            <w:vAlign w:val="bottom"/>
            <w:gridSpan w:val="3"/>
            <w:shd w:val="clear" w:color="auto" w:fill="CCFFCC"/>
          </w:tcPr>
          <w:p>
            <w:pPr>
              <w:jc w:val="right"/>
              <w:spacing w:after="0"/>
              <w:rPr>
                <w:sz w:val="20"/>
                <w:szCs w:val="20"/>
                <w:color w:val="auto"/>
              </w:rPr>
            </w:pPr>
            <w:r>
              <w:rPr>
                <w:rFonts w:ascii="Arial" w:cs="Arial" w:eastAsia="Arial" w:hAnsi="Arial"/>
                <w:sz w:val="18"/>
                <w:szCs w:val="18"/>
                <w:color w:val="auto"/>
              </w:rPr>
              <w:t>38.5%</w:t>
            </w:r>
          </w:p>
        </w:tc>
        <w:tc>
          <w:tcPr>
            <w:tcW w:w="160" w:type="dxa"/>
            <w:vAlign w:val="bottom"/>
            <w:shd w:val="clear" w:color="auto" w:fill="CCFFCC"/>
          </w:tcPr>
          <w:p>
            <w:pPr>
              <w:spacing w:after="0"/>
              <w:rPr>
                <w:sz w:val="18"/>
                <w:szCs w:val="18"/>
                <w:color w:val="auto"/>
              </w:rPr>
            </w:pPr>
          </w:p>
        </w:tc>
        <w:tc>
          <w:tcPr>
            <w:tcW w:w="8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39.1%</w:t>
            </w:r>
          </w:p>
        </w:tc>
        <w:tc>
          <w:tcPr>
            <w:tcW w:w="240" w:type="dxa"/>
            <w:vAlign w:val="bottom"/>
            <w:shd w:val="clear" w:color="auto" w:fill="CCFFCC"/>
          </w:tcPr>
          <w:p>
            <w:pPr>
              <w:spacing w:after="0"/>
              <w:rPr>
                <w:sz w:val="18"/>
                <w:szCs w:val="18"/>
                <w:color w:val="auto"/>
              </w:rPr>
            </w:pPr>
          </w:p>
        </w:tc>
        <w:tc>
          <w:tcPr>
            <w:tcW w:w="58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5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The improvement in gross margin for the three months ended July 31, 2011 compared to the same period a year ago reflects the 31% increase in revenue recorded in the first quarter of fiscal year 2012. The different mix of programs on which the Company is working in the fiscal year 2012 period accounted for the small decline in the gross margin rate compared to the three months ended July 31, 2010. Of the Company’s three segments, the FEI-NY segment experienced the largest gross margin rate improvement as the higher volume of business covered more of that segment’s fixed costs. The gross margin rates recorded in the fiscal year 2012 and 2011 periods approach the Company’s targeted rate of 40%. The Company anticipates that its gross margin rates for the remainder of fiscal year 2012 will reach or exceed its target rate.</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Selling and administrative expenses</w:t>
      </w:r>
    </w:p>
    <w:p>
      <w:pPr>
        <w:spacing w:after="0" w:line="256"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Three months ended July 31,</w:t>
      </w:r>
    </w:p>
    <w:p>
      <w:pPr>
        <w:spacing w:after="0" w:line="23" w:lineRule="exact"/>
        <w:rPr>
          <w:sz w:val="20"/>
          <w:szCs w:val="20"/>
          <w:color w:val="auto"/>
        </w:rPr>
      </w:pPr>
    </w:p>
    <w:tbl>
      <w:tblPr>
        <w:tblLayout w:type="fixed"/>
        <w:tblInd w:w="1720" w:type="dxa"/>
        <w:tblCellMar>
          <w:top w:w="0" w:type="dxa"/>
          <w:left w:w="0" w:type="dxa"/>
          <w:bottom w:w="0" w:type="dxa"/>
          <w:right w:w="0" w:type="dxa"/>
        </w:tblCellMar>
      </w:tblPr>
      <w:tr>
        <w:trPr>
          <w:trHeight w:val="230"/>
        </w:trPr>
        <w:tc>
          <w:tcPr>
            <w:tcW w:w="4200" w:type="dxa"/>
            <w:vAlign w:val="bottom"/>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gridSpan w:val="3"/>
          </w:tcPr>
          <w:p>
            <w:pPr>
              <w:ind w:left="360"/>
              <w:spacing w:after="0"/>
              <w:rPr>
                <w:sz w:val="20"/>
                <w:szCs w:val="20"/>
                <w:color w:val="auto"/>
              </w:rPr>
            </w:pPr>
            <w:r>
              <w:rPr>
                <w:rFonts w:ascii="Arial" w:cs="Arial" w:eastAsia="Arial" w:hAnsi="Arial"/>
                <w:sz w:val="18"/>
                <w:szCs w:val="18"/>
                <w:color w:val="auto"/>
                <w:w w:val="95"/>
              </w:rPr>
              <w:t>Change</w:t>
            </w:r>
          </w:p>
        </w:tc>
        <w:tc>
          <w:tcPr>
            <w:tcW w:w="520" w:type="dxa"/>
            <w:vAlign w:val="bottom"/>
            <w:tcBorders>
              <w:top w:val="single" w:sz="8" w:color="auto"/>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23"/>
        </w:trPr>
        <w:tc>
          <w:tcPr>
            <w:tcW w:w="4200" w:type="dxa"/>
            <w:vAlign w:val="bottom"/>
          </w:tcPr>
          <w:p>
            <w:pPr>
              <w:spacing w:after="0"/>
              <w:rPr>
                <w:sz w:val="19"/>
                <w:szCs w:val="19"/>
                <w:color w:val="auto"/>
              </w:rPr>
            </w:pPr>
          </w:p>
        </w:tc>
        <w:tc>
          <w:tcPr>
            <w:tcW w:w="8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2011</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2010</w:t>
            </w:r>
          </w:p>
        </w:tc>
        <w:tc>
          <w:tcPr>
            <w:tcW w:w="1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r>
      <w:tr>
        <w:trPr>
          <w:trHeight w:val="216"/>
        </w:trPr>
        <w:tc>
          <w:tcPr>
            <w:tcW w:w="5080" w:type="dxa"/>
            <w:vAlign w:val="bottom"/>
            <w:gridSpan w:val="3"/>
            <w:shd w:val="clear" w:color="auto" w:fill="CCFFCC"/>
          </w:tcPr>
          <w:p>
            <w:pPr>
              <w:jc w:val="right"/>
              <w:ind w:right="60"/>
              <w:spacing w:after="0"/>
              <w:rPr>
                <w:sz w:val="20"/>
                <w:szCs w:val="20"/>
                <w:color w:val="auto"/>
              </w:rPr>
            </w:pPr>
            <w:r>
              <w:rPr>
                <w:rFonts w:ascii="Arial" w:cs="Arial" w:eastAsia="Arial" w:hAnsi="Arial"/>
                <w:sz w:val="18"/>
                <w:szCs w:val="18"/>
                <w:color w:val="auto"/>
              </w:rPr>
              <w:t>$    3,162</w:t>
            </w:r>
          </w:p>
        </w:tc>
        <w:tc>
          <w:tcPr>
            <w:tcW w:w="22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2,795</w:t>
            </w:r>
          </w:p>
        </w:tc>
        <w:tc>
          <w:tcPr>
            <w:tcW w:w="3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367</w:t>
            </w:r>
          </w:p>
        </w:tc>
        <w:tc>
          <w:tcPr>
            <w:tcW w:w="260" w:type="dxa"/>
            <w:vAlign w:val="bottom"/>
            <w:shd w:val="clear" w:color="auto" w:fill="CCFFCC"/>
          </w:tcPr>
          <w:p>
            <w:pPr>
              <w:spacing w:after="0"/>
              <w:rPr>
                <w:sz w:val="18"/>
                <w:szCs w:val="18"/>
                <w:color w:val="auto"/>
              </w:rPr>
            </w:pPr>
          </w:p>
        </w:tc>
        <w:tc>
          <w:tcPr>
            <w:tcW w:w="6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-136525</wp:posOffset>
            </wp:positionV>
            <wp:extent cx="2667000"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667000" cy="137160"/>
                    </a:xfrm>
                    <a:prstGeom prst="rect">
                      <a:avLst/>
                    </a:prstGeom>
                    <a:noFill/>
                  </pic:spPr>
                </pic:pic>
              </a:graphicData>
            </a:graphic>
          </wp:anchor>
        </w:drawing>
      </w:r>
    </w:p>
    <w:p>
      <w:pPr>
        <w:spacing w:after="0" w:line="209"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For the three months ended July 31, 2011 and 2010, selling and administrative expenses were 20% and 23%, respectively, of consolidated revenues. The increase in expenses in the fiscal year 2012 quarter compared to the same period of fiscal year 2011 is due to increased incentive compensation expenses resulting from greater profitability as well as increased stock-based compensation and deferred compensation expenses. For the remainder of fiscal year 2012, the Company expects selling and administrative expenses to be incurred at approximately the same rate and should meet the Company’s target of 20% of revenues or less.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Research and development expense</w:t>
      </w:r>
    </w:p>
    <w:p>
      <w:pPr>
        <w:spacing w:after="0" w:line="256"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Three months ended July 31,</w:t>
      </w:r>
    </w:p>
    <w:p>
      <w:pPr>
        <w:spacing w:after="0" w:line="23" w:lineRule="exact"/>
        <w:rPr>
          <w:sz w:val="20"/>
          <w:szCs w:val="20"/>
          <w:color w:val="auto"/>
        </w:rPr>
      </w:pPr>
    </w:p>
    <w:tbl>
      <w:tblPr>
        <w:tblLayout w:type="fixed"/>
        <w:tblInd w:w="1720" w:type="dxa"/>
        <w:tblCellMar>
          <w:top w:w="0" w:type="dxa"/>
          <w:left w:w="0" w:type="dxa"/>
          <w:bottom w:w="0" w:type="dxa"/>
          <w:right w:w="0" w:type="dxa"/>
        </w:tblCellMar>
      </w:tblPr>
      <w:tr>
        <w:trPr>
          <w:trHeight w:val="230"/>
        </w:trPr>
        <w:tc>
          <w:tcPr>
            <w:tcW w:w="42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gridSpan w:val="3"/>
          </w:tcPr>
          <w:p>
            <w:pPr>
              <w:ind w:left="360"/>
              <w:spacing w:after="0"/>
              <w:rPr>
                <w:sz w:val="20"/>
                <w:szCs w:val="20"/>
                <w:color w:val="auto"/>
              </w:rPr>
            </w:pPr>
            <w:r>
              <w:rPr>
                <w:rFonts w:ascii="Arial" w:cs="Arial" w:eastAsia="Arial" w:hAnsi="Arial"/>
                <w:sz w:val="18"/>
                <w:szCs w:val="18"/>
                <w:color w:val="auto"/>
                <w:w w:val="95"/>
              </w:rPr>
              <w:t>Change</w:t>
            </w:r>
          </w:p>
        </w:tc>
        <w:tc>
          <w:tcPr>
            <w:tcW w:w="520" w:type="dxa"/>
            <w:vAlign w:val="bottom"/>
            <w:tcBorders>
              <w:top w:val="single" w:sz="8" w:color="auto"/>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23"/>
        </w:trPr>
        <w:tc>
          <w:tcPr>
            <w:tcW w:w="42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2011</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2010</w:t>
            </w:r>
          </w:p>
        </w:tc>
        <w:tc>
          <w:tcPr>
            <w:tcW w:w="1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r>
      <w:tr>
        <w:trPr>
          <w:trHeight w:val="216"/>
        </w:trPr>
        <w:tc>
          <w:tcPr>
            <w:tcW w:w="43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1,198</w:t>
            </w:r>
          </w:p>
        </w:tc>
        <w:tc>
          <w:tcPr>
            <w:tcW w:w="22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1,162</w:t>
            </w:r>
          </w:p>
        </w:tc>
        <w:tc>
          <w:tcPr>
            <w:tcW w:w="3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36</w:t>
            </w:r>
          </w:p>
        </w:tc>
        <w:tc>
          <w:tcPr>
            <w:tcW w:w="260" w:type="dxa"/>
            <w:vAlign w:val="bottom"/>
            <w:shd w:val="clear" w:color="auto" w:fill="CCFFCC"/>
          </w:tcPr>
          <w:p>
            <w:pPr>
              <w:spacing w:after="0"/>
              <w:rPr>
                <w:sz w:val="18"/>
                <w:szCs w:val="18"/>
                <w:color w:val="auto"/>
              </w:rPr>
            </w:pPr>
          </w:p>
        </w:tc>
        <w:tc>
          <w:tcPr>
            <w:tcW w:w="6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-136525</wp:posOffset>
            </wp:positionV>
            <wp:extent cx="2667000"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667000" cy="137160"/>
                    </a:xfrm>
                    <a:prstGeom prst="rect">
                      <a:avLst/>
                    </a:prstGeom>
                    <a:noFill/>
                  </pic:spPr>
                </pic:pic>
              </a:graphicData>
            </a:graphic>
          </wp:anchor>
        </w:drawing>
      </w:r>
    </w:p>
    <w:p>
      <w:pPr>
        <w:spacing w:after="0" w:line="209" w:lineRule="exact"/>
        <w:rPr>
          <w:sz w:val="20"/>
          <w:szCs w:val="20"/>
          <w:color w:val="auto"/>
        </w:rPr>
      </w:pPr>
    </w:p>
    <w:p>
      <w:pPr>
        <w:jc w:val="both"/>
        <w:ind w:firstLine="486"/>
        <w:spacing w:after="0" w:line="270" w:lineRule="auto"/>
        <w:rPr>
          <w:sz w:val="20"/>
          <w:szCs w:val="20"/>
          <w:color w:val="auto"/>
        </w:rPr>
      </w:pPr>
      <w:r>
        <w:rPr>
          <w:rFonts w:ascii="Arial" w:cs="Arial" w:eastAsia="Arial" w:hAnsi="Arial"/>
          <w:sz w:val="17"/>
          <w:szCs w:val="17"/>
          <w:color w:val="auto"/>
        </w:rPr>
        <w:t>Research and development expenditures represent investments intended to keep the Company’s products at the leading edge of time and frequency technology and enhance competitiveness for future revenues. Research and development spending for the three-month periods ended July 31, 2011 and 2010, was 8% and 10% of revenues, respectively, compared to the Company’s target of 10% of revenues. R&amp;D spending in fiscal year 2012 continued to facilitate development of new satellite payload products from DC to Ka Band, development and improvement of miniaturized rubidium atomic clocks, development of new GPS-based synchronization products and further enhancement of the capabilities of its line of low g-sensitivity and ruggedized rubidium oscillators. In addition, the Company continues to conduct development activities on customer-funded programs the cost of which appears in cost of revenues, thus reducing the level of internal research and development spending. The Company will continue to devote significant resources to develop new products, enhance existing products and implement efficient manufacturing processes. For the remainder of fiscal year 2012, the Company anticipates that internal research and development spending will be less than 10% of revenues. Internally generated cash and cash reserves are adequate to fund these development efforts.</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 of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3" w:name="page14"/>
    <w:bookmarkEnd w:id="13"/>
    <w:p>
      <w:pPr>
        <w:jc w:val="center"/>
        <w:ind w:right="-19"/>
        <w:spacing w:after="0"/>
        <w:rPr>
          <w:sz w:val="20"/>
          <w:szCs w:val="20"/>
          <w:color w:val="auto"/>
        </w:rPr>
      </w:pPr>
      <w:r>
        <w:rPr>
          <w:rFonts w:ascii="Arial" w:cs="Arial" w:eastAsia="Arial" w:hAnsi="Arial"/>
          <w:sz w:val="18"/>
          <w:szCs w:val="18"/>
          <w:color w:val="auto"/>
        </w:rPr>
        <w:t>FREQUENCY ELECTRONICS, INC. and SUBSIDIARIES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(Continued)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Operating profit</w:t>
      </w:r>
    </w:p>
    <w:p>
      <w:pPr>
        <w:spacing w:after="0" w:line="27" w:lineRule="exact"/>
        <w:rPr>
          <w:sz w:val="20"/>
          <w:szCs w:val="20"/>
          <w:color w:val="auto"/>
        </w:rPr>
      </w:pPr>
    </w:p>
    <w:tbl>
      <w:tblPr>
        <w:tblLayout w:type="fixed"/>
        <w:tblInd w:w="1720" w:type="dxa"/>
        <w:tblCellMar>
          <w:top w:w="0" w:type="dxa"/>
          <w:left w:w="0" w:type="dxa"/>
          <w:bottom w:w="0" w:type="dxa"/>
          <w:right w:w="0" w:type="dxa"/>
        </w:tblCellMar>
      </w:tblPr>
      <w:tr>
        <w:trPr>
          <w:trHeight w:val="223"/>
        </w:trPr>
        <w:tc>
          <w:tcPr>
            <w:tcW w:w="42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940" w:type="dxa"/>
            <w:vAlign w:val="bottom"/>
            <w:tcBorders>
              <w:bottom w:val="single" w:sz="8" w:color="auto"/>
            </w:tcBorders>
            <w:gridSpan w:val="11"/>
          </w:tcPr>
          <w:p>
            <w:pPr>
              <w:ind w:left="620"/>
              <w:spacing w:after="0"/>
              <w:rPr>
                <w:sz w:val="20"/>
                <w:szCs w:val="20"/>
                <w:color w:val="auto"/>
              </w:rPr>
            </w:pPr>
            <w:r>
              <w:rPr>
                <w:rFonts w:ascii="Arial" w:cs="Arial" w:eastAsia="Arial" w:hAnsi="Arial"/>
                <w:sz w:val="18"/>
                <w:szCs w:val="18"/>
                <w:color w:val="auto"/>
                <w:w w:val="98"/>
              </w:rPr>
              <w:t>Three months ended July 31,</w:t>
            </w:r>
          </w:p>
        </w:tc>
        <w:tc>
          <w:tcPr>
            <w:tcW w:w="52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r>
      <w:tr>
        <w:trPr>
          <w:trHeight w:val="223"/>
        </w:trPr>
        <w:tc>
          <w:tcPr>
            <w:tcW w:w="4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3"/>
          </w:tcPr>
          <w:p>
            <w:pPr>
              <w:ind w:left="360"/>
              <w:spacing w:after="0"/>
              <w:rPr>
                <w:sz w:val="20"/>
                <w:szCs w:val="20"/>
                <w:color w:val="auto"/>
              </w:rPr>
            </w:pPr>
            <w:r>
              <w:rPr>
                <w:rFonts w:ascii="Arial" w:cs="Arial" w:eastAsia="Arial" w:hAnsi="Arial"/>
                <w:sz w:val="18"/>
                <w:szCs w:val="18"/>
                <w:color w:val="auto"/>
                <w:w w:val="95"/>
              </w:rPr>
              <w:t>Change</w:t>
            </w:r>
          </w:p>
        </w:tc>
        <w:tc>
          <w:tcPr>
            <w:tcW w:w="52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r>
      <w:tr>
        <w:trPr>
          <w:trHeight w:val="223"/>
        </w:trPr>
        <w:tc>
          <w:tcPr>
            <w:tcW w:w="42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2011</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2010</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r>
      <w:tr>
        <w:trPr>
          <w:trHeight w:val="216"/>
        </w:trPr>
        <w:tc>
          <w:tcPr>
            <w:tcW w:w="43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1,784</w:t>
            </w:r>
          </w:p>
        </w:tc>
        <w:tc>
          <w:tcPr>
            <w:tcW w:w="22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789</w:t>
            </w:r>
          </w:p>
        </w:tc>
        <w:tc>
          <w:tcPr>
            <w:tcW w:w="3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995</w:t>
            </w:r>
          </w:p>
        </w:tc>
        <w:tc>
          <w:tcPr>
            <w:tcW w:w="260" w:type="dxa"/>
            <w:vAlign w:val="bottom"/>
            <w:shd w:val="clear" w:color="auto" w:fill="CCFFCC"/>
          </w:tcPr>
          <w:p>
            <w:pPr>
              <w:spacing w:after="0"/>
              <w:rPr>
                <w:sz w:val="18"/>
                <w:szCs w:val="18"/>
                <w:color w:val="auto"/>
              </w:rPr>
            </w:pPr>
          </w:p>
        </w:tc>
        <w:tc>
          <w:tcPr>
            <w:tcW w:w="6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126%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-136525</wp:posOffset>
            </wp:positionV>
            <wp:extent cx="2667000"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667000" cy="137160"/>
                    </a:xfrm>
                    <a:prstGeom prst="rect">
                      <a:avLst/>
                    </a:prstGeom>
                    <a:noFill/>
                  </pic:spPr>
                </pic:pic>
              </a:graphicData>
            </a:graphic>
          </wp:anchor>
        </w:drawing>
      </w:r>
    </w:p>
    <w:p>
      <w:pPr>
        <w:jc w:val="both"/>
        <w:ind w:firstLine="648"/>
        <w:spacing w:after="0" w:line="273" w:lineRule="auto"/>
        <w:rPr>
          <w:sz w:val="20"/>
          <w:szCs w:val="20"/>
          <w:color w:val="auto"/>
        </w:rPr>
      </w:pPr>
      <w:r>
        <w:rPr>
          <w:rFonts w:ascii="Arial" w:cs="Arial" w:eastAsia="Arial" w:hAnsi="Arial"/>
          <w:sz w:val="17"/>
          <w:szCs w:val="17"/>
          <w:color w:val="auto"/>
        </w:rPr>
        <w:t>The 31% increase in revenues created a significant increase in gross margin while operating expenses were moderately higher, thus enabling the Company to record a 126% improvement in operating profit for the three-months ended July 31, 2011, compared to the same period of fiscal year 2011. The Company anticipates that at the current increased level of business and having implemented certain operational efficiencies, that it can sustain operating profit in excess of 10% of revenues. The Company anticipates that it will generate operating profit for the full fiscal year 2012.</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00" w:type="dxa"/>
            <w:vAlign w:val="bottom"/>
            <w:gridSpan w:val="3"/>
          </w:tcPr>
          <w:p>
            <w:pPr>
              <w:spacing w:after="0"/>
              <w:rPr>
                <w:sz w:val="20"/>
                <w:szCs w:val="20"/>
                <w:color w:val="auto"/>
              </w:rPr>
            </w:pPr>
            <w:r>
              <w:rPr>
                <w:rFonts w:ascii="Arial" w:cs="Arial" w:eastAsia="Arial" w:hAnsi="Arial"/>
                <w:sz w:val="18"/>
                <w:szCs w:val="18"/>
                <w:b w:val="1"/>
                <w:bCs w:val="1"/>
                <w:color w:val="auto"/>
              </w:rPr>
              <w:t>Other income (expense)</w:t>
            </w:r>
          </w:p>
        </w:tc>
        <w:tc>
          <w:tcPr>
            <w:tcW w:w="14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580" w:type="dxa"/>
            <w:vAlign w:val="bottom"/>
            <w:gridSpan w:val="8"/>
            <w:vMerge w:val="restart"/>
          </w:tcPr>
          <w:p>
            <w:pPr>
              <w:spacing w:after="0"/>
              <w:rPr>
                <w:sz w:val="20"/>
                <w:szCs w:val="20"/>
                <w:color w:val="auto"/>
              </w:rPr>
            </w:pPr>
            <w:r>
              <w:rPr>
                <w:rFonts w:ascii="Arial" w:cs="Arial" w:eastAsia="Arial" w:hAnsi="Arial"/>
                <w:sz w:val="18"/>
                <w:szCs w:val="18"/>
                <w:color w:val="auto"/>
              </w:rPr>
              <w:t>Three months ended July 31,</w:t>
            </w: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1800" w:type="dxa"/>
            <w:vAlign w:val="bottom"/>
            <w:tcBorders>
              <w:top w:val="single" w:sz="8" w:color="auto"/>
            </w:tcBorders>
          </w:tcPr>
          <w:p>
            <w:pPr>
              <w:spacing w:after="0"/>
              <w:rPr>
                <w:sz w:val="21"/>
                <w:szCs w:val="21"/>
                <w:color w:val="auto"/>
              </w:rPr>
            </w:pPr>
          </w:p>
        </w:tc>
        <w:tc>
          <w:tcPr>
            <w:tcW w:w="178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2580" w:type="dxa"/>
            <w:vAlign w:val="bottom"/>
            <w:tcBorders>
              <w:bottom w:val="single" w:sz="8" w:color="auto"/>
            </w:tcBorders>
            <w:gridSpan w:val="8"/>
            <w:vMerge w:val="continue"/>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3"/>
          </w:tcPr>
          <w:p>
            <w:pPr>
              <w:ind w:left="520"/>
              <w:spacing w:after="0"/>
              <w:rPr>
                <w:sz w:val="20"/>
                <w:szCs w:val="20"/>
                <w:color w:val="auto"/>
              </w:rPr>
            </w:pPr>
            <w:r>
              <w:rPr>
                <w:rFonts w:ascii="Arial" w:cs="Arial" w:eastAsia="Arial" w:hAnsi="Arial"/>
                <w:sz w:val="18"/>
                <w:szCs w:val="18"/>
                <w:color w:val="auto"/>
              </w:rPr>
              <w:t>Change</w:t>
            </w:r>
          </w:p>
        </w:tc>
        <w:tc>
          <w:tcPr>
            <w:tcW w:w="66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2011</w:t>
            </w:r>
          </w:p>
        </w:tc>
        <w:tc>
          <w:tcPr>
            <w:tcW w:w="28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2010</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Investment income</w:t>
            </w:r>
          </w:p>
        </w:tc>
        <w:tc>
          <w:tcPr>
            <w:tcW w:w="2160" w:type="dxa"/>
            <w:vAlign w:val="bottom"/>
            <w:gridSpan w:val="2"/>
            <w:shd w:val="clear" w:color="auto" w:fill="CCFFCC"/>
          </w:tcPr>
          <w:p>
            <w:pPr>
              <w:jc w:val="right"/>
              <w:ind w:right="49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w w:val="86"/>
              </w:rPr>
              <w:t>125</w:t>
            </w:r>
          </w:p>
        </w:tc>
        <w:tc>
          <w:tcPr>
            <w:tcW w:w="180" w:type="dxa"/>
            <w:vAlign w:val="bottom"/>
            <w:shd w:val="clear" w:color="auto" w:fill="CCFFCC"/>
          </w:tcPr>
          <w:p>
            <w:pPr>
              <w:spacing w:after="0"/>
              <w:rPr>
                <w:sz w:val="20"/>
                <w:szCs w:val="20"/>
                <w:color w:val="auto"/>
              </w:rPr>
            </w:pPr>
            <w:r>
              <w:rPr>
                <w:rFonts w:ascii="Arial" w:cs="Arial" w:eastAsia="Arial" w:hAnsi="Arial"/>
                <w:sz w:val="18"/>
                <w:szCs w:val="18"/>
                <w:color w:val="auto"/>
              </w:rPr>
              <w:t>$</w:t>
            </w:r>
          </w:p>
        </w:tc>
        <w:tc>
          <w:tcPr>
            <w:tcW w:w="7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80</w:t>
            </w:r>
          </w:p>
        </w:tc>
        <w:tc>
          <w:tcPr>
            <w:tcW w:w="120" w:type="dxa"/>
            <w:vAlign w:val="bottom"/>
            <w:shd w:val="clear" w:color="auto" w:fill="CCFFCC"/>
          </w:tcPr>
          <w:p>
            <w:pPr>
              <w:spacing w:after="0"/>
              <w:rPr>
                <w:sz w:val="18"/>
                <w:szCs w:val="18"/>
                <w:color w:val="auto"/>
              </w:rPr>
            </w:pPr>
          </w:p>
        </w:tc>
        <w:tc>
          <w:tcPr>
            <w:tcW w:w="3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45</w:t>
            </w:r>
          </w:p>
        </w:tc>
        <w:tc>
          <w:tcPr>
            <w:tcW w:w="300" w:type="dxa"/>
            <w:vAlign w:val="bottom"/>
            <w:shd w:val="clear" w:color="auto" w:fill="CCFFCC"/>
          </w:tcPr>
          <w:p>
            <w:pPr>
              <w:spacing w:after="0"/>
              <w:rPr>
                <w:sz w:val="18"/>
                <w:szCs w:val="18"/>
                <w:color w:val="auto"/>
              </w:rPr>
            </w:pPr>
          </w:p>
        </w:tc>
        <w:tc>
          <w:tcPr>
            <w:tcW w:w="8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gridSpan w:val="2"/>
          </w:tcPr>
          <w:p>
            <w:pPr>
              <w:spacing w:after="0"/>
              <w:rPr>
                <w:sz w:val="20"/>
                <w:szCs w:val="20"/>
                <w:color w:val="auto"/>
              </w:rPr>
            </w:pPr>
            <w:r>
              <w:rPr>
                <w:rFonts w:ascii="Arial" w:cs="Arial" w:eastAsia="Arial" w:hAnsi="Arial"/>
                <w:sz w:val="18"/>
                <w:szCs w:val="18"/>
                <w:color w:val="auto"/>
              </w:rPr>
              <w:t>Equity income</w:t>
            </w:r>
          </w:p>
        </w:tc>
        <w:tc>
          <w:tcPr>
            <w:tcW w:w="1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19</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(9)</w:t>
            </w:r>
          </w:p>
        </w:tc>
        <w:tc>
          <w:tcPr>
            <w:tcW w:w="30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Interest expense</w:t>
            </w:r>
          </w:p>
        </w:tc>
        <w:tc>
          <w:tcPr>
            <w:tcW w:w="1480" w:type="dxa"/>
            <w:vAlign w:val="bottom"/>
            <w:shd w:val="clear" w:color="auto" w:fill="CCFFCC"/>
          </w:tcPr>
          <w:p>
            <w:pPr>
              <w:spacing w:after="0"/>
              <w:rPr>
                <w:sz w:val="18"/>
                <w:szCs w:val="18"/>
                <w:color w:val="auto"/>
              </w:rPr>
            </w:pPr>
          </w:p>
        </w:tc>
        <w:tc>
          <w:tcPr>
            <w:tcW w:w="680" w:type="dxa"/>
            <w:vAlign w:val="bottom"/>
            <w:shd w:val="clear" w:color="auto" w:fill="CCFFCC"/>
          </w:tcPr>
          <w:p>
            <w:pPr>
              <w:spacing w:after="0"/>
              <w:rPr>
                <w:sz w:val="18"/>
                <w:szCs w:val="18"/>
                <w:color w:val="auto"/>
              </w:rPr>
            </w:pPr>
          </w:p>
        </w:tc>
        <w:tc>
          <w:tcPr>
            <w:tcW w:w="4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w w:val="99"/>
              </w:rPr>
              <w:t>(24)</w:t>
            </w:r>
          </w:p>
        </w:tc>
        <w:tc>
          <w:tcPr>
            <w:tcW w:w="180" w:type="dxa"/>
            <w:vAlign w:val="bottom"/>
            <w:shd w:val="clear" w:color="auto" w:fill="CCFFCC"/>
          </w:tcPr>
          <w:p>
            <w:pPr>
              <w:spacing w:after="0"/>
              <w:rPr>
                <w:sz w:val="18"/>
                <w:szCs w:val="18"/>
                <w:color w:val="auto"/>
              </w:rPr>
            </w:pPr>
          </w:p>
        </w:tc>
        <w:tc>
          <w:tcPr>
            <w:tcW w:w="90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(35)</w:t>
            </w:r>
          </w:p>
        </w:tc>
        <w:tc>
          <w:tcPr>
            <w:tcW w:w="6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88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11</w:t>
            </w:r>
          </w:p>
        </w:tc>
        <w:tc>
          <w:tcPr>
            <w:tcW w:w="300" w:type="dxa"/>
            <w:vAlign w:val="bottom"/>
            <w:shd w:val="clear" w:color="auto" w:fill="CCFFCC"/>
          </w:tcPr>
          <w:p>
            <w:pPr>
              <w:spacing w:after="0"/>
              <w:rPr>
                <w:sz w:val="18"/>
                <w:szCs w:val="18"/>
                <w:color w:val="auto"/>
              </w:rPr>
            </w:pPr>
          </w:p>
        </w:tc>
        <w:tc>
          <w:tcPr>
            <w:tcW w:w="8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gridSpan w:val="2"/>
          </w:tcPr>
          <w:p>
            <w:pPr>
              <w:spacing w:after="0"/>
              <w:rPr>
                <w:sz w:val="20"/>
                <w:szCs w:val="20"/>
                <w:color w:val="auto"/>
              </w:rPr>
            </w:pPr>
            <w:r>
              <w:rPr>
                <w:rFonts w:ascii="Arial" w:cs="Arial" w:eastAsia="Arial" w:hAnsi="Arial"/>
                <w:sz w:val="18"/>
                <w:szCs w:val="18"/>
                <w:color w:val="auto"/>
              </w:rPr>
              <w:t>Other income (expenses), net</w:t>
            </w:r>
          </w:p>
        </w:tc>
        <w:tc>
          <w:tcPr>
            <w:tcW w:w="1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80</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(5)</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85</w:t>
            </w:r>
          </w:p>
        </w:tc>
        <w:tc>
          <w:tcPr>
            <w:tcW w:w="30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1800" w:type="dxa"/>
            <w:vAlign w:val="bottom"/>
            <w:shd w:val="clear" w:color="auto" w:fill="CCFFCC"/>
          </w:tcPr>
          <w:p>
            <w:pPr>
              <w:spacing w:after="0"/>
              <w:rPr>
                <w:sz w:val="18"/>
                <w:szCs w:val="18"/>
                <w:color w:val="auto"/>
              </w:rPr>
            </w:pPr>
          </w:p>
        </w:tc>
        <w:tc>
          <w:tcPr>
            <w:tcW w:w="1780" w:type="dxa"/>
            <w:vAlign w:val="bottom"/>
            <w:shd w:val="clear" w:color="auto" w:fill="CCFFCC"/>
          </w:tcPr>
          <w:p>
            <w:pPr>
              <w:spacing w:after="0"/>
              <w:rPr>
                <w:sz w:val="18"/>
                <w:szCs w:val="18"/>
                <w:color w:val="auto"/>
              </w:rPr>
            </w:pPr>
          </w:p>
        </w:tc>
        <w:tc>
          <w:tcPr>
            <w:tcW w:w="1480" w:type="dxa"/>
            <w:vAlign w:val="bottom"/>
            <w:shd w:val="clear" w:color="auto" w:fill="CCFFCC"/>
          </w:tcPr>
          <w:p>
            <w:pPr>
              <w:spacing w:after="0"/>
              <w:rPr>
                <w:sz w:val="18"/>
                <w:szCs w:val="18"/>
                <w:color w:val="auto"/>
              </w:rPr>
            </w:pPr>
          </w:p>
        </w:tc>
        <w:tc>
          <w:tcPr>
            <w:tcW w:w="680" w:type="dxa"/>
            <w:vAlign w:val="bottom"/>
            <w:shd w:val="clear" w:color="auto" w:fill="CCFFCC"/>
          </w:tcPr>
          <w:p>
            <w:pPr>
              <w:jc w:val="right"/>
              <w:ind w:right="490"/>
              <w:spacing w:after="0"/>
              <w:rPr>
                <w:sz w:val="20"/>
                <w:szCs w:val="20"/>
                <w:color w:val="auto"/>
              </w:rPr>
            </w:pPr>
            <w:r>
              <w:rPr>
                <w:rFonts w:ascii="Arial" w:cs="Arial" w:eastAsia="Arial" w:hAnsi="Arial"/>
                <w:sz w:val="18"/>
                <w:szCs w:val="18"/>
                <w:color w:val="auto"/>
                <w:w w:val="79"/>
              </w:rPr>
              <w:t>$</w:t>
            </w:r>
          </w:p>
        </w:tc>
        <w:tc>
          <w:tcPr>
            <w:tcW w:w="4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w w:val="86"/>
              </w:rPr>
              <w:t>200</w:t>
            </w:r>
          </w:p>
        </w:tc>
        <w:tc>
          <w:tcPr>
            <w:tcW w:w="180" w:type="dxa"/>
            <w:vAlign w:val="bottom"/>
            <w:shd w:val="clear" w:color="auto" w:fill="CCFFCC"/>
          </w:tcPr>
          <w:p>
            <w:pPr>
              <w:spacing w:after="0"/>
              <w:rPr>
                <w:sz w:val="20"/>
                <w:szCs w:val="20"/>
                <w:color w:val="auto"/>
              </w:rPr>
            </w:pPr>
            <w:r>
              <w:rPr>
                <w:rFonts w:ascii="Arial" w:cs="Arial" w:eastAsia="Arial" w:hAnsi="Arial"/>
                <w:sz w:val="18"/>
                <w:szCs w:val="18"/>
                <w:color w:val="auto"/>
              </w:rPr>
              <w:t>$</w:t>
            </w:r>
          </w:p>
        </w:tc>
        <w:tc>
          <w:tcPr>
            <w:tcW w:w="7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68</w:t>
            </w:r>
          </w:p>
        </w:tc>
        <w:tc>
          <w:tcPr>
            <w:tcW w:w="120" w:type="dxa"/>
            <w:vAlign w:val="bottom"/>
            <w:shd w:val="clear" w:color="auto" w:fill="CCFFCC"/>
          </w:tcPr>
          <w:p>
            <w:pPr>
              <w:spacing w:after="0"/>
              <w:rPr>
                <w:sz w:val="18"/>
                <w:szCs w:val="18"/>
                <w:color w:val="auto"/>
              </w:rPr>
            </w:pPr>
          </w:p>
        </w:tc>
        <w:tc>
          <w:tcPr>
            <w:tcW w:w="3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132</w:t>
            </w:r>
          </w:p>
        </w:tc>
        <w:tc>
          <w:tcPr>
            <w:tcW w:w="300" w:type="dxa"/>
            <w:vAlign w:val="bottom"/>
            <w:shd w:val="clear" w:color="auto" w:fill="CCFFCC"/>
          </w:tcPr>
          <w:p>
            <w:pPr>
              <w:spacing w:after="0"/>
              <w:rPr>
                <w:sz w:val="18"/>
                <w:szCs w:val="18"/>
                <w:color w:val="auto"/>
              </w:rPr>
            </w:pPr>
          </w:p>
        </w:tc>
        <w:tc>
          <w:tcPr>
            <w:tcW w:w="8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right="20" w:firstLine="486"/>
        <w:spacing w:after="0" w:line="286" w:lineRule="auto"/>
        <w:rPr>
          <w:sz w:val="20"/>
          <w:szCs w:val="20"/>
          <w:color w:val="auto"/>
        </w:rPr>
      </w:pPr>
      <w:r>
        <w:rPr>
          <w:rFonts w:ascii="Arial" w:cs="Arial" w:eastAsia="Arial" w:hAnsi="Arial"/>
          <w:sz w:val="17"/>
          <w:szCs w:val="17"/>
          <w:color w:val="auto"/>
        </w:rPr>
        <w:t>Investment income is derived primarily from the Company’s holdings of marketable securities. Earnings on these securities may vary based on fluctuating interest rate levels and the timing of purchases or sales of securities. During the three months ended July 31, 2011 and 2010, the Company redeemed marketable securities which resulted in a realized gain of approximately $7,000 and a loss of approximately $28,000,respectively.</w:t>
      </w:r>
    </w:p>
    <w:p>
      <w:pPr>
        <w:spacing w:after="0" w:line="193"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Equity income in the three months ended July 31, 2011 and 2010 represents the Company’s share of the quarterly income or loss recorded by Elcom Technologies in which the Company owns a 25% interest.</w:t>
      </w:r>
    </w:p>
    <w:p>
      <w:pPr>
        <w:spacing w:after="0" w:line="197"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decrease in interest expense for the three months ended July 31, 2011 compared to the same period of fiscal year 2011 is due to lower levels of lease obligations in the fiscal year 2012 quarter.</w:t>
      </w:r>
    </w:p>
    <w:p>
      <w:pPr>
        <w:spacing w:after="0" w:line="197"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Other income in the three months ended July 31, 2011 resulted primarily from a realized gain of approximately $90,000 derived from the excess of proceeds over the cash values of life insurance policies covering a former employee. This gain was partially offset by other insignificant non-operating expenses that were similar in type and amount to the prior fiscal year.</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Income tax provision</w:t>
      </w:r>
    </w:p>
    <w:p>
      <w:pPr>
        <w:spacing w:after="0" w:line="256"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Three months ended July 31,</w:t>
      </w:r>
    </w:p>
    <w:p>
      <w:pPr>
        <w:spacing w:after="0" w:line="23" w:lineRule="exact"/>
        <w:rPr>
          <w:sz w:val="20"/>
          <w:szCs w:val="20"/>
          <w:color w:val="auto"/>
        </w:rPr>
      </w:pPr>
    </w:p>
    <w:tbl>
      <w:tblPr>
        <w:tblLayout w:type="fixed"/>
        <w:tblInd w:w="1720" w:type="dxa"/>
        <w:tblCellMar>
          <w:top w:w="0" w:type="dxa"/>
          <w:left w:w="0" w:type="dxa"/>
          <w:bottom w:w="0" w:type="dxa"/>
          <w:right w:w="0" w:type="dxa"/>
        </w:tblCellMar>
      </w:tblPr>
      <w:tr>
        <w:trPr>
          <w:trHeight w:val="230"/>
        </w:trPr>
        <w:tc>
          <w:tcPr>
            <w:tcW w:w="42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gridSpan w:val="3"/>
          </w:tcPr>
          <w:p>
            <w:pPr>
              <w:ind w:left="360"/>
              <w:spacing w:after="0"/>
              <w:rPr>
                <w:sz w:val="20"/>
                <w:szCs w:val="20"/>
                <w:color w:val="auto"/>
              </w:rPr>
            </w:pPr>
            <w:r>
              <w:rPr>
                <w:rFonts w:ascii="Arial" w:cs="Arial" w:eastAsia="Arial" w:hAnsi="Arial"/>
                <w:sz w:val="18"/>
                <w:szCs w:val="18"/>
                <w:color w:val="auto"/>
                <w:w w:val="95"/>
              </w:rPr>
              <w:t>Change</w:t>
            </w:r>
          </w:p>
        </w:tc>
        <w:tc>
          <w:tcPr>
            <w:tcW w:w="520" w:type="dxa"/>
            <w:vAlign w:val="bottom"/>
            <w:tcBorders>
              <w:top w:val="single" w:sz="8" w:color="auto"/>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23"/>
        </w:trPr>
        <w:tc>
          <w:tcPr>
            <w:tcW w:w="42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2011</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2010</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r>
      <w:tr>
        <w:trPr>
          <w:trHeight w:val="216"/>
        </w:trPr>
        <w:tc>
          <w:tcPr>
            <w:tcW w:w="43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640</w:t>
            </w:r>
          </w:p>
        </w:tc>
        <w:tc>
          <w:tcPr>
            <w:tcW w:w="22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350</w:t>
            </w:r>
          </w:p>
        </w:tc>
        <w:tc>
          <w:tcPr>
            <w:tcW w:w="3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290</w:t>
            </w:r>
          </w:p>
        </w:tc>
        <w:tc>
          <w:tcPr>
            <w:tcW w:w="260" w:type="dxa"/>
            <w:vAlign w:val="bottom"/>
            <w:shd w:val="clear" w:color="auto" w:fill="CCFFCC"/>
          </w:tcPr>
          <w:p>
            <w:pPr>
              <w:spacing w:after="0"/>
              <w:rPr>
                <w:sz w:val="18"/>
                <w:szCs w:val="18"/>
                <w:color w:val="auto"/>
              </w:rPr>
            </w:pPr>
          </w:p>
        </w:tc>
        <w:tc>
          <w:tcPr>
            <w:tcW w:w="6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83%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-136525</wp:posOffset>
            </wp:positionV>
            <wp:extent cx="2667000"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667000" cy="137160"/>
                    </a:xfrm>
                    <a:prstGeom prst="rect">
                      <a:avLst/>
                    </a:prstGeom>
                    <a:noFill/>
                  </pic:spPr>
                </pic:pic>
              </a:graphicData>
            </a:graphic>
          </wp:anchor>
        </w:drawing>
      </w:r>
    </w:p>
    <w:p>
      <w:pPr>
        <w:spacing w:after="0" w:line="209"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The provision for income taxes for the three months ended July 31, 2011 increased over the same period of fiscal year 2011 due to the 126% increase in pretax income. However, the effective tax rate in fiscal year 2012 is expected to be lower than that recorded in the first three quarters of fiscal year 2011 substantially due to the reduction of the previous full valuation allowance on the deferred tax assets of the Company’s U.S. subsidiaries in the fourth quarter of fiscal year 2011. For the three months ended July 31, 2011, the Company recorded a provision for income taxes based on both current taxes due in the United States as well as the tax provision or benefit to be realized from temporary tax differences. In the same quarter of fiscal year 2011, the provision for income taxes consisted solely of taxes currently due to taxing authorities in the United States because of the full valuation allowance against deferred tax assets in effect at July 31, 2010. As of July 31, 2011 and April 30, 2011, the remaining deferred tax asset valuation allowance is approximately $4.6 million.</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 of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color w:val="auto"/>
        </w:rPr>
        <w:t>FREQUENCY ELECTRONICS,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w:t>
      </w:r>
    </w:p>
    <w:p>
      <w:pPr>
        <w:spacing w:after="0" w:line="238"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The Company is subject to taxation in several countries as well as the states of New York and California. The statutory federal rates are 34% in the United States and Belgium. The effective rate is impacted by the income or loss of certain of the Company’s European and Asian subsidiaries which are currently not taxed. In addition, the Company utilizes the availability of research and development tax credits in the United States to lower its tax rate. As of April 30, 2011, the Company’s European subsidiaries had available net operating loss carryforwards of approximately $1.3 million, which will offset future taxable income. The domestic U.S. tax loss carryforward for state income tax purposes is approximately $1.9 million in New York and $2.3 million in California.</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Net income</w:t>
      </w:r>
    </w:p>
    <w:p>
      <w:pPr>
        <w:spacing w:after="0" w:line="27"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Three months ended July 31,</w:t>
      </w:r>
    </w:p>
    <w:p>
      <w:pPr>
        <w:spacing w:after="0" w:line="9" w:lineRule="exact"/>
        <w:rPr>
          <w:sz w:val="20"/>
          <w:szCs w:val="20"/>
          <w:color w:val="auto"/>
        </w:rPr>
      </w:pPr>
    </w:p>
    <w:tbl>
      <w:tblPr>
        <w:tblLayout w:type="fixed"/>
        <w:tblInd w:w="1720" w:type="dxa"/>
        <w:tblCellMar>
          <w:top w:w="0" w:type="dxa"/>
          <w:left w:w="0" w:type="dxa"/>
          <w:bottom w:w="0" w:type="dxa"/>
          <w:right w:w="0" w:type="dxa"/>
        </w:tblCellMar>
      </w:tblPr>
      <w:tr>
        <w:trPr>
          <w:trHeight w:val="230"/>
        </w:trPr>
        <w:tc>
          <w:tcPr>
            <w:tcW w:w="42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gridSpan w:val="3"/>
          </w:tcPr>
          <w:p>
            <w:pPr>
              <w:ind w:left="360"/>
              <w:spacing w:after="0"/>
              <w:rPr>
                <w:sz w:val="20"/>
                <w:szCs w:val="20"/>
                <w:color w:val="auto"/>
              </w:rPr>
            </w:pPr>
            <w:r>
              <w:rPr>
                <w:rFonts w:ascii="Arial" w:cs="Arial" w:eastAsia="Arial" w:hAnsi="Arial"/>
                <w:sz w:val="18"/>
                <w:szCs w:val="18"/>
                <w:color w:val="auto"/>
                <w:w w:val="95"/>
              </w:rPr>
              <w:t>Change</w:t>
            </w:r>
          </w:p>
        </w:tc>
        <w:tc>
          <w:tcPr>
            <w:tcW w:w="520" w:type="dxa"/>
            <w:vAlign w:val="bottom"/>
            <w:tcBorders>
              <w:top w:val="single" w:sz="8" w:color="auto"/>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23"/>
        </w:trPr>
        <w:tc>
          <w:tcPr>
            <w:tcW w:w="42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2011</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2010</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r>
      <w:tr>
        <w:trPr>
          <w:trHeight w:val="216"/>
        </w:trPr>
        <w:tc>
          <w:tcPr>
            <w:tcW w:w="43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1,344</w:t>
            </w:r>
          </w:p>
        </w:tc>
        <w:tc>
          <w:tcPr>
            <w:tcW w:w="22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507</w:t>
            </w:r>
          </w:p>
        </w:tc>
        <w:tc>
          <w:tcPr>
            <w:tcW w:w="3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837</w:t>
            </w:r>
          </w:p>
        </w:tc>
        <w:tc>
          <w:tcPr>
            <w:tcW w:w="260" w:type="dxa"/>
            <w:vAlign w:val="bottom"/>
            <w:shd w:val="clear" w:color="auto" w:fill="CCFFCC"/>
          </w:tcPr>
          <w:p>
            <w:pPr>
              <w:spacing w:after="0"/>
              <w:rPr>
                <w:sz w:val="18"/>
                <w:szCs w:val="18"/>
                <w:color w:val="auto"/>
              </w:rPr>
            </w:pPr>
          </w:p>
        </w:tc>
        <w:tc>
          <w:tcPr>
            <w:tcW w:w="6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165%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-136525</wp:posOffset>
            </wp:positionV>
            <wp:extent cx="2667000"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667000" cy="137160"/>
                    </a:xfrm>
                    <a:prstGeom prst="rect">
                      <a:avLst/>
                    </a:prstGeom>
                    <a:noFill/>
                  </pic:spPr>
                </pic:pic>
              </a:graphicData>
            </a:graphic>
          </wp:anchor>
        </w:drawing>
      </w:r>
    </w:p>
    <w:p>
      <w:pPr>
        <w:spacing w:after="0" w:line="20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detailed above, for the three months ended July 31, 2011, higher revenues accompanied by only moderately higher expenses and a lower effective tax rate, enabled the Company to record a 165% improvement in net income compared to the same period of fiscal year 2011. The Company expects to record higher revenue and to realize improved gross and operating margins throughout fiscal year 2012 and anticipates that it will report higher profits than that achieved in fiscal year 2011.</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6"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The Company’s balance sheet continues to reflect a strong working capital position of $61.9 million at July 31, 2011, compared to $60.3 million at April 30, 2011. Included in working capital at July 31, 2011 is $22.6 million of cash, cash equivalents and marketable securities. The Company’s current ratio at July 31, 2011 is 8.9 to 1.</w:t>
      </w:r>
    </w:p>
    <w:p>
      <w:pPr>
        <w:spacing w:after="0" w:line="208"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For the three months ended July 31, 2011, the Company had positive cash flow from operating activities of $2.7 million compared to $492,000 provided by operations in the comparable fiscal year 2011 period. The primary sources of cash in the fiscal year 2012 period were increased profitable operations, collection of accounts receivable and net increase in trade payables. These inflows were partially offset by increased inventory and accrued expenses. For the three months ended July 31, 2011 and 2010, the Company incurred over $1.0 million of non-cash operating expenses, such as depreciation and amortization and accruals for employee benefit programs. For the balance of fiscal year 2012, the Company expects to generate positive cash flow from operating activities.</w:t>
      </w:r>
    </w:p>
    <w:p>
      <w:pPr>
        <w:spacing w:after="0" w:line="220"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7"/>
          <w:szCs w:val="17"/>
          <w:color w:val="auto"/>
        </w:rPr>
        <w:t>Net cash used in investing activities for the three months ended July 31, 2011 and 2010, was $333,000 and $1.2 million, respectively. The Company redeemed marketable securities in the amount of $4.5 million in fiscal year 2012 and $1.5 million in fiscal year 2011. These proceeds and other cash was reinvested in additional marketable securities for the periods ended July 31, 2011 and 2010 in the amount of $4.3 million and $2.5 million, respectively. In the fiscal year 2012 and 2011 periods, the Company acquired property, plant and equipment in the amount of $520,000 and $243,000, respectively. The Company may continue to acquire, sell or redeem marketable securities as dictated by its investment strategies as well as by the cash requirements for its development activities and capital equipment acquisitions. Property, plant and equipment purchases for of the full fiscal year 2012 are expected to be less than $2.0 million. Internally generated cash is adequate to acquire this level of property, plant and equipment.</w:t>
      </w:r>
    </w:p>
    <w:p>
      <w:pPr>
        <w:spacing w:after="0" w:line="205"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Net cash used in financing activities for the three months ended July 31, 2011 and 2010, was $53,000 and $70,000, respectively. In each quarter the Company made payments against its capital lease obligations. In the three months ended July 31, 2011, such cash outflows were partially offset by $13,000 of proceeds from the exercise of employee stock options.</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 of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color w:val="auto"/>
        </w:rPr>
        <w:t>FREQUENCY ELECTRONICS,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w:t>
      </w:r>
    </w:p>
    <w:p>
      <w:pPr>
        <w:spacing w:after="0" w:line="238"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The Company has been authorized by its Board of Directors to repurchase up to $5 million worth of shares of its common stock for treasury whenever appropriate opportunities arise but it has neither a formal repurchase plan nor commitments to purchase additional shares in the future. As of July 31, 2011, the Company has repurchased approximately $4 million of its common stock out of the $5 million authorization.</w:t>
      </w:r>
    </w:p>
    <w:p>
      <w:pPr>
        <w:spacing w:after="0" w:line="208" w:lineRule="exact"/>
        <w:rPr>
          <w:sz w:val="20"/>
          <w:szCs w:val="20"/>
          <w:color w:val="auto"/>
        </w:rPr>
      </w:pPr>
    </w:p>
    <w:p>
      <w:pPr>
        <w:jc w:val="both"/>
        <w:ind w:firstLine="486"/>
        <w:spacing w:after="0" w:line="291" w:lineRule="auto"/>
        <w:rPr>
          <w:sz w:val="20"/>
          <w:szCs w:val="20"/>
          <w:color w:val="auto"/>
        </w:rPr>
      </w:pPr>
      <w:r>
        <w:rPr>
          <w:rFonts w:ascii="Arial" w:cs="Arial" w:eastAsia="Arial" w:hAnsi="Arial"/>
          <w:sz w:val="16"/>
          <w:szCs w:val="16"/>
          <w:color w:val="auto"/>
        </w:rPr>
        <w:t>The Company will continue to expend resources to develop and improve products for space applications, guidance and targeting systems, and communication systems which management believes will result in future growth and continued profitability. During fiscal year 2012, the Company intends to make a substantial investment of capital and technical resources to develop and acquire new products to meet the needs of the U.S. Government, commercial space and network infrastructure marketplaces and to invest in more efficient product designs and manufacturing procedures. Where possible, the Company will secure partial customer funding for such development efforts but is targeting to spend its own funds at a rate of less than 10% of revenues to achieve its development goals. Internally generated cash will be adequate to fund these development efforts. The Company may also pursue acquisitions to expand its range of products and may use internally generated cash and external funding in connection with such acquisitions.</w:t>
      </w:r>
    </w:p>
    <w:p>
      <w:pPr>
        <w:spacing w:after="0" w:line="194"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As of July 31, 2011, the Company's consolidated backlog amounted to approximately $67 million. Approximately 60% of this backlog is expected to be filled in the next twelve months. Included in the backlog at July 31, 2011 is approximately $3.7 million under cost-plus-fee contracts which the Company believes represent firm commitments from its customers for which the Company has not received full funding to date. The Company excludes from backlog any contracts or awards for which it has not received authorization to proceed. On fixed price contracts, the Company excludes any unfunded portion which, as of July 31, 2011, was approximately $3.7 million. The Company expects these contracts to become fully funded over time and will be added to its backlog at that time.</w:t>
      </w:r>
    </w:p>
    <w:p>
      <w:pPr>
        <w:spacing w:after="0" w:line="22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Company believes that its liquidity is adequate to meet its operating and investment needs through at least July 31, 2012.</w:t>
      </w:r>
    </w:p>
    <w:p>
      <w:pPr>
        <w:spacing w:after="0" w:line="248" w:lineRule="exact"/>
        <w:rPr>
          <w:sz w:val="20"/>
          <w:szCs w:val="20"/>
          <w:color w:val="auto"/>
        </w:rPr>
      </w:pPr>
    </w:p>
    <w:p>
      <w:pPr>
        <w:ind w:left="500"/>
        <w:spacing w:after="0"/>
        <w:rPr>
          <w:sz w:val="20"/>
          <w:szCs w:val="20"/>
          <w:color w:val="auto"/>
        </w:rPr>
      </w:pPr>
      <w:r>
        <w:rPr>
          <w:rFonts w:ascii="Arial" w:cs="Arial" w:eastAsia="Arial" w:hAnsi="Arial"/>
          <w:sz w:val="18"/>
          <w:szCs w:val="18"/>
          <w:b w:val="1"/>
          <w:bCs w:val="1"/>
          <w:u w:val="single" w:color="auto"/>
          <w:color w:val="auto"/>
        </w:rPr>
        <w:t>Off-Balance Sheet Arrangements</w:t>
      </w:r>
    </w:p>
    <w:p>
      <w:pPr>
        <w:spacing w:after="0" w:line="256"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The Company does not have any off-balance sheet arrangements that have or are reasonably likely to have a current or future effect on the Company’s financial condition, changes in financial condition, revenues or expenses, results of operations, liquidity, capital expenditures or capital resources that is material to investors.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Item 3.</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Quantitative and Qualitative Disclosures About Market Risk</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4.</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Controls and Procedures</w:t>
      </w:r>
    </w:p>
    <w:p>
      <w:pPr>
        <w:spacing w:after="0" w:line="238"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u w:val="single" w:color="auto"/>
          <w:color w:val="auto"/>
        </w:rPr>
        <w:t>Disclosure Controls and Procedures</w:t>
      </w:r>
      <w:r>
        <w:rPr>
          <w:rFonts w:ascii="Arial" w:cs="Arial" w:eastAsia="Arial" w:hAnsi="Arial"/>
          <w:sz w:val="16"/>
          <w:szCs w:val="16"/>
          <w:color w:val="auto"/>
        </w:rPr>
        <w:t>. The Company’s management, with the participation of the Company’s chief executive officer and chief financial officer, has evaluated the effectiveness of the Company’s disclosure controls and procedures (as such term is defined in Rules 13a-15(e) and 15d-15(e) under the Securities Exchange Act of 1934, as amended (the “Exchange Act”)) as of the end of the period covered by this report. There are inherent limitations to the effectiveness of any system of disclosure controls and procedures, including the possibility of human error and the circumvention or overriding of the controls and procedures. Accordingly, even effective disclosure controls and procedures can only provide reasonable assurance of achieving their control objectives. Based on their evaluation, the Company’s chief executive officer and chief financial officer have concluded that, for the reasons discussed below, as of July 31, 2011, the Company’s disclosure controls and procedures were not effective to ensure that information relating to the Company, including its consolidated subsidiaries, required to be included in its reports that it filed or submitted under the Exchange Act are recorded, processed, summarized and reported within the time periods specified in Securities and Exchange Commission rules and forms.</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 of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color w:val="auto"/>
        </w:rPr>
        <w:t>FREQUENCY ELECTRONICS,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w:t>
      </w:r>
    </w:p>
    <w:p>
      <w:pPr>
        <w:spacing w:after="0" w:line="238"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Material Weaknesses in Internal Control over Financial Reporting</w:t>
      </w:r>
    </w:p>
    <w:p>
      <w:pPr>
        <w:spacing w:after="0" w:line="25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Management of the Company is responsible for establishing and maintaining adequate internal control over financial reporting as defined in Rules 13a-15(f) and 15d-15(f) under the Exchange Act. The Company’s internal control system is designed to provide reasonable assurance regarding the reliability of financial reporting and the preparation of financial statements for external purposes in accordance with generally accepted accounting principles. Because of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20"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As disclosed in its Form 10-K for the year ended April 30, 2011, the Company has identified several material weaknesses in its internal control over financial reporting. While the Company did not conduct a full assessment of the effectiveness of internal controls over financial reporting at July 31, 2011, for the first quarter of fiscal year 2012, there were no substantial changes made to the Company’s internal control over financial reporting since management’s assessment of April 30, 2011, and therefore the weaknesses previously identified by management continued to exist at July 31, 2011. In order to remediate the material weaknesses, during fiscal year 2012, management will continue to review and document the policies and procedures at its Gillam-FEI and FEI-Zyfer subsidiaries and ensure that testing of their internal controls are completed during fiscal year 2012. Please refer to the Company’s Annual Report on Form 10-K for the year ended April 30, 2011 for a more detailed discussion of the weaknesses previously identified by management.</w:t>
      </w:r>
    </w:p>
    <w:p>
      <w:pPr>
        <w:spacing w:after="0" w:line="19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u w:val="single" w:color="auto"/>
          <w:color w:val="auto"/>
        </w:rPr>
        <w:t>Changes in Internal Control Over Financial Reporting</w:t>
      </w:r>
      <w:r>
        <w:rPr>
          <w:rFonts w:ascii="Arial" w:cs="Arial" w:eastAsia="Arial" w:hAnsi="Arial"/>
          <w:sz w:val="18"/>
          <w:szCs w:val="18"/>
          <w:color w:val="auto"/>
        </w:rPr>
        <w:t>. There were no changes in the Company’s internal control over financial reporting (as such term is defined in Rules 13a-15(f) and 15d-15(f) under the Exchange Act) during the quarter ended July 31, 2011 to which this report relates that have materially affected, or are reasonably likely to materially affect, the Company’s internal control over financial reporting.</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PART II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ITEM 6 - Exhibits</w:t>
      </w:r>
    </w:p>
    <w:p>
      <w:pPr>
        <w:spacing w:after="0" w:line="238" w:lineRule="exact"/>
        <w:rPr>
          <w:sz w:val="20"/>
          <w:szCs w:val="20"/>
          <w:color w:val="auto"/>
        </w:rPr>
      </w:pPr>
    </w:p>
    <w:p>
      <w:pPr>
        <w:jc w:val="both"/>
        <w:ind w:left="1140" w:hanging="485"/>
        <w:spacing w:after="0" w:line="277" w:lineRule="auto"/>
        <w:rPr>
          <w:sz w:val="20"/>
          <w:szCs w:val="20"/>
          <w:color w:val="auto"/>
        </w:rPr>
      </w:pPr>
      <w:r>
        <w:rPr>
          <w:rFonts w:ascii="Arial" w:cs="Arial" w:eastAsia="Arial" w:hAnsi="Arial"/>
          <w:sz w:val="18"/>
          <w:szCs w:val="18"/>
          <w:color w:val="auto"/>
        </w:rPr>
        <w:t>31.1 - Certification by the Chief Executive Officer pursuant to Rule 13a-14(a) or 15d-14(a) under the Securities Exchange Act of 1934, as adopted pursuant to Section 302 of the Sarbanes-Oxley Act of 2002.</w:t>
      </w:r>
    </w:p>
    <w:p>
      <w:pPr>
        <w:spacing w:after="0" w:line="197" w:lineRule="exact"/>
        <w:rPr>
          <w:sz w:val="20"/>
          <w:szCs w:val="20"/>
          <w:color w:val="auto"/>
        </w:rPr>
      </w:pPr>
    </w:p>
    <w:p>
      <w:pPr>
        <w:jc w:val="both"/>
        <w:ind w:left="1140" w:hanging="485"/>
        <w:spacing w:after="0" w:line="277" w:lineRule="auto"/>
        <w:rPr>
          <w:sz w:val="20"/>
          <w:szCs w:val="20"/>
          <w:color w:val="auto"/>
        </w:rPr>
      </w:pPr>
      <w:r>
        <w:rPr>
          <w:rFonts w:ascii="Arial" w:cs="Arial" w:eastAsia="Arial" w:hAnsi="Arial"/>
          <w:sz w:val="18"/>
          <w:szCs w:val="18"/>
          <w:color w:val="auto"/>
        </w:rPr>
        <w:t>31.2 - Certification by the Chief Financial Officer pursuant to Rule 13a-14(a) or 15d-14(a) under the Securities Exchange Act of 1934, as adopted pursuant to Section 302 of the Sarbanes-Oxley Act of 2002.</w:t>
      </w:r>
    </w:p>
    <w:p>
      <w:pPr>
        <w:spacing w:after="0" w:line="197" w:lineRule="exact"/>
        <w:rPr>
          <w:sz w:val="20"/>
          <w:szCs w:val="20"/>
          <w:color w:val="auto"/>
        </w:rPr>
      </w:pPr>
    </w:p>
    <w:p>
      <w:pPr>
        <w:jc w:val="both"/>
        <w:ind w:left="1140" w:hanging="485"/>
        <w:spacing w:after="0" w:line="277" w:lineRule="auto"/>
        <w:rPr>
          <w:sz w:val="20"/>
          <w:szCs w:val="20"/>
          <w:color w:val="auto"/>
        </w:rPr>
      </w:pPr>
      <w:r>
        <w:rPr>
          <w:rFonts w:ascii="Arial" w:cs="Arial" w:eastAsia="Arial" w:hAnsi="Arial"/>
          <w:sz w:val="18"/>
          <w:szCs w:val="18"/>
          <w:color w:val="auto"/>
        </w:rPr>
        <w:t>32.1 - Certification by the Chief Executive Officer pursuant to 18 U.S.C. Section 1350, as adopted pursuant to Section 906 of the Sarbanes-Oxley Act of 2002.</w:t>
      </w:r>
    </w:p>
    <w:p>
      <w:pPr>
        <w:spacing w:after="0" w:line="197" w:lineRule="exact"/>
        <w:rPr>
          <w:sz w:val="20"/>
          <w:szCs w:val="20"/>
          <w:color w:val="auto"/>
        </w:rPr>
      </w:pPr>
    </w:p>
    <w:p>
      <w:pPr>
        <w:jc w:val="both"/>
        <w:ind w:left="1140" w:hanging="485"/>
        <w:spacing w:after="0" w:line="277" w:lineRule="auto"/>
        <w:rPr>
          <w:sz w:val="20"/>
          <w:szCs w:val="20"/>
          <w:color w:val="auto"/>
        </w:rPr>
      </w:pPr>
      <w:r>
        <w:rPr>
          <w:rFonts w:ascii="Arial" w:cs="Arial" w:eastAsia="Arial" w:hAnsi="Arial"/>
          <w:sz w:val="18"/>
          <w:szCs w:val="18"/>
          <w:color w:val="auto"/>
        </w:rPr>
        <w:t>32.2 - Certification by the Chief Financial Officer pursuant to 18 U.S.C. Section 1350, as adopted pursuant to Section 906 of the Sarbanes-Oxley Act of 2002.</w:t>
      </w:r>
    </w:p>
    <w:p>
      <w:pPr>
        <w:spacing w:after="0" w:line="197" w:lineRule="exact"/>
        <w:rPr>
          <w:sz w:val="20"/>
          <w:szCs w:val="20"/>
          <w:color w:val="auto"/>
        </w:rPr>
      </w:pPr>
    </w:p>
    <w:p>
      <w:pPr>
        <w:jc w:val="both"/>
        <w:ind w:left="1140" w:hanging="485"/>
        <w:spacing w:after="0" w:line="312" w:lineRule="auto"/>
        <w:rPr>
          <w:sz w:val="20"/>
          <w:szCs w:val="20"/>
          <w:color w:val="auto"/>
        </w:rPr>
      </w:pPr>
      <w:r>
        <w:rPr>
          <w:rFonts w:ascii="Arial" w:cs="Arial" w:eastAsia="Arial" w:hAnsi="Arial"/>
          <w:sz w:val="16"/>
          <w:szCs w:val="16"/>
          <w:color w:val="auto"/>
        </w:rPr>
        <w:t>101 – The following materials from the Frequency Electronics, Inc. Quarterly Report on Form 10-Q for the quarter ended July 31, 2011 formatted in eXtensible Business Reporting Language (XBRL): (i) Condensed Consolidated Balance Sheets, (ii) Condensed Consolidated Statements of Operations, (iii) Condensed Consolidated Statements of Cash Flows and (iv) Notes to Condensed Consolidated Financial Statements.</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 of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7" w:name="page18"/>
    <w:bookmarkEnd w:id="17"/>
    <w:p>
      <w:pPr>
        <w:jc w:val="center"/>
        <w:ind w:right="-159"/>
        <w:spacing w:after="0"/>
        <w:rPr>
          <w:sz w:val="20"/>
          <w:szCs w:val="20"/>
          <w:color w:val="auto"/>
        </w:rPr>
      </w:pPr>
      <w:r>
        <w:rPr>
          <w:rFonts w:ascii="Arial" w:cs="Arial" w:eastAsia="Arial" w:hAnsi="Arial"/>
          <w:sz w:val="18"/>
          <w:szCs w:val="18"/>
          <w:color w:val="auto"/>
        </w:rPr>
        <w:t>SIGNATURES</w:t>
      </w:r>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p>
      <w:pPr>
        <w:jc w:val="center"/>
        <w:ind w:left="5740"/>
        <w:spacing w:after="0"/>
        <w:rPr>
          <w:sz w:val="20"/>
          <w:szCs w:val="20"/>
          <w:color w:val="auto"/>
        </w:rPr>
      </w:pPr>
      <w:r>
        <w:rPr>
          <w:rFonts w:ascii="Arial" w:cs="Arial" w:eastAsia="Arial" w:hAnsi="Arial"/>
          <w:sz w:val="18"/>
          <w:szCs w:val="18"/>
          <w:color w:val="auto"/>
        </w:rPr>
        <w:t>FREQUENCY ELECTRONICS, INC.</w:t>
      </w:r>
    </w:p>
    <w:p>
      <w:pPr>
        <w:spacing w:after="0" w:line="23" w:lineRule="exact"/>
        <w:rPr>
          <w:sz w:val="20"/>
          <w:szCs w:val="20"/>
          <w:color w:val="auto"/>
        </w:rPr>
      </w:pPr>
    </w:p>
    <w:p>
      <w:pPr>
        <w:jc w:val="center"/>
        <w:ind w:left="5740"/>
        <w:spacing w:after="0"/>
        <w:rPr>
          <w:sz w:val="20"/>
          <w:szCs w:val="20"/>
          <w:color w:val="auto"/>
        </w:rPr>
      </w:pPr>
      <w:r>
        <w:rPr>
          <w:rFonts w:ascii="Arial" w:cs="Arial" w:eastAsia="Arial" w:hAnsi="Arial"/>
          <w:sz w:val="18"/>
          <w:szCs w:val="18"/>
          <w:color w:val="auto"/>
        </w:rPr>
        <w:t>(Registrant)</w:t>
      </w:r>
    </w:p>
    <w:p>
      <w:pPr>
        <w:spacing w:after="0" w:line="211" w:lineRule="exact"/>
        <w:rPr>
          <w:sz w:val="20"/>
          <w:szCs w:val="20"/>
          <w:color w:val="auto"/>
        </w:rPr>
      </w:pPr>
    </w:p>
    <w:p>
      <w:pPr>
        <w:spacing w:after="0"/>
        <w:tabs>
          <w:tab w:leader="none" w:pos="5700" w:val="left"/>
          <w:tab w:leader="none" w:pos="6160" w:val="left"/>
        </w:tabs>
        <w:rPr>
          <w:sz w:val="20"/>
          <w:szCs w:val="20"/>
          <w:color w:val="auto"/>
        </w:rPr>
      </w:pPr>
      <w:r>
        <w:rPr>
          <w:rFonts w:ascii="Arial" w:cs="Arial" w:eastAsia="Arial" w:hAnsi="Arial"/>
          <w:sz w:val="18"/>
          <w:szCs w:val="18"/>
          <w:color w:val="auto"/>
        </w:rPr>
        <w:t>Date: September 14, 2011</w:t>
      </w:r>
      <w:r>
        <w:rPr>
          <w:sz w:val="20"/>
          <w:szCs w:val="20"/>
          <w:color w:val="auto"/>
        </w:rPr>
        <w:tab/>
      </w:r>
      <w:r>
        <w:rPr>
          <w:rFonts w:ascii="Arial" w:cs="Arial" w:eastAsia="Arial" w:hAnsi="Arial"/>
          <w:sz w:val="18"/>
          <w:szCs w:val="18"/>
          <w:color w:val="auto"/>
        </w:rPr>
        <w:t>BY</w:t>
        <w:tab/>
        <w:t>/s/  Alan Miller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14605</wp:posOffset>
            </wp:positionV>
            <wp:extent cx="332740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327400" cy="17145"/>
                    </a:xfrm>
                    <a:prstGeom prst="rect">
                      <a:avLst/>
                    </a:prstGeom>
                    <a:noFill/>
                  </pic:spPr>
                </pic:pic>
              </a:graphicData>
            </a:graphic>
          </wp:anchor>
        </w:drawing>
      </w:r>
    </w:p>
    <w:p>
      <w:pPr>
        <w:spacing w:after="0" w:line="16"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Alan Miller</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Secretary/Treasurer and Chief Financial Officer</w:t>
      </w:r>
    </w:p>
    <w:p>
      <w:pPr>
        <w:spacing w:after="0" w:line="9"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Signing on behalf of the registrant and as principal</w:t>
      </w:r>
    </w:p>
    <w:p>
      <w:pPr>
        <w:spacing w:after="0" w:line="9"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financial officer</w:t>
      </w:r>
    </w:p>
    <w:p>
      <w:pPr>
        <w:spacing w:after="0" w:line="38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18 of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517" w:right="379" w:bottom="1440" w:gutter="0" w:footer="0" w:header="0"/>
        </w:sectPr>
      </w:pPr>
    </w:p>
    <w:bookmarkStart w:id="18" w:name="page19"/>
    <w:bookmarkEnd w:id="18"/>
    <w:p>
      <w:pPr>
        <w:jc w:val="right"/>
        <w:spacing w:after="0"/>
        <w:rPr>
          <w:sz w:val="20"/>
          <w:szCs w:val="20"/>
          <w:color w:val="auto"/>
        </w:rPr>
      </w:pPr>
      <w:r>
        <w:rPr>
          <w:rFonts w:ascii="Arial" w:cs="Arial" w:eastAsia="Arial" w:hAnsi="Arial"/>
          <w:sz w:val="18"/>
          <w:szCs w:val="18"/>
          <w:color w:val="auto"/>
        </w:rPr>
        <w:t>Exhibit 31.1</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Martin B. Bloch, certify that:</w:t>
      </w:r>
    </w:p>
    <w:p>
      <w:pPr>
        <w:spacing w:after="0" w:line="252" w:lineRule="exact"/>
        <w:rPr>
          <w:sz w:val="20"/>
          <w:szCs w:val="20"/>
          <w:color w:val="auto"/>
        </w:rPr>
      </w:pPr>
    </w:p>
    <w:p>
      <w:pPr>
        <w:ind w:left="240" w:hanging="232"/>
        <w:spacing w:after="0"/>
        <w:tabs>
          <w:tab w:leader="none" w:pos="240" w:val="left"/>
        </w:tabs>
        <w:numPr>
          <w:ilvl w:val="0"/>
          <w:numId w:val="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Frequency Electronics, Inc.;</w:t>
      </w:r>
    </w:p>
    <w:p>
      <w:pPr>
        <w:spacing w:after="0" w:line="252" w:lineRule="exact"/>
        <w:rPr>
          <w:rFonts w:ascii="Arial" w:cs="Arial" w:eastAsia="Arial" w:hAnsi="Arial"/>
          <w:sz w:val="18"/>
          <w:szCs w:val="18"/>
          <w:color w:val="auto"/>
        </w:rPr>
      </w:pPr>
    </w:p>
    <w:p>
      <w:pPr>
        <w:ind w:right="20" w:firstLine="8"/>
        <w:spacing w:after="0" w:line="342" w:lineRule="auto"/>
        <w:tabs>
          <w:tab w:leader="none" w:pos="275" w:val="left"/>
        </w:tabs>
        <w:numPr>
          <w:ilvl w:val="0"/>
          <w:numId w:val="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0" w:lineRule="exact"/>
        <w:rPr>
          <w:rFonts w:ascii="Arial" w:cs="Arial" w:eastAsia="Arial" w:hAnsi="Arial"/>
          <w:sz w:val="16"/>
          <w:szCs w:val="16"/>
          <w:color w:val="auto"/>
        </w:rPr>
      </w:pPr>
    </w:p>
    <w:p>
      <w:pPr>
        <w:ind w:firstLine="8"/>
        <w:spacing w:after="0" w:line="277" w:lineRule="auto"/>
        <w:tabs>
          <w:tab w:leader="none" w:pos="225" w:val="left"/>
        </w:tabs>
        <w:numPr>
          <w:ilvl w:val="0"/>
          <w:numId w:val="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jc w:val="both"/>
        <w:ind w:firstLine="8"/>
        <w:spacing w:after="0" w:line="264" w:lineRule="auto"/>
        <w:tabs>
          <w:tab w:leader="none" w:pos="235"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rFonts w:ascii="Arial" w:cs="Arial" w:eastAsia="Arial" w:hAnsi="Arial"/>
          <w:sz w:val="18"/>
          <w:szCs w:val="18"/>
          <w:color w:val="auto"/>
        </w:rPr>
      </w:pPr>
    </w:p>
    <w:p>
      <w:pPr>
        <w:jc w:val="both"/>
        <w:ind w:left="660" w:hanging="4"/>
        <w:spacing w:after="0" w:line="264" w:lineRule="auto"/>
        <w:tabs>
          <w:tab w:leader="none" w:pos="974" w:val="left"/>
        </w:tabs>
        <w:numPr>
          <w:ilvl w:val="1"/>
          <w:numId w:val="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jc w:val="both"/>
        <w:ind w:left="660" w:right="20" w:hanging="4"/>
        <w:spacing w:after="0" w:line="264" w:lineRule="auto"/>
        <w:tabs>
          <w:tab w:leader="none" w:pos="1020" w:val="left"/>
        </w:tabs>
        <w:numPr>
          <w:ilvl w:val="1"/>
          <w:numId w:val="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ind w:left="660" w:hanging="4"/>
        <w:spacing w:after="0" w:line="308" w:lineRule="auto"/>
        <w:tabs>
          <w:tab w:leader="none" w:pos="1027" w:val="left"/>
        </w:tabs>
        <w:numPr>
          <w:ilvl w:val="1"/>
          <w:numId w:val="5"/>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3" w:lineRule="exact"/>
        <w:rPr>
          <w:rFonts w:ascii="Arial" w:cs="Arial" w:eastAsia="Arial" w:hAnsi="Arial"/>
          <w:sz w:val="17"/>
          <w:szCs w:val="17"/>
          <w:color w:val="auto"/>
        </w:rPr>
      </w:pPr>
    </w:p>
    <w:p>
      <w:pPr>
        <w:jc w:val="both"/>
        <w:ind w:left="660" w:hanging="4"/>
        <w:spacing w:after="0" w:line="264" w:lineRule="auto"/>
        <w:tabs>
          <w:tab w:leader="none" w:pos="982" w:val="left"/>
        </w:tabs>
        <w:numPr>
          <w:ilvl w:val="1"/>
          <w:numId w:val="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8" w:lineRule="exact"/>
        <w:rPr>
          <w:rFonts w:ascii="Arial" w:cs="Arial" w:eastAsia="Arial" w:hAnsi="Arial"/>
          <w:sz w:val="18"/>
          <w:szCs w:val="18"/>
          <w:color w:val="auto"/>
        </w:rPr>
      </w:pPr>
    </w:p>
    <w:p>
      <w:pPr>
        <w:ind w:right="20" w:firstLine="8"/>
        <w:spacing w:after="0" w:line="308" w:lineRule="auto"/>
        <w:tabs>
          <w:tab w:leader="none" w:pos="256"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660" w:right="20" w:hanging="4"/>
        <w:spacing w:after="0" w:line="277" w:lineRule="auto"/>
        <w:tabs>
          <w:tab w:leader="none" w:pos="955" w:val="left"/>
        </w:tabs>
        <w:numPr>
          <w:ilvl w:val="1"/>
          <w:numId w:val="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660" w:hanging="4"/>
        <w:spacing w:after="0" w:line="277" w:lineRule="auto"/>
        <w:tabs>
          <w:tab w:leader="none" w:pos="961" w:val="left"/>
        </w:tabs>
        <w:numPr>
          <w:ilvl w:val="1"/>
          <w:numId w:val="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ind w:left="180"/>
        <w:spacing w:after="0"/>
        <w:tabs>
          <w:tab w:leader="none" w:pos="7680" w:val="left"/>
        </w:tabs>
        <w:rPr>
          <w:sz w:val="20"/>
          <w:szCs w:val="20"/>
          <w:color w:val="auto"/>
        </w:rPr>
      </w:pPr>
      <w:r>
        <w:rPr>
          <w:rFonts w:ascii="Arial" w:cs="Arial" w:eastAsia="Arial" w:hAnsi="Arial"/>
          <w:sz w:val="18"/>
          <w:szCs w:val="18"/>
          <w:color w:val="auto"/>
        </w:rPr>
        <w:t>/s/  Martin Bloch</w:t>
      </w:r>
      <w:r>
        <w:rPr>
          <w:sz w:val="20"/>
          <w:szCs w:val="20"/>
          <w:color w:val="auto"/>
        </w:rPr>
        <w:tab/>
      </w:r>
      <w:r>
        <w:rPr>
          <w:rFonts w:ascii="Arial" w:cs="Arial" w:eastAsia="Arial" w:hAnsi="Arial"/>
          <w:sz w:val="15"/>
          <w:szCs w:val="15"/>
          <w:color w:val="auto"/>
        </w:rPr>
        <w:t>September 14,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Martin B. Bloch</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415290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19" w:name="page20"/>
    <w:bookmarkEnd w:id="19"/>
    <w:p>
      <w:pPr>
        <w:jc w:val="right"/>
        <w:spacing w:after="0"/>
        <w:rPr>
          <w:sz w:val="20"/>
          <w:szCs w:val="20"/>
          <w:color w:val="auto"/>
        </w:rPr>
      </w:pPr>
      <w:r>
        <w:rPr>
          <w:rFonts w:ascii="Arial" w:cs="Arial" w:eastAsia="Arial" w:hAnsi="Arial"/>
          <w:sz w:val="18"/>
          <w:szCs w:val="18"/>
          <w:color w:val="auto"/>
        </w:rPr>
        <w:t>Exhibit 31.2</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Alan L. Miller, certify that</w:t>
      </w:r>
    </w:p>
    <w:p>
      <w:pPr>
        <w:spacing w:after="0" w:line="252" w:lineRule="exact"/>
        <w:rPr>
          <w:sz w:val="20"/>
          <w:szCs w:val="20"/>
          <w:color w:val="auto"/>
        </w:rPr>
      </w:pPr>
    </w:p>
    <w:p>
      <w:pPr>
        <w:ind w:left="240" w:hanging="232"/>
        <w:spacing w:after="0"/>
        <w:tabs>
          <w:tab w:leader="none" w:pos="240" w:val="left"/>
        </w:tabs>
        <w:numPr>
          <w:ilvl w:val="0"/>
          <w:numId w:val="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Frequency Electronics, Inc.;</w:t>
      </w:r>
    </w:p>
    <w:p>
      <w:pPr>
        <w:spacing w:after="0" w:line="252" w:lineRule="exact"/>
        <w:rPr>
          <w:rFonts w:ascii="Arial" w:cs="Arial" w:eastAsia="Arial" w:hAnsi="Arial"/>
          <w:sz w:val="18"/>
          <w:szCs w:val="18"/>
          <w:color w:val="auto"/>
        </w:rPr>
      </w:pPr>
    </w:p>
    <w:p>
      <w:pPr>
        <w:ind w:right="20" w:firstLine="8"/>
        <w:spacing w:after="0" w:line="342" w:lineRule="auto"/>
        <w:tabs>
          <w:tab w:leader="none" w:pos="275" w:val="left"/>
        </w:tabs>
        <w:numPr>
          <w:ilvl w:val="0"/>
          <w:numId w:val="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0" w:lineRule="exact"/>
        <w:rPr>
          <w:rFonts w:ascii="Arial" w:cs="Arial" w:eastAsia="Arial" w:hAnsi="Arial"/>
          <w:sz w:val="16"/>
          <w:szCs w:val="16"/>
          <w:color w:val="auto"/>
        </w:rPr>
      </w:pPr>
    </w:p>
    <w:p>
      <w:pPr>
        <w:ind w:firstLine="8"/>
        <w:spacing w:after="0" w:line="277" w:lineRule="auto"/>
        <w:tabs>
          <w:tab w:leader="none" w:pos="225" w:val="left"/>
        </w:tabs>
        <w:numPr>
          <w:ilvl w:val="0"/>
          <w:numId w:val="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jc w:val="both"/>
        <w:ind w:firstLine="8"/>
        <w:spacing w:after="0" w:line="264" w:lineRule="auto"/>
        <w:tabs>
          <w:tab w:leader="none" w:pos="235"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rFonts w:ascii="Arial" w:cs="Arial" w:eastAsia="Arial" w:hAnsi="Arial"/>
          <w:sz w:val="18"/>
          <w:szCs w:val="18"/>
          <w:color w:val="auto"/>
        </w:rPr>
      </w:pPr>
    </w:p>
    <w:p>
      <w:pPr>
        <w:jc w:val="both"/>
        <w:ind w:left="660" w:hanging="4"/>
        <w:spacing w:after="0" w:line="264" w:lineRule="auto"/>
        <w:tabs>
          <w:tab w:leader="none" w:pos="974"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jc w:val="both"/>
        <w:ind w:left="660" w:right="20" w:hanging="4"/>
        <w:spacing w:after="0" w:line="264" w:lineRule="auto"/>
        <w:tabs>
          <w:tab w:leader="none" w:pos="1020"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ind w:left="660" w:hanging="4"/>
        <w:spacing w:after="0" w:line="308" w:lineRule="auto"/>
        <w:tabs>
          <w:tab w:leader="none" w:pos="1027" w:val="left"/>
        </w:tabs>
        <w:numPr>
          <w:ilvl w:val="1"/>
          <w:numId w:val="6"/>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3" w:lineRule="exact"/>
        <w:rPr>
          <w:rFonts w:ascii="Arial" w:cs="Arial" w:eastAsia="Arial" w:hAnsi="Arial"/>
          <w:sz w:val="17"/>
          <w:szCs w:val="17"/>
          <w:color w:val="auto"/>
        </w:rPr>
      </w:pPr>
    </w:p>
    <w:p>
      <w:pPr>
        <w:jc w:val="both"/>
        <w:ind w:left="660" w:hanging="4"/>
        <w:spacing w:after="0" w:line="264" w:lineRule="auto"/>
        <w:tabs>
          <w:tab w:leader="none" w:pos="982" w:val="left"/>
        </w:tabs>
        <w:numPr>
          <w:ilvl w:val="1"/>
          <w:numId w:val="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8" w:lineRule="exact"/>
        <w:rPr>
          <w:rFonts w:ascii="Arial" w:cs="Arial" w:eastAsia="Arial" w:hAnsi="Arial"/>
          <w:sz w:val="18"/>
          <w:szCs w:val="18"/>
          <w:color w:val="auto"/>
        </w:rPr>
      </w:pPr>
    </w:p>
    <w:p>
      <w:pPr>
        <w:ind w:right="20" w:firstLine="8"/>
        <w:spacing w:after="0" w:line="308" w:lineRule="auto"/>
        <w:tabs>
          <w:tab w:leader="none" w:pos="256"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660" w:right="20" w:hanging="4"/>
        <w:spacing w:after="0" w:line="277" w:lineRule="auto"/>
        <w:tabs>
          <w:tab w:leader="none" w:pos="955" w:val="left"/>
        </w:tabs>
        <w:numPr>
          <w:ilvl w:val="1"/>
          <w:numId w:val="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660" w:hanging="4"/>
        <w:spacing w:after="0" w:line="277" w:lineRule="auto"/>
        <w:tabs>
          <w:tab w:leader="none" w:pos="961" w:val="left"/>
        </w:tabs>
        <w:numPr>
          <w:ilvl w:val="1"/>
          <w:numId w:val="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ind w:left="180"/>
        <w:spacing w:after="0"/>
        <w:tabs>
          <w:tab w:leader="none" w:pos="7680" w:val="left"/>
        </w:tabs>
        <w:rPr>
          <w:sz w:val="20"/>
          <w:szCs w:val="20"/>
          <w:color w:val="auto"/>
        </w:rPr>
      </w:pPr>
      <w:r>
        <w:rPr>
          <w:rFonts w:ascii="Arial" w:cs="Arial" w:eastAsia="Arial" w:hAnsi="Arial"/>
          <w:sz w:val="18"/>
          <w:szCs w:val="18"/>
          <w:color w:val="auto"/>
        </w:rPr>
        <w:t>/s/  Alan Miller</w:t>
      </w:r>
      <w:r>
        <w:rPr>
          <w:sz w:val="20"/>
          <w:szCs w:val="20"/>
          <w:color w:val="auto"/>
        </w:rPr>
        <w:tab/>
      </w:r>
      <w:r>
        <w:rPr>
          <w:rFonts w:ascii="Arial" w:cs="Arial" w:eastAsia="Arial" w:hAnsi="Arial"/>
          <w:sz w:val="15"/>
          <w:szCs w:val="15"/>
          <w:color w:val="auto"/>
        </w:rPr>
        <w:t>September 14,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Alan L. Miller</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415290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20" w:name="page21"/>
    <w:bookmarkEnd w:id="20"/>
    <w:p>
      <w:pPr>
        <w:jc w:val="right"/>
        <w:spacing w:after="0"/>
        <w:rPr>
          <w:sz w:val="20"/>
          <w:szCs w:val="20"/>
          <w:color w:val="auto"/>
        </w:rPr>
      </w:pPr>
      <w:r>
        <w:rPr>
          <w:rFonts w:ascii="Arial" w:cs="Arial" w:eastAsia="Arial" w:hAnsi="Arial"/>
          <w:sz w:val="18"/>
          <w:szCs w:val="18"/>
          <w:color w:val="auto"/>
        </w:rPr>
        <w:t>Exhibit 32.1</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Certification of CEO</w:t>
      </w:r>
    </w:p>
    <w:p>
      <w:pPr>
        <w:spacing w:after="0" w:line="25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Quarterly Report of Frequency Electronics, Inc. (the “Company”) on Form 10-Q for the period ended July 31, 2011 as filed with the Securities and Exchange Commission on the date hereof (the “Report”), I, Martin B. Bloch, Chief Executive Officer of the Company, certify, pursuant to 18 U.S.C. Section 1350, as adopted pursuant to Section 906 of the Sarbanes-Oxley Act of 2002, that to my knowledge:</w:t>
      </w:r>
    </w:p>
    <w:p>
      <w:pPr>
        <w:spacing w:after="0" w:line="193" w:lineRule="exact"/>
        <w:rPr>
          <w:sz w:val="20"/>
          <w:szCs w:val="20"/>
          <w:color w:val="auto"/>
        </w:rPr>
      </w:pPr>
    </w:p>
    <w:p>
      <w:pPr>
        <w:ind w:left="820" w:hanging="326"/>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820" w:hanging="326"/>
        <w:spacing w:after="0"/>
        <w:tabs>
          <w:tab w:leader="none" w:pos="82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75" w:lineRule="exact"/>
        <w:rPr>
          <w:sz w:val="20"/>
          <w:szCs w:val="20"/>
          <w:color w:val="auto"/>
        </w:rPr>
      </w:pPr>
    </w:p>
    <w:p>
      <w:pPr>
        <w:ind w:left="180"/>
        <w:spacing w:after="0"/>
        <w:tabs>
          <w:tab w:leader="none" w:pos="7680" w:val="left"/>
        </w:tabs>
        <w:rPr>
          <w:sz w:val="20"/>
          <w:szCs w:val="20"/>
          <w:color w:val="auto"/>
        </w:rPr>
      </w:pPr>
      <w:r>
        <w:rPr>
          <w:rFonts w:ascii="Arial" w:cs="Arial" w:eastAsia="Arial" w:hAnsi="Arial"/>
          <w:sz w:val="18"/>
          <w:szCs w:val="18"/>
          <w:color w:val="auto"/>
        </w:rPr>
        <w:t>/s/  Martin Bloch</w:t>
      </w:r>
      <w:r>
        <w:rPr>
          <w:sz w:val="20"/>
          <w:szCs w:val="20"/>
          <w:color w:val="auto"/>
        </w:rPr>
        <w:tab/>
      </w:r>
      <w:r>
        <w:rPr>
          <w:rFonts w:ascii="Arial" w:cs="Arial" w:eastAsia="Arial" w:hAnsi="Arial"/>
          <w:sz w:val="15"/>
          <w:szCs w:val="15"/>
          <w:color w:val="auto"/>
        </w:rPr>
        <w:t>September 14,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Martin B. Bloch</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Chief Executive Officer</w:t>
      </w:r>
    </w:p>
    <w:p>
      <w:pPr>
        <w:spacing w:after="0" w:line="238" w:lineRule="exact"/>
        <w:rPr>
          <w:sz w:val="20"/>
          <w:szCs w:val="20"/>
          <w:color w:val="auto"/>
        </w:rPr>
      </w:pPr>
    </w:p>
    <w:p>
      <w:pPr>
        <w:jc w:val="both"/>
        <w:ind w:left="660"/>
        <w:spacing w:after="0" w:line="286" w:lineRule="auto"/>
        <w:rPr>
          <w:sz w:val="20"/>
          <w:szCs w:val="20"/>
          <w:color w:val="auto"/>
        </w:rPr>
      </w:pPr>
      <w:r>
        <w:rPr>
          <w:rFonts w:ascii="Arial" w:cs="Arial" w:eastAsia="Arial" w:hAnsi="Arial"/>
          <w:sz w:val="17"/>
          <w:szCs w:val="17"/>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r>
        <w:rPr>
          <w:rFonts w:ascii="Arial" w:cs="Arial" w:eastAsia="Arial" w:hAnsi="Arial"/>
          <w:sz w:val="17"/>
          <w:szCs w:val="17"/>
          <w:b w:val="1"/>
          <w:bCs w:val="1"/>
          <w:color w:val="auto"/>
        </w:rPr>
        <w:t>.</w:t>
      </w:r>
    </w:p>
    <w:p>
      <w:pPr>
        <w:spacing w:after="0" w:line="193" w:lineRule="exact"/>
        <w:rPr>
          <w:sz w:val="20"/>
          <w:szCs w:val="20"/>
          <w:color w:val="auto"/>
        </w:rPr>
      </w:pPr>
    </w:p>
    <w:p>
      <w:pPr>
        <w:jc w:val="both"/>
        <w:ind w:left="660"/>
        <w:spacing w:after="0" w:line="279" w:lineRule="auto"/>
        <w:rPr>
          <w:sz w:val="20"/>
          <w:szCs w:val="20"/>
          <w:color w:val="auto"/>
        </w:rPr>
      </w:pPr>
      <w:r>
        <w:rPr>
          <w:rFonts w:ascii="Arial" w:cs="Arial" w:eastAsia="Arial" w:hAnsi="Arial"/>
          <w:sz w:val="17"/>
          <w:szCs w:val="17"/>
          <w:color w:val="auto"/>
        </w:rPr>
        <w:t>This certification accompanies this Report on Form 10-Q pursuant to Section 906 of the Sarbanes-Oxley Act of 2002 and shall not, except to the extent required by such Act, be deemed filed by the Company for purposes of Section 18 of the Securities Exchange Act of 1934, as amended (the “Exchange Act”). Such certification will not be deemed to be incorporated by reference into any filing under the Securities Act of 1933, as amended, or the Exchange Act, except to the extent that the Company specifically incorporates it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390525</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21" w:name="page22"/>
    <w:bookmarkEnd w:id="21"/>
    <w:p>
      <w:pPr>
        <w:jc w:val="right"/>
        <w:spacing w:after="0"/>
        <w:rPr>
          <w:sz w:val="20"/>
          <w:szCs w:val="20"/>
          <w:color w:val="auto"/>
        </w:rPr>
      </w:pPr>
      <w:r>
        <w:rPr>
          <w:rFonts w:ascii="Arial" w:cs="Arial" w:eastAsia="Arial" w:hAnsi="Arial"/>
          <w:sz w:val="18"/>
          <w:szCs w:val="18"/>
          <w:color w:val="auto"/>
        </w:rPr>
        <w:t>Exhibit 32.2</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Certification of CFO</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connection with the Quarterly Report of Frequency Electronics, Inc. (the “Company”) on Form 10-Q for the period ended July 31, 2011 as filed with the Securities and Exchange Commission on the date hereof (the “Report”), I, Alan L. Miller, Chief Financial Officer of the Company, certify, pursuant to 18 U.S.C. Section 1350, as adopted pursuant to Section 906 of the Sarbanes-Oxley Act of 2002, that to my knowledge:</w:t>
      </w:r>
    </w:p>
    <w:p>
      <w:pPr>
        <w:spacing w:after="0" w:line="208" w:lineRule="exact"/>
        <w:rPr>
          <w:sz w:val="20"/>
          <w:szCs w:val="20"/>
          <w:color w:val="auto"/>
        </w:rPr>
      </w:pPr>
    </w:p>
    <w:p>
      <w:pPr>
        <w:ind w:left="820" w:hanging="326"/>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820" w:hanging="326"/>
        <w:spacing w:after="0"/>
        <w:tabs>
          <w:tab w:leader="none" w:pos="82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75" w:lineRule="exact"/>
        <w:rPr>
          <w:sz w:val="20"/>
          <w:szCs w:val="20"/>
          <w:color w:val="auto"/>
        </w:rPr>
      </w:pPr>
    </w:p>
    <w:p>
      <w:pPr>
        <w:ind w:left="180"/>
        <w:spacing w:after="0"/>
        <w:tabs>
          <w:tab w:leader="none" w:pos="7840" w:val="left"/>
        </w:tabs>
        <w:rPr>
          <w:sz w:val="20"/>
          <w:szCs w:val="20"/>
          <w:color w:val="auto"/>
        </w:rPr>
      </w:pPr>
      <w:r>
        <w:rPr>
          <w:rFonts w:ascii="Arial" w:cs="Arial" w:eastAsia="Arial" w:hAnsi="Arial"/>
          <w:sz w:val="18"/>
          <w:szCs w:val="18"/>
          <w:color w:val="auto"/>
        </w:rPr>
        <w:t>/s/  Alan Miller</w:t>
      </w:r>
      <w:r>
        <w:rPr>
          <w:sz w:val="20"/>
          <w:szCs w:val="20"/>
          <w:color w:val="auto"/>
        </w:rPr>
        <w:tab/>
      </w:r>
      <w:r>
        <w:rPr>
          <w:rFonts w:ascii="Arial" w:cs="Arial" w:eastAsia="Arial" w:hAnsi="Arial"/>
          <w:sz w:val="15"/>
          <w:szCs w:val="15"/>
          <w:color w:val="auto"/>
        </w:rPr>
        <w:t>September 14,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62775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627755" cy="17145"/>
                    </a:xfrm>
                    <a:prstGeom prst="rect">
                      <a:avLst/>
                    </a:prstGeom>
                    <a:noFill/>
                  </pic:spPr>
                </pic:pic>
              </a:graphicData>
            </a:graphic>
          </wp:anchor>
        </w:drawing>
      </w:r>
    </w:p>
    <w:p>
      <w:pPr>
        <w:spacing w:after="0" w:line="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Alan L. Miller</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Chief Financial Officer</w:t>
      </w:r>
    </w:p>
    <w:p>
      <w:pPr>
        <w:spacing w:after="0" w:line="238" w:lineRule="exact"/>
        <w:rPr>
          <w:sz w:val="20"/>
          <w:szCs w:val="20"/>
          <w:color w:val="auto"/>
        </w:rPr>
      </w:pPr>
    </w:p>
    <w:p>
      <w:pPr>
        <w:jc w:val="both"/>
        <w:ind w:left="660"/>
        <w:spacing w:after="0" w:line="286" w:lineRule="auto"/>
        <w:rPr>
          <w:sz w:val="20"/>
          <w:szCs w:val="20"/>
          <w:color w:val="auto"/>
        </w:rPr>
      </w:pPr>
      <w:r>
        <w:rPr>
          <w:rFonts w:ascii="Arial" w:cs="Arial" w:eastAsia="Arial" w:hAnsi="Arial"/>
          <w:sz w:val="17"/>
          <w:szCs w:val="17"/>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r>
        <w:rPr>
          <w:rFonts w:ascii="Arial" w:cs="Arial" w:eastAsia="Arial" w:hAnsi="Arial"/>
          <w:sz w:val="17"/>
          <w:szCs w:val="17"/>
          <w:b w:val="1"/>
          <w:bCs w:val="1"/>
          <w:color w:val="auto"/>
        </w:rPr>
        <w:t>.</w:t>
      </w:r>
    </w:p>
    <w:p>
      <w:pPr>
        <w:spacing w:after="0" w:line="193" w:lineRule="exact"/>
        <w:rPr>
          <w:sz w:val="20"/>
          <w:szCs w:val="20"/>
          <w:color w:val="auto"/>
        </w:rPr>
      </w:pPr>
    </w:p>
    <w:p>
      <w:pPr>
        <w:jc w:val="both"/>
        <w:ind w:left="660"/>
        <w:spacing w:after="0" w:line="279" w:lineRule="auto"/>
        <w:rPr>
          <w:sz w:val="20"/>
          <w:szCs w:val="20"/>
          <w:color w:val="auto"/>
        </w:rPr>
      </w:pPr>
      <w:r>
        <w:rPr>
          <w:rFonts w:ascii="Arial" w:cs="Arial" w:eastAsia="Arial" w:hAnsi="Arial"/>
          <w:sz w:val="17"/>
          <w:szCs w:val="17"/>
          <w:color w:val="auto"/>
        </w:rPr>
        <w:t>This certification accompanies this Report on Form 10-Q pursuant to Section 906 of the Sarbanes-Oxley Act of 2002 and shall not, except to the extent required by such Act, be deemed filed by the Company for purposes of Section 18 of the Securities Exchange Act of 1934, as amended (the “Exchange Act”). Such certification will not be deemed to be incorporated by reference into any filing under the Securities Act of 1933, as amended, or the Exchange Act, except to the extent that the Company specifically incorporates it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390525</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sectPr>
      <w:pgSz w:w="11900" w:h="16838" w:orient="portrait"/>
      <w:cols w:equalWidth="0" w:num="1">
        <w:col w:w="11420"/>
      </w:cols>
      <w:pgMar w:left="240" w:top="36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x"/>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1)"/>
      <w:numFmt w:val="decimal"/>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1."/>
      <w:numFmt w:val="decimal"/>
      <w:start w:val="1"/>
    </w:lvl>
    <w:lvl w:ilvl="1">
      <w:lvlJc w:val="left"/>
      <w:lvlText w:val="(%2)"/>
      <w:numFmt w:val="lowerLetter"/>
      <w:start w:val="1"/>
    </w:lvl>
  </w:abstractNum>
  <w:abstractNum w:abstractNumId="5">
    <w:nsid w:val="41B71EFB"/>
    <w:multiLevelType w:val="hybridMultilevel"/>
    <w:lvl w:ilvl="0">
      <w:lvlJc w:val="left"/>
      <w:lvlText w:val="%1."/>
      <w:numFmt w:val="decimal"/>
      <w:start w:val="1"/>
    </w:lvl>
    <w:lvl w:ilvl="1">
      <w:lvlJc w:val="left"/>
      <w:lvlText w:val="(%2)"/>
      <w:numFmt w:val="lowerLetter"/>
      <w:start w:val="1"/>
    </w:lvl>
  </w:abstractNum>
  <w:abstractNum w:abstractNumId="6">
    <w:nsid w:val="79E2A9E3"/>
    <w:multiLevelType w:val="hybridMultilevel"/>
    <w:lvl w:ilvl="0">
      <w:lvlJc w:val="left"/>
      <w:lvlText w:val="(%1)"/>
      <w:numFmt w:val="decimal"/>
      <w:start w:val="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2019-12-10T00:47:22Z</dcterms:created>
  <dcterms:modified xsi:type="dcterms:W3CDTF">2019-12-10T00:47:22Z</dcterms:modified>
</cp:coreProperties>
</file>