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83" w:lineRule="exact"/>
        <w:rPr>
          <w:sz w:val="24"/>
          <w:szCs w:val="24"/>
          <w:color w:val="auto"/>
        </w:rPr>
      </w:pPr>
    </w:p>
    <w:p>
      <w:pPr>
        <w:ind w:left="4080" w:right="1780" w:hanging="3424"/>
        <w:spacing w:after="0" w:line="561" w:lineRule="auto"/>
        <w:tabs>
          <w:tab w:leader="none" w:pos="976"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 (d) OF THE SECURITIES EXCHANGE ACT OF 1934 For the Quarterly Period ended July 31, 2008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 (d) OF THE SECURITIES EXCHANGE ACT OF 1934</w:t>
      </w:r>
    </w:p>
    <w:p>
      <w:pPr>
        <w:spacing w:after="0" w:line="319"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1-8061</w:t>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FREQUENCY ELECTRONICS,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626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tcPr>
          <w:p>
            <w:pPr>
              <w:jc w:val="right"/>
              <w:ind w:right="790"/>
              <w:spacing w:after="0"/>
              <w:rPr>
                <w:sz w:val="20"/>
                <w:szCs w:val="20"/>
                <w:color w:val="auto"/>
              </w:rPr>
            </w:pPr>
            <w:r>
              <w:rPr>
                <w:rFonts w:ascii="Arial" w:cs="Arial" w:eastAsia="Arial" w:hAnsi="Arial"/>
                <w:sz w:val="18"/>
                <w:szCs w:val="18"/>
                <w:b w:val="1"/>
                <w:bCs w:val="1"/>
                <w:color w:val="auto"/>
              </w:rPr>
              <w:t>11-1986657</w:t>
            </w:r>
          </w:p>
        </w:tc>
      </w:tr>
      <w:tr>
        <w:trPr>
          <w:trHeight w:val="216"/>
        </w:trPr>
        <w:tc>
          <w:tcPr>
            <w:tcW w:w="6260" w:type="dxa"/>
            <w:vAlign w:val="bottom"/>
          </w:tcPr>
          <w:p>
            <w:pPr>
              <w:jc w:val="center"/>
              <w:ind w:right="45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tcPr>
          <w:p>
            <w:pPr>
              <w:jc w:val="center"/>
              <w:ind w:left="9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6260" w:type="dxa"/>
            <w:vAlign w:val="bottom"/>
          </w:tcPr>
          <w:p>
            <w:pPr>
              <w:jc w:val="center"/>
              <w:ind w:right="450"/>
              <w:spacing w:after="0"/>
              <w:rPr>
                <w:sz w:val="20"/>
                <w:szCs w:val="20"/>
                <w:color w:val="auto"/>
              </w:rPr>
            </w:pPr>
            <w:r>
              <w:rPr>
                <w:rFonts w:ascii="Arial" w:cs="Arial" w:eastAsia="Arial" w:hAnsi="Arial"/>
                <w:sz w:val="18"/>
                <w:szCs w:val="18"/>
                <w:color w:val="auto"/>
                <w:w w:val="92"/>
              </w:rPr>
              <w:t>incorporation or organization)</w:t>
            </w:r>
          </w:p>
        </w:tc>
        <w:tc>
          <w:tcPr>
            <w:tcW w:w="3620" w:type="dxa"/>
            <w:vAlign w:val="bottom"/>
          </w:tcPr>
          <w:p>
            <w:pPr>
              <w:spacing w:after="0"/>
              <w:rPr>
                <w:sz w:val="20"/>
                <w:szCs w:val="20"/>
                <w:color w:val="auto"/>
              </w:rPr>
            </w:pPr>
          </w:p>
        </w:tc>
      </w:tr>
      <w:tr>
        <w:trPr>
          <w:trHeight w:val="499"/>
        </w:trPr>
        <w:tc>
          <w:tcPr>
            <w:tcW w:w="6260" w:type="dxa"/>
            <w:vAlign w:val="bottom"/>
          </w:tcPr>
          <w:p>
            <w:pPr>
              <w:jc w:val="center"/>
              <w:ind w:right="430"/>
              <w:spacing w:after="0"/>
              <w:rPr>
                <w:sz w:val="20"/>
                <w:szCs w:val="20"/>
                <w:color w:val="auto"/>
              </w:rPr>
            </w:pPr>
            <w:r>
              <w:rPr>
                <w:rFonts w:ascii="Arial" w:cs="Arial" w:eastAsia="Arial" w:hAnsi="Arial"/>
                <w:sz w:val="18"/>
                <w:szCs w:val="18"/>
                <w:b w:val="1"/>
                <w:bCs w:val="1"/>
                <w:color w:val="auto"/>
              </w:rPr>
              <w:t>55 CHARLES LINDBERGH BLVD., MITCHEL FIELD, N.Y.</w:t>
            </w:r>
          </w:p>
        </w:tc>
        <w:tc>
          <w:tcPr>
            <w:tcW w:w="3620" w:type="dxa"/>
            <w:vAlign w:val="bottom"/>
          </w:tcPr>
          <w:p>
            <w:pPr>
              <w:jc w:val="right"/>
              <w:ind w:right="990"/>
              <w:spacing w:after="0"/>
              <w:rPr>
                <w:sz w:val="20"/>
                <w:szCs w:val="20"/>
                <w:color w:val="auto"/>
              </w:rPr>
            </w:pPr>
            <w:r>
              <w:rPr>
                <w:rFonts w:ascii="Arial" w:cs="Arial" w:eastAsia="Arial" w:hAnsi="Arial"/>
                <w:sz w:val="18"/>
                <w:szCs w:val="18"/>
                <w:b w:val="1"/>
                <w:bCs w:val="1"/>
                <w:color w:val="auto"/>
              </w:rPr>
              <w:t>11553</w:t>
            </w:r>
          </w:p>
        </w:tc>
      </w:tr>
      <w:tr>
        <w:trPr>
          <w:trHeight w:val="230"/>
        </w:trPr>
        <w:tc>
          <w:tcPr>
            <w:tcW w:w="6260" w:type="dxa"/>
            <w:vAlign w:val="bottom"/>
          </w:tcPr>
          <w:p>
            <w:pPr>
              <w:jc w:val="center"/>
              <w:ind w:right="430"/>
              <w:spacing w:after="0"/>
              <w:rPr>
                <w:sz w:val="20"/>
                <w:szCs w:val="20"/>
                <w:color w:val="auto"/>
              </w:rPr>
            </w:pPr>
            <w:r>
              <w:rPr>
                <w:rFonts w:ascii="Arial" w:cs="Arial" w:eastAsia="Arial" w:hAnsi="Arial"/>
                <w:sz w:val="18"/>
                <w:szCs w:val="18"/>
                <w:color w:val="auto"/>
                <w:w w:val="92"/>
              </w:rPr>
              <w:t>(Address of principal executive offices)</w:t>
            </w:r>
          </w:p>
        </w:tc>
        <w:tc>
          <w:tcPr>
            <w:tcW w:w="3620" w:type="dxa"/>
            <w:vAlign w:val="bottom"/>
          </w:tcPr>
          <w:p>
            <w:pPr>
              <w:jc w:val="center"/>
              <w:ind w:left="910"/>
              <w:spacing w:after="0"/>
              <w:rPr>
                <w:sz w:val="20"/>
                <w:szCs w:val="20"/>
                <w:color w:val="auto"/>
              </w:rPr>
            </w:pPr>
            <w:r>
              <w:rPr>
                <w:rFonts w:ascii="Arial" w:cs="Arial" w:eastAsia="Arial" w:hAnsi="Arial"/>
                <w:sz w:val="18"/>
                <w:szCs w:val="18"/>
                <w:color w:val="auto"/>
                <w:w w:val="91"/>
              </w:rPr>
              <w:t>(Zip Code)</w:t>
            </w:r>
          </w:p>
        </w:tc>
      </w:tr>
      <w:tr>
        <w:trPr>
          <w:trHeight w:val="486"/>
        </w:trPr>
        <w:tc>
          <w:tcPr>
            <w:tcW w:w="6260" w:type="dxa"/>
            <w:vAlign w:val="bottom"/>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3620" w:type="dxa"/>
            <w:vAlign w:val="bottom"/>
          </w:tcPr>
          <w:p>
            <w:pPr>
              <w:spacing w:after="0"/>
              <w:rPr>
                <w:sz w:val="24"/>
                <w:szCs w:val="24"/>
                <w:color w:val="auto"/>
              </w:rPr>
            </w:pPr>
          </w:p>
        </w:tc>
      </w:tr>
    </w:tbl>
    <w:p>
      <w:pPr>
        <w:spacing w:after="0" w:line="25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o</w:t>
      </w:r>
    </w:p>
    <w:p>
      <w:pPr>
        <w:spacing w:after="0" w:line="23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65" w:lineRule="exact"/>
        <w:rPr>
          <w:sz w:val="24"/>
          <w:szCs w:val="24"/>
          <w:color w:val="auto"/>
        </w:rPr>
      </w:pPr>
    </w:p>
    <w:p>
      <w:pPr>
        <w:ind w:left="180"/>
        <w:spacing w:after="0"/>
        <w:tabs>
          <w:tab w:leader="none" w:pos="5000" w:val="left"/>
          <w:tab w:leader="none" w:pos="8860" w:val="left"/>
        </w:tabs>
        <w:rPr>
          <w:sz w:val="20"/>
          <w:szCs w:val="20"/>
          <w:color w:val="auto"/>
        </w:rPr>
      </w:pPr>
      <w:r>
        <w:rPr>
          <w:rFonts w:ascii="Arial" w:cs="Arial" w:eastAsia="Arial" w:hAnsi="Arial"/>
          <w:sz w:val="18"/>
          <w:szCs w:val="18"/>
          <w:color w:val="auto"/>
        </w:rPr>
        <w:t>Large accelerated filer o 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x</w:t>
      </w: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320" w:lineRule="exact"/>
        <w:rPr>
          <w:sz w:val="24"/>
          <w:szCs w:val="24"/>
          <w:color w:val="auto"/>
        </w:rPr>
      </w:pPr>
    </w:p>
    <w:p>
      <w:pPr>
        <w:ind w:left="1960"/>
        <w:spacing w:after="0"/>
        <w:tabs>
          <w:tab w:leader="none" w:pos="29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No x</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APPLICABLE ONLY TO CORPORATE ISSUERS:</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as of September 11, 2008 - 8,065,462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 w:name="page2"/>
    <w:bookmarkEnd w:id="1"/>
    <w:p>
      <w:pPr>
        <w:ind w:left="3220"/>
        <w:spacing w:after="0"/>
        <w:rPr>
          <w:sz w:val="20"/>
          <w:szCs w:val="20"/>
          <w:color w:val="auto"/>
        </w:rPr>
      </w:pPr>
      <w:r>
        <w:rPr>
          <w:rFonts w:ascii="Arial" w:cs="Arial" w:eastAsia="Arial" w:hAnsi="Arial"/>
          <w:sz w:val="18"/>
          <w:szCs w:val="18"/>
          <w:color w:val="auto"/>
        </w:rPr>
        <w:t>FREQUENCY ELECTRONICS, INC. and SUBSIDIARIES</w:t>
      </w:r>
    </w:p>
    <w:p>
      <w:pPr>
        <w:spacing w:after="0" w:line="27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INDEX</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6040" w:type="dxa"/>
            <w:vAlign w:val="bottom"/>
          </w:tcPr>
          <w:p>
            <w:pPr>
              <w:ind w:left="514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360" w:type="dxa"/>
            <w:vAlign w:val="bottom"/>
          </w:tcPr>
          <w:p>
            <w:pPr>
              <w:spacing w:after="0"/>
              <w:rPr>
                <w:sz w:val="4"/>
                <w:szCs w:val="4"/>
                <w:color w:val="auto"/>
              </w:rPr>
            </w:pPr>
          </w:p>
        </w:tc>
        <w:tc>
          <w:tcPr>
            <w:tcW w:w="6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FFCC"/>
          </w:tcPr>
          <w:p>
            <w:pPr>
              <w:spacing w:after="0"/>
              <w:rPr>
                <w:sz w:val="20"/>
                <w:szCs w:val="20"/>
                <w:color w:val="auto"/>
              </w:rPr>
            </w:pPr>
            <w:r>
              <w:rPr>
                <w:rFonts w:ascii="Arial" w:cs="Arial" w:eastAsia="Arial" w:hAnsi="Arial"/>
                <w:sz w:val="18"/>
                <w:szCs w:val="18"/>
                <w:color w:val="auto"/>
              </w:rPr>
              <w:t>Part I. Financial Information:</w:t>
            </w:r>
          </w:p>
        </w:tc>
        <w:tc>
          <w:tcPr>
            <w:tcW w:w="60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Item 1 - Financial Statements:</w:t>
            </w:r>
          </w:p>
        </w:tc>
        <w:tc>
          <w:tcPr>
            <w:tcW w:w="60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shd w:val="clear" w:color="auto" w:fill="CCFFCC"/>
          </w:tcPr>
          <w:p>
            <w:pPr>
              <w:ind w:left="640"/>
              <w:spacing w:after="0" w:line="201" w:lineRule="exact"/>
              <w:rPr>
                <w:sz w:val="20"/>
                <w:szCs w:val="20"/>
                <w:color w:val="auto"/>
              </w:rPr>
            </w:pPr>
            <w:r>
              <w:rPr>
                <w:rFonts w:ascii="Arial" w:cs="Arial" w:eastAsia="Arial" w:hAnsi="Arial"/>
                <w:sz w:val="18"/>
                <w:szCs w:val="18"/>
                <w:color w:val="auto"/>
              </w:rPr>
              <w:t>Condensed Consolidated Balance Sheets -</w:t>
            </w:r>
          </w:p>
        </w:tc>
        <w:tc>
          <w:tcPr>
            <w:tcW w:w="6040" w:type="dxa"/>
            <w:vAlign w:val="bottom"/>
            <w:shd w:val="clear" w:color="auto" w:fill="CCFFCC"/>
          </w:tcPr>
          <w:p>
            <w:pPr>
              <w:jc w:val="center"/>
              <w:ind w:left="4810"/>
              <w:spacing w:after="0" w:line="201"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CFFCC"/>
          </w:tcPr>
          <w:p>
            <w:pPr>
              <w:ind w:left="800"/>
              <w:spacing w:after="0"/>
              <w:rPr>
                <w:sz w:val="20"/>
                <w:szCs w:val="20"/>
                <w:color w:val="auto"/>
              </w:rPr>
            </w:pPr>
            <w:r>
              <w:rPr>
                <w:rFonts w:ascii="Arial" w:cs="Arial" w:eastAsia="Arial" w:hAnsi="Arial"/>
                <w:sz w:val="18"/>
                <w:szCs w:val="18"/>
                <w:color w:val="auto"/>
              </w:rPr>
              <w:t>July 31, 2008 and April 30, 2008</w:t>
            </w:r>
          </w:p>
        </w:tc>
        <w:tc>
          <w:tcPr>
            <w:tcW w:w="60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shd w:val="clear" w:color="auto" w:fill="CCFFCC"/>
          </w:tcPr>
          <w:p>
            <w:pPr>
              <w:ind w:left="640"/>
              <w:spacing w:after="0" w:line="201" w:lineRule="exact"/>
              <w:rPr>
                <w:sz w:val="20"/>
                <w:szCs w:val="20"/>
                <w:color w:val="auto"/>
              </w:rPr>
            </w:pPr>
            <w:r>
              <w:rPr>
                <w:rFonts w:ascii="Arial" w:cs="Arial" w:eastAsia="Arial" w:hAnsi="Arial"/>
                <w:sz w:val="18"/>
                <w:szCs w:val="18"/>
                <w:color w:val="auto"/>
              </w:rPr>
              <w:t>Condensed Consolidated Statements of Operations</w:t>
            </w:r>
          </w:p>
        </w:tc>
        <w:tc>
          <w:tcPr>
            <w:tcW w:w="6040" w:type="dxa"/>
            <w:vAlign w:val="bottom"/>
            <w:shd w:val="clear" w:color="auto" w:fill="CCFFCC"/>
          </w:tcPr>
          <w:p>
            <w:pPr>
              <w:jc w:val="center"/>
              <w:ind w:left="4810"/>
              <w:spacing w:after="0" w:line="201"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CFFCC"/>
          </w:tcPr>
          <w:p>
            <w:pPr>
              <w:ind w:left="800"/>
              <w:spacing w:after="0"/>
              <w:rPr>
                <w:sz w:val="20"/>
                <w:szCs w:val="20"/>
                <w:color w:val="auto"/>
              </w:rPr>
            </w:pPr>
            <w:r>
              <w:rPr>
                <w:rFonts w:ascii="Arial" w:cs="Arial" w:eastAsia="Arial" w:hAnsi="Arial"/>
                <w:sz w:val="18"/>
                <w:szCs w:val="18"/>
                <w:color w:val="auto"/>
              </w:rPr>
              <w:t>Three Months Ended July 31, 2008 and 2007</w:t>
            </w:r>
          </w:p>
        </w:tc>
        <w:tc>
          <w:tcPr>
            <w:tcW w:w="60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shd w:val="clear" w:color="auto" w:fill="CCFFCC"/>
          </w:tcPr>
          <w:p>
            <w:pPr>
              <w:ind w:left="640"/>
              <w:spacing w:after="0" w:line="201" w:lineRule="exact"/>
              <w:rPr>
                <w:sz w:val="20"/>
                <w:szCs w:val="20"/>
                <w:color w:val="auto"/>
              </w:rPr>
            </w:pPr>
            <w:r>
              <w:rPr>
                <w:rFonts w:ascii="Arial" w:cs="Arial" w:eastAsia="Arial" w:hAnsi="Arial"/>
                <w:sz w:val="18"/>
                <w:szCs w:val="18"/>
                <w:color w:val="auto"/>
              </w:rPr>
              <w:t>Condensed Consolidated Statements of Cash Flows</w:t>
            </w:r>
          </w:p>
        </w:tc>
        <w:tc>
          <w:tcPr>
            <w:tcW w:w="6040" w:type="dxa"/>
            <w:vAlign w:val="bottom"/>
            <w:shd w:val="clear" w:color="auto" w:fill="CCFFCC"/>
          </w:tcPr>
          <w:p>
            <w:pPr>
              <w:jc w:val="center"/>
              <w:ind w:left="4810"/>
              <w:spacing w:after="0" w:line="201"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CFFCC"/>
          </w:tcPr>
          <w:p>
            <w:pPr>
              <w:ind w:left="800"/>
              <w:spacing w:after="0"/>
              <w:rPr>
                <w:sz w:val="20"/>
                <w:szCs w:val="20"/>
                <w:color w:val="auto"/>
              </w:rPr>
            </w:pPr>
            <w:r>
              <w:rPr>
                <w:rFonts w:ascii="Arial" w:cs="Arial" w:eastAsia="Arial" w:hAnsi="Arial"/>
                <w:sz w:val="18"/>
                <w:szCs w:val="18"/>
                <w:color w:val="auto"/>
              </w:rPr>
              <w:t>Three Months Ended July 31, 2008 and 2007</w:t>
            </w:r>
          </w:p>
        </w:tc>
        <w:tc>
          <w:tcPr>
            <w:tcW w:w="60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FFCC"/>
          </w:tcPr>
          <w:p>
            <w:pPr>
              <w:ind w:left="640"/>
              <w:spacing w:after="0"/>
              <w:rPr>
                <w:sz w:val="20"/>
                <w:szCs w:val="20"/>
                <w:color w:val="auto"/>
              </w:rPr>
            </w:pPr>
            <w:r>
              <w:rPr>
                <w:rFonts w:ascii="Arial" w:cs="Arial" w:eastAsia="Arial" w:hAnsi="Arial"/>
                <w:sz w:val="18"/>
                <w:szCs w:val="18"/>
                <w:color w:val="auto"/>
              </w:rPr>
              <w:t>Notes to Condensed Consolidated Financial Statements</w:t>
            </w:r>
          </w:p>
        </w:tc>
        <w:tc>
          <w:tcPr>
            <w:tcW w:w="6040" w:type="dxa"/>
            <w:vAlign w:val="bottom"/>
            <w:shd w:val="clear" w:color="auto" w:fill="CCFFCC"/>
          </w:tcPr>
          <w:p>
            <w:pPr>
              <w:jc w:val="center"/>
              <w:ind w:left="4830"/>
              <w:spacing w:after="0"/>
              <w:rPr>
                <w:sz w:val="20"/>
                <w:szCs w:val="20"/>
                <w:color w:val="auto"/>
              </w:rPr>
            </w:pPr>
            <w:r>
              <w:rPr>
                <w:rFonts w:ascii="Arial" w:cs="Arial" w:eastAsia="Arial" w:hAnsi="Arial"/>
                <w:sz w:val="18"/>
                <w:szCs w:val="18"/>
                <w:color w:val="auto"/>
                <w:w w:val="92"/>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shd w:val="clear" w:color="auto" w:fill="CCFFCC"/>
          </w:tcPr>
          <w:p>
            <w:pPr>
              <w:ind w:left="320"/>
              <w:spacing w:after="0" w:line="201" w:lineRule="exact"/>
              <w:rPr>
                <w:sz w:val="20"/>
                <w:szCs w:val="20"/>
                <w:color w:val="auto"/>
              </w:rPr>
            </w:pPr>
            <w:r>
              <w:rPr>
                <w:rFonts w:ascii="Arial" w:cs="Arial" w:eastAsia="Arial" w:hAnsi="Arial"/>
                <w:sz w:val="18"/>
                <w:szCs w:val="18"/>
                <w:color w:val="auto"/>
              </w:rPr>
              <w:t>Item 2 - Management's Discussion and Analysis of</w:t>
            </w:r>
          </w:p>
        </w:tc>
        <w:tc>
          <w:tcPr>
            <w:tcW w:w="6040" w:type="dxa"/>
            <w:vAlign w:val="bottom"/>
            <w:shd w:val="clear" w:color="auto" w:fill="CCFFCC"/>
          </w:tcPr>
          <w:p>
            <w:pPr>
              <w:jc w:val="center"/>
              <w:ind w:left="4810"/>
              <w:spacing w:after="0" w:line="201" w:lineRule="exact"/>
              <w:rPr>
                <w:sz w:val="20"/>
                <w:szCs w:val="20"/>
                <w:color w:val="auto"/>
              </w:rPr>
            </w:pPr>
            <w:r>
              <w:rPr>
                <w:rFonts w:ascii="Arial" w:cs="Arial" w:eastAsia="Arial" w:hAnsi="Arial"/>
                <w:sz w:val="18"/>
                <w:szCs w:val="18"/>
                <w:color w:val="auto"/>
                <w:w w:val="94"/>
              </w:rPr>
              <w:t>9-14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CFFCC"/>
          </w:tcPr>
          <w:p>
            <w:pPr>
              <w:ind w:left="800"/>
              <w:spacing w:after="0"/>
              <w:rPr>
                <w:sz w:val="20"/>
                <w:szCs w:val="20"/>
                <w:color w:val="auto"/>
              </w:rPr>
            </w:pPr>
            <w:r>
              <w:rPr>
                <w:rFonts w:ascii="Arial" w:cs="Arial" w:eastAsia="Arial" w:hAnsi="Arial"/>
                <w:sz w:val="18"/>
                <w:szCs w:val="18"/>
                <w:color w:val="auto"/>
              </w:rPr>
              <w:t>Financial Condition and Results of Operations</w:t>
            </w:r>
          </w:p>
        </w:tc>
        <w:tc>
          <w:tcPr>
            <w:tcW w:w="60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Item 4T- Controls and Procedures</w:t>
            </w:r>
          </w:p>
        </w:tc>
        <w:tc>
          <w:tcPr>
            <w:tcW w:w="6040" w:type="dxa"/>
            <w:vAlign w:val="bottom"/>
            <w:shd w:val="clear" w:color="auto" w:fill="CCFFCC"/>
          </w:tcPr>
          <w:p>
            <w:pPr>
              <w:jc w:val="center"/>
              <w:ind w:left="4810"/>
              <w:spacing w:after="0"/>
              <w:rPr>
                <w:sz w:val="20"/>
                <w:szCs w:val="20"/>
                <w:color w:val="auto"/>
              </w:rPr>
            </w:pPr>
            <w:r>
              <w:rPr>
                <w:rFonts w:ascii="Arial" w:cs="Arial" w:eastAsia="Arial" w:hAnsi="Arial"/>
                <w:sz w:val="18"/>
                <w:szCs w:val="18"/>
                <w:color w:val="auto"/>
                <w:w w:val="91"/>
              </w:rPr>
              <w:t>15-16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60" w:type="dxa"/>
            <w:vAlign w:val="bottom"/>
            <w:shd w:val="clear" w:color="auto" w:fill="CCFFCC"/>
          </w:tcPr>
          <w:p>
            <w:pPr>
              <w:spacing w:after="0"/>
              <w:rPr>
                <w:sz w:val="20"/>
                <w:szCs w:val="20"/>
                <w:color w:val="auto"/>
              </w:rPr>
            </w:pPr>
            <w:r>
              <w:rPr>
                <w:rFonts w:ascii="Arial" w:cs="Arial" w:eastAsia="Arial" w:hAnsi="Arial"/>
                <w:sz w:val="18"/>
                <w:szCs w:val="18"/>
                <w:color w:val="auto"/>
              </w:rPr>
              <w:t>Part II. Other Information:</w:t>
            </w:r>
          </w:p>
        </w:tc>
        <w:tc>
          <w:tcPr>
            <w:tcW w:w="604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60" w:type="dxa"/>
            <w:vAlign w:val="bottom"/>
            <w:shd w:val="clear" w:color="auto" w:fill="CCFFCC"/>
          </w:tcPr>
          <w:p>
            <w:pPr>
              <w:ind w:left="320"/>
              <w:spacing w:after="0"/>
              <w:rPr>
                <w:sz w:val="20"/>
                <w:szCs w:val="20"/>
                <w:color w:val="auto"/>
              </w:rPr>
            </w:pPr>
            <w:r>
              <w:rPr>
                <w:rFonts w:ascii="Arial" w:cs="Arial" w:eastAsia="Arial" w:hAnsi="Arial"/>
                <w:sz w:val="18"/>
                <w:szCs w:val="18"/>
                <w:color w:val="auto"/>
                <w:w w:val="90"/>
              </w:rPr>
              <w:t>Items 1, 1A, 2, 3, 4 and 5 are omitted because they are not applicable</w:t>
            </w:r>
          </w:p>
        </w:tc>
        <w:tc>
          <w:tcPr>
            <w:tcW w:w="604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Item 6 - Exhibits</w:t>
            </w:r>
          </w:p>
        </w:tc>
        <w:tc>
          <w:tcPr>
            <w:tcW w:w="6040" w:type="dxa"/>
            <w:vAlign w:val="bottom"/>
            <w:shd w:val="clear" w:color="auto" w:fill="CCFFCC"/>
          </w:tcPr>
          <w:p>
            <w:pPr>
              <w:jc w:val="center"/>
              <w:ind w:left="4810"/>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Signatures</w:t>
            </w:r>
          </w:p>
        </w:tc>
        <w:tc>
          <w:tcPr>
            <w:tcW w:w="6040" w:type="dxa"/>
            <w:vAlign w:val="bottom"/>
            <w:shd w:val="clear" w:color="auto" w:fill="CCFFCC"/>
          </w:tcPr>
          <w:p>
            <w:pPr>
              <w:jc w:val="center"/>
              <w:ind w:left="4810"/>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Exhibits</w:t>
            </w:r>
          </w:p>
        </w:tc>
        <w:tc>
          <w:tcPr>
            <w:tcW w:w="60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6040" w:type="dxa"/>
            <w:vAlign w:val="bottom"/>
          </w:tcPr>
          <w:p>
            <w:pPr>
              <w:ind w:left="80"/>
              <w:spacing w:after="0"/>
              <w:rPr>
                <w:sz w:val="20"/>
                <w:szCs w:val="20"/>
                <w:color w:val="auto"/>
              </w:rPr>
            </w:pPr>
            <w:r>
              <w:rPr>
                <w:rFonts w:ascii="Arial" w:cs="Arial" w:eastAsia="Arial" w:hAnsi="Arial"/>
                <w:sz w:val="18"/>
                <w:szCs w:val="18"/>
                <w:color w:val="auto"/>
              </w:rPr>
              <w:t>2 of 17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60" w:type="dxa"/>
            <w:vAlign w:val="bottom"/>
            <w:tcBorders>
              <w:bottom w:val="single" w:sz="8" w:color="808080"/>
            </w:tcBorders>
          </w:tcPr>
          <w:p>
            <w:pPr>
              <w:spacing w:after="0"/>
              <w:rPr>
                <w:sz w:val="10"/>
                <w:szCs w:val="10"/>
                <w:color w:val="auto"/>
              </w:rPr>
            </w:pPr>
          </w:p>
        </w:tc>
        <w:tc>
          <w:tcPr>
            <w:tcW w:w="60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p>
      <w:pPr>
        <w:jc w:val="center"/>
        <w:ind w:right="640"/>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245745</wp:posOffset>
            </wp:positionV>
            <wp:extent cx="1037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July 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April 30,</w:t>
            </w:r>
          </w:p>
        </w:tc>
      </w:tr>
      <w:tr>
        <w:trPr>
          <w:trHeight w:val="243"/>
        </w:trPr>
        <w:tc>
          <w:tcPr>
            <w:tcW w:w="8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2008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2008</w:t>
            </w:r>
          </w:p>
        </w:tc>
        <w:tc>
          <w:tcPr>
            <w:tcW w:w="100" w:type="dxa"/>
            <w:vAlign w:val="bottom"/>
          </w:tcPr>
          <w:p>
            <w:pPr>
              <w:spacing w:after="0"/>
              <w:rPr>
                <w:sz w:val="21"/>
                <w:szCs w:val="21"/>
                <w:color w:val="auto"/>
              </w:rPr>
            </w:pPr>
          </w:p>
        </w:tc>
      </w:tr>
      <w:tr>
        <w:trPr>
          <w:trHeight w:val="195"/>
        </w:trPr>
        <w:tc>
          <w:tcPr>
            <w:tcW w:w="8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ind w:right="10"/>
              <w:spacing w:after="0" w:line="195" w:lineRule="exact"/>
              <w:rPr>
                <w:sz w:val="20"/>
                <w:szCs w:val="20"/>
                <w:color w:val="auto"/>
              </w:rPr>
            </w:pPr>
            <w:r>
              <w:rPr>
                <w:rFonts w:ascii="Arial" w:cs="Arial" w:eastAsia="Arial" w:hAnsi="Arial"/>
                <w:sz w:val="18"/>
                <w:szCs w:val="18"/>
                <w:color w:val="auto"/>
              </w:rPr>
              <w:t>(UNAUDITED)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8"/>
              </w:rPr>
              <w:t>(AUDITED)</w:t>
            </w:r>
          </w:p>
        </w:tc>
        <w:tc>
          <w:tcPr>
            <w:tcW w:w="100" w:type="dxa"/>
            <w:vAlign w:val="bottom"/>
          </w:tcPr>
          <w:p>
            <w:pPr>
              <w:spacing w:after="0"/>
              <w:rPr>
                <w:sz w:val="16"/>
                <w:szCs w:val="16"/>
                <w:color w:val="auto"/>
              </w:rPr>
            </w:pPr>
          </w:p>
        </w:tc>
      </w:tr>
      <w:tr>
        <w:trPr>
          <w:trHeight w:val="216"/>
        </w:trPr>
        <w:tc>
          <w:tcPr>
            <w:tcW w:w="8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(NOTE A)</w:t>
            </w:r>
          </w:p>
        </w:tc>
      </w:tr>
      <w:tr>
        <w:trPr>
          <w:trHeight w:val="230"/>
        </w:trPr>
        <w:tc>
          <w:tcPr>
            <w:tcW w:w="8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7"/>
          </w:tcPr>
          <w:p>
            <w:pPr>
              <w:jc w:val="right"/>
              <w:ind w:right="440"/>
              <w:spacing w:after="0"/>
              <w:rPr>
                <w:sz w:val="20"/>
                <w:szCs w:val="20"/>
                <w:color w:val="auto"/>
              </w:rPr>
            </w:pPr>
            <w:r>
              <w:rPr>
                <w:rFonts w:ascii="Arial" w:cs="Arial" w:eastAsia="Arial" w:hAnsi="Arial"/>
                <w:sz w:val="18"/>
                <w:szCs w:val="18"/>
                <w:color w:val="auto"/>
                <w:w w:val="95"/>
              </w:rPr>
              <w:t>(In thousands except share data)</w:t>
            </w:r>
          </w:p>
        </w:tc>
      </w:tr>
      <w:tr>
        <w:trPr>
          <w:trHeight w:val="243"/>
        </w:trPr>
        <w:tc>
          <w:tcPr>
            <w:tcW w:w="8340" w:type="dxa"/>
            <w:vAlign w:val="bottom"/>
            <w:shd w:val="clear" w:color="auto" w:fill="CCFFCC"/>
          </w:tcPr>
          <w:p>
            <w:pPr>
              <w:ind w:left="37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3,745</w:t>
            </w:r>
          </w:p>
        </w:tc>
        <w:tc>
          <w:tcPr>
            <w:tcW w:w="120" w:type="dxa"/>
            <w:vAlign w:val="bottom"/>
            <w:shd w:val="clear" w:color="auto" w:fill="CCFFCC"/>
          </w:tcPr>
          <w:p>
            <w:pPr>
              <w:spacing w:after="0"/>
              <w:rPr>
                <w:sz w:val="21"/>
                <w:szCs w:val="21"/>
                <w:color w:val="auto"/>
              </w:rPr>
            </w:pP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11,029</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10,616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4,414</w:t>
            </w:r>
          </w:p>
        </w:tc>
      </w:tr>
      <w:tr>
        <w:trPr>
          <w:trHeight w:val="243"/>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Accounts receivable, net of allowance for doubtful accounts of $185 at July 31 and April 30, 2008</w:t>
            </w:r>
          </w:p>
        </w:tc>
        <w:tc>
          <w:tcPr>
            <w:tcW w:w="1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13,729</w:t>
            </w:r>
          </w:p>
        </w:tc>
        <w:tc>
          <w:tcPr>
            <w:tcW w:w="1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10,271</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Costs and estimated earnings in excess of billings</w:t>
            </w:r>
          </w:p>
        </w:tc>
        <w:tc>
          <w:tcPr>
            <w:tcW w:w="10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7,143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9,556</w:t>
            </w:r>
          </w:p>
        </w:tc>
      </w:tr>
      <w:tr>
        <w:trPr>
          <w:trHeight w:val="243"/>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30,930</w:t>
            </w:r>
          </w:p>
        </w:tc>
        <w:tc>
          <w:tcPr>
            <w:tcW w:w="1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30,218</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4,133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3,974</w:t>
            </w:r>
          </w:p>
        </w:tc>
      </w:tr>
      <w:tr>
        <w:trPr>
          <w:trHeight w:val="243"/>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Income taxes receivable</w:t>
            </w:r>
          </w:p>
        </w:tc>
        <w:tc>
          <w:tcPr>
            <w:tcW w:w="1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151</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21"/>
                <w:szCs w:val="21"/>
                <w:color w:val="auto"/>
              </w:rPr>
            </w:pPr>
          </w:p>
        </w:tc>
      </w:tr>
      <w:tr>
        <w:trPr>
          <w:trHeight w:val="237"/>
        </w:trPr>
        <w:tc>
          <w:tcPr>
            <w:tcW w:w="8340" w:type="dxa"/>
            <w:vAlign w:val="bottom"/>
            <w:shd w:val="clear" w:color="auto" w:fill="CCFFCC"/>
          </w:tcPr>
          <w:p>
            <w:pPr>
              <w:ind w:left="6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71,794</w:t>
            </w:r>
          </w:p>
        </w:tc>
        <w:tc>
          <w:tcPr>
            <w:tcW w:w="1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70,984</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Property, plant and equipment, at cost, less accumulated depreciation and amortization</w:t>
            </w:r>
          </w:p>
        </w:tc>
        <w:tc>
          <w:tcPr>
            <w:tcW w:w="10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9,139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9,531</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2,990</w:t>
            </w:r>
          </w:p>
        </w:tc>
        <w:tc>
          <w:tcPr>
            <w:tcW w:w="1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2,990</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Goodwill and other intangible assets, net</w:t>
            </w:r>
          </w:p>
        </w:tc>
        <w:tc>
          <w:tcPr>
            <w:tcW w:w="10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1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7,797</w:t>
            </w:r>
          </w:p>
        </w:tc>
        <w:tc>
          <w:tcPr>
            <w:tcW w:w="1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7,671</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Investments in and loans receivable from affiliates</w:t>
            </w:r>
          </w:p>
        </w:tc>
        <w:tc>
          <w:tcPr>
            <w:tcW w:w="10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4,559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4,522</w:t>
            </w:r>
          </w:p>
        </w:tc>
      </w:tr>
      <w:tr>
        <w:trPr>
          <w:trHeight w:val="243"/>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FFCC"/>
          </w:tcPr>
          <w:p>
            <w:pPr>
              <w:spacing w:after="0"/>
              <w:rPr>
                <w:sz w:val="21"/>
                <w:szCs w:val="21"/>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817</w:t>
            </w:r>
          </w:p>
        </w:tc>
        <w:tc>
          <w:tcPr>
            <w:tcW w:w="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spacing w:after="0"/>
              <w:rPr>
                <w:sz w:val="21"/>
                <w:szCs w:val="21"/>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ind w:left="6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97,454</w:t>
            </w:r>
          </w:p>
        </w:tc>
        <w:tc>
          <w:tcPr>
            <w:tcW w:w="1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96,920</w:t>
            </w:r>
          </w:p>
        </w:tc>
      </w:tr>
      <w:tr>
        <w:trPr>
          <w:trHeight w:val="20"/>
        </w:trPr>
        <w:tc>
          <w:tcPr>
            <w:tcW w:w="8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83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8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r>
      <w:tr>
        <w:trPr>
          <w:trHeight w:val="243"/>
        </w:trPr>
        <w:tc>
          <w:tcPr>
            <w:tcW w:w="8340" w:type="dxa"/>
            <w:vAlign w:val="bottom"/>
          </w:tcPr>
          <w:p>
            <w:pPr>
              <w:ind w:left="20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Short-term credit obligations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6,723</w:t>
            </w:r>
          </w:p>
        </w:tc>
        <w:tc>
          <w:tcPr>
            <w:tcW w:w="1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5,168</w:t>
            </w:r>
          </w:p>
        </w:tc>
      </w:tr>
      <w:tr>
        <w:trPr>
          <w:trHeight w:val="243"/>
        </w:trPr>
        <w:tc>
          <w:tcPr>
            <w:tcW w:w="8340" w:type="dxa"/>
            <w:vAlign w:val="bottom"/>
            <w:shd w:val="clear" w:color="auto" w:fill="CCFFCC"/>
          </w:tcPr>
          <w:p>
            <w:pPr>
              <w:ind w:left="500"/>
              <w:spacing w:after="0"/>
              <w:rPr>
                <w:sz w:val="20"/>
                <w:szCs w:val="20"/>
                <w:color w:val="auto"/>
              </w:rPr>
            </w:pPr>
            <w:r>
              <w:rPr>
                <w:rFonts w:ascii="Arial" w:cs="Arial" w:eastAsia="Arial" w:hAnsi="Arial"/>
                <w:sz w:val="18"/>
                <w:szCs w:val="18"/>
                <w:color w:val="auto"/>
              </w:rPr>
              <w:t>Accounts payable - trade</w:t>
            </w:r>
          </w:p>
        </w:tc>
        <w:tc>
          <w:tcPr>
            <w:tcW w:w="1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2,166</w:t>
            </w:r>
          </w:p>
        </w:tc>
        <w:tc>
          <w:tcPr>
            <w:tcW w:w="1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2,215</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Accrued liabilities and other</w:t>
            </w: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4,694</w:t>
            </w:r>
          </w:p>
        </w:tc>
        <w:tc>
          <w:tcPr>
            <w:tcW w:w="100" w:type="dxa"/>
            <w:vAlign w:val="bottom"/>
          </w:tcPr>
          <w:p>
            <w:pPr>
              <w:spacing w:after="0"/>
              <w:rPr>
                <w:sz w:val="21"/>
                <w:szCs w:val="21"/>
                <w:color w:val="auto"/>
              </w:rPr>
            </w:pPr>
          </w:p>
        </w:tc>
      </w:tr>
      <w:tr>
        <w:trPr>
          <w:trHeight w:val="237"/>
        </w:trPr>
        <w:tc>
          <w:tcPr>
            <w:tcW w:w="8340" w:type="dxa"/>
            <w:vAlign w:val="bottom"/>
            <w:shd w:val="clear" w:color="auto" w:fill="CCFFCC"/>
          </w:tcPr>
          <w:p>
            <w:pPr>
              <w:ind w:left="8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13,203</w:t>
            </w:r>
          </w:p>
        </w:tc>
        <w:tc>
          <w:tcPr>
            <w:tcW w:w="1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12,077</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Lease obligation – noncurrent</w:t>
            </w:r>
          </w:p>
        </w:tc>
        <w:tc>
          <w:tcPr>
            <w:tcW w:w="10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911</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Deferred compensation</w:t>
            </w:r>
          </w:p>
        </w:tc>
        <w:tc>
          <w:tcPr>
            <w:tcW w:w="1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9,591</w:t>
            </w:r>
          </w:p>
        </w:tc>
        <w:tc>
          <w:tcPr>
            <w:tcW w:w="1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9,467</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Deferred gain and other liabilities</w:t>
            </w: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r>
      <w:tr>
        <w:trPr>
          <w:trHeight w:val="237"/>
        </w:trPr>
        <w:tc>
          <w:tcPr>
            <w:tcW w:w="8340" w:type="dxa"/>
            <w:vAlign w:val="bottom"/>
            <w:shd w:val="clear" w:color="auto" w:fill="CCFFCC"/>
          </w:tcPr>
          <w:p>
            <w:pPr>
              <w:ind w:left="8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24,416</w:t>
            </w:r>
          </w:p>
        </w:tc>
        <w:tc>
          <w:tcPr>
            <w:tcW w:w="1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23,310</w:t>
            </w:r>
          </w:p>
        </w:tc>
      </w:tr>
      <w:tr>
        <w:trPr>
          <w:trHeight w:val="237"/>
        </w:trPr>
        <w:tc>
          <w:tcPr>
            <w:tcW w:w="834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0" w:type="dxa"/>
            <w:vAlign w:val="bottom"/>
            <w:tcBorders>
              <w:top w:val="single" w:sz="8" w:color="CCFFCC"/>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Preferred stock - $1.00 par value</w:t>
            </w:r>
          </w:p>
        </w:tc>
        <w:tc>
          <w:tcPr>
            <w:tcW w:w="1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Common stock - $1.00 par value</w:t>
            </w:r>
          </w:p>
        </w:tc>
        <w:tc>
          <w:tcPr>
            <w:tcW w:w="10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9,164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9,164</w:t>
            </w:r>
          </w:p>
        </w:tc>
      </w:tr>
      <w:tr>
        <w:trPr>
          <w:trHeight w:val="243"/>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48,463</w:t>
            </w:r>
          </w:p>
        </w:tc>
        <w:tc>
          <w:tcPr>
            <w:tcW w:w="1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48,213</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13,558</w:t>
            </w:r>
          </w:p>
        </w:tc>
        <w:tc>
          <w:tcPr>
            <w:tcW w:w="100" w:type="dxa"/>
            <w:vAlign w:val="bottom"/>
          </w:tcPr>
          <w:p>
            <w:pPr>
              <w:spacing w:after="0"/>
              <w:rPr>
                <w:sz w:val="21"/>
                <w:szCs w:val="21"/>
                <w:color w:val="auto"/>
              </w:rPr>
            </w:pPr>
          </w:p>
        </w:tc>
      </w:tr>
      <w:tr>
        <w:trPr>
          <w:trHeight w:val="237"/>
        </w:trPr>
        <w:tc>
          <w:tcPr>
            <w:tcW w:w="83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70,412</w:t>
            </w:r>
          </w:p>
        </w:tc>
        <w:tc>
          <w:tcPr>
            <w:tcW w:w="1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70,935</w:t>
            </w:r>
          </w:p>
        </w:tc>
      </w:tr>
      <w:tr>
        <w:trPr>
          <w:trHeight w:val="202"/>
        </w:trPr>
        <w:tc>
          <w:tcPr>
            <w:tcW w:w="8340" w:type="dxa"/>
            <w:vAlign w:val="bottom"/>
          </w:tcPr>
          <w:p>
            <w:pPr>
              <w:ind w:left="340"/>
              <w:spacing w:after="0" w:line="201" w:lineRule="exact"/>
              <w:rPr>
                <w:sz w:val="20"/>
                <w:szCs w:val="20"/>
                <w:color w:val="auto"/>
              </w:rPr>
            </w:pPr>
            <w:r>
              <w:rPr>
                <w:rFonts w:ascii="Arial" w:cs="Arial" w:eastAsia="Arial" w:hAnsi="Arial"/>
                <w:sz w:val="18"/>
                <w:szCs w:val="18"/>
                <w:color w:val="auto"/>
                <w:w w:val="91"/>
              </w:rPr>
              <w:t>Common stock reacquired and held in treasury -at cost, 420,826 shares at July 31, 2008 and 427,366 shares</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40" w:type="dxa"/>
            <w:vAlign w:val="bottom"/>
          </w:tcPr>
          <w:p>
            <w:pPr>
              <w:ind w:left="660"/>
              <w:spacing w:after="0"/>
              <w:rPr>
                <w:sz w:val="20"/>
                <w:szCs w:val="20"/>
                <w:color w:val="auto"/>
              </w:rPr>
            </w:pPr>
            <w:r>
              <w:rPr>
                <w:rFonts w:ascii="Arial" w:cs="Arial" w:eastAsia="Arial" w:hAnsi="Arial"/>
                <w:sz w:val="18"/>
                <w:szCs w:val="18"/>
                <w:color w:val="auto"/>
              </w:rPr>
              <w:t>at April 30, 2008</w:t>
            </w:r>
          </w:p>
        </w:tc>
        <w:tc>
          <w:tcPr>
            <w:tcW w:w="100" w:type="dxa"/>
            <w:vAlign w:val="bottom"/>
          </w:tcPr>
          <w:p>
            <w:pPr>
              <w:spacing w:after="0"/>
              <w:rPr>
                <w:sz w:val="20"/>
                <w:szCs w:val="20"/>
                <w:color w:val="auto"/>
              </w:rPr>
            </w:pP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(2,217)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(2,175)</w:t>
            </w:r>
          </w:p>
        </w:tc>
      </w:tr>
      <w:tr>
        <w:trPr>
          <w:trHeight w:val="243"/>
        </w:trPr>
        <w:tc>
          <w:tcPr>
            <w:tcW w:w="834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shd w:val="clear" w:color="auto" w:fill="CCFFCC"/>
          </w:tcPr>
          <w:p>
            <w:pPr>
              <w:spacing w:after="0"/>
              <w:rPr>
                <w:sz w:val="21"/>
                <w:szCs w:val="21"/>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4,843</w:t>
            </w:r>
          </w:p>
        </w:tc>
        <w:tc>
          <w:tcPr>
            <w:tcW w:w="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spacing w:after="0"/>
              <w:rPr>
                <w:sz w:val="21"/>
                <w:szCs w:val="21"/>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4,850</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ind w:left="8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73,038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73,610</w:t>
            </w:r>
          </w:p>
        </w:tc>
        <w:tc>
          <w:tcPr>
            <w:tcW w:w="100" w:type="dxa"/>
            <w:vAlign w:val="bottom"/>
          </w:tcPr>
          <w:p>
            <w:pPr>
              <w:spacing w:after="0"/>
              <w:rPr>
                <w:sz w:val="20"/>
                <w:szCs w:val="20"/>
                <w:color w:val="auto"/>
              </w:rPr>
            </w:pPr>
          </w:p>
        </w:tc>
      </w:tr>
      <w:tr>
        <w:trPr>
          <w:trHeight w:val="277"/>
        </w:trPr>
        <w:tc>
          <w:tcPr>
            <w:tcW w:w="8340" w:type="dxa"/>
            <w:vAlign w:val="bottom"/>
            <w:tcBorders>
              <w:bottom w:val="single" w:sz="8" w:color="CCFFCC"/>
            </w:tcBorders>
            <w:shd w:val="clear" w:color="auto" w:fill="CCFFCC"/>
          </w:tcPr>
          <w:p>
            <w:pPr>
              <w:ind w:left="82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97,454</w:t>
            </w:r>
          </w:p>
        </w:tc>
        <w:tc>
          <w:tcPr>
            <w:tcW w:w="20" w:type="dxa"/>
            <w:vAlign w:val="bottom"/>
            <w:tcBorders>
              <w:bottom w:val="single" w:sz="8" w:color="CCFFCC"/>
            </w:tcBorders>
            <w:shd w:val="clear" w:color="auto" w:fill="CCFFCC"/>
          </w:tcPr>
          <w:p>
            <w:pPr>
              <w:spacing w:after="0"/>
              <w:rPr>
                <w:sz w:val="24"/>
                <w:szCs w:val="24"/>
                <w:color w:val="auto"/>
              </w:rPr>
            </w:pPr>
          </w:p>
        </w:tc>
        <w:tc>
          <w:tcPr>
            <w:tcW w:w="120" w:type="dxa"/>
            <w:vAlign w:val="bottom"/>
            <w:tcBorders>
              <w:bottom w:val="single" w:sz="8" w:color="CCFFCC"/>
            </w:tcBorders>
            <w:shd w:val="clear" w:color="auto" w:fill="CCFFCC"/>
          </w:tcPr>
          <w:p>
            <w:pPr>
              <w:spacing w:after="0"/>
              <w:rPr>
                <w:sz w:val="24"/>
                <w:szCs w:val="24"/>
                <w:color w:val="auto"/>
              </w:rPr>
            </w:pPr>
          </w:p>
        </w:tc>
        <w:tc>
          <w:tcPr>
            <w:tcW w:w="80" w:type="dxa"/>
            <w:vAlign w:val="bottom"/>
            <w:tcBorders>
              <w:bottom w:val="single" w:sz="8" w:color="CCFFCC"/>
            </w:tcBorders>
            <w:shd w:val="clear" w:color="auto" w:fill="CCFFCC"/>
          </w:tcPr>
          <w:p>
            <w:pPr>
              <w:spacing w:after="0"/>
              <w:rPr>
                <w:sz w:val="24"/>
                <w:szCs w:val="24"/>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96,920</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6"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340" w:type="dxa"/>
            <w:vAlign w:val="bottom"/>
          </w:tcPr>
          <w:p>
            <w:pPr>
              <w:jc w:val="center"/>
              <w:ind w:left="2350"/>
              <w:spacing w:after="0"/>
              <w:rPr>
                <w:sz w:val="20"/>
                <w:szCs w:val="20"/>
                <w:color w:val="auto"/>
              </w:rPr>
            </w:pPr>
            <w:r>
              <w:rPr>
                <w:rFonts w:ascii="Arial" w:cs="Arial" w:eastAsia="Arial" w:hAnsi="Arial"/>
                <w:sz w:val="18"/>
                <w:szCs w:val="18"/>
                <w:color w:val="auto"/>
                <w:w w:val="94"/>
              </w:rPr>
              <w:t>FREQUENCY ELECTRONICS, INC. and SUBSIDIARIES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8340" w:type="dxa"/>
            <w:vAlign w:val="bottom"/>
          </w:tcPr>
          <w:p>
            <w:pPr>
              <w:jc w:val="center"/>
              <w:ind w:left="2350"/>
              <w:spacing w:after="0"/>
              <w:rPr>
                <w:sz w:val="20"/>
                <w:szCs w:val="20"/>
                <w:color w:val="auto"/>
              </w:rPr>
            </w:pPr>
            <w:r>
              <w:rPr>
                <w:rFonts w:ascii="Arial" w:cs="Arial" w:eastAsia="Arial" w:hAnsi="Arial"/>
                <w:sz w:val="18"/>
                <w:szCs w:val="18"/>
                <w:color w:val="auto"/>
                <w:w w:val="88"/>
              </w:rPr>
              <w:t>Condensed Consolidated Statements of Operations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2"/>
        </w:trPr>
        <w:tc>
          <w:tcPr>
            <w:tcW w:w="8340" w:type="dxa"/>
            <w:vAlign w:val="bottom"/>
          </w:tcPr>
          <w:p>
            <w:pPr>
              <w:jc w:val="center"/>
              <w:ind w:left="2350"/>
              <w:spacing w:after="0"/>
              <w:rPr>
                <w:sz w:val="20"/>
                <w:szCs w:val="20"/>
                <w:color w:val="auto"/>
              </w:rPr>
            </w:pPr>
            <w:r>
              <w:rPr>
                <w:rFonts w:ascii="Arial" w:cs="Arial" w:eastAsia="Arial" w:hAnsi="Arial"/>
                <w:sz w:val="18"/>
                <w:szCs w:val="18"/>
                <w:color w:val="auto"/>
                <w:w w:val="90"/>
              </w:rPr>
              <w:t>Three Months Ended July 31,</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340" w:type="dxa"/>
            <w:vAlign w:val="bottom"/>
          </w:tcPr>
          <w:p>
            <w:pPr>
              <w:jc w:val="center"/>
              <w:ind w:left="2350"/>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13"/>
        </w:trPr>
        <w:tc>
          <w:tcPr>
            <w:tcW w:w="8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4"/>
                <w:szCs w:val="24"/>
                <w:color w:val="auto"/>
              </w:rPr>
            </w:pPr>
          </w:p>
        </w:tc>
      </w:tr>
      <w:tr>
        <w:trPr>
          <w:trHeight w:val="224"/>
        </w:trPr>
        <w:tc>
          <w:tcPr>
            <w:tcW w:w="8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w w:val="98"/>
              </w:rPr>
              <w:t>(In thousands</w:t>
            </w:r>
          </w:p>
        </w:tc>
        <w:tc>
          <w:tcPr>
            <w:tcW w:w="1600" w:type="dxa"/>
            <w:vAlign w:val="bottom"/>
            <w:gridSpan w:val="4"/>
          </w:tcPr>
          <w:p>
            <w:pPr>
              <w:jc w:val="right"/>
              <w:ind w:right="250"/>
              <w:spacing w:after="0"/>
              <w:rPr>
                <w:sz w:val="20"/>
                <w:szCs w:val="20"/>
                <w:color w:val="auto"/>
              </w:rPr>
            </w:pPr>
            <w:r>
              <w:rPr>
                <w:rFonts w:ascii="Arial" w:cs="Arial" w:eastAsia="Arial" w:hAnsi="Arial"/>
                <w:sz w:val="18"/>
                <w:szCs w:val="18"/>
                <w:color w:val="auto"/>
                <w:w w:val="83"/>
              </w:rPr>
              <w:t>except share data)</w:t>
            </w:r>
          </w:p>
        </w:tc>
        <w:tc>
          <w:tcPr>
            <w:tcW w:w="100" w:type="dxa"/>
            <w:vAlign w:val="bottom"/>
          </w:tcPr>
          <w:p>
            <w:pPr>
              <w:spacing w:after="0"/>
              <w:rPr>
                <w:sz w:val="19"/>
                <w:szCs w:val="19"/>
                <w:color w:val="auto"/>
              </w:rPr>
            </w:pPr>
          </w:p>
        </w:tc>
      </w:tr>
      <w:tr>
        <w:trPr>
          <w:trHeight w:val="229"/>
        </w:trPr>
        <w:tc>
          <w:tcPr>
            <w:tcW w:w="8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13,063</w:t>
            </w:r>
          </w:p>
        </w:tc>
        <w:tc>
          <w:tcPr>
            <w:tcW w:w="140" w:type="dxa"/>
            <w:vAlign w:val="bottom"/>
            <w:shd w:val="clear" w:color="auto" w:fill="CCFFCC"/>
          </w:tcPr>
          <w:p>
            <w:pPr>
              <w:spacing w:after="0"/>
              <w:rPr>
                <w:sz w:val="21"/>
                <w:szCs w:val="21"/>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15,557</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11,086</w:t>
            </w:r>
          </w:p>
        </w:tc>
        <w:tc>
          <w:tcPr>
            <w:tcW w:w="100" w:type="dxa"/>
            <w:vAlign w:val="bottom"/>
          </w:tcPr>
          <w:p>
            <w:pPr>
              <w:spacing w:after="0"/>
              <w:rPr>
                <w:sz w:val="21"/>
                <w:szCs w:val="21"/>
                <w:color w:val="auto"/>
              </w:rPr>
            </w:pPr>
          </w:p>
        </w:tc>
      </w:tr>
      <w:tr>
        <w:trPr>
          <w:trHeight w:val="237"/>
        </w:trPr>
        <w:tc>
          <w:tcPr>
            <w:tcW w:w="8340" w:type="dxa"/>
            <w:vAlign w:val="bottom"/>
            <w:shd w:val="clear" w:color="auto" w:fill="CCFFCC"/>
          </w:tcPr>
          <w:p>
            <w:pPr>
              <w:ind w:left="660"/>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FFCC"/>
          </w:tcPr>
          <w:p>
            <w:pPr>
              <w:spacing w:after="0"/>
              <w:rPr>
                <w:sz w:val="20"/>
                <w:szCs w:val="20"/>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3,191</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4,471</w:t>
            </w:r>
          </w:p>
        </w:tc>
      </w:tr>
      <w:tr>
        <w:trPr>
          <w:trHeight w:val="243"/>
        </w:trPr>
        <w:tc>
          <w:tcPr>
            <w:tcW w:w="8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200" w:type="dxa"/>
            <w:vAlign w:val="bottom"/>
            <w:shd w:val="clear" w:color="auto" w:fill="CCFFCC"/>
          </w:tcPr>
          <w:p>
            <w:pPr>
              <w:spacing w:after="0"/>
              <w:rPr>
                <w:sz w:val="21"/>
                <w:szCs w:val="21"/>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3,116</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3,086</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21"/>
                <w:szCs w:val="21"/>
                <w:color w:val="auto"/>
              </w:rPr>
            </w:pPr>
          </w:p>
        </w:tc>
      </w:tr>
      <w:tr>
        <w:trPr>
          <w:trHeight w:val="237"/>
        </w:trPr>
        <w:tc>
          <w:tcPr>
            <w:tcW w:w="8340" w:type="dxa"/>
            <w:vAlign w:val="bottom"/>
            <w:shd w:val="clear" w:color="auto" w:fill="CCFFCC"/>
          </w:tcPr>
          <w:p>
            <w:pPr>
              <w:ind w:left="660"/>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(1,290)</w:t>
            </w: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(792)</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Investment income</w:t>
            </w:r>
          </w:p>
        </w:tc>
        <w:tc>
          <w:tcPr>
            <w:tcW w:w="200" w:type="dxa"/>
            <w:vAlign w:val="bottom"/>
            <w:shd w:val="clear" w:color="auto" w:fill="CCFFCC"/>
          </w:tcPr>
          <w:p>
            <w:pPr>
              <w:spacing w:after="0"/>
              <w:rPr>
                <w:sz w:val="21"/>
                <w:szCs w:val="21"/>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3,243</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Equity income (loss)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r>
      <w:tr>
        <w:trPr>
          <w:trHeight w:val="243"/>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(131)</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37"/>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(Loss) Income before (benefit) provision for income taxes</w:t>
            </w:r>
          </w:p>
        </w:tc>
        <w:tc>
          <w:tcPr>
            <w:tcW w:w="20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(1,098)</w:t>
            </w: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2,240</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r>
      <w:tr>
        <w:trPr>
          <w:trHeight w:val="20"/>
        </w:trPr>
        <w:tc>
          <w:tcPr>
            <w:tcW w:w="8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8340" w:type="dxa"/>
            <w:vAlign w:val="bottom"/>
            <w:shd w:val="clear" w:color="auto" w:fill="CCFFCC"/>
          </w:tcPr>
          <w:p>
            <w:pPr>
              <w:ind w:left="660"/>
              <w:spacing w:after="0"/>
              <w:rPr>
                <w:sz w:val="20"/>
                <w:szCs w:val="20"/>
                <w:color w:val="auto"/>
              </w:rPr>
            </w:pPr>
            <w:r>
              <w:rPr>
                <w:rFonts w:ascii="Arial" w:cs="Arial" w:eastAsia="Arial" w:hAnsi="Arial"/>
                <w:sz w:val="18"/>
                <w:szCs w:val="18"/>
                <w:color w:val="auto"/>
              </w:rPr>
              <w:t>Net (loss) income</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(773)</w:t>
            </w: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1,380</w:t>
            </w:r>
          </w:p>
        </w:tc>
      </w:tr>
      <w:tr>
        <w:trPr>
          <w:trHeight w:val="224"/>
        </w:trPr>
        <w:tc>
          <w:tcPr>
            <w:tcW w:w="8340" w:type="dxa"/>
            <w:vAlign w:val="bottom"/>
            <w:tcBorders>
              <w:top w:val="single" w:sz="8" w:color="CCFFC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4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Net (loss) income per common share:</w:t>
            </w:r>
          </w:p>
        </w:tc>
        <w:tc>
          <w:tcPr>
            <w:tcW w:w="20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340" w:type="dxa"/>
            <w:vAlign w:val="bottom"/>
          </w:tcPr>
          <w:p>
            <w:pPr>
              <w:ind w:left="66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r>
      <w:tr>
        <w:trPr>
          <w:trHeight w:val="20"/>
        </w:trPr>
        <w:tc>
          <w:tcPr>
            <w:tcW w:w="8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8340" w:type="dxa"/>
            <w:vAlign w:val="bottom"/>
            <w:shd w:val="clear" w:color="auto" w:fill="CCFFCC"/>
          </w:tcPr>
          <w:p>
            <w:pPr>
              <w:ind w:left="66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(0.09)</w:t>
            </w: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0.16</w:t>
            </w:r>
          </w:p>
        </w:tc>
      </w:tr>
      <w:tr>
        <w:trPr>
          <w:trHeight w:val="224"/>
        </w:trPr>
        <w:tc>
          <w:tcPr>
            <w:tcW w:w="8340" w:type="dxa"/>
            <w:vAlign w:val="bottom"/>
            <w:tcBorders>
              <w:top w:val="single" w:sz="8" w:color="CCFFC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4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Average shares outstanding:</w:t>
            </w:r>
          </w:p>
        </w:tc>
        <w:tc>
          <w:tcPr>
            <w:tcW w:w="20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340" w:type="dxa"/>
            <w:vAlign w:val="bottom"/>
          </w:tcPr>
          <w:p>
            <w:pPr>
              <w:ind w:left="66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8,742,086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8,695,027</w:t>
            </w:r>
          </w:p>
        </w:tc>
        <w:tc>
          <w:tcPr>
            <w:tcW w:w="100" w:type="dxa"/>
            <w:vAlign w:val="bottom"/>
          </w:tcPr>
          <w:p>
            <w:pPr>
              <w:spacing w:after="0"/>
              <w:rPr>
                <w:sz w:val="21"/>
                <w:szCs w:val="2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8340" w:type="dxa"/>
            <w:vAlign w:val="bottom"/>
            <w:tcBorders>
              <w:bottom w:val="single" w:sz="8" w:color="CCFFCC"/>
            </w:tcBorders>
            <w:shd w:val="clear" w:color="auto" w:fill="CCFFCC"/>
          </w:tcPr>
          <w:p>
            <w:pPr>
              <w:ind w:left="66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FFCC"/>
          </w:tcPr>
          <w:p>
            <w:pPr>
              <w:spacing w:after="0"/>
              <w:rPr>
                <w:sz w:val="22"/>
                <w:szCs w:val="22"/>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8,742,086</w:t>
            </w:r>
          </w:p>
        </w:tc>
        <w:tc>
          <w:tcPr>
            <w:tcW w:w="14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300" w:type="dxa"/>
            <w:vAlign w:val="bottom"/>
            <w:tcBorders>
              <w:bottom w:val="single" w:sz="8" w:color="auto"/>
            </w:tcBorders>
            <w:shd w:val="clear" w:color="auto" w:fill="CCFFCC"/>
          </w:tcPr>
          <w:p>
            <w:pPr>
              <w:spacing w:after="0"/>
              <w:rPr>
                <w:sz w:val="22"/>
                <w:szCs w:val="22"/>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8,783,676</w:t>
            </w:r>
          </w:p>
        </w:tc>
        <w:tc>
          <w:tcPr>
            <w:tcW w:w="100" w:type="dxa"/>
            <w:vAlign w:val="bottom"/>
            <w:tcBorders>
              <w:bottom w:val="single" w:sz="8" w:color="CCFFCC"/>
            </w:tcBorders>
            <w:shd w:val="clear" w:color="auto" w:fill="CCFFCC"/>
          </w:tcPr>
          <w:p>
            <w:pPr>
              <w:spacing w:after="0"/>
              <w:rPr>
                <w:sz w:val="22"/>
                <w:szCs w:val="22"/>
                <w:color w:val="auto"/>
              </w:rPr>
            </w:pPr>
          </w:p>
        </w:tc>
      </w:tr>
    </w:tbl>
    <w:p>
      <w:pPr>
        <w:spacing w:after="0" w:line="256"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ind w:left="3220"/>
        <w:spacing w:after="0"/>
        <w:rPr>
          <w:sz w:val="20"/>
          <w:szCs w:val="20"/>
          <w:color w:val="auto"/>
        </w:rPr>
      </w:pPr>
      <w:r>
        <w:rPr>
          <w:rFonts w:ascii="Arial" w:cs="Arial" w:eastAsia="Arial" w:hAnsi="Arial"/>
          <w:sz w:val="17"/>
          <w:szCs w:val="17"/>
          <w:color w:val="auto"/>
        </w:rPr>
        <w:t>FREQUENCY ELECTRONICS, INC. and SUBSIDIARIES</w:t>
      </w:r>
    </w:p>
    <w:p>
      <w:pPr>
        <w:spacing w:after="0" w:line="291"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Condensed Consolidated Statements of Cash Flows</w:t>
      </w:r>
    </w:p>
    <w:p>
      <w:pPr>
        <w:spacing w:after="0" w:line="291"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Three Months Ended July 31,</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Gain on sale of investments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non-cash charges to earnings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changes in other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340" w:right="2940"/>
        <w:spacing w:after="0" w:line="274" w:lineRule="auto"/>
        <w:rPr>
          <w:sz w:val="20"/>
          <w:szCs w:val="20"/>
          <w:color w:val="auto"/>
        </w:rPr>
      </w:pPr>
      <w:r>
        <w:rPr>
          <w:rFonts w:ascii="Arial" w:cs="Arial" w:eastAsia="Arial" w:hAnsi="Arial"/>
          <w:sz w:val="18"/>
          <w:szCs w:val="18"/>
          <w:color w:val="auto"/>
        </w:rPr>
        <w:t>Proceeds from sale of marketable securities and investments Purchase of marketable securities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Proceeds from short-term credit obligations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Payment of short-term credit and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Payment of cash dividend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transactions, net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before effect of exchange rate changes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ind w:left="500"/>
        <w:spacing w:after="0"/>
        <w:tabs>
          <w:tab w:leader="none" w:pos="2100" w:val="left"/>
        </w:tabs>
        <w:rPr>
          <w:sz w:val="20"/>
          <w:szCs w:val="20"/>
          <w:color w:val="auto"/>
        </w:rPr>
      </w:pPr>
      <w:r>
        <w:rPr>
          <w:rFonts w:ascii="Arial" w:cs="Arial" w:eastAsia="Arial" w:hAnsi="Arial"/>
          <w:sz w:val="18"/>
          <w:szCs w:val="18"/>
          <w:color w:val="auto"/>
        </w:rPr>
        <w:t>2008</w:t>
      </w:r>
      <w:r>
        <w:rPr>
          <w:sz w:val="20"/>
          <w:szCs w:val="20"/>
          <w:color w:val="auto"/>
        </w:rPr>
        <w:tab/>
      </w:r>
      <w:r>
        <w:rPr>
          <w:rFonts w:ascii="Arial" w:cs="Arial" w:eastAsia="Arial" w:hAnsi="Arial"/>
          <w:sz w:val="18"/>
          <w:szCs w:val="18"/>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8865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322" w:lineRule="exact"/>
        <w:rPr>
          <w:sz w:val="20"/>
          <w:szCs w:val="20"/>
          <w:color w:val="auto"/>
        </w:rPr>
      </w:pPr>
    </w:p>
    <w:p>
      <w:pPr>
        <w:spacing w:after="0"/>
        <w:tabs>
          <w:tab w:leader="none" w:pos="1020" w:val="left"/>
          <w:tab w:leader="none" w:pos="1580" w:val="left"/>
          <w:tab w:leader="none" w:pos="2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(773)</w:t>
        <w:tab/>
        <w:t>$</w:t>
      </w:r>
      <w:r>
        <w:rPr>
          <w:sz w:val="20"/>
          <w:szCs w:val="20"/>
          <w:color w:val="auto"/>
        </w:rPr>
        <w:tab/>
      </w:r>
      <w:r>
        <w:rPr>
          <w:rFonts w:ascii="Arial" w:cs="Arial" w:eastAsia="Arial" w:hAnsi="Arial"/>
          <w:sz w:val="16"/>
          <w:szCs w:val="16"/>
          <w:color w:val="auto"/>
        </w:rPr>
        <w:t>1,380</w:t>
      </w:r>
    </w:p>
    <w:p>
      <w:pPr>
        <w:spacing w:after="0" w:line="36" w:lineRule="exact"/>
        <w:rPr>
          <w:sz w:val="20"/>
          <w:szCs w:val="20"/>
          <w:color w:val="auto"/>
        </w:rPr>
      </w:pPr>
    </w:p>
    <w:p>
      <w:pPr>
        <w:ind w:left="2500" w:hanging="1182"/>
        <w:spacing w:after="0"/>
        <w:tabs>
          <w:tab w:leader="none" w:pos="2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(3,015)</w:t>
      </w:r>
    </w:p>
    <w:p>
      <w:pPr>
        <w:spacing w:after="0" w:line="36" w:lineRule="exact"/>
        <w:rPr>
          <w:sz w:val="20"/>
          <w:szCs w:val="20"/>
          <w:color w:val="auto"/>
        </w:rPr>
      </w:pPr>
    </w:p>
    <w:p>
      <w:pPr>
        <w:ind w:left="2560" w:hanging="1445"/>
        <w:spacing w:after="0"/>
        <w:tabs>
          <w:tab w:leader="none" w:pos="2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1,015</w:t>
      </w:r>
    </w:p>
    <w:p>
      <w:pPr>
        <w:spacing w:after="0" w:line="36"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(2,108)</w:t>
      </w:r>
      <w:r>
        <w:rPr>
          <w:rFonts w:ascii="Arial" w:cs="Arial" w:eastAsia="Arial" w:hAnsi="Arial"/>
          <w:sz w:val="17"/>
          <w:szCs w:val="17"/>
          <w:color w:val="auto"/>
        </w:rPr>
        <w:t>(3,777)</w:t>
      </w:r>
    </w:p>
    <w:p>
      <w:pPr>
        <w:spacing w:after="0" w:line="50" w:lineRule="exact"/>
        <w:rPr>
          <w:sz w:val="20"/>
          <w:szCs w:val="20"/>
          <w:color w:val="auto"/>
        </w:rPr>
      </w:pPr>
    </w:p>
    <w:p>
      <w:pPr>
        <w:ind w:left="920"/>
        <w:spacing w:after="0"/>
        <w:tabs>
          <w:tab w:leader="none" w:pos="2480" w:val="left"/>
        </w:tabs>
        <w:rPr>
          <w:sz w:val="20"/>
          <w:szCs w:val="20"/>
          <w:color w:val="auto"/>
        </w:rPr>
      </w:pPr>
      <w:r>
        <w:rPr>
          <w:rFonts w:ascii="Arial" w:cs="Arial" w:eastAsia="Arial" w:hAnsi="Arial"/>
          <w:sz w:val="18"/>
          <w:szCs w:val="18"/>
          <w:color w:val="auto"/>
        </w:rPr>
        <w:t>(2,070)</w:t>
      </w:r>
      <w:r>
        <w:rPr>
          <w:sz w:val="20"/>
          <w:szCs w:val="20"/>
          <w:color w:val="auto"/>
        </w:rPr>
        <w:tab/>
      </w:r>
      <w:r>
        <w:rPr>
          <w:rFonts w:ascii="Arial" w:cs="Arial" w:eastAsia="Arial" w:hAnsi="Arial"/>
          <w:sz w:val="18"/>
          <w:szCs w:val="18"/>
          <w:color w:val="auto"/>
        </w:rPr>
        <w:t>(4,397)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8865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5,643</w:t>
            </w:r>
          </w:p>
        </w:tc>
      </w:tr>
      <w:tr>
        <w:trPr>
          <w:trHeight w:val="243"/>
        </w:trPr>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(6,586)</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r>
      <w:tr>
        <w:trPr>
          <w:trHeight w:val="243"/>
        </w:trPr>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(559)</w:t>
            </w:r>
          </w:p>
        </w:tc>
      </w:tr>
      <w:tr>
        <w:trPr>
          <w:trHeight w:val="20"/>
        </w:trPr>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(6,697)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4,910</w:t>
            </w:r>
          </w:p>
        </w:tc>
      </w:tr>
      <w:tr>
        <w:trPr>
          <w:trHeight w:val="723"/>
        </w:trPr>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24"/>
                <w:szCs w:val="24"/>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4"/>
                <w:szCs w:val="24"/>
                <w:color w:val="auto"/>
              </w:rPr>
            </w:pPr>
          </w:p>
        </w:tc>
      </w:tr>
      <w:tr>
        <w:trPr>
          <w:trHeight w:val="243"/>
        </w:trPr>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(869)</w:t>
            </w:r>
          </w:p>
        </w:tc>
      </w:tr>
      <w:tr>
        <w:trPr>
          <w:trHeight w:val="243"/>
        </w:trPr>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37"/>
        </w:trPr>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1,348</w:t>
            </w:r>
          </w:p>
        </w:tc>
        <w:tc>
          <w:tcPr>
            <w:tcW w:w="220" w:type="dxa"/>
            <w:vAlign w:val="bottom"/>
            <w:tcBorders>
              <w:bottom w:val="single" w:sz="8" w:color="CCFFCC"/>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FFCC"/>
            </w:tcBorders>
          </w:tcPr>
          <w:p>
            <w:pPr>
              <w:spacing w:after="0"/>
              <w:rPr>
                <w:sz w:val="20"/>
                <w:szCs w:val="20"/>
                <w:color w:val="auto"/>
              </w:rPr>
            </w:pPr>
          </w:p>
        </w:tc>
      </w:tr>
      <w:tr>
        <w:trPr>
          <w:trHeight w:val="669"/>
        </w:trPr>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(7,419)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1,142</w:t>
            </w:r>
          </w:p>
        </w:tc>
      </w:tr>
      <w:tr>
        <w:trPr>
          <w:trHeight w:val="486"/>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Borders>
              <w:bottom w:val="single" w:sz="8" w:color="CCFFCC"/>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FFCC"/>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368" w:right="2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Net (decrease) increase in cash and cash equivalents</w:t>
            </w:r>
          </w:p>
        </w:tc>
        <w:tc>
          <w:tcPr>
            <w:tcW w:w="22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(7,284)</w:t>
            </w:r>
          </w:p>
        </w:tc>
        <w:tc>
          <w:tcPr>
            <w:tcW w:w="8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1,768</w:t>
            </w:r>
          </w:p>
        </w:tc>
      </w:tr>
      <w:tr>
        <w:trPr>
          <w:trHeight w:val="243"/>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120" w:type="dxa"/>
            <w:vAlign w:val="bottom"/>
            <w:tcBorders>
              <w:bottom w:val="single" w:sz="8" w:color="CCFFCC"/>
            </w:tcBorders>
            <w:shd w:val="clear" w:color="auto" w:fill="CCFFCC"/>
          </w:tcPr>
          <w:p>
            <w:pPr>
              <w:ind w:left="500"/>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11,029</w:t>
            </w:r>
          </w:p>
        </w:tc>
        <w:tc>
          <w:tcPr>
            <w:tcW w:w="14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auto"/>
            </w:tcBorders>
            <w:shd w:val="clear" w:color="auto" w:fill="CCFFCC"/>
          </w:tcPr>
          <w:p>
            <w:pPr>
              <w:spacing w:after="0"/>
              <w:rPr>
                <w:sz w:val="21"/>
                <w:szCs w:val="21"/>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37"/>
        </w:trPr>
        <w:tc>
          <w:tcPr>
            <w:tcW w:w="8120" w:type="dxa"/>
            <w:vAlign w:val="bottom"/>
          </w:tcPr>
          <w:p>
            <w:pPr>
              <w:spacing w:after="0"/>
              <w:rPr>
                <w:sz w:val="20"/>
                <w:szCs w:val="20"/>
                <w:color w:val="auto"/>
              </w:rPr>
            </w:pPr>
          </w:p>
        </w:tc>
        <w:tc>
          <w:tcPr>
            <w:tcW w:w="720" w:type="dxa"/>
            <w:vAlign w:val="bottom"/>
            <w:gridSpan w:val="2"/>
          </w:tcPr>
          <w:p>
            <w:pPr>
              <w:spacing w:after="0"/>
              <w:rPr>
                <w:sz w:val="20"/>
                <w:szCs w:val="20"/>
                <w:color w:val="auto"/>
              </w:rPr>
            </w:pPr>
          </w:p>
        </w:tc>
        <w:tc>
          <w:tcPr>
            <w:tcW w:w="1020" w:type="dxa"/>
            <w:vAlign w:val="bottom"/>
            <w:gridSpan w:val="2"/>
          </w:tcPr>
          <w:p>
            <w:pPr>
              <w:spacing w:after="0"/>
              <w:rPr>
                <w:sz w:val="20"/>
                <w:szCs w:val="20"/>
                <w:color w:val="auto"/>
              </w:rPr>
            </w:pPr>
          </w:p>
        </w:tc>
        <w:tc>
          <w:tcPr>
            <w:tcW w:w="620" w:type="dxa"/>
            <w:vAlign w:val="bottom"/>
            <w:gridSpan w:val="2"/>
          </w:tcPr>
          <w:p>
            <w:pPr>
              <w:spacing w:after="0"/>
              <w:rPr>
                <w:sz w:val="20"/>
                <w:szCs w:val="20"/>
                <w:color w:val="auto"/>
              </w:rPr>
            </w:pPr>
          </w:p>
        </w:tc>
        <w:tc>
          <w:tcPr>
            <w:tcW w:w="940" w:type="dxa"/>
            <w:vAlign w:val="bottom"/>
            <w:gridSpan w:val="2"/>
          </w:tcPr>
          <w:p>
            <w:pPr>
              <w:spacing w:after="0"/>
              <w:rPr>
                <w:sz w:val="20"/>
                <w:szCs w:val="20"/>
                <w:color w:val="auto"/>
              </w:rPr>
            </w:pPr>
          </w:p>
        </w:tc>
      </w:tr>
      <w:tr>
        <w:trPr>
          <w:trHeight w:val="283"/>
        </w:trPr>
        <w:tc>
          <w:tcPr>
            <w:tcW w:w="81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Cash and cash equivalents at end of period</w:t>
            </w:r>
          </w:p>
        </w:tc>
        <w:tc>
          <w:tcPr>
            <w:tcW w:w="72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3,745</w:t>
            </w:r>
          </w:p>
        </w:tc>
        <w:tc>
          <w:tcPr>
            <w:tcW w:w="620" w:type="dxa"/>
            <w:vAlign w:val="bottom"/>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3,104</w:t>
            </w:r>
          </w:p>
        </w:tc>
      </w:tr>
      <w:tr>
        <w:trPr>
          <w:trHeight w:val="224"/>
        </w:trPr>
        <w:tc>
          <w:tcPr>
            <w:tcW w:w="8120" w:type="dxa"/>
            <w:vAlign w:val="bottom"/>
            <w:tcBorders>
              <w:top w:val="single" w:sz="8" w:color="CCFFCC"/>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81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cash flow information:</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paid during the period for:</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220" w:type="dxa"/>
            <w:vAlign w:val="bottom"/>
            <w:tcBorders>
              <w:bottom w:val="single" w:sz="8" w:color="CCFFCC"/>
            </w:tcBorders>
            <w:shd w:val="clear" w:color="auto" w:fill="CCFFCC"/>
          </w:tcPr>
          <w:p>
            <w:pPr>
              <w:ind w:left="660"/>
              <w:spacing w:after="0"/>
              <w:rPr>
                <w:sz w:val="20"/>
                <w:szCs w:val="20"/>
                <w:color w:val="auto"/>
              </w:rPr>
            </w:pPr>
            <w:r>
              <w:rPr>
                <w:rFonts w:ascii="Arial" w:cs="Arial" w:eastAsia="Arial" w:hAnsi="Arial"/>
                <w:sz w:val="18"/>
                <w:szCs w:val="18"/>
                <w:color w:val="auto"/>
              </w:rPr>
              <w:t>Interest</w:t>
            </w:r>
          </w:p>
        </w:tc>
        <w:tc>
          <w:tcPr>
            <w:tcW w:w="612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auto"/>
            </w:tcBorders>
            <w:shd w:val="clear" w:color="auto" w:fill="CCFFCC"/>
          </w:tcPr>
          <w:p>
            <w:pPr>
              <w:jc w:val="right"/>
              <w:ind w:right="4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600" w:type="dxa"/>
            <w:vAlign w:val="bottom"/>
            <w:tcBorders>
              <w:bottom w:val="single" w:sz="8" w:color="auto"/>
            </w:tcBorders>
            <w:shd w:val="clear" w:color="auto" w:fill="CCFFCC"/>
          </w:tcPr>
          <w:p>
            <w:pPr>
              <w:jc w:val="right"/>
              <w:ind w:right="4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FFCC"/>
            </w:tcBorders>
            <w:shd w:val="clear" w:color="auto" w:fill="CCFFCC"/>
          </w:tcPr>
          <w:p>
            <w:pPr>
              <w:spacing w:after="0"/>
              <w:rPr>
                <w:sz w:val="23"/>
                <w:szCs w:val="23"/>
                <w:color w:val="auto"/>
              </w:rPr>
            </w:pPr>
          </w:p>
        </w:tc>
      </w:tr>
      <w:tr>
        <w:trPr>
          <w:trHeight w:val="224"/>
        </w:trPr>
        <w:tc>
          <w:tcPr>
            <w:tcW w:w="2220" w:type="dxa"/>
            <w:vAlign w:val="bottom"/>
          </w:tcPr>
          <w:p>
            <w:pPr>
              <w:ind w:left="660"/>
              <w:spacing w:after="0"/>
              <w:rPr>
                <w:sz w:val="20"/>
                <w:szCs w:val="20"/>
                <w:color w:val="auto"/>
              </w:rPr>
            </w:pPr>
            <w:r>
              <w:rPr>
                <w:rFonts w:ascii="Arial" w:cs="Arial" w:eastAsia="Arial" w:hAnsi="Arial"/>
                <w:sz w:val="18"/>
                <w:szCs w:val="18"/>
                <w:color w:val="auto"/>
              </w:rPr>
              <w:t>Income Taxes</w:t>
            </w:r>
          </w:p>
        </w:tc>
        <w:tc>
          <w:tcPr>
            <w:tcW w:w="6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22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2220" w:type="dxa"/>
            <w:vAlign w:val="bottom"/>
          </w:tcPr>
          <w:p>
            <w:pPr>
              <w:spacing w:after="0"/>
              <w:rPr>
                <w:sz w:val="24"/>
                <w:szCs w:val="24"/>
                <w:color w:val="auto"/>
              </w:rPr>
            </w:pPr>
          </w:p>
        </w:tc>
        <w:tc>
          <w:tcPr>
            <w:tcW w:w="6760" w:type="dxa"/>
            <w:vAlign w:val="bottom"/>
            <w:gridSpan w:val="2"/>
          </w:tcPr>
          <w:p>
            <w:pPr>
              <w:jc w:val="right"/>
              <w:ind w:right="870"/>
              <w:spacing w:after="0"/>
              <w:rPr>
                <w:sz w:val="20"/>
                <w:szCs w:val="20"/>
                <w:color w:val="auto"/>
              </w:rPr>
            </w:pPr>
            <w:r>
              <w:rPr>
                <w:rFonts w:ascii="Arial" w:cs="Arial" w:eastAsia="Arial" w:hAnsi="Arial"/>
                <w:sz w:val="18"/>
                <w:szCs w:val="18"/>
                <w:color w:val="auto"/>
                <w:w w:val="97"/>
              </w:rPr>
              <w:t>See accompanying notes to condensed consolidated financial statements.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2220" w:type="dxa"/>
            <w:vAlign w:val="bottom"/>
          </w:tcPr>
          <w:p>
            <w:pPr>
              <w:spacing w:after="0"/>
              <w:rPr>
                <w:sz w:val="24"/>
                <w:szCs w:val="24"/>
                <w:color w:val="auto"/>
              </w:rPr>
            </w:pPr>
          </w:p>
        </w:tc>
        <w:tc>
          <w:tcPr>
            <w:tcW w:w="6760" w:type="dxa"/>
            <w:vAlign w:val="bottom"/>
            <w:gridSpan w:val="2"/>
          </w:tcPr>
          <w:p>
            <w:pPr>
              <w:jc w:val="right"/>
              <w:ind w:right="2930"/>
              <w:spacing w:after="0"/>
              <w:rPr>
                <w:sz w:val="20"/>
                <w:szCs w:val="20"/>
                <w:color w:val="auto"/>
              </w:rPr>
            </w:pPr>
            <w:r>
              <w:rPr>
                <w:rFonts w:ascii="Arial" w:cs="Arial" w:eastAsia="Arial" w:hAnsi="Arial"/>
                <w:sz w:val="18"/>
                <w:szCs w:val="18"/>
                <w:color w:val="auto"/>
              </w:rPr>
              <w:t>5 of 17</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2220" w:type="dxa"/>
            <w:vAlign w:val="bottom"/>
            <w:tcBorders>
              <w:bottom w:val="single" w:sz="8" w:color="808080"/>
            </w:tcBorders>
          </w:tcPr>
          <w:p>
            <w:pPr>
              <w:spacing w:after="0"/>
              <w:rPr>
                <w:sz w:val="10"/>
                <w:szCs w:val="10"/>
                <w:color w:val="auto"/>
              </w:rPr>
            </w:pPr>
          </w:p>
        </w:tc>
        <w:tc>
          <w:tcPr>
            <w:tcW w:w="61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NOTE A - CONSOLIDATED FINANCIAL STATEMENTS</w:t>
      </w:r>
    </w:p>
    <w:p>
      <w:pPr>
        <w:spacing w:after="0" w:line="2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July 31, 2008 and the results of its operations and cash flows for the three months ended July 31, 2008 and 2007. The April 30, 2008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April 30, 2008 Annual Report to Stockholders. The results of operations for such interim periods are not necessarily indicative of the operating results for the full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NOTE B - EARNINGS PER SHARE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Reconciliation of the weighted average shares outstanding for basic and diluted Earnings Per Share are as follows:</w:t>
      </w:r>
    </w:p>
    <w:p>
      <w:pPr>
        <w:spacing w:after="0" w:line="306"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gridSpan w:val="4"/>
          </w:tcPr>
          <w:p>
            <w:pPr>
              <w:ind w:left="400"/>
              <w:spacing w:after="0"/>
              <w:rPr>
                <w:sz w:val="20"/>
                <w:szCs w:val="20"/>
                <w:color w:val="auto"/>
              </w:rPr>
            </w:pPr>
            <w:r>
              <w:rPr>
                <w:rFonts w:ascii="Arial" w:cs="Arial" w:eastAsia="Arial" w:hAnsi="Arial"/>
                <w:sz w:val="18"/>
                <w:szCs w:val="18"/>
                <w:color w:val="auto"/>
              </w:rPr>
              <w:t>Three months ended July 31,</w:t>
            </w:r>
          </w:p>
        </w:tc>
      </w:tr>
      <w:tr>
        <w:trPr>
          <w:trHeight w:val="270"/>
        </w:trPr>
        <w:tc>
          <w:tcPr>
            <w:tcW w:w="4440" w:type="dxa"/>
            <w:vAlign w:val="bottom"/>
          </w:tcPr>
          <w:p>
            <w:pPr>
              <w:spacing w:after="0"/>
              <w:rPr>
                <w:sz w:val="23"/>
                <w:szCs w:val="23"/>
                <w:color w:val="auto"/>
              </w:rPr>
            </w:pPr>
          </w:p>
        </w:tc>
        <w:tc>
          <w:tcPr>
            <w:tcW w:w="1540" w:type="dxa"/>
            <w:vAlign w:val="bottom"/>
            <w:gridSpan w:val="2"/>
          </w:tcPr>
          <w:p>
            <w:pPr>
              <w:jc w:val="right"/>
              <w:ind w:right="410"/>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23"/>
                <w:szCs w:val="23"/>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3"/>
                <w:szCs w:val="23"/>
                <w:color w:val="auto"/>
              </w:rPr>
            </w:pPr>
          </w:p>
        </w:tc>
      </w:tr>
      <w:tr>
        <w:trPr>
          <w:trHeight w:val="237"/>
        </w:trPr>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Basic EPS Shares outstanding</w:t>
            </w:r>
          </w:p>
        </w:tc>
        <w:tc>
          <w:tcPr>
            <w:tcW w:w="200" w:type="dxa"/>
            <w:vAlign w:val="bottom"/>
            <w:shd w:val="clear" w:color="auto" w:fill="CCFFCC"/>
          </w:tcPr>
          <w:p>
            <w:pPr>
              <w:spacing w:after="0"/>
              <w:rPr>
                <w:sz w:val="20"/>
                <w:szCs w:val="20"/>
                <w:color w:val="auto"/>
              </w:rPr>
            </w:pPr>
          </w:p>
        </w:tc>
        <w:tc>
          <w:tcPr>
            <w:tcW w:w="134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4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(weighted average)</w:t>
            </w:r>
          </w:p>
        </w:tc>
        <w:tc>
          <w:tcPr>
            <w:tcW w:w="1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8,742,086</w:t>
            </w:r>
          </w:p>
        </w:tc>
        <w:tc>
          <w:tcPr>
            <w:tcW w:w="20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8,695,027</w:t>
            </w:r>
          </w:p>
        </w:tc>
      </w:tr>
      <w:tr>
        <w:trPr>
          <w:trHeight w:val="270"/>
        </w:trPr>
        <w:tc>
          <w:tcPr>
            <w:tcW w:w="44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88,649</w:t>
            </w:r>
          </w:p>
        </w:tc>
        <w:tc>
          <w:tcPr>
            <w:tcW w:w="100" w:type="dxa"/>
            <w:vAlign w:val="bottom"/>
          </w:tcPr>
          <w:p>
            <w:pPr>
              <w:spacing w:after="0"/>
              <w:rPr>
                <w:sz w:val="23"/>
                <w:szCs w:val="23"/>
                <w:color w:val="auto"/>
              </w:rPr>
            </w:pPr>
          </w:p>
        </w:tc>
      </w:tr>
      <w:tr>
        <w:trPr>
          <w:trHeight w:val="277"/>
        </w:trPr>
        <w:tc>
          <w:tcPr>
            <w:tcW w:w="44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Diluted EPS Shares outstanding</w:t>
            </w:r>
          </w:p>
        </w:tc>
        <w:tc>
          <w:tcPr>
            <w:tcW w:w="200" w:type="dxa"/>
            <w:vAlign w:val="bottom"/>
            <w:tcBorders>
              <w:bottom w:val="single" w:sz="8" w:color="CCFFCC"/>
            </w:tcBorders>
            <w:shd w:val="clear" w:color="auto" w:fill="CCFFCC"/>
          </w:tcPr>
          <w:p>
            <w:pPr>
              <w:spacing w:after="0"/>
              <w:rPr>
                <w:sz w:val="24"/>
                <w:szCs w:val="24"/>
                <w:color w:val="auto"/>
              </w:rPr>
            </w:pPr>
          </w:p>
        </w:tc>
        <w:tc>
          <w:tcPr>
            <w:tcW w:w="1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8,742,086</w:t>
            </w:r>
          </w:p>
        </w:tc>
        <w:tc>
          <w:tcPr>
            <w:tcW w:w="200" w:type="dxa"/>
            <w:vAlign w:val="bottom"/>
            <w:tcBorders>
              <w:bottom w:val="single" w:sz="8" w:color="CCFFCC"/>
            </w:tcBorders>
            <w:shd w:val="clear" w:color="auto" w:fill="CCFFCC"/>
          </w:tcPr>
          <w:p>
            <w:pPr>
              <w:spacing w:after="0"/>
              <w:rPr>
                <w:sz w:val="24"/>
                <w:szCs w:val="24"/>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8,783,676</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6" w:lineRule="exact"/>
        <w:rPr>
          <w:sz w:val="20"/>
          <w:szCs w:val="20"/>
          <w:color w:val="auto"/>
        </w:rPr>
      </w:pPr>
    </w:p>
    <w:p>
      <w:pPr>
        <w:ind w:left="820" w:right="20" w:hanging="323"/>
        <w:spacing w:after="0" w:line="277" w:lineRule="auto"/>
        <w:rPr>
          <w:sz w:val="20"/>
          <w:szCs w:val="20"/>
          <w:color w:val="auto"/>
        </w:rPr>
      </w:pPr>
      <w:r>
        <w:rPr>
          <w:rFonts w:ascii="Arial" w:cs="Arial" w:eastAsia="Arial" w:hAnsi="Arial"/>
          <w:sz w:val="18"/>
          <w:szCs w:val="18"/>
          <w:color w:val="auto"/>
        </w:rPr>
        <w:t>***Dilutive securities are excluded for the three-month period ended July 31, 2008 since the inclusion of such shares would be antidilutive due to the net loss for the period then ended.</w:t>
      </w:r>
    </w:p>
    <w:p>
      <w:pPr>
        <w:spacing w:after="0" w:line="2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computation of diluted earnings per share excludes those options and stock appreciation rights with an exercise price in excess of the average market price of the Company’s common shares during the periods presented. The inclusion of such options in the computation of earnings per share would have been antidilutive. The number of excluded options for the three months ended July 31, 2008 and 2007 were 1,408,675 and 949,425,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NOTE C – COSTS AND ESTIMATED EARNINGS IN EXCESS OF BILLINGS</w:t>
      </w:r>
    </w:p>
    <w:p>
      <w:pPr>
        <w:spacing w:after="0" w:line="2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July 31, 2008 and April 30, 2008 costs and estimated earnings in excess of billings on uncompleted contracts accounted for on the percentage of completion basis were approximately $7,143,000 and $9,556,000, respectively. Such amounts represent revenue recognized on long-term contracts that had not been billed at the balance sheet dates. Such amounts are billed pursuant to contract terms.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NOTE D - INVENTORIES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Inventories, which are reported net of reserves of $6,219,000 and $6,206,000 at July 31, 2008 and April 30, 2008, respectively, consist of the following:</w:t>
      </w:r>
    </w:p>
    <w:p>
      <w:pPr>
        <w:spacing w:after="0" w:line="27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3"/>
              </w:rPr>
              <w:t>July 31, 2008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5"/>
              </w:rPr>
              <w:t>April 30, 2008</w:t>
            </w:r>
          </w:p>
        </w:tc>
        <w:tc>
          <w:tcPr>
            <w:tcW w:w="100" w:type="dxa"/>
            <w:vAlign w:val="bottom"/>
          </w:tcPr>
          <w:p>
            <w:pPr>
              <w:spacing w:after="0"/>
              <w:rPr>
                <w:sz w:val="20"/>
                <w:szCs w:val="20"/>
                <w:color w:val="auto"/>
              </w:rPr>
            </w:pPr>
          </w:p>
        </w:tc>
      </w:tr>
      <w:tr>
        <w:trPr>
          <w:trHeight w:val="237"/>
        </w:trPr>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6"/>
          </w:tcPr>
          <w:p>
            <w:pPr>
              <w:ind w:left="760"/>
              <w:spacing w:after="0"/>
              <w:rPr>
                <w:sz w:val="20"/>
                <w:szCs w:val="20"/>
                <w:color w:val="auto"/>
              </w:rPr>
            </w:pPr>
            <w:r>
              <w:rPr>
                <w:rFonts w:ascii="Arial" w:cs="Arial" w:eastAsia="Arial" w:hAnsi="Arial"/>
                <w:sz w:val="18"/>
                <w:szCs w:val="18"/>
                <w:color w:val="auto"/>
              </w:rPr>
              <w:t>(In thousands)</w:t>
            </w:r>
          </w:p>
        </w:tc>
      </w:tr>
      <w:tr>
        <w:trPr>
          <w:trHeight w:val="243"/>
        </w:trPr>
        <w:tc>
          <w:tcPr>
            <w:tcW w:w="5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680" w:type="dxa"/>
            <w:vAlign w:val="bottom"/>
            <w:shd w:val="clear" w:color="auto" w:fill="CCFFCC"/>
          </w:tcPr>
          <w:p>
            <w:pPr>
              <w:spacing w:after="0"/>
              <w:rPr>
                <w:sz w:val="20"/>
                <w:szCs w:val="20"/>
                <w:color w:val="auto"/>
              </w:rPr>
            </w:pPr>
            <w:r>
              <w:rPr>
                <w:rFonts w:ascii="Arial" w:cs="Arial" w:eastAsia="Arial" w:hAnsi="Arial"/>
                <w:sz w:val="18"/>
                <w:szCs w:val="18"/>
                <w:color w:val="auto"/>
              </w:rPr>
              <w:t>Raw materials and Component parts</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12,776</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12,523</w:t>
            </w:r>
          </w:p>
        </w:tc>
      </w:tr>
      <w:tr>
        <w:trPr>
          <w:trHeight w:val="243"/>
        </w:trPr>
        <w:tc>
          <w:tcPr>
            <w:tcW w:w="5680" w:type="dxa"/>
            <w:vAlign w:val="bottom"/>
          </w:tcPr>
          <w:p>
            <w:pPr>
              <w:spacing w:after="0"/>
              <w:rPr>
                <w:sz w:val="20"/>
                <w:szCs w:val="20"/>
                <w:color w:val="auto"/>
              </w:rPr>
            </w:pPr>
            <w:r>
              <w:rPr>
                <w:rFonts w:ascii="Arial" w:cs="Arial" w:eastAsia="Arial" w:hAnsi="Arial"/>
                <w:sz w:val="18"/>
                <w:szCs w:val="18"/>
                <w:color w:val="auto"/>
              </w:rPr>
              <w:t>Work in progress</w:t>
            </w:r>
          </w:p>
        </w:tc>
        <w:tc>
          <w:tcPr>
            <w:tcW w:w="12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14,164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13,938</w:t>
            </w:r>
          </w:p>
        </w:tc>
      </w:tr>
      <w:tr>
        <w:trPr>
          <w:trHeight w:val="275"/>
        </w:trPr>
        <w:tc>
          <w:tcPr>
            <w:tcW w:w="56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3,990</w:t>
            </w:r>
          </w:p>
        </w:tc>
        <w:tc>
          <w:tcPr>
            <w:tcW w:w="18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3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3,757</w:t>
            </w:r>
          </w:p>
        </w:tc>
      </w:tr>
      <w:tr>
        <w:trPr>
          <w:trHeight w:val="237"/>
        </w:trPr>
        <w:tc>
          <w:tcPr>
            <w:tcW w:w="5680" w:type="dxa"/>
            <w:vAlign w:val="bottom"/>
            <w:tcBorders>
              <w:top w:val="single" w:sz="8" w:color="CCFFC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30,930</w:t>
            </w:r>
          </w:p>
        </w:tc>
        <w:tc>
          <w:tcPr>
            <w:tcW w:w="20" w:type="dxa"/>
            <w:vAlign w:val="bottom"/>
            <w:tcBorders>
              <w:top w:val="single" w:sz="8" w:color="CCFFCC"/>
              <w:bottom w:val="single" w:sz="8" w:color="auto"/>
            </w:tcBorders>
          </w:tcPr>
          <w:p>
            <w:pPr>
              <w:spacing w:after="0"/>
              <w:rPr>
                <w:sz w:val="20"/>
                <w:szCs w:val="20"/>
                <w:color w:val="auto"/>
              </w:rPr>
            </w:pPr>
          </w:p>
        </w:tc>
        <w:tc>
          <w:tcPr>
            <w:tcW w:w="180" w:type="dxa"/>
            <w:vAlign w:val="bottom"/>
            <w:tcBorders>
              <w:top w:val="single" w:sz="8" w:color="CCFFC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30,218</w:t>
            </w:r>
          </w:p>
        </w:tc>
        <w:tc>
          <w:tcPr>
            <w:tcW w:w="100" w:type="dxa"/>
            <w:vAlign w:val="bottom"/>
            <w:tcBorders>
              <w:top w:val="single" w:sz="8" w:color="CCFFCC"/>
            </w:tcBorders>
          </w:tcPr>
          <w:p>
            <w:pPr>
              <w:spacing w:after="0"/>
              <w:rPr>
                <w:sz w:val="20"/>
                <w:szCs w:val="20"/>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July 31, 2008 and 2007, approximately $23.2 million and $22.9 million, respectively, of total inventory is located in the United States, approximately $6.4 million and $5.8 million, respectively, is in Belgium and $1.3 million and $1.5 million, respectively, is in China.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7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(Unaudited)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NOTE E – COMPREHENSIVE INCOME</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three months ended July 31, 2008 and 2007, total comprehensive (loss) income was ($780,000) and $2,013,000, respectively. Comprehensive income or loss is composed of net income or loss for the period plus the impact of foreign currency translation adjustments and the change in the valuation allowance on marketable securities.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NOTE F – SEGMENT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under three reportable segments:</w:t>
      </w:r>
    </w:p>
    <w:p>
      <w:pPr>
        <w:spacing w:after="0" w:line="23" w:lineRule="exact"/>
        <w:rPr>
          <w:sz w:val="20"/>
          <w:szCs w:val="20"/>
          <w:color w:val="auto"/>
        </w:rPr>
      </w:pP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FEI-NY – consists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Gillam-FEI - the Company’s Belgian subsidiary primarily sells wireline synchronization and network management systems.</w:t>
      </w:r>
    </w:p>
    <w:p>
      <w:pPr>
        <w:spacing w:after="0" w:line="4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FEI-Zyfer - the products of the Company’s subsidiary incorporate Global Positioning System (GPS) technologies into systems and subsystems for secure communications, both government and commercial, and other locator applications.</w:t>
      </w:r>
    </w:p>
    <w:p>
      <w:pPr>
        <w:spacing w:after="0" w:line="2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FEI-NY segment also includes the operations of the Company’s wholly-owned subsidiary, FEI-Asia, which functions primarily as a manufacturing facility for the FEI-NY segment.</w:t>
      </w:r>
    </w:p>
    <w:p>
      <w:pPr>
        <w:spacing w:after="0" w:line="2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Company’s Chief Executive Officer measures segment performance based on total revenues and profits generated by each geographic center rather than on the specific types of customers or end-users or types of markets served.</w:t>
      </w:r>
    </w:p>
    <w:p>
      <w:pPr>
        <w:spacing w:after="0" w:line="2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table below presents information about reported segments with reconciliation of segment amounts to consolidated amounts as reported in the statement of operations or the balance sheet for each of the periods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gridSpan w:val="5"/>
          </w:tcPr>
          <w:p>
            <w:pPr>
              <w:jc w:val="right"/>
              <w:ind w:right="560"/>
              <w:spacing w:after="0"/>
              <w:rPr>
                <w:sz w:val="20"/>
                <w:szCs w:val="20"/>
                <w:color w:val="auto"/>
              </w:rPr>
            </w:pPr>
            <w:r>
              <w:rPr>
                <w:rFonts w:ascii="Arial" w:cs="Arial" w:eastAsia="Arial" w:hAnsi="Arial"/>
                <w:sz w:val="18"/>
                <w:szCs w:val="18"/>
                <w:color w:val="auto"/>
              </w:rPr>
              <w:t>Three months ended July 31,</w:t>
            </w:r>
          </w:p>
        </w:tc>
        <w:tc>
          <w:tcPr>
            <w:tcW w:w="2280" w:type="dxa"/>
            <w:vAlign w:val="bottom"/>
          </w:tcPr>
          <w:p>
            <w:pPr>
              <w:spacing w:after="0"/>
              <w:rPr>
                <w:sz w:val="20"/>
                <w:szCs w:val="20"/>
                <w:color w:val="auto"/>
              </w:rPr>
            </w:pPr>
          </w:p>
        </w:tc>
      </w:tr>
      <w:tr>
        <w:trPr>
          <w:trHeight w:val="270"/>
        </w:trPr>
        <w:tc>
          <w:tcPr>
            <w:tcW w:w="42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37"/>
        </w:trPr>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18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2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2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280" w:type="dxa"/>
            <w:vAlign w:val="bottom"/>
          </w:tcPr>
          <w:p>
            <w:pPr>
              <w:spacing w:after="0"/>
              <w:rPr>
                <w:sz w:val="20"/>
                <w:szCs w:val="20"/>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FEI-NY</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8,844</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11,765</w:t>
            </w:r>
          </w:p>
        </w:tc>
        <w:tc>
          <w:tcPr>
            <w:tcW w:w="2280" w:type="dxa"/>
            <w:vAlign w:val="bottom"/>
          </w:tcPr>
          <w:p>
            <w:pPr>
              <w:spacing w:after="0"/>
              <w:rPr>
                <w:sz w:val="21"/>
                <w:szCs w:val="21"/>
                <w:color w:val="auto"/>
              </w:rPr>
            </w:pPr>
          </w:p>
        </w:tc>
      </w:tr>
      <w:tr>
        <w:trPr>
          <w:trHeight w:val="243"/>
        </w:trPr>
        <w:tc>
          <w:tcPr>
            <w:tcW w:w="42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Gillam-FEI</w:t>
            </w:r>
          </w:p>
        </w:tc>
        <w:tc>
          <w:tcPr>
            <w:tcW w:w="18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2,619</w:t>
            </w:r>
          </w:p>
        </w:tc>
        <w:tc>
          <w:tcPr>
            <w:tcW w:w="2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2,288</w:t>
            </w:r>
          </w:p>
        </w:tc>
        <w:tc>
          <w:tcPr>
            <w:tcW w:w="2280" w:type="dxa"/>
            <w:vAlign w:val="bottom"/>
          </w:tcPr>
          <w:p>
            <w:pPr>
              <w:spacing w:after="0"/>
              <w:rPr>
                <w:sz w:val="21"/>
                <w:szCs w:val="2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FEI-Zyfer</w:t>
            </w:r>
          </w:p>
        </w:tc>
        <w:tc>
          <w:tcPr>
            <w:tcW w:w="1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2,303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2,022</w:t>
            </w:r>
          </w:p>
        </w:tc>
        <w:tc>
          <w:tcPr>
            <w:tcW w:w="2280" w:type="dxa"/>
            <w:vAlign w:val="bottom"/>
          </w:tcPr>
          <w:p>
            <w:pPr>
              <w:spacing w:after="0"/>
              <w:rPr>
                <w:sz w:val="21"/>
                <w:szCs w:val="21"/>
                <w:color w:val="auto"/>
              </w:rPr>
            </w:pPr>
          </w:p>
        </w:tc>
      </w:tr>
      <w:tr>
        <w:trPr>
          <w:trHeight w:val="250"/>
        </w:trPr>
        <w:tc>
          <w:tcPr>
            <w:tcW w:w="42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less intercompany sales</w:t>
            </w:r>
          </w:p>
        </w:tc>
        <w:tc>
          <w:tcPr>
            <w:tcW w:w="18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44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(703)</w:t>
            </w:r>
          </w:p>
        </w:tc>
        <w:tc>
          <w:tcPr>
            <w:tcW w:w="14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(518)</w:t>
            </w:r>
          </w:p>
        </w:tc>
        <w:tc>
          <w:tcPr>
            <w:tcW w:w="2280" w:type="dxa"/>
            <w:vAlign w:val="bottom"/>
          </w:tcPr>
          <w:p>
            <w:pPr>
              <w:spacing w:after="0"/>
              <w:rPr>
                <w:sz w:val="21"/>
                <w:szCs w:val="21"/>
                <w:color w:val="auto"/>
              </w:rPr>
            </w:pPr>
          </w:p>
        </w:tc>
      </w:tr>
      <w:tr>
        <w:trPr>
          <w:trHeight w:val="20"/>
        </w:trPr>
        <w:tc>
          <w:tcPr>
            <w:tcW w:w="4240" w:type="dxa"/>
            <w:vAlign w:val="bottom"/>
            <w:shd w:val="clear" w:color="auto" w:fill="CCFFCC"/>
          </w:tcPr>
          <w:p>
            <w:pPr>
              <w:spacing w:after="0" w:line="20" w:lineRule="exact"/>
              <w:rPr>
                <w:sz w:val="1"/>
                <w:szCs w:val="1"/>
                <w:color w:val="auto"/>
              </w:rPr>
            </w:pPr>
          </w:p>
        </w:tc>
        <w:tc>
          <w:tcPr>
            <w:tcW w:w="180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37"/>
        </w:trPr>
        <w:tc>
          <w:tcPr>
            <w:tcW w:w="4240" w:type="dxa"/>
            <w:vAlign w:val="bottom"/>
          </w:tcPr>
          <w:p>
            <w:pPr>
              <w:ind w:left="340"/>
              <w:spacing w:after="0"/>
              <w:rPr>
                <w:sz w:val="20"/>
                <w:szCs w:val="20"/>
                <w:color w:val="auto"/>
              </w:rPr>
            </w:pPr>
            <w:r>
              <w:rPr>
                <w:rFonts w:ascii="Arial" w:cs="Arial" w:eastAsia="Arial" w:hAnsi="Arial"/>
                <w:sz w:val="18"/>
                <w:szCs w:val="18"/>
                <w:color w:val="auto"/>
              </w:rPr>
              <w:t>Consolidated Sales</w:t>
            </w:r>
          </w:p>
        </w:tc>
        <w:tc>
          <w:tcPr>
            <w:tcW w:w="18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13,063</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15,557</w:t>
            </w:r>
          </w:p>
        </w:tc>
        <w:tc>
          <w:tcPr>
            <w:tcW w:w="2280" w:type="dxa"/>
            <w:vAlign w:val="bottom"/>
          </w:tcPr>
          <w:p>
            <w:pPr>
              <w:spacing w:after="0"/>
              <w:rPr>
                <w:sz w:val="20"/>
                <w:szCs w:val="20"/>
                <w:color w:val="auto"/>
              </w:rPr>
            </w:pPr>
          </w:p>
        </w:tc>
      </w:tr>
      <w:tr>
        <w:trPr>
          <w:trHeight w:val="20"/>
        </w:trPr>
        <w:tc>
          <w:tcPr>
            <w:tcW w:w="4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24"/>
        </w:trPr>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Operating (loss) profit:</w:t>
            </w:r>
          </w:p>
        </w:tc>
        <w:tc>
          <w:tcPr>
            <w:tcW w:w="18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2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280" w:type="dxa"/>
            <w:vAlign w:val="bottom"/>
          </w:tcPr>
          <w:p>
            <w:pPr>
              <w:spacing w:after="0"/>
              <w:rPr>
                <w:sz w:val="19"/>
                <w:szCs w:val="19"/>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FEI-NY</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(1,228)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(540)</w:t>
            </w:r>
          </w:p>
        </w:tc>
        <w:tc>
          <w:tcPr>
            <w:tcW w:w="2280" w:type="dxa"/>
            <w:vAlign w:val="bottom"/>
          </w:tcPr>
          <w:p>
            <w:pPr>
              <w:spacing w:after="0"/>
              <w:rPr>
                <w:sz w:val="21"/>
                <w:szCs w:val="21"/>
                <w:color w:val="auto"/>
              </w:rPr>
            </w:pPr>
          </w:p>
        </w:tc>
      </w:tr>
      <w:tr>
        <w:trPr>
          <w:trHeight w:val="243"/>
        </w:trPr>
        <w:tc>
          <w:tcPr>
            <w:tcW w:w="42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Gillam-FEI</w:t>
            </w:r>
          </w:p>
        </w:tc>
        <w:tc>
          <w:tcPr>
            <w:tcW w:w="18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(143)</w:t>
            </w:r>
          </w:p>
        </w:tc>
        <w:tc>
          <w:tcPr>
            <w:tcW w:w="2280" w:type="dxa"/>
            <w:vAlign w:val="bottom"/>
          </w:tcPr>
          <w:p>
            <w:pPr>
              <w:spacing w:after="0"/>
              <w:rPr>
                <w:sz w:val="21"/>
                <w:szCs w:val="2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FEI-Zyfer</w:t>
            </w:r>
          </w:p>
        </w:tc>
        <w:tc>
          <w:tcPr>
            <w:tcW w:w="1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2280" w:type="dxa"/>
            <w:vAlign w:val="bottom"/>
          </w:tcPr>
          <w:p>
            <w:pPr>
              <w:spacing w:after="0"/>
              <w:rPr>
                <w:sz w:val="21"/>
                <w:szCs w:val="21"/>
                <w:color w:val="auto"/>
              </w:rPr>
            </w:pPr>
          </w:p>
        </w:tc>
      </w:tr>
      <w:tr>
        <w:trPr>
          <w:trHeight w:val="250"/>
        </w:trPr>
        <w:tc>
          <w:tcPr>
            <w:tcW w:w="42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Corporate</w:t>
            </w:r>
          </w:p>
        </w:tc>
        <w:tc>
          <w:tcPr>
            <w:tcW w:w="18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44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(81)</w:t>
            </w:r>
          </w:p>
        </w:tc>
        <w:tc>
          <w:tcPr>
            <w:tcW w:w="14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(112)</w:t>
            </w:r>
          </w:p>
        </w:tc>
        <w:tc>
          <w:tcPr>
            <w:tcW w:w="2280" w:type="dxa"/>
            <w:vAlign w:val="bottom"/>
          </w:tcPr>
          <w:p>
            <w:pPr>
              <w:spacing w:after="0"/>
              <w:rPr>
                <w:sz w:val="21"/>
                <w:szCs w:val="21"/>
                <w:color w:val="auto"/>
              </w:rPr>
            </w:pPr>
          </w:p>
        </w:tc>
      </w:tr>
      <w:tr>
        <w:trPr>
          <w:trHeight w:val="20"/>
        </w:trPr>
        <w:tc>
          <w:tcPr>
            <w:tcW w:w="4240" w:type="dxa"/>
            <w:vAlign w:val="bottom"/>
            <w:shd w:val="clear" w:color="auto" w:fill="CCFFCC"/>
          </w:tcPr>
          <w:p>
            <w:pPr>
              <w:spacing w:after="0" w:line="20" w:lineRule="exact"/>
              <w:rPr>
                <w:sz w:val="1"/>
                <w:szCs w:val="1"/>
                <w:color w:val="auto"/>
              </w:rPr>
            </w:pPr>
          </w:p>
        </w:tc>
        <w:tc>
          <w:tcPr>
            <w:tcW w:w="180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37"/>
        </w:trPr>
        <w:tc>
          <w:tcPr>
            <w:tcW w:w="4240" w:type="dxa"/>
            <w:vAlign w:val="bottom"/>
          </w:tcPr>
          <w:p>
            <w:pPr>
              <w:ind w:left="340"/>
              <w:spacing w:after="0"/>
              <w:rPr>
                <w:sz w:val="20"/>
                <w:szCs w:val="20"/>
                <w:color w:val="auto"/>
              </w:rPr>
            </w:pPr>
            <w:r>
              <w:rPr>
                <w:rFonts w:ascii="Arial" w:cs="Arial" w:eastAsia="Arial" w:hAnsi="Arial"/>
                <w:sz w:val="18"/>
                <w:szCs w:val="18"/>
                <w:color w:val="auto"/>
              </w:rPr>
              <w:t>Consolidated Operating (Loss) Profit</w:t>
            </w:r>
          </w:p>
        </w:tc>
        <w:tc>
          <w:tcPr>
            <w:tcW w:w="18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(1,290)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(792)</w:t>
            </w:r>
          </w:p>
        </w:tc>
        <w:tc>
          <w:tcPr>
            <w:tcW w:w="2280" w:type="dxa"/>
            <w:vAlign w:val="bottom"/>
          </w:tcPr>
          <w:p>
            <w:pPr>
              <w:spacing w:after="0"/>
              <w:rPr>
                <w:sz w:val="20"/>
                <w:szCs w:val="20"/>
                <w:color w:val="auto"/>
              </w:rPr>
            </w:pPr>
          </w:p>
        </w:tc>
      </w:tr>
      <w:tr>
        <w:trPr>
          <w:trHeight w:val="20"/>
        </w:trPr>
        <w:tc>
          <w:tcPr>
            <w:tcW w:w="4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94"/>
        </w:trPr>
        <w:tc>
          <w:tcPr>
            <w:tcW w:w="4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July 31, 2008</w:t>
            </w:r>
          </w:p>
        </w:tc>
        <w:tc>
          <w:tcPr>
            <w:tcW w:w="140" w:type="dxa"/>
            <w:vAlign w:val="bottom"/>
          </w:tcPr>
          <w:p>
            <w:pPr>
              <w:spacing w:after="0"/>
              <w:rPr>
                <w:sz w:val="24"/>
                <w:szCs w:val="2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April 30, 2008</w:t>
            </w:r>
          </w:p>
        </w:tc>
        <w:tc>
          <w:tcPr>
            <w:tcW w:w="2280" w:type="dxa"/>
            <w:vAlign w:val="bottom"/>
          </w:tcPr>
          <w:p>
            <w:pPr>
              <w:spacing w:after="0"/>
              <w:rPr>
                <w:sz w:val="24"/>
                <w:szCs w:val="24"/>
                <w:color w:val="auto"/>
              </w:rPr>
            </w:pPr>
          </w:p>
        </w:tc>
      </w:tr>
      <w:tr>
        <w:trPr>
          <w:trHeight w:val="237"/>
        </w:trPr>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Identifiable assets:</w:t>
            </w:r>
          </w:p>
        </w:tc>
        <w:tc>
          <w:tcPr>
            <w:tcW w:w="1800" w:type="dxa"/>
            <w:vAlign w:val="bottom"/>
            <w:shd w:val="clear" w:color="auto" w:fill="CCFFCC"/>
          </w:tcPr>
          <w:p>
            <w:pPr>
              <w:spacing w:after="0"/>
              <w:rPr>
                <w:sz w:val="20"/>
                <w:szCs w:val="20"/>
                <w:color w:val="auto"/>
              </w:rPr>
            </w:pPr>
          </w:p>
        </w:tc>
        <w:tc>
          <w:tcPr>
            <w:tcW w:w="140" w:type="dxa"/>
            <w:vAlign w:val="bottom"/>
            <w:tcBorders>
              <w:top w:val="single" w:sz="8" w:color="auto"/>
            </w:tcBorders>
            <w:shd w:val="clear" w:color="auto" w:fill="CCFFCC"/>
          </w:tcPr>
          <w:p>
            <w:pPr>
              <w:spacing w:after="0"/>
              <w:rPr>
                <w:sz w:val="20"/>
                <w:szCs w:val="20"/>
                <w:color w:val="auto"/>
              </w:rPr>
            </w:pPr>
          </w:p>
        </w:tc>
        <w:tc>
          <w:tcPr>
            <w:tcW w:w="122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40" w:type="dxa"/>
            <w:vAlign w:val="bottom"/>
            <w:tcBorders>
              <w:top w:val="single" w:sz="8" w:color="auto"/>
            </w:tcBorders>
            <w:shd w:val="clear" w:color="auto" w:fill="CCFFCC"/>
          </w:tcPr>
          <w:p>
            <w:pPr>
              <w:spacing w:after="0"/>
              <w:rPr>
                <w:sz w:val="20"/>
                <w:szCs w:val="20"/>
                <w:color w:val="auto"/>
              </w:rPr>
            </w:pPr>
          </w:p>
        </w:tc>
        <w:tc>
          <w:tcPr>
            <w:tcW w:w="126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280" w:type="dxa"/>
            <w:vAlign w:val="bottom"/>
          </w:tcPr>
          <w:p>
            <w:pPr>
              <w:spacing w:after="0"/>
              <w:rPr>
                <w:sz w:val="20"/>
                <w:szCs w:val="20"/>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FEI-NY</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55,167</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54,522</w:t>
            </w:r>
          </w:p>
        </w:tc>
        <w:tc>
          <w:tcPr>
            <w:tcW w:w="2280" w:type="dxa"/>
            <w:vAlign w:val="bottom"/>
          </w:tcPr>
          <w:p>
            <w:pPr>
              <w:spacing w:after="0"/>
              <w:rPr>
                <w:sz w:val="21"/>
                <w:szCs w:val="21"/>
                <w:color w:val="auto"/>
              </w:rPr>
            </w:pPr>
          </w:p>
        </w:tc>
      </w:tr>
      <w:tr>
        <w:trPr>
          <w:trHeight w:val="243"/>
        </w:trPr>
        <w:tc>
          <w:tcPr>
            <w:tcW w:w="42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Gillam-FEI</w:t>
            </w:r>
          </w:p>
        </w:tc>
        <w:tc>
          <w:tcPr>
            <w:tcW w:w="18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19,309</w:t>
            </w:r>
          </w:p>
        </w:tc>
        <w:tc>
          <w:tcPr>
            <w:tcW w:w="2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18,611</w:t>
            </w:r>
          </w:p>
        </w:tc>
        <w:tc>
          <w:tcPr>
            <w:tcW w:w="2280" w:type="dxa"/>
            <w:vAlign w:val="bottom"/>
          </w:tcPr>
          <w:p>
            <w:pPr>
              <w:spacing w:after="0"/>
              <w:rPr>
                <w:sz w:val="21"/>
                <w:szCs w:val="2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FEI-Zyfer</w:t>
            </w:r>
          </w:p>
        </w:tc>
        <w:tc>
          <w:tcPr>
            <w:tcW w:w="1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6,544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6,538</w:t>
            </w:r>
          </w:p>
        </w:tc>
        <w:tc>
          <w:tcPr>
            <w:tcW w:w="2280" w:type="dxa"/>
            <w:vAlign w:val="bottom"/>
          </w:tcPr>
          <w:p>
            <w:pPr>
              <w:spacing w:after="0"/>
              <w:rPr>
                <w:sz w:val="21"/>
                <w:szCs w:val="21"/>
                <w:color w:val="auto"/>
              </w:rPr>
            </w:pPr>
          </w:p>
        </w:tc>
      </w:tr>
      <w:tr>
        <w:trPr>
          <w:trHeight w:val="243"/>
        </w:trPr>
        <w:tc>
          <w:tcPr>
            <w:tcW w:w="42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less intercompany balances</w:t>
            </w:r>
          </w:p>
        </w:tc>
        <w:tc>
          <w:tcPr>
            <w:tcW w:w="18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(17,539)</w:t>
            </w:r>
          </w:p>
        </w:tc>
        <w:tc>
          <w:tcPr>
            <w:tcW w:w="14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(17,786)</w:t>
            </w:r>
          </w:p>
        </w:tc>
        <w:tc>
          <w:tcPr>
            <w:tcW w:w="2280" w:type="dxa"/>
            <w:vAlign w:val="bottom"/>
          </w:tcPr>
          <w:p>
            <w:pPr>
              <w:spacing w:after="0"/>
              <w:rPr>
                <w:sz w:val="21"/>
                <w:szCs w:val="21"/>
                <w:color w:val="auto"/>
              </w:rPr>
            </w:pPr>
          </w:p>
        </w:tc>
      </w:tr>
      <w:tr>
        <w:trPr>
          <w:trHeight w:val="270"/>
        </w:trPr>
        <w:tc>
          <w:tcPr>
            <w:tcW w:w="424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1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33,973</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35,035</w:t>
            </w:r>
          </w:p>
        </w:tc>
        <w:tc>
          <w:tcPr>
            <w:tcW w:w="2280" w:type="dxa"/>
            <w:vAlign w:val="bottom"/>
          </w:tcPr>
          <w:p>
            <w:pPr>
              <w:spacing w:after="0"/>
              <w:rPr>
                <w:sz w:val="23"/>
                <w:szCs w:val="23"/>
                <w:color w:val="auto"/>
              </w:rPr>
            </w:pPr>
          </w:p>
        </w:tc>
      </w:tr>
      <w:tr>
        <w:trPr>
          <w:trHeight w:val="20"/>
        </w:trPr>
        <w:tc>
          <w:tcPr>
            <w:tcW w:w="4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77"/>
        </w:trPr>
        <w:tc>
          <w:tcPr>
            <w:tcW w:w="42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Consolidated Identifiable Assets</w:t>
            </w:r>
          </w:p>
        </w:tc>
        <w:tc>
          <w:tcPr>
            <w:tcW w:w="1800" w:type="dxa"/>
            <w:vAlign w:val="bottom"/>
            <w:shd w:val="clear" w:color="auto" w:fill="CCFFCC"/>
          </w:tcPr>
          <w:p>
            <w:pPr>
              <w:spacing w:after="0"/>
              <w:rPr>
                <w:sz w:val="24"/>
                <w:szCs w:val="24"/>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97,454</w:t>
            </w:r>
          </w:p>
        </w:tc>
        <w:tc>
          <w:tcPr>
            <w:tcW w:w="220" w:type="dxa"/>
            <w:vAlign w:val="bottom"/>
            <w:shd w:val="clear" w:color="auto" w:fill="CCFFCC"/>
          </w:tcPr>
          <w:p>
            <w:pPr>
              <w:spacing w:after="0"/>
              <w:rPr>
                <w:sz w:val="24"/>
                <w:szCs w:val="24"/>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96,920</w:t>
            </w:r>
          </w:p>
        </w:tc>
        <w:tc>
          <w:tcPr>
            <w:tcW w:w="2280" w:type="dxa"/>
            <w:vAlign w:val="bottom"/>
          </w:tcPr>
          <w:p>
            <w:pPr>
              <w:spacing w:after="0"/>
              <w:rPr>
                <w:sz w:val="24"/>
                <w:szCs w:val="24"/>
                <w:color w:val="auto"/>
              </w:rPr>
            </w:pPr>
          </w:p>
        </w:tc>
      </w:tr>
      <w:tr>
        <w:trPr>
          <w:trHeight w:val="440"/>
        </w:trPr>
        <w:tc>
          <w:tcPr>
            <w:tcW w:w="4240" w:type="dxa"/>
            <w:vAlign w:val="bottom"/>
            <w:tcBorders>
              <w:top w:val="single" w:sz="8" w:color="CCFFCC"/>
            </w:tcBorders>
          </w:tcPr>
          <w:p>
            <w:pPr>
              <w:spacing w:after="0"/>
              <w:rPr>
                <w:sz w:val="24"/>
                <w:szCs w:val="24"/>
                <w:color w:val="auto"/>
              </w:rPr>
            </w:pPr>
          </w:p>
        </w:tc>
        <w:tc>
          <w:tcPr>
            <w:tcW w:w="1800" w:type="dxa"/>
            <w:vAlign w:val="bottom"/>
            <w:tcBorders>
              <w:top w:val="single" w:sz="8" w:color="CCFFCC"/>
            </w:tcBorders>
          </w:tcPr>
          <w:p>
            <w:pPr>
              <w:ind w:left="1220"/>
              <w:spacing w:after="0"/>
              <w:rPr>
                <w:sz w:val="20"/>
                <w:szCs w:val="20"/>
                <w:color w:val="auto"/>
              </w:rPr>
            </w:pPr>
            <w:r>
              <w:rPr>
                <w:rFonts w:ascii="Arial" w:cs="Arial" w:eastAsia="Arial" w:hAnsi="Arial"/>
                <w:sz w:val="18"/>
                <w:szCs w:val="18"/>
                <w:color w:val="auto"/>
              </w:rPr>
              <w:t>7 of 17</w:t>
            </w: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2280" w:type="dxa"/>
            <w:vAlign w:val="bottom"/>
          </w:tcPr>
          <w:p>
            <w:pPr>
              <w:spacing w:after="0"/>
              <w:rPr>
                <w:sz w:val="24"/>
                <w:szCs w:val="24"/>
                <w:color w:val="auto"/>
              </w:rPr>
            </w:pPr>
          </w:p>
        </w:tc>
      </w:tr>
      <w:tr>
        <w:trPr>
          <w:trHeight w:val="118"/>
        </w:trPr>
        <w:tc>
          <w:tcPr>
            <w:tcW w:w="424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7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(Unaudited)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NOTE G – RELATED PARTY TRANSACTIONS</w:t>
      </w:r>
    </w:p>
    <w:p>
      <w:pPr>
        <w:spacing w:after="0" w:line="2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During the three month periods ended July 31, 2008 and 2007, the Company acquired technical services from Elcom Technologies, Inc. (“Elcom”) in the amount of approximately $75,000 and $259,000, respectively, and purchased product from Morion Inc. in the amount of approximately $212,000 and $79,000, respectively. The Company also recorded interest income on Elcom’s convertible note in the amount of approximately $19,000 and $31,000 in the first quarters of fiscal years 2009 and 2008, respectively. Subsequent to July 31, 2008, the Company acquired from Elcom 29,651 shares of its outstanding common stock at an aggregate cost of approximately $150,000. The amount paid was at the market value of the Company’s common stock on the date of purchase.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NOTE H – SUBSEQUENT EVENTS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11, 2008, the Company announced that it had acquired 615,000 shares of its outstanding common stock in a block transaction with what had been its largest institutional shareholder. Coupled with other purchases of common stock subsequent to July 31, 2008, the Company acquired a total of 659,651 shares at an aggregate average price per share of $4.34. With these purchases, the Company has acquired approximately $4 million of its common stock out of the total authorization of $5 million.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NOTE I - RECENTLY ISSUED ACCOUNTING PRONOUNCEMENTS</w:t>
      </w:r>
    </w:p>
    <w:p>
      <w:pPr>
        <w:spacing w:after="0" w:line="2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September 2006, the FASB issued Statement No. 157, “Fair Value Measurements.” (“FAS 157”) This statement defines fair value, establishes a framework for measuring fair value in generally accepted accounting principles (“GAAP”) and expands disclosures about fair value measurements. FAS 157 does not require any new fair value measurements but simplifies and codifies related guidance. The Company adopted FAS 157 in fiscal year 2009. Such adoption did not have a material impact on the Company’s financial statements.</w:t>
      </w:r>
    </w:p>
    <w:p>
      <w:pPr>
        <w:spacing w:after="0" w:line="24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February 2007, the FASB issued Statement No. 159, “The Fair Value Option for Financial Assets and Financial Liabilities including an amendment of SFAS No. 115” (“FAS 159”). The new statement allows entities to choose, at specified election dates, to measure eligible financial assets and liabilities at fair value that are not otherwise required to be measured at fair value. If a company elects the fair value option for an eligible item, changes in that item’s fair value in subsequent reporting periods must be recognized in current earnings. FAS 159 is effective for fiscal years beginning after November 15, 2007. The adoption of FAS 159 in fiscal year 2009 had no impact on the Company’s financial statements since the Company elected not to measure any financial assets or liabilities at fair value other than those for which previous pronouncements required it to do so.</w:t>
      </w:r>
    </w:p>
    <w:p>
      <w:pPr>
        <w:spacing w:after="0" w:line="23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December 2007, the FASB issued Statements No. 141(R), “Business Combinations”, and No. 160, “Noncontrolling Interests in Consolidated Financial Statements.” Effective for fiscal years beginning after December 15, 2008, these statements revise and converge internationally the accounting for business combinations and the reporting of noncontrolling interests in consolidated financial statements. The adoption of these statements will change the Company’s accounting treatment for business combinations on a prospective basis.</w:t>
      </w:r>
    </w:p>
    <w:p>
      <w:pPr>
        <w:spacing w:after="0" w:line="24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March 2008, the FASB issued Statement No.161, Disclosures about Derivative Instruments and Hedging Activities - An Amendment of FASB Statement No. 133 (“FAS 161”). FAS 161 requires enhanced qualitative disclosures about objectives and strategies for using derivatives, quantitative disclosures about fair value amounts of and gains and losses on derivative instruments, and disclosures about credit-risk-related contingent features in derivative agreements. FAS 161 is effective for financial statements issued for fiscal years and interim periods beginning after November 15, 2008. The Company is currently evaluating the impact of FAS 161 on its consolidated financial statements although it does not anticipate that the statement will have a material impact since the Company has not historically engaged in hedging activities or acquired derivative instruments.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6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In May 2008, the FASB issued Statement of Financial Accounting Standards No. 162 (“FAS 162”), “The Hierarchy of Generally Accepted Accounting Principles.” FAS 162 identifies the sources of accounting principles and the framework for selecting the principles to be used in the preparation of financial statements of nongovernmental entities that are presented in conformity with U.S. GAAP. FAS 162 will become effective 60 days following the SEC’s approval of the Public Company Accounting Oversight Board amendments to AU Section 411, “The Meaning of Present Fairly in Conformity With Generally Accepted Accounting Principles.” This statement is not expected to change the Company’s current accounting practice.</w:t>
      </w:r>
    </w:p>
    <w:p>
      <w:pPr>
        <w:spacing w:after="0" w:line="22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April 2008, the FASB issued FSP FAS 142-3, “Determination of the Useful Life of Intangible Assets” (“FSP FAS 142-3”). FSP FAS 142-3 amends the factors that should be considered in developing a renewal or extension assumptions used for purposes of determining the useful life of a recognized intangible asset under SFAS No. 142, “Goodwill and Other Intangible Assets (“FAS 142”). FSP FAS 142-3 is intended to improve the consistency between the useful life of a recognized intangible asset under SFAS 142 and the period of expected cash flows used to measure the fair value of the asset under SFAS 141 (R) and other U.S. generally accepted accounting principles. FSP FAS 142-3 is effective for fiscal years beginning after December 15, 2008. Earlier application is not permitted. The Company will be assessing the potential effect of FSP FAS 142-3 if applicable, once we enter into a business combination</w:t>
      </w:r>
    </w:p>
    <w:p>
      <w:pPr>
        <w:spacing w:after="0" w:line="24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On December 21, 2007, the Securities and Exchange Commission issued Staff Accounting Bulletin No. 110 ("SAB 110”) to permit entities, under certain circumstances to continue to use the "simplified" method, in developing estimates of expected term of "plain-vanilla" share options in accordance with Statement No. 123R Share-Based Payment. SAB 110 amended SAB 107 to permit the use of the "simplified" method beyond December 31, 2007. The Company believes that the adoption of SAB 110 will not have a material impact on its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27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By making these forward-looking statements, the Company undertakes no obligation to update these statements for revisions or changes after the date of this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April 30, 2008 Annual Report to Stockholders.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6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Revenue Recognition</w:t>
      </w:r>
    </w:p>
    <w:p>
      <w:pPr>
        <w:spacing w:after="0" w:line="27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Revenues under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updating estimated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233"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On production-type contracts, revenue is recorded as units are delivered with the related cost of sales recognized on each shipment based upon a percentage of estimated final program costs. Changes in job performance may result in revisions to costs and income and are recognized in the period in which revisions are determined to be required. Provisions for anticipated losses on contracts are made in the period in which they become determinable.</w:t>
      </w:r>
    </w:p>
    <w:p>
      <w:pPr>
        <w:spacing w:after="0" w:line="20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customer orders in the Company’s Gillam-FEI and FEI-Zyfer segments or nonlong-term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Costs and Expenses</w:t>
      </w:r>
    </w:p>
    <w:p>
      <w:pPr>
        <w:spacing w:after="0" w:line="2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Inventory</w:t>
      </w:r>
    </w:p>
    <w:p>
      <w:pPr>
        <w:spacing w:after="0" w:line="27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Inventoried costs contain amounts relating to contracts and programs with long production cycles, a portion of which will not be realized within one year. Inventory reserves are established for slow-moving and obsolete items and are based upon management’s experience and expectations for future business. Any changes in reserves are reflected in cost of sales in the period the revision is made.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table below sets forth for the respective periods of fiscal years 2009 and 2008 the percentage of consolidated net sales represented by certain items in the Company’s consolidated statements of operations: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Pr>
          <w:p>
            <w:pPr>
              <w:spacing w:after="0"/>
              <w:rPr>
                <w:sz w:val="20"/>
                <w:szCs w:val="20"/>
                <w:color w:val="auto"/>
              </w:rPr>
            </w:pPr>
          </w:p>
        </w:tc>
        <w:tc>
          <w:tcPr>
            <w:tcW w:w="3140" w:type="dxa"/>
            <w:vAlign w:val="bottom"/>
            <w:gridSpan w:val="4"/>
          </w:tcPr>
          <w:p>
            <w:pPr>
              <w:jc w:val="right"/>
              <w:ind w:right="620"/>
              <w:spacing w:after="0"/>
              <w:rPr>
                <w:sz w:val="20"/>
                <w:szCs w:val="20"/>
                <w:color w:val="auto"/>
              </w:rPr>
            </w:pPr>
            <w:r>
              <w:rPr>
                <w:rFonts w:ascii="Arial" w:cs="Arial" w:eastAsia="Arial" w:hAnsi="Arial"/>
                <w:sz w:val="18"/>
                <w:szCs w:val="18"/>
                <w:color w:val="auto"/>
              </w:rPr>
              <w:t>Three months ended July 31,</w:t>
            </w:r>
          </w:p>
        </w:tc>
      </w:tr>
      <w:tr>
        <w:trPr>
          <w:trHeight w:val="270"/>
        </w:trPr>
        <w:tc>
          <w:tcPr>
            <w:tcW w:w="6000" w:type="dxa"/>
            <w:vAlign w:val="bottom"/>
          </w:tcPr>
          <w:p>
            <w:pPr>
              <w:spacing w:after="0"/>
              <w:rPr>
                <w:sz w:val="23"/>
                <w:szCs w:val="23"/>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2008</w:t>
            </w:r>
          </w:p>
        </w:tc>
        <w:tc>
          <w:tcPr>
            <w:tcW w:w="260" w:type="dxa"/>
            <w:vAlign w:val="bottom"/>
          </w:tcPr>
          <w:p>
            <w:pPr>
              <w:spacing w:after="0"/>
              <w:rPr>
                <w:sz w:val="23"/>
                <w:szCs w:val="23"/>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23"/>
                <w:szCs w:val="23"/>
                <w:color w:val="auto"/>
              </w:rPr>
            </w:pPr>
          </w:p>
        </w:tc>
      </w:tr>
      <w:tr>
        <w:trPr>
          <w:trHeight w:val="237"/>
        </w:trPr>
        <w:tc>
          <w:tcPr>
            <w:tcW w:w="600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132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3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FEI-NY</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67.7%</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75.6%</w:t>
            </w:r>
          </w:p>
        </w:tc>
      </w:tr>
      <w:tr>
        <w:trPr>
          <w:trHeight w:val="243"/>
        </w:trPr>
        <w:tc>
          <w:tcPr>
            <w:tcW w:w="60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Gillam-FEI</w:t>
            </w:r>
          </w:p>
        </w:tc>
        <w:tc>
          <w:tcPr>
            <w:tcW w:w="15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20.0</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14.7</w:t>
            </w: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FEI-Zyfer</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17.6</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r>
      <w:tr>
        <w:trPr>
          <w:trHeight w:val="250"/>
        </w:trPr>
        <w:tc>
          <w:tcPr>
            <w:tcW w:w="60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Less Intersegment Sales</w:t>
            </w:r>
          </w:p>
        </w:tc>
        <w:tc>
          <w:tcPr>
            <w:tcW w:w="158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(5.3)</w:t>
            </w:r>
          </w:p>
        </w:tc>
        <w:tc>
          <w:tcPr>
            <w:tcW w:w="156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(3.3)</w:t>
            </w:r>
          </w:p>
        </w:tc>
      </w:tr>
      <w:tr>
        <w:trPr>
          <w:trHeight w:val="20"/>
        </w:trPr>
        <w:tc>
          <w:tcPr>
            <w:tcW w:w="6000" w:type="dxa"/>
            <w:vAlign w:val="bottom"/>
            <w:shd w:val="clear" w:color="auto" w:fill="CCFFC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237"/>
        </w:trPr>
        <w:tc>
          <w:tcPr>
            <w:tcW w:w="6000" w:type="dxa"/>
            <w:vAlign w:val="bottom"/>
          </w:tcPr>
          <w:p>
            <w:pPr>
              <w:spacing w:after="0"/>
              <w:rPr>
                <w:sz w:val="20"/>
                <w:szCs w:val="20"/>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r>
      <w:tr>
        <w:trPr>
          <w:trHeight w:val="250"/>
        </w:trPr>
        <w:tc>
          <w:tcPr>
            <w:tcW w:w="60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Cost of Sales</w:t>
            </w:r>
          </w:p>
        </w:tc>
        <w:tc>
          <w:tcPr>
            <w:tcW w:w="1580" w:type="dxa"/>
            <w:vAlign w:val="bottom"/>
            <w:tcBorders>
              <w:bottom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75.6</w:t>
            </w:r>
          </w:p>
        </w:tc>
        <w:tc>
          <w:tcPr>
            <w:tcW w:w="15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71.3</w:t>
            </w:r>
          </w:p>
        </w:tc>
      </w:tr>
      <w:tr>
        <w:trPr>
          <w:trHeight w:val="20"/>
        </w:trPr>
        <w:tc>
          <w:tcPr>
            <w:tcW w:w="6000" w:type="dxa"/>
            <w:vAlign w:val="bottom"/>
            <w:shd w:val="clear" w:color="auto" w:fill="CCFFC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420"/>
          </w:cols>
          <w:pgMar w:left="240" w:top="368" w:right="239" w:bottom="1440" w:gutter="0" w:footer="0" w:header="0"/>
        </w:sectPr>
      </w:pPr>
    </w:p>
    <w:p>
      <w:pPr>
        <w:ind w:left="1620"/>
        <w:spacing w:after="0"/>
        <w:rPr>
          <w:sz w:val="20"/>
          <w:szCs w:val="20"/>
          <w:color w:val="auto"/>
        </w:rPr>
      </w:pPr>
      <w:r>
        <w:rPr>
          <w:rFonts w:ascii="Arial" w:cs="Arial" w:eastAsia="Arial" w:hAnsi="Arial"/>
          <w:sz w:val="16"/>
          <w:szCs w:val="16"/>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79755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Selling and administrative expenses</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Research and development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jc w:val="right"/>
              <w:ind w:right="570"/>
              <w:spacing w:after="0"/>
              <w:rPr>
                <w:sz w:val="20"/>
                <w:szCs w:val="20"/>
                <w:color w:val="auto"/>
              </w:rPr>
            </w:pPr>
            <w:r>
              <w:rPr>
                <w:rFonts w:ascii="Arial" w:cs="Arial" w:eastAsia="Arial" w:hAnsi="Arial"/>
                <w:sz w:val="18"/>
                <w:szCs w:val="18"/>
                <w:color w:val="auto"/>
                <w:w w:val="79"/>
              </w:rPr>
              <w:t>24.4</w:t>
            </w:r>
          </w:p>
        </w:tc>
        <w:tc>
          <w:tcPr>
            <w:tcW w:w="96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43"/>
        </w:trPr>
        <w:tc>
          <w:tcPr>
            <w:tcW w:w="960" w:type="dxa"/>
            <w:vAlign w:val="bottom"/>
          </w:tcPr>
          <w:p>
            <w:pPr>
              <w:jc w:val="right"/>
              <w:ind w:right="570"/>
              <w:spacing w:after="0"/>
              <w:rPr>
                <w:sz w:val="20"/>
                <w:szCs w:val="20"/>
                <w:color w:val="auto"/>
              </w:rPr>
            </w:pPr>
            <w:r>
              <w:rPr>
                <w:rFonts w:ascii="Arial" w:cs="Arial" w:eastAsia="Arial" w:hAnsi="Arial"/>
                <w:sz w:val="18"/>
                <w:szCs w:val="18"/>
                <w:color w:val="auto"/>
                <w:w w:val="79"/>
              </w:rPr>
              <w:t>23.9</w:t>
            </w:r>
          </w:p>
        </w:tc>
        <w:tc>
          <w:tcPr>
            <w:tcW w:w="96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70"/>
        </w:trPr>
        <w:tc>
          <w:tcPr>
            <w:tcW w:w="960" w:type="dxa"/>
            <w:vAlign w:val="bottom"/>
          </w:tcPr>
          <w:p>
            <w:pPr>
              <w:jc w:val="right"/>
              <w:ind w:right="570"/>
              <w:spacing w:after="0"/>
              <w:rPr>
                <w:sz w:val="20"/>
                <w:szCs w:val="20"/>
                <w:color w:val="auto"/>
              </w:rPr>
            </w:pPr>
            <w:r>
              <w:rPr>
                <w:rFonts w:ascii="Arial" w:cs="Arial" w:eastAsia="Arial" w:hAnsi="Arial"/>
                <w:sz w:val="18"/>
                <w:szCs w:val="18"/>
                <w:color w:val="auto"/>
                <w:w w:val="79"/>
              </w:rPr>
              <w:t>10.4</w:t>
            </w:r>
          </w:p>
        </w:tc>
        <w:tc>
          <w:tcPr>
            <w:tcW w:w="960" w:type="dxa"/>
            <w:vAlign w:val="bottom"/>
          </w:tcPr>
          <w:p>
            <w:pPr>
              <w:jc w:val="right"/>
              <w:spacing w:after="0"/>
              <w:rPr>
                <w:sz w:val="20"/>
                <w:szCs w:val="20"/>
                <w:color w:val="auto"/>
              </w:rPr>
            </w:pPr>
            <w:r>
              <w:rPr>
                <w:rFonts w:ascii="Arial" w:cs="Arial" w:eastAsia="Arial" w:hAnsi="Arial"/>
                <w:sz w:val="18"/>
                <w:szCs w:val="18"/>
                <w:color w:val="auto"/>
              </w:rPr>
              <w:t>14.0</w:t>
            </w:r>
          </w:p>
        </w:tc>
      </w:tr>
    </w:tbl>
    <w:p>
      <w:pPr>
        <w:spacing w:after="0" w:line="20" w:lineRule="exact"/>
        <w:rPr>
          <w:sz w:val="20"/>
          <w:szCs w:val="20"/>
          <w:color w:val="auto"/>
        </w:rPr>
      </w:pPr>
    </w:p>
    <w:p>
      <w:pPr>
        <w:sectPr>
          <w:pgSz w:w="11900" w:h="16838" w:orient="portrait"/>
          <w:cols w:equalWidth="0" w:num="2">
            <w:col w:w="6300" w:space="720"/>
            <w:col w:w="4400"/>
          </w:cols>
          <w:pgMar w:left="240" w:top="368"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0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7"/>
        </w:trPr>
        <w:tc>
          <w:tcPr>
            <w:tcW w:w="6000" w:type="dxa"/>
            <w:vAlign w:val="bottom"/>
            <w:shd w:val="clear" w:color="auto" w:fill="CCFFCC"/>
          </w:tcPr>
          <w:p>
            <w:pPr>
              <w:ind w:left="1460"/>
              <w:spacing w:after="0"/>
              <w:rPr>
                <w:sz w:val="20"/>
                <w:szCs w:val="20"/>
                <w:color w:val="auto"/>
              </w:rPr>
            </w:pPr>
            <w:r>
              <w:rPr>
                <w:rFonts w:ascii="Arial" w:cs="Arial" w:eastAsia="Arial" w:hAnsi="Arial"/>
                <w:sz w:val="18"/>
                <w:szCs w:val="18"/>
                <w:color w:val="auto"/>
              </w:rPr>
              <w:t>Operating Loss</w:t>
            </w:r>
          </w:p>
        </w:tc>
        <w:tc>
          <w:tcPr>
            <w:tcW w:w="1580" w:type="dxa"/>
            <w:vAlign w:val="bottom"/>
            <w:gridSpan w:val="2"/>
            <w:shd w:val="clear" w:color="auto" w:fill="CCFFCC"/>
          </w:tcPr>
          <w:p>
            <w:pPr>
              <w:ind w:left="1040"/>
              <w:spacing w:after="0"/>
              <w:rPr>
                <w:sz w:val="20"/>
                <w:szCs w:val="20"/>
                <w:color w:val="auto"/>
              </w:rPr>
            </w:pPr>
            <w:r>
              <w:rPr>
                <w:rFonts w:ascii="Arial" w:cs="Arial" w:eastAsia="Arial" w:hAnsi="Arial"/>
                <w:sz w:val="18"/>
                <w:szCs w:val="18"/>
                <w:color w:val="auto"/>
              </w:rPr>
              <w:t>(9.9)</w:t>
            </w:r>
          </w:p>
        </w:tc>
        <w:tc>
          <w:tcPr>
            <w:tcW w:w="15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(5.1)</w:t>
            </w: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Other income, net</w:t>
            </w:r>
          </w:p>
        </w:tc>
        <w:tc>
          <w:tcPr>
            <w:tcW w:w="1320" w:type="dxa"/>
            <w:vAlign w:val="bottom"/>
          </w:tcPr>
          <w:p>
            <w:pPr>
              <w:ind w:left="1100"/>
              <w:spacing w:after="0"/>
              <w:rPr>
                <w:sz w:val="20"/>
                <w:szCs w:val="20"/>
                <w:color w:val="auto"/>
              </w:rPr>
            </w:pPr>
            <w:r>
              <w:rPr>
                <w:rFonts w:ascii="Arial" w:cs="Arial" w:eastAsia="Arial" w:hAnsi="Arial"/>
                <w:sz w:val="18"/>
                <w:szCs w:val="18"/>
                <w:color w:val="auto"/>
                <w:w w:val="79"/>
              </w:rPr>
              <w:t>1.5</w:t>
            </w:r>
          </w:p>
        </w:tc>
        <w:tc>
          <w:tcPr>
            <w:tcW w:w="260" w:type="dxa"/>
            <w:vAlign w:val="bottom"/>
          </w:tcPr>
          <w:p>
            <w:pPr>
              <w:spacing w:after="0"/>
              <w:rPr>
                <w:sz w:val="23"/>
                <w:szCs w:val="23"/>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r>
      <w:tr>
        <w:trPr>
          <w:trHeight w:val="20"/>
        </w:trPr>
        <w:tc>
          <w:tcPr>
            <w:tcW w:w="60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6000" w:type="dxa"/>
            <w:vAlign w:val="bottom"/>
            <w:shd w:val="clear" w:color="auto" w:fill="CCFFCC"/>
          </w:tcPr>
          <w:p>
            <w:pPr>
              <w:spacing w:after="0"/>
              <w:rPr>
                <w:sz w:val="20"/>
                <w:szCs w:val="20"/>
                <w:color w:val="auto"/>
              </w:rPr>
            </w:pPr>
            <w:r>
              <w:rPr>
                <w:rFonts w:ascii="Arial" w:cs="Arial" w:eastAsia="Arial" w:hAnsi="Arial"/>
                <w:sz w:val="18"/>
                <w:szCs w:val="18"/>
                <w:color w:val="auto"/>
              </w:rPr>
              <w:t>Pretax (Loss) Income</w:t>
            </w:r>
          </w:p>
        </w:tc>
        <w:tc>
          <w:tcPr>
            <w:tcW w:w="1580" w:type="dxa"/>
            <w:vAlign w:val="bottom"/>
            <w:gridSpan w:val="2"/>
            <w:shd w:val="clear" w:color="auto" w:fill="CCFFCC"/>
          </w:tcPr>
          <w:p>
            <w:pPr>
              <w:ind w:left="1040"/>
              <w:spacing w:after="0"/>
              <w:rPr>
                <w:sz w:val="20"/>
                <w:szCs w:val="20"/>
                <w:color w:val="auto"/>
              </w:rPr>
            </w:pPr>
            <w:r>
              <w:rPr>
                <w:rFonts w:ascii="Arial" w:cs="Arial" w:eastAsia="Arial" w:hAnsi="Arial"/>
                <w:sz w:val="18"/>
                <w:szCs w:val="18"/>
                <w:color w:val="auto"/>
              </w:rPr>
              <w:t>(8.4)</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14.4</w:t>
            </w: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580" w:type="dxa"/>
            <w:vAlign w:val="bottom"/>
            <w:gridSpan w:val="2"/>
          </w:tcPr>
          <w:p>
            <w:pPr>
              <w:ind w:left="1040"/>
              <w:spacing w:after="0"/>
              <w:rPr>
                <w:sz w:val="20"/>
                <w:szCs w:val="20"/>
                <w:color w:val="auto"/>
              </w:rPr>
            </w:pPr>
            <w:r>
              <w:rPr>
                <w:rFonts w:ascii="Arial" w:cs="Arial" w:eastAsia="Arial" w:hAnsi="Arial"/>
                <w:sz w:val="18"/>
                <w:szCs w:val="18"/>
                <w:color w:val="auto"/>
              </w:rPr>
              <w:t>(2.5)</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r>
      <w:tr>
        <w:trPr>
          <w:trHeight w:val="20"/>
        </w:trPr>
        <w:tc>
          <w:tcPr>
            <w:tcW w:w="60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7"/>
        </w:trPr>
        <w:tc>
          <w:tcPr>
            <w:tcW w:w="6000" w:type="dxa"/>
            <w:vAlign w:val="bottom"/>
            <w:shd w:val="clear" w:color="auto" w:fill="CCFFCC"/>
          </w:tcPr>
          <w:p>
            <w:pPr>
              <w:ind w:left="1300"/>
              <w:spacing w:after="0"/>
              <w:rPr>
                <w:sz w:val="20"/>
                <w:szCs w:val="20"/>
                <w:color w:val="auto"/>
              </w:rPr>
            </w:pPr>
            <w:r>
              <w:rPr>
                <w:rFonts w:ascii="Arial" w:cs="Arial" w:eastAsia="Arial" w:hAnsi="Arial"/>
                <w:sz w:val="18"/>
                <w:szCs w:val="18"/>
                <w:color w:val="auto"/>
              </w:rPr>
              <w:t>Net (Loss) Income</w:t>
            </w:r>
          </w:p>
        </w:tc>
        <w:tc>
          <w:tcPr>
            <w:tcW w:w="1580" w:type="dxa"/>
            <w:vAlign w:val="bottom"/>
            <w:gridSpan w:val="2"/>
            <w:shd w:val="clear" w:color="auto" w:fill="CCFFCC"/>
          </w:tcPr>
          <w:p>
            <w:pPr>
              <w:ind w:left="1040"/>
              <w:spacing w:after="0"/>
              <w:rPr>
                <w:sz w:val="20"/>
                <w:szCs w:val="20"/>
                <w:color w:val="auto"/>
              </w:rPr>
            </w:pPr>
            <w:r>
              <w:rPr>
                <w:rFonts w:ascii="Arial" w:cs="Arial" w:eastAsia="Arial" w:hAnsi="Arial"/>
                <w:sz w:val="18"/>
                <w:szCs w:val="18"/>
                <w:color w:val="auto"/>
                <w:w w:val="98"/>
              </w:rPr>
              <w:t>(5.9)%</w:t>
            </w:r>
          </w:p>
        </w:tc>
        <w:tc>
          <w:tcPr>
            <w:tcW w:w="15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8.9%</w:t>
            </w:r>
          </w:p>
        </w:tc>
      </w:tr>
      <w:tr>
        <w:trPr>
          <w:trHeight w:val="20"/>
        </w:trPr>
        <w:tc>
          <w:tcPr>
            <w:tcW w:w="6000" w:type="dxa"/>
            <w:vAlign w:val="bottom"/>
            <w:tcBorders>
              <w:top w:val="single" w:sz="8" w:color="CCFFCC"/>
            </w:tcBorders>
            <w:shd w:val="clear" w:color="auto" w:fill="CCFFC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8" w:right="239" w:bottom="1440" w:gutter="0" w:footer="0" w:header="0"/>
          <w:type w:val="continuous"/>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0" w:name="page11"/>
    <w:bookmarkEnd w:id="10"/>
    <w:p>
      <w:pPr>
        <w:ind w:left="3540"/>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(Continued)</w:t>
      </w:r>
    </w:p>
    <w:p>
      <w:pPr>
        <w:spacing w:after="0" w:line="265"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(Note: All dollar amounts in following tables are in thousands, except Net Sales which are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Net sales</w:t>
            </w: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534"/>
        </w:trPr>
        <w:tc>
          <w:tcPr>
            <w:tcW w:w="68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3"/>
          </w:tcPr>
          <w:p>
            <w:pPr>
              <w:jc w:val="right"/>
              <w:ind w:right="585"/>
              <w:spacing w:after="0"/>
              <w:rPr>
                <w:sz w:val="20"/>
                <w:szCs w:val="20"/>
                <w:color w:val="auto"/>
              </w:rPr>
            </w:pPr>
            <w:r>
              <w:rPr>
                <w:rFonts w:ascii="Arial" w:cs="Arial" w:eastAsia="Arial" w:hAnsi="Arial"/>
                <w:sz w:val="18"/>
                <w:szCs w:val="18"/>
                <w:color w:val="auto"/>
              </w:rPr>
              <w:t>(in millions)</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70"/>
        </w:trPr>
        <w:tc>
          <w:tcPr>
            <w:tcW w:w="6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6"/>
              </w:rPr>
              <w:t>Three months ended July 31,</w:t>
            </w:r>
          </w:p>
        </w:tc>
        <w:tc>
          <w:tcPr>
            <w:tcW w:w="3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r>
      <w:tr>
        <w:trPr>
          <w:trHeight w:val="264"/>
        </w:trPr>
        <w:tc>
          <w:tcPr>
            <w:tcW w:w="6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4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Change</w:t>
            </w:r>
          </w:p>
        </w:tc>
        <w:tc>
          <w:tcPr>
            <w:tcW w:w="7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r>
      <w:tr>
        <w:trPr>
          <w:trHeight w:val="237"/>
        </w:trPr>
        <w:tc>
          <w:tcPr>
            <w:tcW w:w="28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FEI-NY</w:t>
            </w:r>
          </w:p>
        </w:tc>
        <w:tc>
          <w:tcPr>
            <w:tcW w:w="940" w:type="dxa"/>
            <w:vAlign w:val="bottom"/>
            <w:shd w:val="clear" w:color="auto" w:fill="CCFFCC"/>
          </w:tcPr>
          <w:p>
            <w:pPr>
              <w:jc w:val="right"/>
              <w:ind w:right="78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FFCC"/>
          </w:tcPr>
          <w:p>
            <w:pPr>
              <w:spacing w:after="0"/>
              <w:rPr>
                <w:sz w:val="20"/>
                <w:szCs w:val="20"/>
                <w:color w:val="auto"/>
              </w:rPr>
            </w:pP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FFCC"/>
          </w:tcPr>
          <w:p>
            <w:pPr>
              <w:spacing w:after="0"/>
              <w:rPr>
                <w:sz w:val="20"/>
                <w:szCs w:val="20"/>
                <w:color w:val="auto"/>
              </w:rPr>
            </w:pPr>
          </w:p>
        </w:tc>
        <w:tc>
          <w:tcPr>
            <w:tcW w:w="1000" w:type="dxa"/>
            <w:vAlign w:val="bottom"/>
            <w:shd w:val="clear" w:color="auto" w:fill="CCFFCC"/>
          </w:tcPr>
          <w:p>
            <w:pPr>
              <w:jc w:val="right"/>
              <w:ind w:right="84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800"/>
              <w:spacing w:after="0"/>
              <w:rPr>
                <w:sz w:val="20"/>
                <w:szCs w:val="20"/>
                <w:color w:val="auto"/>
              </w:rPr>
            </w:pPr>
            <w:r>
              <w:rPr>
                <w:rFonts w:ascii="Arial" w:cs="Arial" w:eastAsia="Arial" w:hAnsi="Arial"/>
                <w:sz w:val="18"/>
                <w:szCs w:val="18"/>
                <w:color w:val="auto"/>
              </w:rPr>
              <w:t>(2.9)</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w:t>
            </w:r>
          </w:p>
        </w:tc>
      </w:tr>
      <w:tr>
        <w:trPr>
          <w:trHeight w:val="243"/>
        </w:trPr>
        <w:tc>
          <w:tcPr>
            <w:tcW w:w="2820" w:type="dxa"/>
            <w:vAlign w:val="bottom"/>
            <w:gridSpan w:val="2"/>
          </w:tcPr>
          <w:p>
            <w:pPr>
              <w:spacing w:after="0"/>
              <w:rPr>
                <w:sz w:val="20"/>
                <w:szCs w:val="20"/>
                <w:color w:val="auto"/>
              </w:rPr>
            </w:pPr>
            <w:r>
              <w:rPr>
                <w:rFonts w:ascii="Arial" w:cs="Arial" w:eastAsia="Arial" w:hAnsi="Arial"/>
                <w:sz w:val="18"/>
                <w:szCs w:val="18"/>
                <w:color w:val="auto"/>
              </w:rPr>
              <w:t>Gillam-FEI</w:t>
            </w:r>
          </w:p>
        </w:tc>
        <w:tc>
          <w:tcPr>
            <w:tcW w:w="9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000" w:type="dxa"/>
            <w:vAlign w:val="bottom"/>
          </w:tcPr>
          <w:p>
            <w:pPr>
              <w:spacing w:after="0"/>
              <w:rPr>
                <w:sz w:val="21"/>
                <w:szCs w:val="21"/>
                <w:color w:val="auto"/>
              </w:rPr>
            </w:pPr>
          </w:p>
        </w:tc>
        <w:tc>
          <w:tcPr>
            <w:tcW w:w="1220" w:type="dxa"/>
            <w:vAlign w:val="bottom"/>
            <w:gridSpan w:val="2"/>
          </w:tcPr>
          <w:p>
            <w:pPr>
              <w:jc w:val="right"/>
              <w:ind w:right="860"/>
              <w:spacing w:after="0"/>
              <w:rPr>
                <w:sz w:val="20"/>
                <w:szCs w:val="20"/>
                <w:color w:val="auto"/>
              </w:rPr>
            </w:pPr>
            <w:r>
              <w:rPr>
                <w:rFonts w:ascii="Arial" w:cs="Arial" w:eastAsia="Arial" w:hAnsi="Arial"/>
                <w:sz w:val="18"/>
                <w:szCs w:val="18"/>
                <w:color w:val="auto"/>
              </w:rPr>
              <w:t>0.3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43"/>
        </w:trPr>
        <w:tc>
          <w:tcPr>
            <w:tcW w:w="28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FEI-Zyfer</w:t>
            </w:r>
          </w:p>
        </w:tc>
        <w:tc>
          <w:tcPr>
            <w:tcW w:w="940" w:type="dxa"/>
            <w:vAlign w:val="bottom"/>
            <w:shd w:val="clear" w:color="auto" w:fill="CCFFCC"/>
          </w:tcPr>
          <w:p>
            <w:pPr>
              <w:spacing w:after="0"/>
              <w:rPr>
                <w:sz w:val="21"/>
                <w:szCs w:val="21"/>
                <w:color w:val="auto"/>
              </w:rPr>
            </w:pP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w:t>
            </w:r>
          </w:p>
        </w:tc>
        <w:tc>
          <w:tcPr>
            <w:tcW w:w="10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860"/>
              <w:spacing w:after="0"/>
              <w:rPr>
                <w:sz w:val="20"/>
                <w:szCs w:val="20"/>
                <w:color w:val="auto"/>
              </w:rPr>
            </w:pPr>
            <w:r>
              <w:rPr>
                <w:rFonts w:ascii="Arial" w:cs="Arial" w:eastAsia="Arial" w:hAnsi="Arial"/>
                <w:sz w:val="18"/>
                <w:szCs w:val="18"/>
                <w:color w:val="auto"/>
              </w:rPr>
              <w:t>0.3</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w:t>
            </w:r>
          </w:p>
        </w:tc>
      </w:tr>
      <w:tr>
        <w:trPr>
          <w:trHeight w:val="243"/>
        </w:trPr>
        <w:tc>
          <w:tcPr>
            <w:tcW w:w="2820" w:type="dxa"/>
            <w:vAlign w:val="bottom"/>
            <w:gridSpan w:val="2"/>
          </w:tcPr>
          <w:p>
            <w:pPr>
              <w:spacing w:after="0"/>
              <w:rPr>
                <w:sz w:val="20"/>
                <w:szCs w:val="20"/>
                <w:color w:val="auto"/>
              </w:rPr>
            </w:pPr>
            <w:r>
              <w:rPr>
                <w:rFonts w:ascii="Arial" w:cs="Arial" w:eastAsia="Arial" w:hAnsi="Arial"/>
                <w:sz w:val="18"/>
                <w:szCs w:val="18"/>
                <w:color w:val="auto"/>
              </w:rPr>
              <w:t>Intersegment sales</w:t>
            </w:r>
          </w:p>
        </w:tc>
        <w:tc>
          <w:tcPr>
            <w:tcW w:w="94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000" w:type="dxa"/>
            <w:vAlign w:val="bottom"/>
          </w:tcPr>
          <w:p>
            <w:pPr>
              <w:spacing w:after="0"/>
              <w:rPr>
                <w:sz w:val="21"/>
                <w:szCs w:val="21"/>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(0.2)</w:t>
            </w: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0"/>
        </w:trPr>
        <w:tc>
          <w:tcPr>
            <w:tcW w:w="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57"/>
        </w:trPr>
        <w:tc>
          <w:tcPr>
            <w:tcW w:w="680" w:type="dxa"/>
            <w:vAlign w:val="bottom"/>
            <w:shd w:val="clear" w:color="auto" w:fill="CCFFCC"/>
          </w:tcPr>
          <w:p>
            <w:pPr>
              <w:spacing w:after="0"/>
              <w:rPr>
                <w:sz w:val="22"/>
                <w:szCs w:val="22"/>
                <w:color w:val="auto"/>
              </w:rPr>
            </w:pPr>
          </w:p>
        </w:tc>
        <w:tc>
          <w:tcPr>
            <w:tcW w:w="2140" w:type="dxa"/>
            <w:vAlign w:val="bottom"/>
            <w:shd w:val="clear" w:color="auto" w:fill="CCFFCC"/>
          </w:tcPr>
          <w:p>
            <w:pPr>
              <w:spacing w:after="0"/>
              <w:rPr>
                <w:sz w:val="22"/>
                <w:szCs w:val="22"/>
                <w:color w:val="auto"/>
              </w:rPr>
            </w:pPr>
          </w:p>
        </w:tc>
        <w:tc>
          <w:tcPr>
            <w:tcW w:w="940" w:type="dxa"/>
            <w:vAlign w:val="bottom"/>
            <w:shd w:val="clear" w:color="auto" w:fill="CCFFCC"/>
          </w:tcPr>
          <w:p>
            <w:pPr>
              <w:jc w:val="right"/>
              <w:ind w:right="78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FFCC"/>
          </w:tcPr>
          <w:p>
            <w:pPr>
              <w:spacing w:after="0"/>
              <w:rPr>
                <w:sz w:val="22"/>
                <w:szCs w:val="22"/>
                <w:color w:val="auto"/>
              </w:rPr>
            </w:pP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FFCC"/>
          </w:tcPr>
          <w:p>
            <w:pPr>
              <w:spacing w:after="0"/>
              <w:rPr>
                <w:sz w:val="22"/>
                <w:szCs w:val="22"/>
                <w:color w:val="auto"/>
              </w:rPr>
            </w:pPr>
          </w:p>
        </w:tc>
        <w:tc>
          <w:tcPr>
            <w:tcW w:w="1000" w:type="dxa"/>
            <w:vAlign w:val="bottom"/>
            <w:shd w:val="clear" w:color="auto" w:fill="CCFFCC"/>
          </w:tcPr>
          <w:p>
            <w:pPr>
              <w:jc w:val="right"/>
              <w:ind w:right="84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800"/>
              <w:spacing w:after="0"/>
              <w:rPr>
                <w:sz w:val="20"/>
                <w:szCs w:val="20"/>
                <w:color w:val="auto"/>
              </w:rPr>
            </w:pPr>
            <w:r>
              <w:rPr>
                <w:rFonts w:ascii="Arial" w:cs="Arial" w:eastAsia="Arial" w:hAnsi="Arial"/>
                <w:sz w:val="18"/>
                <w:szCs w:val="18"/>
                <w:color w:val="auto"/>
              </w:rPr>
              <w:t>(2.5)</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w:t>
            </w:r>
          </w:p>
        </w:tc>
      </w:tr>
      <w:tr>
        <w:trPr>
          <w:trHeight w:val="20"/>
        </w:trPr>
        <w:tc>
          <w:tcPr>
            <w:tcW w:w="680" w:type="dxa"/>
            <w:vAlign w:val="bottom"/>
            <w:tcBorders>
              <w:top w:val="single" w:sz="8" w:color="CCFFCC"/>
            </w:tcBorders>
            <w:shd w:val="clear" w:color="auto" w:fill="CCFFCC"/>
          </w:tcPr>
          <w:p>
            <w:pPr>
              <w:spacing w:after="0" w:line="20" w:lineRule="exact"/>
              <w:rPr>
                <w:sz w:val="1"/>
                <w:szCs w:val="1"/>
                <w:color w:val="auto"/>
              </w:rPr>
            </w:pPr>
          </w:p>
        </w:tc>
        <w:tc>
          <w:tcPr>
            <w:tcW w:w="21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decrease in revenues for the three month period ended July 31, 2008 compared to the same period of fiscal year 2008, was primarily the result of lower revenues from satellite payload programs recorded in the FEI-NY segment. Satellite revenues were reduced as a consequence of higher than anticipated levels of engineering and manufacturing costs which were incurred in the fourth quarter of fiscal year 2008 and carried over into the fiscal year 2009 quarter. These additional costs reduced the expected gross margins of these programs on which revenue is recognized on the percentage of completion basis. Sequentially, satellite payload revenues increased from the levels reported during the fourth quarter of fiscal year 2008. Revenues from telecommunication customers which are recorded in each of the Company’s operating segments and revenues from non-space U.S. Government customers which are recorded in the FEI-NY and FEI-Zyfer segments, were essentially flat year over year. During fiscal year 2009, the Company expects revenues from both U.S. Government and commercial satellite programs to increase from current levels as a result of recent contract awards and expectations for additional contract awards during this fiscal year. Telecommunication infrastructure revenues and sales to non-space U.S. Government programs are also expected to increase over the balance of the fiscal year.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margin</w:t>
      </w:r>
    </w:p>
    <w:p>
      <w:pPr>
        <w:spacing w:after="0" w:line="324"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26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1170"/>
              <w:spacing w:after="0"/>
              <w:rPr>
                <w:sz w:val="20"/>
                <w:szCs w:val="20"/>
                <w:color w:val="auto"/>
              </w:rPr>
            </w:pPr>
            <w:r>
              <w:rPr>
                <w:rFonts w:ascii="Arial" w:cs="Arial" w:eastAsia="Arial" w:hAnsi="Arial"/>
                <w:sz w:val="18"/>
                <w:szCs w:val="18"/>
                <w:color w:val="auto"/>
              </w:rPr>
              <w:t>Three months ended July 31,</w:t>
            </w:r>
          </w:p>
        </w:tc>
        <w:tc>
          <w:tcPr>
            <w:tcW w:w="6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70"/>
        </w:trPr>
        <w:tc>
          <w:tcPr>
            <w:tcW w:w="2620" w:type="dxa"/>
            <w:vAlign w:val="bottom"/>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42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42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Change</w:t>
            </w:r>
          </w:p>
        </w:tc>
        <w:tc>
          <w:tcPr>
            <w:tcW w:w="640" w:type="dxa"/>
            <w:vAlign w:val="bottom"/>
            <w:tcBorders>
              <w:bottom w:val="single" w:sz="8" w:color="auto"/>
            </w:tcBorders>
          </w:tcPr>
          <w:p>
            <w:pPr>
              <w:spacing w:after="0"/>
              <w:rPr>
                <w:sz w:val="23"/>
                <w:szCs w:val="23"/>
                <w:color w:val="auto"/>
              </w:rPr>
            </w:pPr>
          </w:p>
        </w:tc>
        <w:tc>
          <w:tcPr>
            <w:tcW w:w="260" w:type="dxa"/>
            <w:vAlign w:val="bottom"/>
          </w:tcPr>
          <w:p>
            <w:pPr>
              <w:spacing w:after="0"/>
              <w:rPr>
                <w:sz w:val="23"/>
                <w:szCs w:val="23"/>
                <w:color w:val="auto"/>
              </w:rPr>
            </w:pPr>
          </w:p>
        </w:tc>
      </w:tr>
      <w:tr>
        <w:trPr>
          <w:trHeight w:val="237"/>
        </w:trPr>
        <w:tc>
          <w:tcPr>
            <w:tcW w:w="3500" w:type="dxa"/>
            <w:vAlign w:val="bottom"/>
            <w:gridSpan w:val="2"/>
            <w:shd w:val="clear" w:color="auto" w:fill="CCFFCC"/>
          </w:tcPr>
          <w:p>
            <w:pPr>
              <w:jc w:val="right"/>
              <w:ind w:right="69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88"/>
              </w:rPr>
              <w:t>3,191</w:t>
            </w:r>
          </w:p>
        </w:tc>
        <w:tc>
          <w:tcPr>
            <w:tcW w:w="940" w:type="dxa"/>
            <w:vAlign w:val="bottom"/>
            <w:gridSpan w:val="2"/>
            <w:shd w:val="clear" w:color="auto" w:fill="CCFFCC"/>
          </w:tcPr>
          <w:p>
            <w:pPr>
              <w:jc w:val="right"/>
              <w:ind w:right="71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88"/>
              </w:rPr>
              <w:t>4,471</w:t>
            </w:r>
          </w:p>
        </w:tc>
        <w:tc>
          <w:tcPr>
            <w:tcW w:w="52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FFCC"/>
          </w:tcPr>
          <w:p>
            <w:pPr>
              <w:jc w:val="right"/>
              <w:ind w:right="710"/>
              <w:spacing w:after="0"/>
              <w:rPr>
                <w:sz w:val="20"/>
                <w:szCs w:val="20"/>
                <w:color w:val="auto"/>
              </w:rPr>
            </w:pPr>
            <w:r>
              <w:rPr>
                <w:rFonts w:ascii="Arial" w:cs="Arial" w:eastAsia="Arial" w:hAnsi="Arial"/>
                <w:sz w:val="18"/>
                <w:szCs w:val="18"/>
                <w:color w:val="auto"/>
              </w:rPr>
              <w:t>(1,280)</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w:t>
            </w:r>
          </w:p>
        </w:tc>
      </w:tr>
      <w:tr>
        <w:trPr>
          <w:trHeight w:val="270"/>
        </w:trPr>
        <w:tc>
          <w:tcPr>
            <w:tcW w:w="3500" w:type="dxa"/>
            <w:vAlign w:val="bottom"/>
            <w:gridSpan w:val="2"/>
          </w:tcPr>
          <w:p>
            <w:pPr>
              <w:jc w:val="right"/>
              <w:ind w:right="2750"/>
              <w:spacing w:after="0"/>
              <w:rPr>
                <w:sz w:val="20"/>
                <w:szCs w:val="20"/>
                <w:color w:val="auto"/>
              </w:rPr>
            </w:pPr>
            <w:r>
              <w:rPr>
                <w:rFonts w:ascii="Arial" w:cs="Arial" w:eastAsia="Arial" w:hAnsi="Arial"/>
                <w:sz w:val="18"/>
                <w:szCs w:val="18"/>
                <w:color w:val="auto"/>
                <w:w w:val="88"/>
              </w:rPr>
              <w:t>GM Rate</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28.7%</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r>
    </w:tbl>
    <w:p>
      <w:pPr>
        <w:spacing w:after="0" w:line="256"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29% decrease in gross margin for the three months ended July 31, 2008, is due to lower revenues and higher levels of engineering and manufacturing costs on certain satellite payload programs that the Company began to experience in late fiscal year 2008. The current quarter’s gross margin rate of 24.4% reflects a sequential improvement from the 16% rate recorded in the fourth quarter of fiscal year 2008 which was also impacted by a high level of engineering and manufacturing costs on the same satellite payload programs. As the level of engineering effort decreases and these satellite programs are completed during fiscal year 2009, the Company anticipates that its gross margin rate will significantly improve.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33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56769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76900" cy="8890"/>
                    </a:xfrm>
                    <a:prstGeom prst="rect">
                      <a:avLst/>
                    </a:prstGeom>
                    <a:noFill/>
                  </pic:spPr>
                </pic:pic>
              </a:graphicData>
            </a:graphic>
          </wp:anchor>
        </w:drawing>
      </w:r>
    </w:p>
    <w:p>
      <w:pPr>
        <w:spacing w:after="0" w:line="5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2008</w:t>
            </w: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00" w:type="dxa"/>
            <w:vAlign w:val="bottom"/>
          </w:tcPr>
          <w:p>
            <w:pPr>
              <w:ind w:left="580"/>
              <w:spacing w:after="0"/>
              <w:rPr>
                <w:sz w:val="20"/>
                <w:szCs w:val="20"/>
                <w:color w:val="auto"/>
              </w:rPr>
            </w:pPr>
            <w:r>
              <w:rPr>
                <w:rFonts w:ascii="Arial" w:cs="Arial" w:eastAsia="Arial" w:hAnsi="Arial"/>
                <w:sz w:val="18"/>
                <w:szCs w:val="18"/>
                <w:color w:val="auto"/>
              </w:rPr>
              <w:t>Change</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3,116</w:t>
            </w:r>
          </w:p>
        </w:tc>
        <w:tc>
          <w:tcPr>
            <w:tcW w:w="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3,086</w:t>
            </w:r>
          </w:p>
        </w:tc>
        <w:tc>
          <w:tcPr>
            <w:tcW w:w="860" w:type="dxa"/>
            <w:vAlign w:val="bottom"/>
            <w:gridSpan w:val="2"/>
            <w:shd w:val="clear" w:color="auto" w:fill="CCFFCC"/>
          </w:tcPr>
          <w:p>
            <w:pPr>
              <w:jc w:val="right"/>
              <w:ind w:right="56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FFCC"/>
          </w:tcPr>
          <w:p>
            <w:pPr>
              <w:ind w:left="560"/>
              <w:spacing w:after="0"/>
              <w:rPr>
                <w:sz w:val="20"/>
                <w:szCs w:val="20"/>
                <w:color w:val="auto"/>
              </w:rPr>
            </w:pPr>
            <w:r>
              <w:rPr>
                <w:rFonts w:ascii="Arial" w:cs="Arial" w:eastAsia="Arial" w:hAnsi="Arial"/>
                <w:sz w:val="18"/>
                <w:szCs w:val="18"/>
                <w:color w:val="auto"/>
              </w:rPr>
              <w:t>30</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w:t>
            </w:r>
          </w:p>
        </w:tc>
      </w:tr>
    </w:tbl>
    <w:p>
      <w:pPr>
        <w:spacing w:after="0" w:line="256"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For the three months ended July 31, 2008 and 2007, selling and administrative expenses were 23.9% and 19.8%, respectively, of consolidated revenues. The Company’s target for such expenses is not to exceed 20% of revenues. In the fiscal year 2009 period, this ratio was not achieved due to a lower level of sales and increases in professional fees, marketing expenses, and the operating expenses at Gillam-FEI resulting primarily from the impact of the declining value of the US dollar compared to the Euro. In subsequent quarters of fiscal year 2009, the Company expects selling and administrative expenses to be incurred at 20% or less of revenues both by controlling costs as well as increasing revenues.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 w:name="page12"/>
    <w:bookmarkEnd w:id="11"/>
    <w:p>
      <w:pPr>
        <w:jc w:val="center"/>
        <w:ind w:right="640"/>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(Continued)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w:t>
      </w:r>
    </w:p>
    <w:p>
      <w:pPr>
        <w:spacing w:after="0" w:line="310"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56343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34355" cy="8890"/>
                    </a:xfrm>
                    <a:prstGeom prst="rect">
                      <a:avLst/>
                    </a:prstGeom>
                    <a:noFill/>
                  </pic:spPr>
                </pic:pic>
              </a:graphicData>
            </a:graphic>
          </wp:anchor>
        </w:drawing>
      </w:r>
    </w:p>
    <w:p>
      <w:pPr>
        <w:spacing w:after="0" w:line="3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460" w:type="dxa"/>
            <w:vAlign w:val="bottom"/>
            <w:tcBorders>
              <w:bottom w:val="single" w:sz="8" w:color="auto"/>
            </w:tcBorders>
          </w:tcPr>
          <w:p>
            <w:pPr>
              <w:jc w:val="right"/>
              <w:ind w:right="477"/>
              <w:spacing w:after="0"/>
              <w:rPr>
                <w:sz w:val="20"/>
                <w:szCs w:val="20"/>
                <w:color w:val="auto"/>
              </w:rPr>
            </w:pPr>
            <w:r>
              <w:rPr>
                <w:rFonts w:ascii="Arial" w:cs="Arial" w:eastAsia="Arial" w:hAnsi="Arial"/>
                <w:sz w:val="18"/>
                <w:szCs w:val="18"/>
                <w:color w:val="auto"/>
              </w:rPr>
              <w:t>2008</w:t>
            </w:r>
          </w:p>
        </w:tc>
        <w:tc>
          <w:tcPr>
            <w:tcW w:w="10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2007</w:t>
            </w:r>
          </w:p>
        </w:tc>
        <w:tc>
          <w:tcPr>
            <w:tcW w:w="24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Change</w:t>
            </w:r>
          </w:p>
        </w:tc>
        <w:tc>
          <w:tcPr>
            <w:tcW w:w="8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2460" w:type="dxa"/>
            <w:vAlign w:val="bottom"/>
            <w:shd w:val="clear" w:color="auto" w:fill="CCFFCC"/>
          </w:tcPr>
          <w:p>
            <w:pPr>
              <w:jc w:val="right"/>
              <w:ind w:right="229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1,365</w:t>
            </w:r>
          </w:p>
        </w:tc>
        <w:tc>
          <w:tcPr>
            <w:tcW w:w="5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2,177</w:t>
            </w:r>
          </w:p>
        </w:tc>
        <w:tc>
          <w:tcPr>
            <w:tcW w:w="900" w:type="dxa"/>
            <w:vAlign w:val="bottom"/>
            <w:gridSpan w:val="2"/>
            <w:shd w:val="clear" w:color="auto" w:fill="CCFFCC"/>
          </w:tcPr>
          <w:p>
            <w:pPr>
              <w:jc w:val="right"/>
              <w:ind w:right="58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FFCC"/>
          </w:tcPr>
          <w:p>
            <w:pPr>
              <w:jc w:val="right"/>
              <w:ind w:right="850"/>
              <w:spacing w:after="0"/>
              <w:rPr>
                <w:sz w:val="20"/>
                <w:szCs w:val="20"/>
                <w:color w:val="auto"/>
              </w:rPr>
            </w:pPr>
            <w:r>
              <w:rPr>
                <w:rFonts w:ascii="Arial" w:cs="Arial" w:eastAsia="Arial" w:hAnsi="Arial"/>
                <w:sz w:val="18"/>
                <w:szCs w:val="18"/>
                <w:color w:val="auto"/>
              </w:rPr>
              <w:t>(812)</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w:t>
            </w:r>
          </w:p>
        </w:tc>
      </w:tr>
    </w:tbl>
    <w:p>
      <w:pPr>
        <w:spacing w:after="0" w:line="256"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Research and development expenditures represent investments that keep the Company’s products at the leading edge of time and frequency technology and enhance competitiveness for future sales. In the period ended July 31, 2007, the Company incurred exceptional levels of engineering spending and development work on its satellite payload products. This effort abated throughout fiscal year 2008. Research and development spending for the quarter ended July 31, 2008, was 10.4% of revenues compared to 14% of revenues for the same period of fiscal year 2008. The Company targets research and development spending at approximately 10% of sales, but the rate of spending can increase or decrease from quarter to quarter as new projects are identified and others are concluded. The Company will continue to devote significant resources to develop new products, enhance existing products and implement efficient manufacturing processes. In fiscal 2009, many of the Company development resources will be applied to certain cost-plus-fee satellite payload programs. As a consequence, some of the Company’s development expenditures will be customer-funded thus reducing the level of internal research and development spending. Internally generated cash and cash reserves are adequate to fund these development efforts.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Loss</w:t>
      </w:r>
    </w:p>
    <w:p>
      <w:pPr>
        <w:spacing w:after="0" w:line="283"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56343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34355" cy="8890"/>
                    </a:xfrm>
                    <a:prstGeom prst="rect">
                      <a:avLst/>
                    </a:prstGeom>
                    <a:noFill/>
                  </pic:spPr>
                </pic:pic>
              </a:graphicData>
            </a:graphic>
          </wp:anchor>
        </w:drawing>
      </w:r>
    </w:p>
    <w:p>
      <w:pPr>
        <w:spacing w:after="0" w:line="3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440" w:type="dxa"/>
            <w:vAlign w:val="bottom"/>
            <w:tcBorders>
              <w:bottom w:val="single" w:sz="8" w:color="auto"/>
            </w:tcBorders>
          </w:tcPr>
          <w:p>
            <w:pPr>
              <w:jc w:val="right"/>
              <w:ind w:right="457"/>
              <w:spacing w:after="0"/>
              <w:rPr>
                <w:sz w:val="20"/>
                <w:szCs w:val="20"/>
                <w:color w:val="auto"/>
              </w:rPr>
            </w:pPr>
            <w:r>
              <w:rPr>
                <w:rFonts w:ascii="Arial" w:cs="Arial" w:eastAsia="Arial" w:hAnsi="Arial"/>
                <w:sz w:val="18"/>
                <w:szCs w:val="18"/>
                <w:color w:val="auto"/>
              </w:rPr>
              <w:t>2008</w:t>
            </w:r>
          </w:p>
        </w:tc>
        <w:tc>
          <w:tcPr>
            <w:tcW w:w="10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Change</w:t>
            </w:r>
          </w:p>
        </w:tc>
        <w:tc>
          <w:tcPr>
            <w:tcW w:w="8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2440" w:type="dxa"/>
            <w:vAlign w:val="bottom"/>
            <w:shd w:val="clear" w:color="auto" w:fill="CCFFCC"/>
          </w:tcPr>
          <w:p>
            <w:pPr>
              <w:jc w:val="right"/>
              <w:ind w:right="227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(1,290)</w:t>
            </w:r>
          </w:p>
        </w:tc>
        <w:tc>
          <w:tcPr>
            <w:tcW w:w="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(792)</w:t>
            </w:r>
          </w:p>
        </w:tc>
        <w:tc>
          <w:tcPr>
            <w:tcW w:w="760" w:type="dxa"/>
            <w:vAlign w:val="bottom"/>
            <w:gridSpan w:val="2"/>
            <w:shd w:val="clear" w:color="auto" w:fill="CCFFCC"/>
          </w:tcPr>
          <w:p>
            <w:pPr>
              <w:jc w:val="right"/>
              <w:ind w:right="58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FFCC"/>
          </w:tcPr>
          <w:p>
            <w:pPr>
              <w:jc w:val="right"/>
              <w:ind w:right="850"/>
              <w:spacing w:after="0"/>
              <w:rPr>
                <w:sz w:val="20"/>
                <w:szCs w:val="20"/>
                <w:color w:val="auto"/>
              </w:rPr>
            </w:pPr>
            <w:r>
              <w:rPr>
                <w:rFonts w:ascii="Arial" w:cs="Arial" w:eastAsia="Arial" w:hAnsi="Arial"/>
                <w:sz w:val="18"/>
                <w:szCs w:val="18"/>
                <w:color w:val="auto"/>
              </w:rPr>
              <w:t>(498)</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(63)%</w:t>
            </w:r>
          </w:p>
        </w:tc>
      </w:tr>
    </w:tbl>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Lower revenues and the continuing level of engineering and manufacturing effort related to satellite payload programs resulted in an operating loss for the three months ended July 31, 2008, compared to the same period of fiscal year 2008. Sequentially, the operating loss was reduced by $2.0 million from that realized in the fourth quarter of fiscal year 2008, on a lower level of sales. The Company anticipates that as the gross margin rate improves and as sales increase from current levels, that it will generate an operating profit for the full fiscal year 2009.</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Other income (expense)</w:t>
            </w:r>
          </w:p>
        </w:tc>
        <w:tc>
          <w:tcPr>
            <w:tcW w:w="2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554"/>
        </w:trPr>
        <w:tc>
          <w:tcPr>
            <w:tcW w:w="18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5"/>
          </w:tcPr>
          <w:p>
            <w:pPr>
              <w:jc w:val="right"/>
              <w:ind w:right="1280"/>
              <w:spacing w:after="0"/>
              <w:rPr>
                <w:sz w:val="20"/>
                <w:szCs w:val="20"/>
                <w:color w:val="auto"/>
              </w:rPr>
            </w:pPr>
            <w:r>
              <w:rPr>
                <w:rFonts w:ascii="Arial" w:cs="Arial" w:eastAsia="Arial" w:hAnsi="Arial"/>
                <w:sz w:val="18"/>
                <w:szCs w:val="18"/>
                <w:color w:val="auto"/>
                <w:w w:val="96"/>
              </w:rPr>
              <w:t>Three months ended July 31,</w:t>
            </w:r>
          </w:p>
        </w:tc>
        <w:tc>
          <w:tcPr>
            <w:tcW w:w="7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270"/>
        </w:trPr>
        <w:tc>
          <w:tcPr>
            <w:tcW w:w="18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2008</w:t>
            </w:r>
          </w:p>
        </w:tc>
        <w:tc>
          <w:tcPr>
            <w:tcW w:w="38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Change</w:t>
            </w:r>
          </w:p>
        </w:tc>
        <w:tc>
          <w:tcPr>
            <w:tcW w:w="76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r>
      <w:tr>
        <w:trPr>
          <w:trHeight w:val="237"/>
        </w:trPr>
        <w:tc>
          <w:tcPr>
            <w:tcW w:w="1820" w:type="dxa"/>
            <w:vAlign w:val="bottom"/>
            <w:shd w:val="clear" w:color="auto" w:fill="CCFFCC"/>
          </w:tcPr>
          <w:p>
            <w:pPr>
              <w:spacing w:after="0"/>
              <w:rPr>
                <w:sz w:val="20"/>
                <w:szCs w:val="20"/>
                <w:color w:val="auto"/>
              </w:rPr>
            </w:pPr>
            <w:r>
              <w:rPr>
                <w:rFonts w:ascii="Arial" w:cs="Arial" w:eastAsia="Arial" w:hAnsi="Arial"/>
                <w:sz w:val="18"/>
                <w:szCs w:val="18"/>
                <w:color w:val="auto"/>
              </w:rPr>
              <w:t>Investment income</w:t>
            </w:r>
          </w:p>
        </w:tc>
        <w:tc>
          <w:tcPr>
            <w:tcW w:w="3060" w:type="dxa"/>
            <w:vAlign w:val="bottom"/>
            <w:gridSpan w:val="2"/>
            <w:shd w:val="clear" w:color="auto" w:fill="CCFFCC"/>
          </w:tcPr>
          <w:p>
            <w:pPr>
              <w:jc w:val="right"/>
              <w:ind w:right="77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158</w:t>
            </w:r>
          </w:p>
        </w:tc>
        <w:tc>
          <w:tcPr>
            <w:tcW w:w="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3,243</w:t>
            </w:r>
          </w:p>
        </w:tc>
        <w:tc>
          <w:tcPr>
            <w:tcW w:w="500" w:type="dxa"/>
            <w:vAlign w:val="bottom"/>
            <w:shd w:val="clear" w:color="auto" w:fill="CCFFCC"/>
          </w:tcPr>
          <w:p>
            <w:pPr>
              <w:jc w:val="right"/>
              <w:ind w:right="345"/>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FFCC"/>
          </w:tcPr>
          <w:p>
            <w:pPr>
              <w:jc w:val="right"/>
              <w:ind w:right="780"/>
              <w:spacing w:after="0"/>
              <w:rPr>
                <w:sz w:val="20"/>
                <w:szCs w:val="20"/>
                <w:color w:val="auto"/>
              </w:rPr>
            </w:pPr>
            <w:r>
              <w:rPr>
                <w:rFonts w:ascii="Arial" w:cs="Arial" w:eastAsia="Arial" w:hAnsi="Arial"/>
                <w:sz w:val="18"/>
                <w:szCs w:val="18"/>
                <w:color w:val="auto"/>
              </w:rPr>
              <w:t>(3,085)</w:t>
            </w: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(95)%</w:t>
            </w: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Equity (loss) income</w:t>
            </w:r>
          </w:p>
        </w:tc>
        <w:tc>
          <w:tcPr>
            <w:tcW w:w="2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500" w:type="dxa"/>
            <w:vAlign w:val="bottom"/>
          </w:tcPr>
          <w:p>
            <w:pPr>
              <w:spacing w:after="0"/>
              <w:rPr>
                <w:sz w:val="21"/>
                <w:szCs w:val="21"/>
                <w:color w:val="auto"/>
              </w:rPr>
            </w:pP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117</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r>
      <w:tr>
        <w:trPr>
          <w:trHeight w:val="243"/>
        </w:trPr>
        <w:tc>
          <w:tcPr>
            <w:tcW w:w="182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w:t>
            </w:r>
          </w:p>
        </w:tc>
        <w:tc>
          <w:tcPr>
            <w:tcW w:w="212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(131)</w:t>
            </w:r>
          </w:p>
        </w:tc>
        <w:tc>
          <w:tcPr>
            <w:tcW w:w="500" w:type="dxa"/>
            <w:vAlign w:val="bottom"/>
            <w:shd w:val="clear" w:color="auto" w:fill="CCFFCC"/>
          </w:tcPr>
          <w:p>
            <w:pPr>
              <w:spacing w:after="0"/>
              <w:rPr>
                <w:sz w:val="21"/>
                <w:szCs w:val="21"/>
                <w:color w:val="auto"/>
              </w:rPr>
            </w:pPr>
          </w:p>
        </w:tc>
        <w:tc>
          <w:tcPr>
            <w:tcW w:w="1740" w:type="dxa"/>
            <w:vAlign w:val="bottom"/>
            <w:gridSpan w:val="2"/>
            <w:shd w:val="clear" w:color="auto" w:fill="CCFFCC"/>
          </w:tcPr>
          <w:p>
            <w:pPr>
              <w:jc w:val="right"/>
              <w:ind w:right="840"/>
              <w:spacing w:after="0"/>
              <w:rPr>
                <w:sz w:val="20"/>
                <w:szCs w:val="20"/>
                <w:color w:val="auto"/>
              </w:rPr>
            </w:pPr>
            <w:r>
              <w:rPr>
                <w:rFonts w:ascii="Arial" w:cs="Arial" w:eastAsia="Arial" w:hAnsi="Arial"/>
                <w:sz w:val="18"/>
                <w:szCs w:val="18"/>
                <w:color w:val="auto"/>
              </w:rPr>
              <w:t>47</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36%</w:t>
            </w: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Other income, net</w:t>
            </w:r>
          </w:p>
        </w:tc>
        <w:tc>
          <w:tcPr>
            <w:tcW w:w="2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81</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r>
      <w:tr>
        <w:trPr>
          <w:trHeight w:val="20"/>
        </w:trPr>
        <w:tc>
          <w:tcPr>
            <w:tcW w:w="18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1820" w:type="dxa"/>
            <w:vAlign w:val="bottom"/>
            <w:shd w:val="clear" w:color="auto" w:fill="CCFFCC"/>
          </w:tcPr>
          <w:p>
            <w:pPr>
              <w:spacing w:after="0"/>
              <w:rPr>
                <w:sz w:val="20"/>
                <w:szCs w:val="20"/>
                <w:color w:val="auto"/>
              </w:rPr>
            </w:pPr>
          </w:p>
        </w:tc>
        <w:tc>
          <w:tcPr>
            <w:tcW w:w="3060" w:type="dxa"/>
            <w:vAlign w:val="bottom"/>
            <w:gridSpan w:val="2"/>
            <w:shd w:val="clear" w:color="auto" w:fill="CCFFCC"/>
          </w:tcPr>
          <w:p>
            <w:pPr>
              <w:jc w:val="right"/>
              <w:ind w:right="77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192</w:t>
            </w:r>
          </w:p>
        </w:tc>
        <w:tc>
          <w:tcPr>
            <w:tcW w:w="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3,032</w:t>
            </w:r>
          </w:p>
        </w:tc>
        <w:tc>
          <w:tcPr>
            <w:tcW w:w="500" w:type="dxa"/>
            <w:vAlign w:val="bottom"/>
            <w:shd w:val="clear" w:color="auto" w:fill="CCFFCC"/>
          </w:tcPr>
          <w:p>
            <w:pPr>
              <w:jc w:val="right"/>
              <w:ind w:right="345"/>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FFCC"/>
          </w:tcPr>
          <w:p>
            <w:pPr>
              <w:jc w:val="right"/>
              <w:ind w:right="780"/>
              <w:spacing w:after="0"/>
              <w:rPr>
                <w:sz w:val="20"/>
                <w:szCs w:val="20"/>
                <w:color w:val="auto"/>
              </w:rPr>
            </w:pPr>
            <w:r>
              <w:rPr>
                <w:rFonts w:ascii="Arial" w:cs="Arial" w:eastAsia="Arial" w:hAnsi="Arial"/>
                <w:sz w:val="18"/>
                <w:szCs w:val="18"/>
                <w:color w:val="auto"/>
              </w:rPr>
              <w:t>(2,840)</w:t>
            </w: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(94)%</w:t>
            </w:r>
          </w:p>
        </w:tc>
      </w:tr>
    </w:tbl>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three months ended July 31, 2007, the Company reduced its investment in Morion, Inc. from 36.6% to 8% by selling shares to a Russian government majority-owned bank. The Company received proceeds of approximately $5.8 million and realized a book gain of approximately $3.0 million. Such gain is included in investment income for the first quarter of fiscal year 2008. Comparable gains were not recorded during the first quarter of fiscal year 2009.</w:t>
      </w:r>
    </w:p>
    <w:p>
      <w:pPr>
        <w:spacing w:after="0" w:line="24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equity income or (loss) in the fiscal year 2009 and 2008 periods represent the Company’s share of the quarterly income or (loss) recorded by Elcom Technologies in which the Company owns a 25% interest.</w:t>
      </w:r>
    </w:p>
    <w:p>
      <w:pPr>
        <w:spacing w:after="0" w:line="224"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decrease in interest expense for the three month period ended July 31, 2008, resulted from both a decrease in borrowings under the Company’s line of credit as well as a lower rate of interest charged on such borrowings compared to the three month period ended July 31, 2007.</w:t>
      </w:r>
    </w:p>
    <w:p>
      <w:pPr>
        <w:spacing w:after="0" w:line="20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Under the provisions of sale and leaseback accounting, a portion of the capital gain realized on a fiscal year 2005 real estate transaction is deferred and recognized in income over the initial lease term. Under the caption “Other income, net” the Company recognized deferred gain of $88,000 for each of the three months ended July 31, 2008 and 2007. In the fiscal year 2008 period, deferred gain income was offset by certain nonrecurring expenses at the FEI-NY and Gillam-FEI segments, including certain business interruption costs and foreign currency exchange losses. Other insignificant income and expense items are also recorded under this caption.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 w:name="page13"/>
    <w:bookmarkEnd w:id="12"/>
    <w:p>
      <w:pPr>
        <w:ind w:left="3460"/>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(Continued)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(Loss) income</w:t>
      </w:r>
    </w:p>
    <w:p>
      <w:pPr>
        <w:spacing w:after="0" w:line="28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56343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34355" cy="8890"/>
                    </a:xfrm>
                    <a:prstGeom prst="rect">
                      <a:avLst/>
                    </a:prstGeom>
                    <a:noFill/>
                  </pic:spPr>
                </pic:pic>
              </a:graphicData>
            </a:graphic>
          </wp:anchor>
        </w:drawing>
      </w:r>
    </w:p>
    <w:p>
      <w:pPr>
        <w:spacing w:after="0" w:line="3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500" w:type="dxa"/>
            <w:vAlign w:val="bottom"/>
            <w:tcBorders>
              <w:bottom w:val="single" w:sz="8" w:color="auto"/>
            </w:tcBorders>
          </w:tcPr>
          <w:p>
            <w:pPr>
              <w:jc w:val="right"/>
              <w:ind w:right="517"/>
              <w:spacing w:after="0"/>
              <w:rPr>
                <w:sz w:val="20"/>
                <w:szCs w:val="20"/>
                <w:color w:val="auto"/>
              </w:rPr>
            </w:pPr>
            <w:r>
              <w:rPr>
                <w:rFonts w:ascii="Arial" w:cs="Arial" w:eastAsia="Arial" w:hAnsi="Arial"/>
                <w:sz w:val="18"/>
                <w:szCs w:val="18"/>
                <w:color w:val="auto"/>
              </w:rPr>
              <w:t>2008</w:t>
            </w: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2007</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Change</w:t>
            </w:r>
          </w:p>
        </w:tc>
        <w:tc>
          <w:tcPr>
            <w:tcW w:w="8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2500" w:type="dxa"/>
            <w:vAlign w:val="bottom"/>
            <w:shd w:val="clear" w:color="auto" w:fill="CCFFCC"/>
          </w:tcPr>
          <w:p>
            <w:pPr>
              <w:jc w:val="right"/>
              <w:ind w:right="233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(773)</w:t>
            </w:r>
          </w:p>
        </w:tc>
        <w:tc>
          <w:tcPr>
            <w:tcW w:w="1140" w:type="dxa"/>
            <w:vAlign w:val="bottom"/>
            <w:gridSpan w:val="2"/>
            <w:shd w:val="clear" w:color="auto" w:fill="CCFFCC"/>
          </w:tcPr>
          <w:p>
            <w:pPr>
              <w:jc w:val="right"/>
              <w:ind w:right="87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1,380</w:t>
            </w:r>
          </w:p>
        </w:tc>
        <w:tc>
          <w:tcPr>
            <w:tcW w:w="820" w:type="dxa"/>
            <w:vAlign w:val="bottom"/>
            <w:gridSpan w:val="2"/>
            <w:shd w:val="clear" w:color="auto" w:fill="CCFFCC"/>
          </w:tcPr>
          <w:p>
            <w:pPr>
              <w:jc w:val="right"/>
              <w:ind w:right="50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FFCC"/>
          </w:tcPr>
          <w:p>
            <w:pPr>
              <w:jc w:val="right"/>
              <w:ind w:right="790"/>
              <w:spacing w:after="0"/>
              <w:rPr>
                <w:sz w:val="20"/>
                <w:szCs w:val="20"/>
                <w:color w:val="auto"/>
              </w:rPr>
            </w:pPr>
            <w:r>
              <w:rPr>
                <w:rFonts w:ascii="Arial" w:cs="Arial" w:eastAsia="Arial" w:hAnsi="Arial"/>
                <w:sz w:val="18"/>
                <w:szCs w:val="18"/>
                <w:color w:val="auto"/>
              </w:rPr>
              <w:t>(2,153)</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(156)%</w:t>
            </w:r>
          </w:p>
        </w:tc>
      </w:tr>
    </w:tbl>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Net loss for the three months ended July 31, 2008, resulted from the decrease in sales and the higher engineering and production costs on certain satellite programs as discussed above. The fiscal year 2008 results were positively impacted by the investment gain recorded on the sale of a portion of the Company’s investment in Morion which offset the prior year quarter’s operating loss. The Company expects to realize improved gross and operating margins in the subsequent quarters of fiscal year 2009 and anticipates that it will report a profit for the full year.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28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is subject to taxation in several countries as well as the states of New York and California. The statutory federal rates vary from 34% in the United States to 35% in Europe. The effective rate is impacted by the income or loss of certain of the Company’s European and Asian subsidiaries which are currently not taxed. In addition, the Company utilizes the availability of research and development tax credits in the United States to lower its tax rate. As of April 30, 2008, the Company’s European subsidiaries had available net operating loss carryforwards of approximately $1.2 million, which will offset future taxable income. The Company’s effective tax rate for fiscal year 2008 was higher than in prior years as a result of the gain recognized on the Morion transaction. The Company’s tax basis in its Morion investment was less than its book basis resulting in greater taxable income than that recorded for financial reporting purposes.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7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balance sheet continues to reflect a strong working capital position of $59 million at July 31, 2008, which is comparable to working capital at April 30, 2008. Included in working capital at July 31, 2008 is $14.4 million of cash, cash equivalents and marketable securities which are offset by $6.5 million in borrowings under its bank line of credit. The Company’s current ratio at July 31, 2008 is 5.4 to 1.</w:t>
      </w:r>
    </w:p>
    <w:p>
      <w:pPr>
        <w:spacing w:after="0" w:line="23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For the three months ended July 31, 2008, the Company used $2.1 million in cash from operating activities compared to $4.4 million used by operations in the comparable fiscal year 2008 period. The primary uses of cash in the fiscal year 2009 period were due to the growth in accounts receivable, acquisition of additional parts inventory to support current and anticipated programs. In the three month period ended July 31, 2007, the decrease in operating cash flow was due primarily to increases in unbilled accounts receivable, inventory and payments against accounts payable. For the balance of fiscal year 2009, the Company expects to generate positive cash flow from operating activities, particularly as billing milestones are achieved on certain of its large satellite production contracts.</w:t>
      </w:r>
    </w:p>
    <w:p>
      <w:pPr>
        <w:spacing w:after="0" w:line="24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Net cash used in investing activities for the three months ended July 31, 2008, was $6.7 million compared to cash provided by investing activities of $4.9 million for the same period of fiscal year 2008. During the fiscal year 2009 period, the Company invested $6.6 million in marketable securities and acquired additional fixed assets for $111,000. In the first quarter of the prior year, the Company received net proceeds of $5.6 million from the sale of a portion of its investment in Morion. This cash inflow was partially offset by fixed asset acquisitions of $559,000 and the purchase of marketable securities for $174,000. The Company may continue to acquire or sell marketable securities as dictated by its investment strategies as well as by the cash requirements for its development activities. Capital equipment purchases for all of fiscal year 2009 are expected to aggregate approximately $3.0 million. Internally generated cash is adequate to acquire this level of capital equipment.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 w:name="page14"/>
    <w:bookmarkEnd w:id="13"/>
    <w:p>
      <w:pPr>
        <w:jc w:val="center"/>
        <w:ind w:right="640"/>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(Continued)</w:t>
      </w:r>
    </w:p>
    <w:p>
      <w:pPr>
        <w:spacing w:after="0" w:line="26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Net cash provided by financing activities for the three months ended July 31, 2008, was $1.3 million compared to $629,000 during the comparable fiscal year 2008 period. During the first quarter of fiscal year 2009, the Company borrowed $1.5 million against its line of credit, made principle payments of $52,000 against a long-term capital lease and reacquired capital stock for treasury in the approximate amount of $100,000. During the three months ended July 31, 2007, the Company paid a cash dividend of $869,000 which was offset by $1.5 million borrowed under its line of credit.</w:t>
      </w:r>
    </w:p>
    <w:p>
      <w:pPr>
        <w:spacing w:after="0" w:line="208" w:lineRule="exact"/>
        <w:rPr>
          <w:sz w:val="20"/>
          <w:szCs w:val="20"/>
          <w:color w:val="auto"/>
        </w:rPr>
      </w:pPr>
    </w:p>
    <w:p>
      <w:pPr>
        <w:jc w:val="both"/>
        <w:ind w:right="20" w:firstLine="486"/>
        <w:spacing w:after="0" w:line="257" w:lineRule="auto"/>
        <w:rPr>
          <w:sz w:val="20"/>
          <w:szCs w:val="20"/>
          <w:color w:val="auto"/>
        </w:rPr>
      </w:pPr>
      <w:r>
        <w:rPr>
          <w:rFonts w:ascii="Arial" w:cs="Arial" w:eastAsia="Arial" w:hAnsi="Arial"/>
          <w:sz w:val="18"/>
          <w:szCs w:val="18"/>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During the quarter ended July 31, 2008, the Company acquired 18,000 shares of its stock under this authorization. The average price paid per share was $5.57. Subsequent to the end of the quarter, the Company acquired an additional 659,651 shares at an average price of $4.34. With these purchases, the Company has acquired approximately $4 million of its common stock.</w:t>
      </w:r>
    </w:p>
    <w:p>
      <w:pPr>
        <w:spacing w:after="0" w:line="24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will continue to expend resources to develop and improve products for space applications, guidance and targeting systems, wireless networks and wireline communication systems which management believes will result in future growth and continued profitability. During fiscal year 2009, the Company intends to make investments in more efficient product designs, automatic test equipment, employee training and improved manufacturing processes. For the current fiscal year and for the foreseeable future, the Company has been awarded several cost-plus-fee development contracts for satellite payloads. Such customer-funded programs will enable the Company to conduct important development activities but will be reimbursed for its efforts. Thus, the Company expects to spend its own funds at a lower rate than it has historically to achieve its development goals. Internally generated cash will be adequate to fund these internal research and development efforts.</w:t>
      </w:r>
    </w:p>
    <w:p>
      <w:pPr>
        <w:spacing w:after="0" w:line="23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As of July 31, 2008, the Company's consolidated backlog amounted to approximately $36 million. Approximately 80% of this backlog is expected to be filled during the Company’s fiscal year ending April 30, 2009. Included in the backlog at July 31, 2008 is approximately $7 million under cost plus fee contracts which the Company believes represent firm commitments from its customers for which the Company has not received full funding to date. The Company excludes from backlog any contracts or awards for which it has not received authorization to proceed.</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8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227330</wp:posOffset>
            </wp:positionV>
            <wp:extent cx="17240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14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683895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895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 w:name="page15"/>
    <w:bookmarkEnd w:id="14"/>
    <w:p>
      <w:pPr>
        <w:jc w:val="center"/>
        <w:ind w:right="640"/>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(Continued)</w:t>
      </w:r>
    </w:p>
    <w:p>
      <w:pPr>
        <w:spacing w:after="0" w:line="26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Item 4T.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Controls and Procedures</w:t>
      </w:r>
    </w:p>
    <w:p>
      <w:pPr>
        <w:spacing w:after="0" w:line="283"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u w:val="single" w:color="auto"/>
          <w:color w:val="auto"/>
        </w:rPr>
        <w:t>Disclosure Controls and Procedures</w:t>
      </w:r>
      <w:r>
        <w:rPr>
          <w:rFonts w:ascii="Arial" w:cs="Arial" w:eastAsia="Arial" w:hAnsi="Arial"/>
          <w:sz w:val="16"/>
          <w:szCs w:val="16"/>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July 31, 2008, the Company’s disclosure controls and procedures were not effective for the reasons discussed below,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Management’s Report on Internal Control over Financial Reporting</w:t>
      </w:r>
    </w:p>
    <w:p>
      <w:pPr>
        <w:spacing w:after="0" w:line="2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Management of Frequency Electronics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generally accepted accounting principles.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Management has assessed the effectiveness of the Company’s internal control over financial reporting as of July 31, 2008. In making this assessment, management used the criteria established in Internal Control—Integrated Framework issued by the Committee of Sponsoring Organizations of the Treadway Commission (COSO). Based on this evaluation, management has concluded that the Company’s internal control over financial reporting was not effective as of July 31, 2008. The Company’s chief executive officer and chief financial officer have concluded that the Company has material weaknesses in its internal control over financial reporting.</w:t>
      </w:r>
    </w:p>
    <w:p>
      <w:pPr>
        <w:spacing w:after="0" w:line="242"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201"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Financial Reporting</w:t>
      </w:r>
    </w:p>
    <w:p>
      <w:pPr>
        <w:spacing w:after="0" w:line="27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Company had inadequate resources and an insufficient number of personnel having adequate knowledge, experience and training to provide effective oversight and review of our internal controls within the prescribed timeframe. As a result, as of July 31, 2008, there was a material weakness in the Company’s internal control because management has not performed a self-assessment or the necessary documentation and testing of the internal controls at two of the Company’s subsidiaries, Gillam-FEI and FEI-Zyfer. The lack of documentation and testing of these subsidiaries constitutes a material weakness. In order to remediate this material weakness, management will continue to establish policies and procedures to provide for the necessary documentation and testing of such internal controls over the coming year. During fiscal year 2009, the Company plans to fully document and test the internal controls over financial reporting at its Gillam-FEI and FEI-Zyfer subsidiaries. If this process identifies material weaknesses or significant deficiencies over such internal controls, the Company will implement appropriate remediation efforts.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6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Due to the Company’s small size and lack of resources and staffing, the Chief Financial Officer is actively involved in the preparation of the financial statements and therefore, cannot provide an independent review and quality assurance function within the accounting and financial reporting group. The limited number of accounting personnel results in an inability to have independent review and approval by the Chief Financial Officer of financial accounting entries. There is a risk that a material misstatement of the financial statements could be caused, or at least not be detected in a timely manner, due to this insufficient segregation of duties. During fiscal year 2009, the Company plans to remediate this material weakness by engaging third-party accounting advisors and by creating processes whereby personnel in its Accounting Department (other than the Chief Financial Officer) will create analysis and original accounting entries, which will subsequently be reviewed and approved by the Chief Financial Officer.</w:t>
      </w:r>
    </w:p>
    <w:p>
      <w:pPr>
        <w:spacing w:after="0" w:line="23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were no changes in the Company’s internal control over financial reporting (as such term is defined in Rules 13a-15(f) and 15d-15(f) under the Exchange Act) during the quarter ending July 31, 2008 to which this report relates that have materially affected, or are reasonably likely to materially affect, the Company’s internal control over financial reporting.</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ITEMS 1, 1A, 2, 3, 4 and 5 are omitted because they are not applicable.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ITEM 6 - 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jc w:val="right"/>
              <w:ind w:right="190"/>
              <w:spacing w:after="0"/>
              <w:rPr>
                <w:sz w:val="20"/>
                <w:szCs w:val="20"/>
                <w:color w:val="auto"/>
              </w:rPr>
            </w:pPr>
            <w:r>
              <w:rPr>
                <w:rFonts w:ascii="Arial" w:cs="Arial" w:eastAsia="Arial" w:hAnsi="Arial"/>
                <w:sz w:val="18"/>
                <w:szCs w:val="18"/>
                <w:color w:val="auto"/>
              </w:rPr>
              <w:t>31.1</w:t>
            </w:r>
          </w:p>
        </w:tc>
        <w:tc>
          <w:tcPr>
            <w:tcW w:w="6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60" w:type="dxa"/>
            <w:vAlign w:val="bottom"/>
          </w:tcPr>
          <w:p>
            <w:pPr>
              <w:ind w:left="280"/>
              <w:spacing w:after="0"/>
              <w:rPr>
                <w:sz w:val="20"/>
                <w:szCs w:val="20"/>
                <w:color w:val="auto"/>
              </w:rPr>
            </w:pPr>
            <w:r>
              <w:rPr>
                <w:rFonts w:ascii="Arial" w:cs="Arial" w:eastAsia="Arial" w:hAnsi="Arial"/>
                <w:sz w:val="18"/>
                <w:szCs w:val="18"/>
                <w:color w:val="auto"/>
                <w:w w:val="99"/>
              </w:rPr>
              <w:t>Certification by the Chief Executive Officer Pursuant to Section 302 of the Sarbanes-Oxley Act of 2002.</w:t>
            </w:r>
          </w:p>
        </w:tc>
      </w:tr>
      <w:tr>
        <w:trPr>
          <w:trHeight w:val="216"/>
        </w:trPr>
        <w:tc>
          <w:tcPr>
            <w:tcW w:w="2320" w:type="dxa"/>
            <w:vAlign w:val="bottom"/>
          </w:tcPr>
          <w:p>
            <w:pPr>
              <w:jc w:val="right"/>
              <w:ind w:right="190"/>
              <w:spacing w:after="0"/>
              <w:rPr>
                <w:sz w:val="20"/>
                <w:szCs w:val="20"/>
                <w:color w:val="auto"/>
              </w:rPr>
            </w:pPr>
            <w:r>
              <w:rPr>
                <w:rFonts w:ascii="Arial" w:cs="Arial" w:eastAsia="Arial" w:hAnsi="Arial"/>
                <w:sz w:val="18"/>
                <w:szCs w:val="18"/>
                <w:color w:val="auto"/>
              </w:rPr>
              <w:t>31.2</w:t>
            </w:r>
          </w:p>
        </w:tc>
        <w:tc>
          <w:tcPr>
            <w:tcW w:w="6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60" w:type="dxa"/>
            <w:vAlign w:val="bottom"/>
          </w:tcPr>
          <w:p>
            <w:pPr>
              <w:ind w:left="280"/>
              <w:spacing w:after="0"/>
              <w:rPr>
                <w:sz w:val="20"/>
                <w:szCs w:val="20"/>
                <w:color w:val="auto"/>
              </w:rPr>
            </w:pPr>
            <w:r>
              <w:rPr>
                <w:rFonts w:ascii="Arial" w:cs="Arial" w:eastAsia="Arial" w:hAnsi="Arial"/>
                <w:sz w:val="18"/>
                <w:szCs w:val="18"/>
                <w:color w:val="auto"/>
              </w:rPr>
              <w:t>Certification by the Chief Financial Officer Pursuant to Section 302 of the Sarbanes-Oxley Act of 2002</w:t>
            </w:r>
          </w:p>
        </w:tc>
      </w:tr>
      <w:tr>
        <w:trPr>
          <w:trHeight w:val="216"/>
        </w:trPr>
        <w:tc>
          <w:tcPr>
            <w:tcW w:w="2320" w:type="dxa"/>
            <w:vAlign w:val="bottom"/>
          </w:tcPr>
          <w:p>
            <w:pPr>
              <w:jc w:val="right"/>
              <w:ind w:right="190"/>
              <w:spacing w:after="0"/>
              <w:rPr>
                <w:sz w:val="20"/>
                <w:szCs w:val="20"/>
                <w:color w:val="auto"/>
              </w:rPr>
            </w:pPr>
            <w:r>
              <w:rPr>
                <w:rFonts w:ascii="Arial" w:cs="Arial" w:eastAsia="Arial" w:hAnsi="Arial"/>
                <w:sz w:val="18"/>
                <w:szCs w:val="18"/>
                <w:color w:val="auto"/>
              </w:rPr>
              <w:t>32.1</w:t>
            </w:r>
          </w:p>
        </w:tc>
        <w:tc>
          <w:tcPr>
            <w:tcW w:w="6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60" w:type="dxa"/>
            <w:vAlign w:val="bottom"/>
          </w:tcPr>
          <w:p>
            <w:pPr>
              <w:ind w:left="280"/>
              <w:spacing w:after="0"/>
              <w:rPr>
                <w:sz w:val="20"/>
                <w:szCs w:val="20"/>
                <w:color w:val="auto"/>
              </w:rPr>
            </w:pPr>
            <w:r>
              <w:rPr>
                <w:rFonts w:ascii="Arial" w:cs="Arial" w:eastAsia="Arial" w:hAnsi="Arial"/>
                <w:sz w:val="18"/>
                <w:szCs w:val="18"/>
                <w:color w:val="auto"/>
                <w:w w:val="94"/>
              </w:rPr>
              <w:t>Certification by the Chief Executive Officer Pursuant to 18 U.S.C. Section 1350 Adopted Pursuant to Section</w:t>
            </w:r>
          </w:p>
        </w:tc>
      </w:tr>
      <w:tr>
        <w:trPr>
          <w:trHeight w:val="216"/>
        </w:trPr>
        <w:tc>
          <w:tcPr>
            <w:tcW w:w="2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60" w:type="dxa"/>
            <w:vAlign w:val="bottom"/>
          </w:tcPr>
          <w:p>
            <w:pPr>
              <w:ind w:left="280"/>
              <w:spacing w:after="0"/>
              <w:rPr>
                <w:sz w:val="20"/>
                <w:szCs w:val="20"/>
                <w:color w:val="auto"/>
              </w:rPr>
            </w:pPr>
            <w:r>
              <w:rPr>
                <w:rFonts w:ascii="Arial" w:cs="Arial" w:eastAsia="Arial" w:hAnsi="Arial"/>
                <w:sz w:val="18"/>
                <w:szCs w:val="18"/>
                <w:color w:val="auto"/>
              </w:rPr>
              <w:t>906 of the Sarbanes-Oxley Act of 2002.</w:t>
            </w:r>
          </w:p>
        </w:tc>
      </w:tr>
      <w:tr>
        <w:trPr>
          <w:trHeight w:val="216"/>
        </w:trPr>
        <w:tc>
          <w:tcPr>
            <w:tcW w:w="2320" w:type="dxa"/>
            <w:vAlign w:val="bottom"/>
          </w:tcPr>
          <w:p>
            <w:pPr>
              <w:jc w:val="right"/>
              <w:ind w:right="190"/>
              <w:spacing w:after="0"/>
              <w:rPr>
                <w:sz w:val="20"/>
                <w:szCs w:val="20"/>
                <w:color w:val="auto"/>
              </w:rPr>
            </w:pPr>
            <w:r>
              <w:rPr>
                <w:rFonts w:ascii="Arial" w:cs="Arial" w:eastAsia="Arial" w:hAnsi="Arial"/>
                <w:sz w:val="18"/>
                <w:szCs w:val="18"/>
                <w:color w:val="auto"/>
              </w:rPr>
              <w:t>32.2</w:t>
            </w:r>
          </w:p>
        </w:tc>
        <w:tc>
          <w:tcPr>
            <w:tcW w:w="6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60" w:type="dxa"/>
            <w:vAlign w:val="bottom"/>
          </w:tcPr>
          <w:p>
            <w:pPr>
              <w:ind w:left="280"/>
              <w:spacing w:after="0"/>
              <w:rPr>
                <w:sz w:val="20"/>
                <w:szCs w:val="20"/>
                <w:color w:val="auto"/>
              </w:rPr>
            </w:pPr>
            <w:r>
              <w:rPr>
                <w:rFonts w:ascii="Arial" w:cs="Arial" w:eastAsia="Arial" w:hAnsi="Arial"/>
                <w:sz w:val="18"/>
                <w:szCs w:val="18"/>
                <w:color w:val="auto"/>
                <w:w w:val="91"/>
              </w:rPr>
              <w:t>Certification by the Chief Financial Officer Pursuant to 18 U.S.C. Section 1350 Adopted Pursuant to Section 906</w:t>
            </w:r>
          </w:p>
        </w:tc>
      </w:tr>
      <w:tr>
        <w:trPr>
          <w:trHeight w:val="230"/>
        </w:trPr>
        <w:tc>
          <w:tcPr>
            <w:tcW w:w="2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60" w:type="dxa"/>
            <w:vAlign w:val="bottom"/>
          </w:tcPr>
          <w:p>
            <w:pPr>
              <w:ind w:left="280"/>
              <w:spacing w:after="0"/>
              <w:rPr>
                <w:sz w:val="20"/>
                <w:szCs w:val="20"/>
                <w:color w:val="auto"/>
              </w:rPr>
            </w:pPr>
            <w:r>
              <w:rPr>
                <w:rFonts w:ascii="Arial" w:cs="Arial" w:eastAsia="Arial" w:hAnsi="Arial"/>
                <w:sz w:val="18"/>
                <w:szCs w:val="18"/>
                <w:color w:val="auto"/>
              </w:rPr>
              <w:t>of the Sarbanes-Oxley Act of 2002.</w:t>
            </w:r>
          </w:p>
        </w:tc>
      </w:tr>
      <w:tr>
        <w:trPr>
          <w:trHeight w:val="486"/>
        </w:trPr>
        <w:tc>
          <w:tcPr>
            <w:tcW w:w="2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60" w:type="dxa"/>
            <w:vAlign w:val="bottom"/>
          </w:tcPr>
          <w:p>
            <w:pPr>
              <w:ind w:left="2460"/>
              <w:spacing w:after="0"/>
              <w:rPr>
                <w:sz w:val="20"/>
                <w:szCs w:val="20"/>
                <w:color w:val="auto"/>
              </w:rPr>
            </w:pPr>
            <w:r>
              <w:rPr>
                <w:rFonts w:ascii="Arial" w:cs="Arial" w:eastAsia="Arial" w:hAnsi="Arial"/>
                <w:sz w:val="18"/>
                <w:szCs w:val="18"/>
                <w:color w:val="auto"/>
              </w:rPr>
              <w:t>16 of 17</w:t>
            </w:r>
          </w:p>
        </w:tc>
      </w:tr>
      <w:tr>
        <w:trPr>
          <w:trHeight w:val="118"/>
        </w:trPr>
        <w:tc>
          <w:tcPr>
            <w:tcW w:w="23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84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FREQUENCY ELECTRONICS, INC.</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940" w:type="dxa"/>
            <w:vAlign w:val="bottom"/>
          </w:tcPr>
          <w:p>
            <w:pPr>
              <w:ind w:left="1220"/>
              <w:spacing w:after="0"/>
              <w:rPr>
                <w:sz w:val="20"/>
                <w:szCs w:val="20"/>
                <w:color w:val="auto"/>
              </w:rPr>
            </w:pPr>
            <w:r>
              <w:rPr>
                <w:rFonts w:ascii="Arial" w:cs="Arial" w:eastAsia="Arial" w:hAnsi="Arial"/>
                <w:sz w:val="18"/>
                <w:szCs w:val="18"/>
                <w:color w:val="auto"/>
              </w:rPr>
              <w:t>(Registrant)</w:t>
            </w:r>
          </w:p>
        </w:tc>
      </w:tr>
      <w:tr>
        <w:trPr>
          <w:trHeight w:val="729"/>
        </w:trPr>
        <w:tc>
          <w:tcPr>
            <w:tcW w:w="3660" w:type="dxa"/>
            <w:vAlign w:val="bottom"/>
          </w:tcPr>
          <w:p>
            <w:pPr>
              <w:spacing w:after="0"/>
              <w:rPr>
                <w:sz w:val="20"/>
                <w:szCs w:val="20"/>
                <w:color w:val="auto"/>
              </w:rPr>
            </w:pPr>
            <w:r>
              <w:rPr>
                <w:rFonts w:ascii="Arial" w:cs="Arial" w:eastAsia="Arial" w:hAnsi="Arial"/>
                <w:sz w:val="18"/>
                <w:szCs w:val="18"/>
                <w:color w:val="auto"/>
              </w:rPr>
              <w:t>Date: September 15, 2008</w:t>
            </w:r>
          </w:p>
        </w:tc>
        <w:tc>
          <w:tcPr>
            <w:tcW w:w="3820" w:type="dxa"/>
            <w:vAlign w:val="bottom"/>
          </w:tcPr>
          <w:p>
            <w:pPr>
              <w:ind w:left="316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Alan Miller</w:t>
            </w:r>
          </w:p>
        </w:tc>
      </w:tr>
      <w:tr>
        <w:trPr>
          <w:trHeight w:val="222"/>
        </w:trPr>
        <w:tc>
          <w:tcPr>
            <w:tcW w:w="36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Alan Miller</w:t>
            </w:r>
          </w:p>
        </w:tc>
      </w:tr>
      <w:tr>
        <w:trPr>
          <w:trHeight w:val="230"/>
        </w:trPr>
        <w:tc>
          <w:tcPr>
            <w:tcW w:w="36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43"/>
        </w:trPr>
        <w:tc>
          <w:tcPr>
            <w:tcW w:w="366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and Treasurer</w:t>
            </w:r>
          </w:p>
        </w:tc>
      </w:tr>
      <w:tr>
        <w:trPr>
          <w:trHeight w:val="513"/>
        </w:trPr>
        <w:tc>
          <w:tcPr>
            <w:tcW w:w="3660" w:type="dxa"/>
            <w:vAlign w:val="bottom"/>
          </w:tcPr>
          <w:p>
            <w:pPr>
              <w:spacing w:after="0"/>
              <w:rPr>
                <w:sz w:val="24"/>
                <w:szCs w:val="24"/>
                <w:color w:val="auto"/>
              </w:rPr>
            </w:pPr>
          </w:p>
        </w:tc>
        <w:tc>
          <w:tcPr>
            <w:tcW w:w="3820" w:type="dxa"/>
            <w:vAlign w:val="bottom"/>
          </w:tcPr>
          <w:p>
            <w:pPr>
              <w:ind w:left="1760"/>
              <w:spacing w:after="0"/>
              <w:rPr>
                <w:sz w:val="20"/>
                <w:szCs w:val="20"/>
                <w:color w:val="auto"/>
              </w:rPr>
            </w:pPr>
            <w:r>
              <w:rPr>
                <w:rFonts w:ascii="Arial" w:cs="Arial" w:eastAsia="Arial" w:hAnsi="Arial"/>
                <w:sz w:val="18"/>
                <w:szCs w:val="18"/>
                <w:color w:val="auto"/>
              </w:rPr>
              <w:t>17 of 17</w:t>
            </w:r>
          </w:p>
        </w:tc>
        <w:tc>
          <w:tcPr>
            <w:tcW w:w="3940" w:type="dxa"/>
            <w:vAlign w:val="bottom"/>
          </w:tcPr>
          <w:p>
            <w:pPr>
              <w:spacing w:after="0"/>
              <w:rPr>
                <w:sz w:val="24"/>
                <w:szCs w:val="24"/>
                <w:color w:val="auto"/>
              </w:rPr>
            </w:pPr>
          </w:p>
        </w:tc>
      </w:tr>
      <w:tr>
        <w:trPr>
          <w:trHeight w:val="118"/>
        </w:trPr>
        <w:tc>
          <w:tcPr>
            <w:tcW w:w="3660" w:type="dxa"/>
            <w:vAlign w:val="bottom"/>
            <w:tcBorders>
              <w:bottom w:val="single" w:sz="8" w:color="808080"/>
            </w:tcBorders>
          </w:tcPr>
          <w:p>
            <w:pPr>
              <w:spacing w:after="0"/>
              <w:rPr>
                <w:sz w:val="10"/>
                <w:szCs w:val="10"/>
                <w:color w:val="auto"/>
              </w:rPr>
            </w:pPr>
          </w:p>
        </w:tc>
        <w:tc>
          <w:tcPr>
            <w:tcW w:w="3820" w:type="dxa"/>
            <w:vAlign w:val="bottom"/>
            <w:tcBorders>
              <w:bottom w:val="single" w:sz="8" w:color="808080"/>
            </w:tcBorders>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t>Exhibit 31.1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Martin B. Bloch, certify that:</w:t>
      </w:r>
    </w:p>
    <w:p>
      <w:pPr>
        <w:spacing w:after="0" w:line="279"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79" w:lineRule="exact"/>
        <w:rPr>
          <w:rFonts w:ascii="Arial" w:cs="Arial" w:eastAsia="Arial" w:hAnsi="Arial"/>
          <w:sz w:val="18"/>
          <w:szCs w:val="18"/>
          <w:color w:val="auto"/>
        </w:rPr>
      </w:pPr>
    </w:p>
    <w:p>
      <w:pPr>
        <w:ind w:firstLine="8"/>
        <w:spacing w:after="0" w:line="342" w:lineRule="auto"/>
        <w:tabs>
          <w:tab w:leader="none" w:pos="207"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20"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jc w:val="both"/>
        <w:ind w:left="660" w:hanging="4"/>
        <w:spacing w:after="0" w:line="264" w:lineRule="auto"/>
        <w:tabs>
          <w:tab w:leader="none" w:pos="918"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jc w:val="both"/>
        <w:ind w:left="660" w:hanging="4"/>
        <w:spacing w:after="0" w:line="264" w:lineRule="auto"/>
        <w:tabs>
          <w:tab w:leader="none" w:pos="942"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left="660" w:hanging="4"/>
        <w:spacing w:after="0" w:line="308" w:lineRule="auto"/>
        <w:tabs>
          <w:tab w:leader="none" w:pos="945"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200"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firstLine="8"/>
        <w:spacing w:after="0" w:line="308" w:lineRule="auto"/>
        <w:tabs>
          <w:tab w:leader="none" w:pos="19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hanging="4"/>
        <w:spacing w:after="0" w:line="277" w:lineRule="auto"/>
        <w:tabs>
          <w:tab w:leader="none" w:pos="90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gridSpan w:val="2"/>
          </w:tcPr>
          <w:p>
            <w:pPr>
              <w:ind w:left="660"/>
              <w:spacing w:after="0"/>
              <w:rPr>
                <w:sz w:val="20"/>
                <w:szCs w:val="20"/>
                <w:color w:val="auto"/>
              </w:rPr>
            </w:pPr>
            <w:r>
              <w:rPr>
                <w:rFonts w:ascii="Arial" w:cs="Arial" w:eastAsia="Arial" w:hAnsi="Arial"/>
                <w:sz w:val="18"/>
                <w:szCs w:val="18"/>
                <w:color w:val="auto"/>
                <w:w w:val="92"/>
              </w:rPr>
              <w:t>(b) Any fraud, whether or not material, that involves management or other employees who have a</w:t>
            </w:r>
          </w:p>
        </w:tc>
        <w:tc>
          <w:tcPr>
            <w:tcW w:w="3600" w:type="dxa"/>
            <w:vAlign w:val="bottom"/>
          </w:tcPr>
          <w:p>
            <w:pPr>
              <w:ind w:left="560"/>
              <w:spacing w:after="0"/>
              <w:rPr>
                <w:sz w:val="20"/>
                <w:szCs w:val="20"/>
                <w:color w:val="auto"/>
              </w:rPr>
            </w:pPr>
            <w:r>
              <w:rPr>
                <w:rFonts w:ascii="Arial" w:cs="Arial" w:eastAsia="Arial" w:hAnsi="Arial"/>
                <w:sz w:val="18"/>
                <w:szCs w:val="18"/>
                <w:color w:val="auto"/>
                <w:w w:val="94"/>
              </w:rPr>
              <w:t>significant role in the registrant’s internal</w:t>
            </w: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control over financial reporting.</w:t>
            </w:r>
          </w:p>
        </w:tc>
        <w:tc>
          <w:tcPr>
            <w:tcW w:w="3600" w:type="dxa"/>
            <w:vAlign w:val="bottom"/>
          </w:tcPr>
          <w:p>
            <w:pPr>
              <w:spacing w:after="0"/>
              <w:rPr>
                <w:sz w:val="20"/>
                <w:szCs w:val="20"/>
                <w:color w:val="auto"/>
              </w:rPr>
            </w:pPr>
          </w:p>
        </w:tc>
      </w:tr>
      <w:tr>
        <w:trPr>
          <w:trHeight w:val="493"/>
        </w:trPr>
        <w:tc>
          <w:tcPr>
            <w:tcW w:w="7820" w:type="dxa"/>
            <w:vAlign w:val="bottom"/>
            <w:gridSpan w:val="2"/>
          </w:tcPr>
          <w:p>
            <w:pPr>
              <w:spacing w:after="0"/>
              <w:rPr>
                <w:sz w:val="20"/>
                <w:szCs w:val="20"/>
                <w:color w:val="auto"/>
              </w:rPr>
            </w:pPr>
            <w:r>
              <w:rPr>
                <w:rFonts w:ascii="Arial" w:cs="Arial" w:eastAsia="Arial" w:hAnsi="Arial"/>
                <w:sz w:val="18"/>
                <w:szCs w:val="18"/>
                <w:color w:val="auto"/>
              </w:rPr>
              <w:t>/s/ Martin Bloch</w:t>
            </w:r>
          </w:p>
        </w:tc>
        <w:tc>
          <w:tcPr>
            <w:tcW w:w="3600" w:type="dxa"/>
            <w:vAlign w:val="bottom"/>
          </w:tcPr>
          <w:p>
            <w:pPr>
              <w:ind w:left="20"/>
              <w:spacing w:after="0"/>
              <w:rPr>
                <w:sz w:val="20"/>
                <w:szCs w:val="20"/>
                <w:color w:val="auto"/>
              </w:rPr>
            </w:pPr>
            <w:r>
              <w:rPr>
                <w:rFonts w:ascii="Arial" w:cs="Arial" w:eastAsia="Arial" w:hAnsi="Arial"/>
                <w:sz w:val="18"/>
                <w:szCs w:val="18"/>
                <w:color w:val="auto"/>
              </w:rPr>
              <w:t>September 15, 2008</w:t>
            </w:r>
          </w:p>
        </w:tc>
      </w:tr>
      <w:tr>
        <w:trPr>
          <w:trHeight w:val="229"/>
        </w:trPr>
        <w:tc>
          <w:tcPr>
            <w:tcW w:w="51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Martin B. Bloch</w:t>
            </w:r>
          </w:p>
        </w:tc>
        <w:tc>
          <w:tcPr>
            <w:tcW w:w="266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230"/>
        </w:trPr>
        <w:tc>
          <w:tcPr>
            <w:tcW w:w="7820" w:type="dxa"/>
            <w:vAlign w:val="bottom"/>
            <w:gridSpan w:val="2"/>
          </w:tcPr>
          <w:p>
            <w:pPr>
              <w:ind w:left="180"/>
              <w:spacing w:after="0"/>
              <w:rPr>
                <w:sz w:val="20"/>
                <w:szCs w:val="20"/>
                <w:color w:val="auto"/>
              </w:rPr>
            </w:pPr>
            <w:r>
              <w:rPr>
                <w:rFonts w:ascii="Arial" w:cs="Arial" w:eastAsia="Arial" w:hAnsi="Arial"/>
                <w:sz w:val="18"/>
                <w:szCs w:val="18"/>
                <w:color w:val="auto"/>
              </w:rPr>
              <w:t>Chief Executive Officer</w:t>
            </w:r>
          </w:p>
        </w:tc>
        <w:tc>
          <w:tcPr>
            <w:tcW w:w="3600" w:type="dxa"/>
            <w:vAlign w:val="bottom"/>
          </w:tcPr>
          <w:p>
            <w:pPr>
              <w:spacing w:after="0"/>
              <w:rPr>
                <w:sz w:val="20"/>
                <w:szCs w:val="20"/>
                <w:color w:val="auto"/>
              </w:rPr>
            </w:pPr>
          </w:p>
        </w:tc>
      </w:tr>
      <w:tr>
        <w:trPr>
          <w:trHeight w:val="388"/>
        </w:trPr>
        <w:tc>
          <w:tcPr>
            <w:tcW w:w="516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Exhibit 31.2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Alan L. Miller, certify that</w:t>
      </w:r>
    </w:p>
    <w:p>
      <w:pPr>
        <w:spacing w:after="0" w:line="279"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79" w:lineRule="exact"/>
        <w:rPr>
          <w:rFonts w:ascii="Arial" w:cs="Arial" w:eastAsia="Arial" w:hAnsi="Arial"/>
          <w:sz w:val="18"/>
          <w:szCs w:val="18"/>
          <w:color w:val="auto"/>
        </w:rPr>
      </w:pPr>
    </w:p>
    <w:p>
      <w:pPr>
        <w:ind w:firstLine="8"/>
        <w:spacing w:after="0" w:line="342" w:lineRule="auto"/>
        <w:tabs>
          <w:tab w:leader="none" w:pos="207"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20" w:firstLine="8"/>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jc w:val="both"/>
        <w:ind w:left="660" w:hanging="4"/>
        <w:spacing w:after="0" w:line="264" w:lineRule="auto"/>
        <w:tabs>
          <w:tab w:leader="none" w:pos="918"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jc w:val="both"/>
        <w:ind w:left="660" w:hanging="4"/>
        <w:spacing w:after="0" w:line="264" w:lineRule="auto"/>
        <w:tabs>
          <w:tab w:leader="none" w:pos="942"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left="660" w:hanging="4"/>
        <w:spacing w:after="0" w:line="308" w:lineRule="auto"/>
        <w:tabs>
          <w:tab w:leader="none" w:pos="945"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200"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firstLine="8"/>
        <w:spacing w:after="0" w:line="308" w:lineRule="auto"/>
        <w:tabs>
          <w:tab w:leader="none" w:pos="194"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hanging="4"/>
        <w:spacing w:after="0" w:line="277" w:lineRule="auto"/>
        <w:tabs>
          <w:tab w:leader="none" w:pos="905"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gridSpan w:val="2"/>
          </w:tcPr>
          <w:p>
            <w:pPr>
              <w:ind w:left="660"/>
              <w:spacing w:after="0"/>
              <w:rPr>
                <w:sz w:val="20"/>
                <w:szCs w:val="20"/>
                <w:color w:val="auto"/>
              </w:rPr>
            </w:pPr>
            <w:r>
              <w:rPr>
                <w:rFonts w:ascii="Arial" w:cs="Arial" w:eastAsia="Arial" w:hAnsi="Arial"/>
                <w:sz w:val="18"/>
                <w:szCs w:val="18"/>
                <w:color w:val="auto"/>
                <w:w w:val="92"/>
              </w:rPr>
              <w:t>(b) Any fraud, whether or not material, that involves management or other employees who have a</w:t>
            </w:r>
          </w:p>
        </w:tc>
        <w:tc>
          <w:tcPr>
            <w:tcW w:w="3600" w:type="dxa"/>
            <w:vAlign w:val="bottom"/>
          </w:tcPr>
          <w:p>
            <w:pPr>
              <w:ind w:left="560"/>
              <w:spacing w:after="0"/>
              <w:rPr>
                <w:sz w:val="20"/>
                <w:szCs w:val="20"/>
                <w:color w:val="auto"/>
              </w:rPr>
            </w:pPr>
            <w:r>
              <w:rPr>
                <w:rFonts w:ascii="Arial" w:cs="Arial" w:eastAsia="Arial" w:hAnsi="Arial"/>
                <w:sz w:val="18"/>
                <w:szCs w:val="18"/>
                <w:color w:val="auto"/>
                <w:w w:val="94"/>
              </w:rPr>
              <w:t>significant role in the registrant’s internal</w:t>
            </w: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control over financial reporting.</w:t>
            </w:r>
          </w:p>
        </w:tc>
        <w:tc>
          <w:tcPr>
            <w:tcW w:w="3600" w:type="dxa"/>
            <w:vAlign w:val="bottom"/>
          </w:tcPr>
          <w:p>
            <w:pPr>
              <w:spacing w:after="0"/>
              <w:rPr>
                <w:sz w:val="20"/>
                <w:szCs w:val="20"/>
                <w:color w:val="auto"/>
              </w:rPr>
            </w:pPr>
          </w:p>
        </w:tc>
      </w:tr>
      <w:tr>
        <w:trPr>
          <w:trHeight w:val="493"/>
        </w:trPr>
        <w:tc>
          <w:tcPr>
            <w:tcW w:w="7820" w:type="dxa"/>
            <w:vAlign w:val="bottom"/>
            <w:gridSpan w:val="2"/>
          </w:tcPr>
          <w:p>
            <w:pPr>
              <w:spacing w:after="0"/>
              <w:rPr>
                <w:sz w:val="20"/>
                <w:szCs w:val="20"/>
                <w:color w:val="auto"/>
              </w:rPr>
            </w:pPr>
            <w:r>
              <w:rPr>
                <w:rFonts w:ascii="Arial" w:cs="Arial" w:eastAsia="Arial" w:hAnsi="Arial"/>
                <w:sz w:val="18"/>
                <w:szCs w:val="18"/>
                <w:color w:val="auto"/>
              </w:rPr>
              <w:t>/s/ Alan Miller</w:t>
            </w:r>
          </w:p>
        </w:tc>
        <w:tc>
          <w:tcPr>
            <w:tcW w:w="3600" w:type="dxa"/>
            <w:vAlign w:val="bottom"/>
          </w:tcPr>
          <w:p>
            <w:pPr>
              <w:ind w:left="20"/>
              <w:spacing w:after="0"/>
              <w:rPr>
                <w:sz w:val="20"/>
                <w:szCs w:val="20"/>
                <w:color w:val="auto"/>
              </w:rPr>
            </w:pPr>
            <w:r>
              <w:rPr>
                <w:rFonts w:ascii="Arial" w:cs="Arial" w:eastAsia="Arial" w:hAnsi="Arial"/>
                <w:sz w:val="18"/>
                <w:szCs w:val="18"/>
                <w:color w:val="auto"/>
              </w:rPr>
              <w:t>September 15, 2008</w:t>
            </w:r>
          </w:p>
        </w:tc>
      </w:tr>
      <w:tr>
        <w:trPr>
          <w:trHeight w:val="229"/>
        </w:trPr>
        <w:tc>
          <w:tcPr>
            <w:tcW w:w="51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Alan L. Miller</w:t>
            </w:r>
          </w:p>
        </w:tc>
        <w:tc>
          <w:tcPr>
            <w:tcW w:w="266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230"/>
        </w:trPr>
        <w:tc>
          <w:tcPr>
            <w:tcW w:w="782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w:t>
            </w:r>
          </w:p>
        </w:tc>
        <w:tc>
          <w:tcPr>
            <w:tcW w:w="3600" w:type="dxa"/>
            <w:vAlign w:val="bottom"/>
          </w:tcPr>
          <w:p>
            <w:pPr>
              <w:spacing w:after="0"/>
              <w:rPr>
                <w:sz w:val="20"/>
                <w:szCs w:val="20"/>
                <w:color w:val="auto"/>
              </w:rPr>
            </w:pPr>
          </w:p>
        </w:tc>
      </w:tr>
      <w:tr>
        <w:trPr>
          <w:trHeight w:val="388"/>
        </w:trPr>
        <w:tc>
          <w:tcPr>
            <w:tcW w:w="516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Exhibit 32.1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July 31, 2008 as filed with the Securities and Exchange Commission on the date hereof (the “Report”), I, Martin B. Bloch, Chief Executive Officer of the Company, certify, pursuant to 18 U.S.C. Section 1350, as adopted pursuant to Section 906 of the Sarbanes-Oxley Act of 2002, that to my knowledge:</w:t>
      </w:r>
    </w:p>
    <w:p>
      <w:pPr>
        <w:spacing w:after="0" w:line="220"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spacing w:after="0"/>
        <w:tabs>
          <w:tab w:leader="none" w:pos="7820" w:val="left"/>
        </w:tabs>
        <w:rPr>
          <w:sz w:val="20"/>
          <w:szCs w:val="20"/>
          <w:color w:val="auto"/>
        </w:rPr>
      </w:pPr>
      <w:r>
        <w:rPr>
          <w:rFonts w:ascii="Arial" w:cs="Arial" w:eastAsia="Arial" w:hAnsi="Arial"/>
          <w:sz w:val="18"/>
          <w:szCs w:val="18"/>
          <w:color w:val="auto"/>
        </w:rPr>
        <w:t>/s/ Martin Bloch</w:t>
      </w:r>
      <w:r>
        <w:rPr>
          <w:sz w:val="20"/>
          <w:szCs w:val="20"/>
          <w:color w:val="auto"/>
        </w:rPr>
        <w:tab/>
      </w:r>
      <w:r>
        <w:rPr>
          <w:rFonts w:ascii="Arial" w:cs="Arial" w:eastAsia="Arial" w:hAnsi="Arial"/>
          <w:sz w:val="16"/>
          <w:szCs w:val="16"/>
          <w:color w:val="auto"/>
        </w:rPr>
        <w:t>September 15, 2008</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Martin B. Bloch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2670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Chief Executive Officer</w:t>
      </w:r>
    </w:p>
    <w:p>
      <w:pPr>
        <w:spacing w:after="0" w:line="306"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220"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201930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Exhibit 32.2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Frequency Electronics, Inc. (the “Company”) on Form 10-Q for the period ended July 31, 2008 as filed with the Securities and Exchange Commission on the date hereof (the “Report”), I, Alan L. Miller, Chief Financial Officer of the Company, certify, pursuant to 18 U.S.C. Section 1350, as adopted pursuant to Section 906 of the Sarbanes-Oxley Act of 2002, that to my knowledge:</w:t>
      </w:r>
    </w:p>
    <w:p>
      <w:pPr>
        <w:spacing w:after="0" w:line="235" w:lineRule="exact"/>
        <w:rPr>
          <w:sz w:val="20"/>
          <w:szCs w:val="20"/>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33"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spacing w:after="0"/>
        <w:tabs>
          <w:tab w:leader="none" w:pos="7820" w:val="left"/>
        </w:tabs>
        <w:rPr>
          <w:sz w:val="20"/>
          <w:szCs w:val="20"/>
          <w:color w:val="auto"/>
        </w:rPr>
      </w:pPr>
      <w:r>
        <w:rPr>
          <w:rFonts w:ascii="Arial" w:cs="Arial" w:eastAsia="Arial" w:hAnsi="Arial"/>
          <w:sz w:val="18"/>
          <w:szCs w:val="18"/>
          <w:color w:val="auto"/>
        </w:rPr>
        <w:t>/s/ Alan Miller</w:t>
      </w:r>
      <w:r>
        <w:rPr>
          <w:sz w:val="20"/>
          <w:szCs w:val="20"/>
          <w:color w:val="auto"/>
        </w:rPr>
        <w:tab/>
      </w:r>
      <w:r>
        <w:rPr>
          <w:rFonts w:ascii="Arial" w:cs="Arial" w:eastAsia="Arial" w:hAnsi="Arial"/>
          <w:sz w:val="16"/>
          <w:szCs w:val="16"/>
          <w:color w:val="auto"/>
        </w:rPr>
        <w:t>September 15, 2008</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Alan 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2670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Chief Financial Officer</w:t>
      </w:r>
    </w:p>
    <w:p>
      <w:pPr>
        <w:spacing w:after="0" w:line="306"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220"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201930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81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2019-12-11T12:09:11Z</dcterms:created>
  <dcterms:modified xsi:type="dcterms:W3CDTF">2019-12-11T12:09:11Z</dcterms:modified>
</cp:coreProperties>
</file>