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88"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2024</w:t>
      </w:r>
    </w:p>
    <w:p>
      <w:pPr>
        <w:spacing w:after="0" w:line="221"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6"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12" w:lineRule="exact"/>
        <w:rPr>
          <w:sz w:val="24"/>
          <w:szCs w:val="24"/>
          <w:color w:val="auto"/>
        </w:rPr>
      </w:pPr>
    </w:p>
    <w:p>
      <w:pPr>
        <w:ind w:left="3260"/>
        <w:spacing w:after="0"/>
        <w:tabs>
          <w:tab w:leader="none" w:pos="65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3460115</wp:posOffset>
            </wp:positionH>
            <wp:positionV relativeFrom="paragraph">
              <wp:posOffset>-7620</wp:posOffset>
            </wp:positionV>
            <wp:extent cx="14312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64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11-1986657</w:t>
            </w: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0" w:type="dxa"/>
            <w:vAlign w:val="bottom"/>
          </w:tcPr>
          <w:p>
            <w:pPr>
              <w:spacing w:after="0"/>
              <w:rPr>
                <w:sz w:val="20"/>
                <w:szCs w:val="20"/>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1"/>
        </w:trPr>
        <w:tc>
          <w:tcPr>
            <w:tcW w:w="380" w:type="dxa"/>
            <w:vAlign w:val="bottom"/>
          </w:tcPr>
          <w:p>
            <w:pPr>
              <w:spacing w:after="0"/>
              <w:rPr>
                <w:sz w:val="24"/>
                <w:szCs w:val="24"/>
                <w:color w:val="auto"/>
              </w:rPr>
            </w:pPr>
          </w:p>
        </w:tc>
        <w:tc>
          <w:tcPr>
            <w:tcW w:w="5640" w:type="dxa"/>
            <w:vAlign w:val="bottom"/>
            <w:gridSpan w:val="4"/>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8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720" w:type="dxa"/>
            <w:vAlign w:val="bottom"/>
            <w:gridSpan w:val="3"/>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6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6"/>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0"/>
        </w:trPr>
        <w:tc>
          <w:tcPr>
            <w:tcW w:w="440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220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FEIM</w:t>
            </w:r>
          </w:p>
        </w:tc>
        <w:tc>
          <w:tcPr>
            <w:tcW w:w="43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371" w:right="47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5" w:lineRule="exact"/>
        <w:rPr>
          <w:sz w:val="24"/>
          <w:szCs w:val="24"/>
          <w:color w:val="auto"/>
        </w:rPr>
      </w:pPr>
    </w:p>
    <w:p>
      <w:pPr>
        <w:sectPr>
          <w:pgSz w:w="11900" w:h="16838" w:orient="portrait"/>
          <w:cols w:equalWidth="0" w:num="2">
            <w:col w:w="5380" w:space="720"/>
            <w:col w:w="4860"/>
          </w:cols>
          <w:pgMar w:left="460" w:top="371" w:right="47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December 11, 2024 – 9,611,441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351790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371"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8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8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9"/>
        </w:trPr>
        <w:tc>
          <w:tcPr>
            <w:tcW w:w="10160" w:type="dxa"/>
            <w:vAlign w:val="bottom"/>
            <w:gridSpan w:val="19"/>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21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500" w:type="dxa"/>
            <w:vAlign w:val="bottom"/>
            <w:gridSpan w:val="10"/>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 October 31, 2024 (unaudited) and April 30, 2024</w:t>
            </w:r>
          </w:p>
        </w:tc>
        <w:tc>
          <w:tcPr>
            <w:tcW w:w="2700" w:type="dxa"/>
            <w:vAlign w:val="bottom"/>
            <w:gridSpan w:val="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 Three and Six Months Ended October 31, 2024</w:t>
            </w:r>
          </w:p>
        </w:tc>
        <w:tc>
          <w:tcPr>
            <w:tcW w:w="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2023 (unaudited)</w:t>
            </w:r>
          </w:p>
        </w:tc>
        <w:tc>
          <w:tcPr>
            <w:tcW w:w="78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Six months ended October 31, 2024 and 2023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 Three and Six Months Ended October 31, 2024 and</w:t>
            </w:r>
          </w:p>
        </w:tc>
        <w:tc>
          <w:tcPr>
            <w:tcW w:w="220" w:type="dxa"/>
            <w:vAlign w:val="bottom"/>
            <w:gridSpan w:val="2"/>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29"/>
        </w:trPr>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34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340" w:type="dxa"/>
            <w:vAlign w:val="bottom"/>
            <w:gridSpan w:val="17"/>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13-18</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50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26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2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7280" w:type="dxa"/>
            <w:vAlign w:val="bottom"/>
            <w:gridSpan w:val="9"/>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453"/>
        </w:trPr>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 w:type="dxa"/>
            <w:vAlign w:val="bottom"/>
          </w:tcPr>
          <w:p>
            <w:pPr>
              <w:spacing w:after="0"/>
              <w:rPr>
                <w:sz w:val="24"/>
                <w:szCs w:val="24"/>
                <w:color w:val="auto"/>
              </w:rPr>
            </w:pPr>
          </w:p>
        </w:tc>
        <w:tc>
          <w:tcPr>
            <w:tcW w:w="1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Item 1A - Risk Factors</w:t>
            </w:r>
          </w:p>
        </w:tc>
        <w:tc>
          <w:tcPr>
            <w:tcW w:w="802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49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470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5 - Other Information</w:t>
            </w:r>
          </w:p>
        </w:tc>
        <w:tc>
          <w:tcPr>
            <w:tcW w:w="774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96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Item 6 - Exhibits</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4"/>
                <w:szCs w:val="24"/>
                <w:color w:val="auto"/>
              </w:rPr>
            </w:pPr>
          </w:p>
        </w:tc>
        <w:tc>
          <w:tcPr>
            <w:tcW w:w="12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46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vMerge w:val="restart"/>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receivable, net of allowances of $110 at October 31, 2024 and April 30, 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Prepaid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77,775</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Loss provision accrual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non-current portion</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9,621 shares issued and 9,604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 at October 31, 2024; 9,512 shares issued and 9,511 shares outstanding at April 30, 2024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(20,027)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shd w:val="clear" w:color="auto" w:fill="CCEEFF"/>
          </w:tcPr>
          <w:p>
            <w:pPr>
              <w:ind w:left="30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at cost (13 shares at October 31, 2024 and 1 share at April 30, 2024)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77,775</w:t>
            </w:r>
          </w:p>
        </w:tc>
        <w:tc>
          <w:tcPr>
            <w:tcW w:w="1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540" w:type="dxa"/>
            <w:vAlign w:val="bottom"/>
            <w:gridSpan w:val="7"/>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tc>
        <w:tc>
          <w:tcPr>
            <w:tcW w:w="9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86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88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income (expense)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 income per share</w:t>
            </w:r>
          </w:p>
        </w:tc>
        <w:tc>
          <w:tcPr>
            <w:tcW w:w="12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16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0" w:type="dxa"/>
            <w:vAlign w:val="bottom"/>
          </w:tcPr>
          <w:p>
            <w:pPr>
              <w:spacing w:after="0"/>
              <w:rPr>
                <w:sz w:val="1"/>
                <w:szCs w:val="1"/>
                <w:color w:val="auto"/>
              </w:rPr>
            </w:pPr>
          </w:p>
        </w:tc>
      </w:tr>
      <w:tr>
        <w:trPr>
          <w:trHeight w:val="209"/>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34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charges to earnings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property, plant, and equipment, and other assets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dividend</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14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gridSpan w:val="2"/>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14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14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34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and Six months ended October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Treasury stock</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9,511,560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50,334</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39,816</w:t>
            </w:r>
          </w:p>
        </w:tc>
        <w:tc>
          <w:tcPr>
            <w:tcW w:w="1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Shares withheld on</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employee taxes on</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vested equity 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stock appreciation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rights - net of shares</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tendered for exercise price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(9,567)</w:t>
            </w:r>
          </w:p>
        </w:tc>
      </w:tr>
      <w:tr>
        <w:trPr>
          <w:trHeight w:val="203"/>
        </w:trPr>
        <w:tc>
          <w:tcPr>
            <w:tcW w:w="20" w:type="dxa"/>
            <w:vAlign w:val="bottom"/>
          </w:tcPr>
          <w:p>
            <w:pPr>
              <w:spacing w:after="0"/>
              <w:rPr>
                <w:sz w:val="17"/>
                <w:szCs w:val="17"/>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July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9,567,651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41,296</w:t>
            </w:r>
          </w:p>
        </w:tc>
        <w:tc>
          <w:tcPr>
            <w:tcW w:w="12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(17,597)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w:t>
            </w: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33,202</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on</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 taxes on</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equity awards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(9,567)</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2,654</w:t>
            </w:r>
          </w:p>
        </w:tc>
        <w:tc>
          <w:tcPr>
            <w:tcW w:w="10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9,617,355</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41,683</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(14,943)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36,192</w:t>
            </w:r>
          </w:p>
        </w:tc>
        <w:tc>
          <w:tcPr>
            <w:tcW w:w="100" w:type="dxa"/>
            <w:vAlign w:val="bottom"/>
            <w:shd w:val="clear" w:color="auto" w:fill="CCEEFF"/>
          </w:tcPr>
          <w:p>
            <w:pPr>
              <w:spacing w:after="0"/>
              <w:rPr>
                <w:sz w:val="20"/>
                <w:szCs w:val="20"/>
                <w:color w:val="auto"/>
              </w:rPr>
            </w:pPr>
          </w:p>
        </w:tc>
      </w:tr>
      <w:tr>
        <w:trPr>
          <w:trHeight w:val="383"/>
        </w:trPr>
        <w:tc>
          <w:tcPr>
            <w:tcW w:w="20" w:type="dxa"/>
            <w:vAlign w:val="bottom"/>
          </w:tcPr>
          <w:p>
            <w:pPr>
              <w:spacing w:after="0"/>
              <w:rPr>
                <w:sz w:val="24"/>
                <w:szCs w:val="24"/>
                <w:color w:val="auto"/>
              </w:rPr>
            </w:pPr>
          </w:p>
        </w:tc>
        <w:tc>
          <w:tcPr>
            <w:tcW w:w="22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Treasury stock</w:t>
            </w: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9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6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9,373,776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(25,621)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1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July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9,390,789</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49,360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(23,579)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35,169</w:t>
            </w:r>
          </w:p>
        </w:tc>
        <w:tc>
          <w:tcPr>
            <w:tcW w:w="10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9,404,424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(22,782)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 – CONDENSED CONSOLIDATED FINANCIAL STATEMENTS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October 31, 2024 and the results of its operations, changes in stockholders’ equity for the three and six months ended October 31, 2024 and 2023, and cash flows for the six months ended October 31, 2024 and 2023. The April 30, 2024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2024, filed on August 2, 2024 with the Securities and Exchange Commission (the “Form 10-K”). The results of operations for such interim periods are not necessarily indicative of the operating results for the full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B – EARNINGS PER SHARE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Reconciliation of the weighted average shares outstanding for basic and diluted income per share (“EPS”) for the three and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 and 2023, respectively, were as follows:</w:t>
      </w:r>
    </w:p>
    <w:p>
      <w:pPr>
        <w:sectPr>
          <w:pgSz w:w="11900" w:h="16838" w:orient="portrait"/>
          <w:cols w:equalWidth="0" w:num="1">
            <w:col w:w="10980"/>
          </w:cols>
          <w:pgMar w:left="460" w:top="121"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0" w:type="dxa"/>
            <w:vAlign w:val="bottom"/>
            <w:tcBorders>
              <w:top w:val="single" w:sz="8" w:color="auto"/>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Borders>
              <w:top w:val="single" w:sz="8" w:color="auto"/>
              <w:bottom w:val="single" w:sz="8" w:color="auto"/>
            </w:tcBorders>
          </w:tcPr>
          <w:p>
            <w:pPr>
              <w:spacing w:after="0"/>
              <w:rPr>
                <w:sz w:val="18"/>
                <w:szCs w:val="18"/>
                <w:color w:val="auto"/>
              </w:rPr>
            </w:pPr>
          </w:p>
        </w:tc>
      </w:tr>
      <w:tr>
        <w:trPr>
          <w:trHeight w:val="210"/>
        </w:trPr>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407"/>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9,585,357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9,399,052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9,561,848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9,391,714</w:t>
            </w:r>
          </w:p>
        </w:tc>
      </w:tr>
      <w:tr>
        <w:trPr>
          <w:trHeight w:val="234"/>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9,585,357</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9,399,052</w:t>
            </w:r>
          </w:p>
        </w:tc>
        <w:tc>
          <w:tcPr>
            <w:tcW w:w="2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9,561,848</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9,391,714</w:t>
            </w: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-445135</wp:posOffset>
            </wp:positionV>
            <wp:extent cx="696087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3716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-162560</wp:posOffset>
            </wp:positionV>
            <wp:extent cx="696087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120" w:space="720"/>
            <w:col w:w="5140"/>
          </w:cols>
          <w:pgMar w:left="460" w:top="121" w:right="459" w:bottom="1440" w:gutter="0" w:footer="0" w:header="0"/>
          <w:type w:val="continuous"/>
        </w:sectPr>
      </w:pPr>
    </w:p>
    <w:p>
      <w:pPr>
        <w:jc w:val="both"/>
        <w:ind w:right="20" w:firstLine="646"/>
        <w:spacing w:after="0" w:line="266" w:lineRule="auto"/>
        <w:tabs>
          <w:tab w:leader="none" w:pos="8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October 31, 2024 and 2023, dilutive securities are excluded from the calculation of EPS since the inclusion of such shares would be antidilutive. The exercisable shares excluded for the three and six months ended October 31, 2024 were 76,000 shares. The exercisable shares excluded for the three and six months ended October 31, 2023 were 97,000 shares.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was paid on August 29, 2024, to stockholders of record as of the close of business on August 8, 2024. The total amount of the special dividend payment was approximately $9.6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 – CONTRACT ASSETS AND LIABILITIES</w:t>
      </w:r>
    </w:p>
    <w:p>
      <w:pPr>
        <w:spacing w:after="0" w:line="22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and six months ended October 31, 2024, we recognized $8.3 million and $16.0 million, respectively, of our contract liabilities at April 30, 2024 as revenue. During the three and six months ended October 31, 2023, we recognized $4.4 million and $8.1 million, respectively, of our contract liabilities at April 30, 2023 as revenue. If contract losses are anticipated, a loss provision is recorded for the full amount of such losses when they are determinable. Contract losses for three and six months ended October 31, 2024 were approximately $0.2 million in both periods, offset by a loss reduction of approximately $0.3 million, mostly related to additional funding. Total contract losses for three and six months ended October 31, 2023 were approximately $1.4 million and $1.5 million, respectively. The liability for contract losses is presented as loss provision accrual within the consolidated balance sheets.</w:t>
      </w:r>
    </w:p>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D – EMPLOYEE BENEFIT PLANS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October 31, 2024, the Company made contributions of 17,577 shares and 44,034 shares, respectively, of its common stock to the Company’s profit-sharing plan and trust under Section 401(k) of the Internal Revenue Code. During the three and six months ended October 31, 2023, the Company made contributions of 12,885 shares and 29,898 shares, respectively, of its common stock to the Company’s profit-sharing plan and trust under Section 401(k) of the Internal Revenue Code. Such contributions are in accordance with the Company’s discretionary match of employee voluntary contributions to this plan.</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compensation expense charged to selling and administrative expenses during the three and six months ended October 31, 2024, was approximately $140,000 and $283,000, respectively. Payments made related to deferred compensation, inclusive of approximately $26,000 and $53,000, respectively, of interest expense, were approximately $179,000 and $358,000 for the same periods. Deferred compensation expense charged to selling and administrative expenses during the three and six months ended October 31, 2023, was approximately $109,000 and $217,000, respectively. Payments made related to deferred compensation, inclusive of approximately $29,000 and $60,000, respectively, of interest expense were approximately $175,000 and $361,000 for the same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E – INVENTORIES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Inventories, which are reported at the lower of cost and net realizable value, consisted of the following (in thousands):</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8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F – RIGHT-OF-USE ASSETS AND LEASE LIABILITIES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facilities and Research and Development (“R&amp;D”) facilities which expire at various times through 2029 and are operating leases. Contractual arrangements are evaluated at inception to determine if the agreement contains a lease.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12 months or less to be recorded on a straight-line basis over the lease term without being recognized on the consolidated balance sheets.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right-of-use (“ROU”) assets and liabilities recorded on the respective consolidated balance sheets as follows (in thousands):</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(short-term)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$0.5 million and $0.9 million for the three and six months ended October 31, 2024, respectively, the majority of which is included in cost of revenues and the remaining amount in selling and administrative expenses on the unaudited condensed consolidated statements of operations. Total operating lease expense was $0.5 million and $0.9 million for the three and six months ended October 31, 2023, respectively, the majority of which is included in cost of revenues and the remaining amount in selling and administrative expenses on the unaudited condensed consolidated statements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maturities of lease liabilities at October 31, 2024 are as follows:</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100" w:type="dxa"/>
            <w:vAlign w:val="bottom"/>
          </w:tcPr>
          <w:p>
            <w:pPr>
              <w:spacing w:after="0"/>
              <w:rPr>
                <w:sz w:val="24"/>
                <w:szCs w:val="24"/>
                <w:color w:val="auto"/>
              </w:rPr>
            </w:pPr>
          </w:p>
        </w:tc>
        <w:tc>
          <w:tcPr>
            <w:tcW w:w="3860" w:type="dxa"/>
            <w:vAlign w:val="bottom"/>
          </w:tcPr>
          <w:p>
            <w:pPr>
              <w:ind w:left="1620"/>
              <w:spacing w:after="0"/>
              <w:rPr>
                <w:sz w:val="20"/>
                <w:szCs w:val="20"/>
                <w:color w:val="auto"/>
              </w:rPr>
            </w:pPr>
            <w:r>
              <w:rPr>
                <w:rFonts w:ascii="Times New Roman" w:cs="Times New Roman" w:eastAsia="Times New Roman" w:hAnsi="Times New Roman"/>
                <w:sz w:val="18"/>
                <w:szCs w:val="18"/>
                <w:b w:val="1"/>
                <w:bCs w:val="1"/>
                <w:color w:val="auto"/>
              </w:rPr>
              <w:t>Fiscal Year Ending April 30,</w:t>
            </w: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p>
        </w:tc>
        <w:tc>
          <w:tcPr>
            <w:tcW w:w="386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w:t>
            </w: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6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49"/>
        </w:trPr>
        <w:tc>
          <w:tcPr>
            <w:tcW w:w="2100" w:type="dxa"/>
            <w:vAlign w:val="bottom"/>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2024 and 2023, the weighted-average remaining lease term for all operating leases was 4.70 years and 5.27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October 31, 2024 and 2023, was 6.38% and 6.28%,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G – SEGMENT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1100" w:hanging="679"/>
        <w:spacing w:after="0" w:line="257"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 w:lineRule="exact"/>
        <w:rPr>
          <w:rFonts w:ascii="Times New Roman" w:cs="Times New Roman" w:eastAsia="Times New Roman" w:hAnsi="Times New Roman"/>
          <w:sz w:val="18"/>
          <w:szCs w:val="18"/>
          <w:color w:val="auto"/>
        </w:rPr>
      </w:pPr>
    </w:p>
    <w:p>
      <w:pPr>
        <w:ind w:left="1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 owned subsidiary, FEI-Elcom. FEI-Elcom, in addition to its own product line, provides design and technical support for the FEI-NY segment’s communication satellite business.</w:t>
      </w:r>
    </w:p>
    <w:p>
      <w:pPr>
        <w:spacing w:after="0" w:line="181" w:lineRule="exact"/>
        <w:rPr>
          <w:rFonts w:ascii="Times New Roman" w:cs="Times New Roman" w:eastAsia="Times New Roman" w:hAnsi="Times New Roman"/>
          <w:sz w:val="18"/>
          <w:szCs w:val="18"/>
          <w:color w:val="auto"/>
        </w:rPr>
      </w:pPr>
    </w:p>
    <w:p>
      <w:pPr>
        <w:jc w:val="both"/>
        <w:ind w:left="1100" w:hanging="679"/>
        <w:spacing w:after="0" w:line="261" w:lineRule="auto"/>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Summary of Accounting Policies” to the consolidated financial statements included in the Form 10-K. The Company evaluates the performance of its segments and allocates resources to them based on operating profit (loss). Investment income (expense), interest expense, and other expense, net, as reported in the Condensed Consolidated Statement of Operations and Comprehensive Income, are not allocated to or disclosed for each reportable segment and reconcile segment operating income (loss) to income before provision of income taxes. All acquired assets, including intangible assets, are included in the assets of the applicable reporting segment.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tables below present information about reported segments with reconciliation of segment amounts to consolidated amounts as reported in the condensed consolidated statements of operations or the consolidated balance sheets for each of the periods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110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220" w:type="dxa"/>
            <w:vAlign w:val="bottom"/>
          </w:tcPr>
          <w:p>
            <w:pPr>
              <w:spacing w:after="0"/>
              <w:rPr>
                <w:sz w:val="18"/>
                <w:szCs w:val="18"/>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profit</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Identifiable assets: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20" w:type="dxa"/>
            <w:vAlign w:val="bottom"/>
          </w:tcPr>
          <w:p>
            <w:pPr>
              <w:spacing w:after="0"/>
              <w:rPr>
                <w:sz w:val="24"/>
                <w:szCs w:val="24"/>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0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38,607</w:t>
            </w:r>
          </w:p>
        </w:tc>
        <w:tc>
          <w:tcPr>
            <w:tcW w:w="12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77,775</w:t>
            </w:r>
          </w:p>
        </w:tc>
        <w:tc>
          <w:tcPr>
            <w:tcW w:w="120" w:type="dxa"/>
            <w:vAlign w:val="bottom"/>
            <w:shd w:val="clear" w:color="auto" w:fill="CCEEFF"/>
          </w:tcPr>
          <w:p>
            <w:pPr>
              <w:spacing w:after="0"/>
              <w:rPr>
                <w:sz w:val="19"/>
                <w:szCs w:val="19"/>
                <w:color w:val="auto"/>
              </w:rPr>
            </w:pPr>
          </w:p>
        </w:tc>
        <w:tc>
          <w:tcPr>
            <w:tcW w:w="22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83,253</w:t>
            </w:r>
          </w:p>
        </w:tc>
        <w:tc>
          <w:tcPr>
            <w:tcW w:w="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Total revenue recognized over time as Percentage of Completion (“POC”) and Passage of Title (“POT”) was approximately $15.1 million and $0.7 million, respectively, of the $15.8 million reported for the three months ended October 31, 2024. Total revenue recognized over time as POC and POT was approximately $29.6 million and $1.3 million, respectively, of the $30.9 million reported for the six months ended October 31, 2024. Total revenue recognized over time as POC and POT was approximately $12.3 million and $1.3 million, respectively, of the $13.6 million reported for the three months ended October 31, 2023. Total revenue recognized over time as POC and POT was approximately $24.0 million and $2.0 million, respectively, of the $26.0 million reported for the six months ended October 31, 2023. The amounts by segment and product line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1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r>
      <w:tr>
        <w:trPr>
          <w:trHeight w:val="238"/>
        </w:trPr>
        <w:tc>
          <w:tcPr>
            <w:tcW w:w="1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r>
      <w:tr>
        <w:trPr>
          <w:trHeight w:val="210"/>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100" w:type="dxa"/>
            <w:vAlign w:val="bottom"/>
          </w:tcPr>
          <w:p>
            <w:pPr>
              <w:spacing w:after="0"/>
              <w:rPr>
                <w:sz w:val="18"/>
                <w:szCs w:val="18"/>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r>
      <w:tr>
        <w:trPr>
          <w:trHeight w:val="20"/>
        </w:trPr>
        <w:tc>
          <w:tcPr>
            <w:tcW w:w="17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13,575</w:t>
            </w:r>
          </w:p>
        </w:tc>
        <w:tc>
          <w:tcPr>
            <w:tcW w:w="10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7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October 31,</w:t>
            </w: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POC</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4"/>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POT</w:t>
            </w:r>
          </w:p>
        </w:tc>
        <w:tc>
          <w:tcPr>
            <w:tcW w:w="80" w:type="dxa"/>
            <w:vAlign w:val="bottom"/>
          </w:tcPr>
          <w:p>
            <w:pPr>
              <w:spacing w:after="0"/>
              <w:rPr>
                <w:sz w:val="16"/>
                <w:szCs w:val="16"/>
                <w:color w:val="auto"/>
              </w:rPr>
            </w:pPr>
          </w:p>
        </w:tc>
        <w:tc>
          <w:tcPr>
            <w:tcW w:w="126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2"/>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w w:val="94"/>
              </w:rPr>
              <w:t>POC</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POT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Revenue</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22,494</w:t>
            </w:r>
          </w:p>
        </w:tc>
        <w:tc>
          <w:tcPr>
            <w:tcW w:w="4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7,449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tcPr>
          <w:p>
            <w:pPr>
              <w:spacing w:after="0"/>
              <w:rPr>
                <w:sz w:val="18"/>
                <w:szCs w:val="18"/>
                <w:color w:val="auto"/>
              </w:rPr>
            </w:pPr>
          </w:p>
        </w:tc>
        <w:tc>
          <w:tcPr>
            <w:tcW w:w="6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30,898</w:t>
            </w:r>
          </w:p>
        </w:tc>
        <w:tc>
          <w:tcPr>
            <w:tcW w:w="4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24,018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w w:val="99"/>
              </w:rPr>
              <w:t>Periods ended October 31,</w:t>
            </w: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 by product line: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700" w:type="dxa"/>
            <w:vAlign w:val="bottom"/>
            <w:tcBorders>
              <w:right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5,839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15,820</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13,575</w:t>
            </w:r>
          </w:p>
        </w:tc>
        <w:tc>
          <w:tcPr>
            <w:tcW w:w="2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30,898</w:t>
            </w:r>
          </w:p>
        </w:tc>
        <w:tc>
          <w:tcPr>
            <w:tcW w:w="220" w:type="dxa"/>
            <w:vAlign w:val="bottom"/>
          </w:tcPr>
          <w:p>
            <w:pPr>
              <w:spacing w:after="0"/>
              <w:rPr>
                <w:sz w:val="18"/>
                <w:szCs w:val="18"/>
                <w:color w:val="auto"/>
              </w:rPr>
            </w:pP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H – INVESTMENT IN MORION, INC.</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a privately-held Russian company, which manufactures high precision quartz resonators and crystal oscillators. The Company has also previously licensed certain technology to Morion.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 Ukraine conflict and resulting sanctions the future status of FEI’s investment in Morion became uncertain and accordingly, such investment was entirely written of in fiscal year 2022. Accordingly, the carrying value of this investment was $0 as of October 31, 2024 and April 30, 2024.</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October 31, 2024 and 2023, the Company did not acquire any product from Morion. During the three and six months ended October 31, 2024 and 2023, the Company did not receive dividends from Morion.</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Prior purchases of materials from Morion consisted mainly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I – RESTRICTED CASH</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of October 31, 2024 restricted cash consisted of approximately $1.3 million related to a letter of credit required for contractual restrictions during the period of performance for one of the Company’s contracts. As of April 30, 2024 restricted cash consisted of approximately $945,000 related to a letter of credit required for contractual restrictions during the period of performance for one of the Company’s contracts. Restricted cash is classified as current or non-current based on the remaining performance period of the contract.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0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2"/>
        </w:trPr>
        <w:tc>
          <w:tcPr>
            <w:tcW w:w="1100" w:type="dxa"/>
            <w:vAlign w:val="bottom"/>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98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J – RECENT ACCOUNTING PRONOUNCEMENTS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(“ASU 2023-07”), which expands on the required disclosure of incremental segment information. The new guidance is effective for fiscal years beginning after December 15, 2023, and interim periods within fiscal years beginning after December 15, 2024, with early adoption permitted. The Company is evaluating the effect on its consolidated financial statements when adopted in fiscal year 2025 but does not expect the effect to be material.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No. 2023-09 will have to the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K – DEFERRED 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As of October 31, 2024, and April 30, 2024, the Company maintained a full valuation allowance against its deferred tax assets. If these estimates and assumptions change in the future, the Company may be required to adjust its existing valuation allowance resulting in changes to deferred income tax expense. It is reasonably possible the existing valuation allowance will be reduced within the next 12 months.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 Discussion and Analysis of Financial Condition and 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Statement under the Private Securities Litigation Reform Act of 1995</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Quarterly Report on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our inability to integrate operations and personnel, actions by significant customers or competitors, general domestic and international economic conditions, reliance on key customers, including the U.S government, continued acceptance of the Company’s products in the marketplace, competitive factors, new products and technological changes, product prices and raw material costs, dependence upon third-party vendors, other supply chain related issues, increasing costs for materials, operating related expenses, competitive developments, changes in manufacturing and transportation costs, the availability of capital, the outcome of any litigation and arbitration proceedings,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2024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and six months ended October 31, 2024.</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Revenues are reported in operating results predominantly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(“GM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estimates for future business. Any changes arising from revised estimates are reflected in cost of revenues in the period the revision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sets forth for the three and six months ended October 31, 2024 and 2023, respectively, the percentage of consolidated revenues represented by certain items in the Company’s condensed consolidated statements of operations or notes to the condensed consolidated financial statements: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tcBorders>
              <w:bottom w:val="single" w:sz="8" w:color="auto"/>
            </w:tcBorders>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2"/>
          </w:tcPr>
          <w:p>
            <w:pPr>
              <w:ind w:left="2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3"/>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90"/>
              </w:rPr>
              <w:t>68.3%</w:t>
            </w:r>
          </w:p>
        </w:tc>
        <w:tc>
          <w:tcPr>
            <w:tcW w:w="2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60" w:type="dxa"/>
            <w:vAlign w:val="bottom"/>
            <w:gridSpan w:val="3"/>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(3.3)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68.1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Selling and administrative expenses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right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left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gridSpan w:val="6"/>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Periods ended October 31,</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gridSpan w:val="4"/>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80" w:type="dxa"/>
            <w:vAlign w:val="bottom"/>
          </w:tcPr>
          <w:p>
            <w:pPr>
              <w:spacing w:after="0"/>
              <w:rPr>
                <w:sz w:val="17"/>
                <w:szCs w:val="17"/>
                <w:color w:val="auto"/>
              </w:rPr>
            </w:pPr>
          </w:p>
        </w:tc>
        <w:tc>
          <w:tcPr>
            <w:tcW w:w="640" w:type="dxa"/>
            <w:vAlign w:val="bottom"/>
            <w:gridSpan w:val="2"/>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86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4"/>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FEI-NY</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9,271</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w:t>
            </w:r>
          </w:p>
        </w:tc>
        <w:tc>
          <w:tcPr>
            <w:tcW w:w="2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24.2%</w:t>
            </w:r>
          </w:p>
        </w:tc>
        <w:tc>
          <w:tcPr>
            <w:tcW w:w="1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22,494</w:t>
            </w:r>
          </w:p>
        </w:tc>
        <w:tc>
          <w:tcPr>
            <w:tcW w:w="22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18,762</w:t>
            </w:r>
          </w:p>
        </w:tc>
        <w:tc>
          <w:tcPr>
            <w:tcW w:w="340" w:type="dxa"/>
            <w:vAlign w:val="bottom"/>
            <w:tcBorders>
              <w:left w:val="single" w:sz="8" w:color="CCEEFF"/>
            </w:tcBorders>
            <w:gridSpan w:val="2"/>
            <w:shd w:val="clear" w:color="auto" w:fill="CCEEFF"/>
          </w:tcPr>
          <w:p>
            <w:pPr>
              <w:jc w:val="center"/>
              <w:ind w:left="9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FEI-Zyfer</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1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8,831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Intersegment revenues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(452)</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80" w:type="dxa"/>
            <w:vAlign w:val="bottom"/>
            <w:tcBorders>
              <w:right w:val="single" w:sz="8" w:color="CCEEFF"/>
            </w:tcBorders>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(43.1)</w:t>
            </w: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(427)</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13,575</w:t>
            </w:r>
          </w:p>
        </w:tc>
        <w:tc>
          <w:tcPr>
            <w:tcW w:w="140" w:type="dxa"/>
            <w:vAlign w:val="bottom"/>
          </w:tcPr>
          <w:p>
            <w:pPr>
              <w:spacing w:after="0"/>
              <w:rPr>
                <w:sz w:val="17"/>
                <w:szCs w:val="17"/>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2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w:t>
            </w:r>
          </w:p>
        </w:tc>
        <w:tc>
          <w:tcPr>
            <w:tcW w:w="180" w:type="dxa"/>
            <w:vAlign w:val="bottom"/>
          </w:tcPr>
          <w:p>
            <w:pPr>
              <w:jc w:val="right"/>
              <w:ind w:right="1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30,898</w:t>
            </w:r>
          </w:p>
        </w:tc>
        <w:tc>
          <w:tcPr>
            <w:tcW w:w="220" w:type="dxa"/>
            <w:vAlign w:val="bottom"/>
          </w:tcPr>
          <w:p>
            <w:pPr>
              <w:spacing w:after="0"/>
              <w:rPr>
                <w:sz w:val="17"/>
                <w:szCs w:val="17"/>
                <w:color w:val="auto"/>
              </w:rPr>
            </w:pPr>
          </w:p>
        </w:tc>
        <w:tc>
          <w:tcPr>
            <w:tcW w:w="300" w:type="dxa"/>
            <w:vAlign w:val="bottom"/>
          </w:tcPr>
          <w:p>
            <w:pPr>
              <w:jc w:val="right"/>
              <w:ind w:right="132"/>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25,984</w:t>
            </w:r>
          </w:p>
        </w:tc>
        <w:tc>
          <w:tcPr>
            <w:tcW w:w="340" w:type="dxa"/>
            <w:vAlign w:val="bottom"/>
            <w:gridSpan w:val="2"/>
          </w:tcPr>
          <w:p>
            <w:pPr>
              <w:jc w:val="center"/>
              <w:ind w:left="96"/>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October 31, 2024, revenues from commercial and U.S. Government communication satellite programs accounted for approximately 59% of consolidated revenues compared to approximately 34% of consolidated revenues during this same period in the prior fiscal year. Revenues are recognized primarily over time under the percentage-of-completion (“POC”) method. Revenues from the satellite market are recorded in the FEI-NY segment. Revenues from non-space U.S. Government/Department of Defense (“DOD”) customers, which are recorded in both the FEI-NY and FEI-Zyfer segments, accounted for approximately 37% of consolidated revenues for the three months ended October, 31, 2024 compared to approximately 60% of consolidated revenue during the same period in the prior fiscal year. Other commercial and industrial revenues for the three months ended October 31, 2024 accounted for approximately 4% of consolidated revenue compared to 5% in the same period of the prior fiscal year. The significant increase in revenue for this quarter, compared to the same quarter in the previous fiscal year, was reflected in the FEI-NY segment and was related an increase of approximately $3.8 million in sales to U.S. Government space customers.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October 31, 2024, revenues from commercial and U.S. Government communication satellite programs accounted for approximately 57% of consolidated revenues compared to approximately 37% of consolidated revenues during this same period in the prior fiscal year. Revenues from non-space U.S. Government/DOD customers accounted for approximately 39% of consolidated revenues for the six months ended October, 31, 2024 compared to approximately 58% of consolidated revenue during the same period in the prior fiscal year. Other commercial and industrial revenues for the six months ended October 31, 2024 accounted for approximately 4% of consolidated revenue compared to 5% in the same period of the prior fiscal year. The significant increase in revenue for this six month period, compared to the same period in the previous fiscal year, was reflected in the satellite segment and primarily related to an increase in contract awards from prior periods that moved into production during the six months ended October 31, 2024.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Margin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3"/>
        </w:trPr>
        <w:tc>
          <w:tcPr>
            <w:tcW w:w="2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5"/>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2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2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7,619</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3,289</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14,318</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9,198</w:t>
            </w:r>
          </w:p>
        </w:tc>
        <w:tc>
          <w:tcPr>
            <w:tcW w:w="1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5,120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r>
      <w:tr>
        <w:trPr>
          <w:trHeight w:val="210"/>
        </w:trPr>
        <w:tc>
          <w:tcPr>
            <w:tcW w:w="2440" w:type="dxa"/>
            <w:vAlign w:val="bottom"/>
            <w:gridSpan w:val="2"/>
          </w:tcPr>
          <w:p>
            <w:pPr>
              <w:jc w:val="right"/>
              <w:ind w:right="1280"/>
              <w:spacing w:after="0"/>
              <w:rPr>
                <w:sz w:val="20"/>
                <w:szCs w:val="20"/>
                <w:color w:val="auto"/>
              </w:rPr>
            </w:pPr>
            <w:r>
              <w:rPr>
                <w:rFonts w:ascii="Times New Roman" w:cs="Times New Roman" w:eastAsia="Times New Roman" w:hAnsi="Times New Roman"/>
                <w:sz w:val="16"/>
                <w:szCs w:val="16"/>
                <w:color w:val="auto"/>
                <w:w w:val="99"/>
              </w:rPr>
              <w:t>Gross margin rate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bl>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October 31, 2024, both gross margin (“GM”) and GM rate increased compared to the same period in the prior fiscal year. The increase in GM was mainly due to an increase in revenue and the GM rate increase was mainly attributable to a large space program that completed a major milestone in its production. As a result of the completed milestone, risk was mitigated, allowing the release of costs relating to this program, which caused a higher GM for the quarter. For the six months ended October 31, 2024, both GM and GM Rate increased compared to the same period in the prior fiscal year. This is partially due to the program mentioned above that completed a major milestone during the quarter ended October 31, 2024, as well as a significant number of smaller jobs that were completed at higher margins during the six months ended October 31, 2024. As a result, the residual older low margin programs had a smaller impact on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3"/>
        </w:trPr>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4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836</w:t>
            </w: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32.8%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1,381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28.4%</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October 31, 2024 and 2023, selling, general, and administrative (“SG&amp;A”) expenses were approximately 21% and 19%, respectively, of consolidated revenues. For the six months ended October 31, 2024 and 2023, SG&amp;A expenses were approximately 20% and 19%, respectively, of consolidated revenues. The increase in SG&amp;A expense during the three and six months ended October 31, 2024, was mainly related to an increase in payroll related expenses, costs from the re-alignment of employees from overhead to SG&amp;A, and costs related to Frequency Electronics’ first Quantum Summit in October 2024. The Company believes the costs related to SG&amp;A will remain fairly consistent throughout the remainder of fiscal year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3"/>
        </w:trPr>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4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773</w:t>
            </w: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92.0%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w:t>
            </w: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6"/>
                <w:szCs w:val="16"/>
                <w:color w:val="auto"/>
              </w:rPr>
              <w:t>1,754</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130.2%</w:t>
            </w: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expenditures represent investments intended to keep the Company’s products at the leading edge of time and frequency technology and enhance future competitiveness. The change in R&amp;D expenditures for the three and six months ended October 31, 2024, as compared to the prior year periods, was primarily due to a focus on advances and modernization of products. The Company plans to continue to invest in R&amp;D in the future to keep its products at the state of the art, however we expect the actual quarterly spend to vary.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3"/>
        </w:trPr>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40" w:type="dxa"/>
            <w:vAlign w:val="bottom"/>
            <w:gridSpan w:val="4"/>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99"/>
        </w:trPr>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8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1,680</w:t>
            </w:r>
          </w:p>
        </w:tc>
        <w:tc>
          <w:tcPr>
            <w:tcW w:w="15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179.1%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4,983</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7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6"/>
                <w:szCs w:val="16"/>
                <w:color w:val="auto"/>
              </w:rPr>
              <w:t>1,985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66.2%</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October 31, 2024, operating income increased due to higher revenue and GM percentage, partially offset by higher R&amp;D expenses. The increase is partially due to a large space program that completed a major milestone in its production during the three months ended October 31, 2024, as discussed above, however, the increase is also the result of the successful efforts of the Company to complete complex programs and to work more efficiently in bidding, building and testing our products. The Company believes the improved operating income results for the first half of this fiscal year are a tangible outcome of these efforts. The Company seeks to continue to implement changes to further improve its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183"/>
        </w:trPr>
        <w:tc>
          <w:tcPr>
            <w:tcW w:w="2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6"/>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12"/>
        </w:trPr>
        <w:tc>
          <w:tcPr>
            <w:tcW w:w="22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228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96"/>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(expense) income</w:t>
            </w:r>
          </w:p>
        </w:tc>
        <w:tc>
          <w:tcPr>
            <w:tcW w:w="60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203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w:t>
            </w:r>
          </w:p>
        </w:tc>
        <w:tc>
          <w:tcPr>
            <w:tcW w:w="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(291.5)%</w:t>
            </w:r>
          </w:p>
        </w:tc>
        <w:tc>
          <w:tcPr>
            <w:tcW w:w="60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427</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w:t>
            </w:r>
          </w:p>
        </w:tc>
      </w:tr>
      <w:tr>
        <w:trPr>
          <w:trHeight w:val="2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(6.9)%</w:t>
            </w:r>
          </w:p>
        </w:tc>
        <w:tc>
          <w:tcPr>
            <w:tcW w:w="600" w:type="dxa"/>
            <w:vAlign w:val="bottom"/>
          </w:tcPr>
          <w:p>
            <w:pPr>
              <w:spacing w:after="0"/>
              <w:rPr>
                <w:sz w:val="17"/>
                <w:szCs w:val="17"/>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3"/>
        </w:trPr>
        <w:tc>
          <w:tcPr>
            <w:tcW w:w="2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6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w:t>
            </w:r>
          </w:p>
        </w:tc>
      </w:tr>
      <w:tr>
        <w:trPr>
          <w:trHeight w:val="20"/>
        </w:trPr>
        <w:tc>
          <w:tcPr>
            <w:tcW w:w="22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196"/>
        </w:trPr>
        <w:tc>
          <w:tcPr>
            <w:tcW w:w="2280" w:type="dxa"/>
            <w:vAlign w:val="bottom"/>
          </w:tcPr>
          <w:p>
            <w:pPr>
              <w:spacing w:after="0"/>
              <w:rPr>
                <w:sz w:val="17"/>
                <w:szCs w:val="17"/>
                <w:color w:val="auto"/>
              </w:rPr>
            </w:pPr>
          </w:p>
        </w:tc>
        <w:tc>
          <w:tcPr>
            <w:tcW w:w="600" w:type="dxa"/>
            <w:vAlign w:val="bottom"/>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1"/>
              </w:rPr>
              <w:t>175</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w:t>
            </w:r>
          </w:p>
        </w:tc>
        <w:tc>
          <w:tcPr>
            <w:tcW w:w="5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(229.6)%</w:t>
            </w:r>
          </w:p>
        </w:tc>
        <w:tc>
          <w:tcPr>
            <w:tcW w:w="600" w:type="dxa"/>
            <w:vAlign w:val="bottom"/>
          </w:tcPr>
          <w:p>
            <w:pPr>
              <w:jc w:val="right"/>
              <w:ind w:right="47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373</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0"/>
        </w:trPr>
        <w:tc>
          <w:tcPr>
            <w:tcW w:w="2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is derived from various sources. The income can come from reclaiming of metal, refunds, interest on deferred trust assets, or the sale of a fixed asset. Interest expense is related to the deferred compensation payments made to retired employees. The majority of the approximately $0.2 million and $0.4 million of investment income for the three and six months ended October 31, 2024, respectively, was from unrealized gains on assets held in the Frequency Electronics, Inc. Deferred Compensation Trust.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3"/>
        </w:trPr>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Periods ended October 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5"/>
        </w:trPr>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133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2,216.7%  $</w:t>
            </w: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13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259</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1,992.3%</w:t>
            </w: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8"/>
                <w:szCs w:val="18"/>
                <w:b w:val="1"/>
                <w:bCs w:val="1"/>
                <w:color w:val="auto"/>
              </w:rPr>
              <w:t>Periods ended October 31,</w:t>
            </w: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420" w:type="dxa"/>
            <w:vAlign w:val="bottom"/>
            <w:gridSpan w:val="8"/>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Effective tax rate on pre-tax book income:</w:t>
            </w:r>
          </w:p>
        </w:tc>
        <w:tc>
          <w:tcPr>
            <w:tcW w:w="10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432"/>
        </w:trPr>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1"/>
        </w:trPr>
        <w:tc>
          <w:tcPr>
            <w:tcW w:w="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2"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estimated annual effective tax rate for the fiscal year ending April 30, 2025 is 5.15%. This calculation reflects estimated income tax expense based on our current year annual pretax income forecast which is offset by the estimated change in the current year valuation allowance. The Company maintains a full valuation allowance against its deferred tax assets. It is reasonably possible the existing valuation allowance will be reduced within the next 12 months.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October 31, 2024, the Company recorded an income tax provision of $138,592 which includes a discrete tax income benefit of $9,577. The calculation of the overall income tax provision consists of current U.S. federal and state income taxes. For the three months ended October 31, 2023, the Company recorded an income tax provision of $6,000.</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October 31, 2024, the Company recorded an income tax provision of $271,522 which includes a discrete tax benefit of $4,222. The calculation of the overall income tax provision consists of current U.S. federal and state income taxes. For the six months ended October 31, 2023, the Company recorded an income tax provision of $13,000.</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tax rate for the three months ended October 31, 2024 was an income tax provision of 4.96% on pretax income of $2.8 million compared to an income tax provision of .7% on pretax income of $0.8 million in the comparable prior fiscal year period. The effective tax rate for the three months ended October 31, 2024 differs from the U.S. federal statutory rate of 21% primarily due to the valuation allowance, permanent differences, a change in the uncertain tax position liability and state income taxes.</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effective six months ended October 31, 2024 was an income tax provision of 5.07% on pretax income of $5.4 million compared to an income tax provision of 0.5% on pretax income of $2.9 million in the comparable prior fiscal year period. The effective tax rate for the six months ended October 31, 2024 differs from the U.S. federal statutory rate of 21% primarily due to the valuation allowance, permanent differences, a change in the uncertain tax position liability and state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consolidated balance sheets continue to reflect a strong working capital position of approximately $23.4 million at October 31, 2024 and $27.3 million at April 30, 2024. Included in working capital at October 31, 2024 and April 30, 2024 was $9.7 million and $18.3 million, respectively, of cash and cash equivalents. The Company’s current ratio was 1.8 to 1 at October 31, 2024 compared to 1.9 to 1 as of April 30, 2024.</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October 31, 2024 was approximately $2.4 million and net cash used in operating activities for the six months ended October 31, 2023 was $2.9 million. The increase in net cash provided by operating activities in the first six months of fiscal 2025 as compared to the prior fiscal year period was mainly due to an increase in operating income partially offset by increases in inventories levels. For the six months ended October 31, 2024 and 2023, the Company incurred approximately $2.5 million and $2.2 million, respectively, of non-cash operating expenses including amortization of ROU assets, depreciation and amortization, inventory net realizable value adjustments, deferred compensation, and accruals for employee benefit programs.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October 31, 2024 and 2023 was approximately $0.8 million and $0.4 million, respectively. The Company acquired property, plant, and equipment in the amount of approximately $0.8 million and $0.4 million for the six month periods ended October 31, 2024 and 2023, respectively.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October 31, 2024 was $9.7 million, of which $9.6 million was related to a dividend payout special cash dividend of $1.00 per share of common stock paid on August 29, 2024. There were no financing activities for the six months ended October 31, 2023.</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has been authorized by its Board of Directors to repurchase up to $5.0 million worth of shares of its common stock when appropriate opportunities arise. During the six months ended October 31, 2024, the Company repurchased 4,569 shares and 7,893 shares of outstanding common stock at $13.60 per share and $12.62 per share, respectively. As of October 31, 2024, the Company has repurchased approximately $3.6 million of its common stock out of the $5 million authorization, the majority of which has since been reissued. For the six months ended October 31, 2023, there were no repurchases of shares.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sectPr>
          <w:pgSz w:w="11900" w:h="16838" w:orient="portrait"/>
          <w:cols w:equalWidth="0" w:num="1">
            <w:col w:w="10980"/>
          </w:cols>
          <w:pgMar w:left="460" w:top="122" w:right="45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October 31, 2024, the Company’s consolidated funded backlog was approximately $81 million compared to approximately $78 million at April 30, 2024. Approximately 65% of the backlog, as of October 31, 2024,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that its liquidity is adequate to meet its short-term operating and investment needs through at least December 16, 2025 and its long-term operation and investment needs for the foreseeable future thereafter.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have any off-balance sheet arrangements that have or are reasonably likely to have a current or future effect on the Company’s financial condition, revenues or expenses, results of operations, liquidity, capital expenditures, or capital resources that is material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because of the material weakness in internal control over financial reporting disclosed below, as of October 31, 2024, the Company’s disclosure controls and procedures were not effective at a reasonable assurance level.</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Material Weakness on Internal Control Over Financial Reporting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April 30, 2024.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not effective as of April 30, 2024, because of the material weakness in internal control over financial reporting discussed below.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course of preparing the Company’s consolidated financial statements as of April 30, 2024 and for the year then ended, management identified a material weakness in internal control over the calculation of loss provision accruals in contracts with customers. The Company’s controls over loss provision accruals were not sufficiently designed to capture previously recognized contract losses when calculating the required balance of loss provision accruals as of the end of the reporting period. The errors resulting from this material weakness did not cause material misstatements in previously issued annual or interim financial statements. Such errors were corrected prior to the issuance of the Company’s consolidated financial statements as of April 30, 2024 and for the year then ended. If not remediated timely, the deficiency described above could result in a material misstatement to the future annual or interim consolidated financial statements.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concluded that the item noted above constituted a material weakness in the Company’s internal control over financial reporting as of April 30, 2024.</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 described above, management believes that the audited consolidated financial statements included in the Form 10-K fairly presented, in all material respects, our financial position, results of operations and cash flows as of and for the periods presented, in conformity with GAAP.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Plan to Remediate Material Weakness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currently in the process of remediating the material weakness and has taken actions to address the underlying causes of the material weakness including improving controls over the calculation of loss provision accruals. The Company has updated its method of calculating loss provision accruals by considering previously recognized contract losses. The Company has also started to implement enhanced review, reconciliation, and monitoring controls over loss provision accruals and its underlying calculations. The Company intends to remediate these deficiencies as soon as possible and believes these actions will be sufficient to remediate the identified material weaknesses and strengthen the Company's internal control over financial reporting. As the Company continues to evaluate and improve its internal control over financial reporting, management may determine that additional measures or modifications to the remediation plan are necessary to address the material weakness. Moreover, the Company cannot provide assurance that additional material weaknesses will not arise in the future.</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in the process of implementing certain changes to our internal control over financial reporting to remediate the material weaknesses discussed above. Except as noted above, there have been no changes in the Company’s internal control over financial reporting (as such term is defined in Rules 13a-15(f) and 15d-15(f) under the Exchange Act) during the fiscal quarter ended October 31, 2024 that has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 Repurchases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2005 the Company was authorized by the Board of Directors to repurchase up to $5.0 million worth of shares of its common stock.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share-repurchase activity for the quarter ended October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dollar value of</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the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 that may</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22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yet be purchased</w:t>
            </w: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2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w:t>
            </w:r>
          </w:p>
        </w:tc>
        <w:tc>
          <w:tcPr>
            <w:tcW w:w="22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under the plan or</w:t>
            </w:r>
          </w:p>
        </w:tc>
      </w:tr>
      <w:tr>
        <w:trPr>
          <w:trHeight w:val="238"/>
        </w:trPr>
        <w:tc>
          <w:tcPr>
            <w:tcW w:w="20" w:type="dxa"/>
            <w:vAlign w:val="bottom"/>
          </w:tcPr>
          <w:p>
            <w:pPr>
              <w:spacing w:after="0"/>
              <w:rPr>
                <w:sz w:val="20"/>
                <w:szCs w:val="20"/>
                <w:color w:val="auto"/>
              </w:rPr>
            </w:pPr>
          </w:p>
        </w:tc>
        <w:tc>
          <w:tcPr>
            <w:tcW w:w="438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1 - 31, 2024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1,453,862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September 1 - 30, 2024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2024</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1,354,252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hanging="318"/>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withheld are from stock-based awards to satisfy required tax withholding obligations for the month of October 2024. There were no shares withheld during the months of August 2024 and September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October 31, 2024, no director or officer of the Company adopted or terminated a “Rule 10b5-1 trading arrangement” or “non-Rule 10b5-1 trading arrangement,” as each term is defined in Item 408(a) of Regulation S-K.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Item 6. Exhibits</w:t>
            </w:r>
          </w:p>
        </w:tc>
        <w:tc>
          <w:tcPr>
            <w:tcW w:w="4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412"/>
        </w:trPr>
        <w:tc>
          <w:tcPr>
            <w:tcW w:w="580" w:type="dxa"/>
            <w:vAlign w:val="bottom"/>
          </w:tcPr>
          <w:p>
            <w:pPr>
              <w:spacing w:after="0"/>
              <w:rPr>
                <w:sz w:val="24"/>
                <w:szCs w:val="24"/>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Frequency Electronics, Inc. Stock Award Plan (incorporated by reference to Frequency Electronics, Inc.’s Current Report on</w:t>
              </w:r>
            </w:hyperlink>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4"/>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8-K filed on October 9, 2024 (File No. 001-08061).</w:t>
              </w:r>
            </w:hyperlink>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31.1 -</w:t>
            </w:r>
          </w:p>
        </w:tc>
        <w:tc>
          <w:tcPr>
            <w:tcW w:w="46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by the Chief Executive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31.2 -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by the Chief Financial Officer pursuant to Rule 13a-14(a) or 15d-14(a) under the Securities Exchange Act of 1934,</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302 of the Sarbanes-Oxley Act of 2002.</w:t>
            </w:r>
          </w:p>
        </w:tc>
        <w:tc>
          <w:tcPr>
            <w:tcW w:w="4160" w:type="dxa"/>
            <w:vAlign w:val="bottom"/>
          </w:tcPr>
          <w:p>
            <w:pPr>
              <w:spacing w:after="0"/>
              <w:rPr>
                <w:sz w:val="17"/>
                <w:szCs w:val="17"/>
                <w:color w:val="auto"/>
              </w:rPr>
            </w:pPr>
          </w:p>
        </w:tc>
      </w:tr>
      <w:tr>
        <w:trPr>
          <w:trHeight w:val="41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32 -</w:t>
            </w:r>
          </w:p>
        </w:tc>
        <w:tc>
          <w:tcPr>
            <w:tcW w:w="460" w:type="dxa"/>
            <w:vAlign w:val="bottom"/>
          </w:tcPr>
          <w:p>
            <w:pPr>
              <w:spacing w:after="0"/>
              <w:rPr>
                <w:sz w:val="24"/>
                <w:szCs w:val="24"/>
                <w:color w:val="auto"/>
              </w:rPr>
            </w:pPr>
          </w:p>
        </w:tc>
        <w:tc>
          <w:tcPr>
            <w:tcW w:w="92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Certifications by the Chief Executive Officer and Chief Financial Officer pursuant to 18 U.S.C. Section 1350, as adopted</w:t>
            </w:r>
          </w:p>
        </w:tc>
      </w:tr>
      <w:tr>
        <w:trPr>
          <w:trHeight w:val="196"/>
        </w:trPr>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r>
      <w:tr>
        <w:trPr>
          <w:trHeight w:val="434"/>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materials from the Frequency Electronics, Inc. Quarterly Report on Form 10-Q for the quarter ended October 31,</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2024 formatted in eXtensible Business Reporting Language (XBRL): (i) Cover Page, (ii) Condensed Consolidated Balance</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Sheets,  (iii)  Condensed  Consolidated  Statements  of  Operations  and  Comprehensive  Income  (Loss),  (iv)  Condensed</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Consolidated Statements of Cash Flows, (v) Condensed Consolidated Statements of Changes in Stockholders’ Equity and (vi)</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 The instance document does not appear in the Interactive Data File</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Inline XBRL document.</w:t>
            </w:r>
          </w:p>
        </w:tc>
      </w:tr>
      <w:tr>
        <w:trPr>
          <w:trHeight w:val="432"/>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9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Interaction Data File (formatted as inline XBRL and contained in Exhibit 101).</w:t>
            </w:r>
          </w:p>
        </w:tc>
      </w:tr>
      <w:tr>
        <w:trPr>
          <w:trHeight w:val="432"/>
        </w:trPr>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01"/>
        </w:trPr>
        <w:tc>
          <w:tcPr>
            <w:tcW w:w="5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16, 2024</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-19050</wp:posOffset>
            </wp:positionV>
            <wp:extent cx="22720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22688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2268855" cy="825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121" w:right="47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4160" w:type="dxa"/>
            <w:vAlign w:val="bottom"/>
          </w:tcPr>
          <w:p>
            <w:pPr>
              <w:ind w:left="2740"/>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18"/>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416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16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16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Frequency Electronics, Inc.;</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3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3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8"/>
        <w:spacing w:after="0" w:line="282" w:lineRule="auto"/>
        <w:tabs>
          <w:tab w:leader="none" w:pos="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280" w:type="dxa"/>
            <w:vAlign w:val="bottom"/>
          </w:tcPr>
          <w:p>
            <w:pPr>
              <w:spacing w:after="0"/>
              <w:rPr>
                <w:sz w:val="18"/>
                <w:szCs w:val="18"/>
                <w:color w:val="auto"/>
              </w:rPr>
            </w:pPr>
          </w:p>
        </w:tc>
        <w:tc>
          <w:tcPr>
            <w:tcW w:w="238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1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23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380" w:type="dxa"/>
            <w:vAlign w:val="bottom"/>
          </w:tcPr>
          <w:p>
            <w:pPr>
              <w:spacing w:after="0"/>
              <w:rPr>
                <w:sz w:val="18"/>
                <w:szCs w:val="18"/>
                <w:color w:val="auto"/>
              </w:rPr>
            </w:pP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2024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McClelland</w:t>
            </w:r>
          </w:p>
        </w:tc>
        <w:tc>
          <w:tcPr>
            <w:tcW w:w="4200" w:type="dxa"/>
            <w:vAlign w:val="bottom"/>
          </w:tcPr>
          <w:p>
            <w:pPr>
              <w:ind w:left="2800"/>
              <w:spacing w:after="0"/>
              <w:rPr>
                <w:sz w:val="20"/>
                <w:szCs w:val="20"/>
                <w:color w:val="auto"/>
              </w:rPr>
            </w:pPr>
            <w:r>
              <w:rPr>
                <w:rFonts w:ascii="Times New Roman" w:cs="Times New Roman" w:eastAsia="Times New Roman" w:hAnsi="Times New Roman"/>
                <w:sz w:val="18"/>
                <w:szCs w:val="18"/>
                <w:color w:val="auto"/>
                <w:w w:val="97"/>
              </w:rPr>
              <w:t>December 16, 2024</w:t>
            </w:r>
          </w:p>
        </w:tc>
      </w:tr>
      <w:tr>
        <w:trPr>
          <w:trHeight w:val="218"/>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McClelland</w:t>
            </w:r>
          </w:p>
        </w:tc>
        <w:tc>
          <w:tcPr>
            <w:tcW w:w="4200" w:type="dxa"/>
            <w:vAlign w:val="bottom"/>
          </w:tcPr>
          <w:p>
            <w:pPr>
              <w:spacing w:after="0"/>
              <w:rPr>
                <w:sz w:val="18"/>
                <w:szCs w:val="18"/>
                <w:color w:val="auto"/>
              </w:rPr>
            </w:pPr>
          </w:p>
        </w:tc>
      </w:tr>
      <w:tr>
        <w:trPr>
          <w:trHeight w:val="234"/>
        </w:trPr>
        <w:tc>
          <w:tcPr>
            <w:tcW w:w="3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420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Frequency Electronics, Inc. (the “Company”) on Form 10-Q for the period ended October 31, 2024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Bernstein</w:t>
            </w:r>
          </w:p>
        </w:tc>
        <w:tc>
          <w:tcPr>
            <w:tcW w:w="1500" w:type="dxa"/>
            <w:vAlign w:val="bottom"/>
          </w:tcPr>
          <w:p>
            <w:pPr>
              <w:spacing w:after="0"/>
              <w:rPr>
                <w:sz w:val="18"/>
                <w:szCs w:val="18"/>
                <w:color w:val="auto"/>
              </w:rPr>
            </w:pPr>
          </w:p>
        </w:tc>
        <w:tc>
          <w:tcPr>
            <w:tcW w:w="258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8"/>
              </w:rPr>
              <w:t>December 16, 2024</w:t>
            </w:r>
          </w:p>
        </w:tc>
      </w:tr>
      <w:tr>
        <w:trPr>
          <w:trHeight w:val="218"/>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Steven L. Bernstein</w:t>
            </w:r>
          </w:p>
        </w:tc>
        <w:tc>
          <w:tcPr>
            <w:tcW w:w="2580" w:type="dxa"/>
            <w:vAlign w:val="bottom"/>
          </w:tcPr>
          <w:p>
            <w:pPr>
              <w:spacing w:after="0"/>
              <w:rPr>
                <w:sz w:val="18"/>
                <w:szCs w:val="18"/>
                <w:color w:val="auto"/>
              </w:rPr>
            </w:pPr>
          </w:p>
        </w:tc>
      </w:tr>
      <w:tr>
        <w:trPr>
          <w:trHeight w:val="234"/>
        </w:trPr>
        <w:tc>
          <w:tcPr>
            <w:tcW w:w="4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58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1" Type="http://schemas.openxmlformats.org/officeDocument/2006/relationships/hyperlink" Target="http://www.sec.gov/Archives/edgar/data/39020/000118518524000962/ex_73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2024-12-16T12:29:19Z</dcterms:created>
  <dcterms:modified xsi:type="dcterms:W3CDTF">2024-12-16T12:29:19Z</dcterms:modified>
</cp:coreProperties>
</file>