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294005</wp:posOffset>
            </wp:positionH>
            <wp:positionV relativeFrom="page">
              <wp:posOffset>157480</wp:posOffset>
            </wp:positionV>
            <wp:extent cx="696087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60870" cy="25400"/>
                    </a:xfrm>
                    <a:prstGeom prst="rect">
                      <a:avLst/>
                    </a:prstGeom>
                    <a:noFill/>
                  </pic:spPr>
                </pic:pic>
              </a:graphicData>
            </a:graphic>
          </wp:anchor>
        </w:drawing>
        <w:drawing>
          <wp:anchor simplePos="0" relativeHeight="251657728" behindDoc="1" locked="0" layoutInCell="0" allowOverlap="1">
            <wp:simplePos x="0" y="0"/>
            <wp:positionH relativeFrom="page">
              <wp:posOffset>294005</wp:posOffset>
            </wp:positionH>
            <wp:positionV relativeFrom="page">
              <wp:posOffset>217805</wp:posOffset>
            </wp:positionV>
            <wp:extent cx="69608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6087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3130550</wp:posOffset>
            </wp:positionH>
            <wp:positionV relativeFrom="paragraph">
              <wp:posOffset>141605</wp:posOffset>
            </wp:positionV>
            <wp:extent cx="7029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3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3130550</wp:posOffset>
            </wp:positionH>
            <wp:positionV relativeFrom="paragraph">
              <wp:posOffset>-125095</wp:posOffset>
            </wp:positionV>
            <wp:extent cx="7029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168" w:lineRule="exact"/>
        <w:rPr>
          <w:sz w:val="24"/>
          <w:szCs w:val="24"/>
          <w:color w:val="auto"/>
        </w:rPr>
      </w:pPr>
    </w:p>
    <w:p>
      <w:pPr>
        <w:ind w:left="6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QUARTERLY REPORT PURSUANT TO SECTION 13 or 15(d) OF THE SECURITIES EXCHANGE ACT OF 1934</w:t>
      </w: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Quarterly Period ended January 31, 2024</w:t>
      </w:r>
    </w:p>
    <w:p>
      <w:pPr>
        <w:spacing w:after="0" w:line="221" w:lineRule="exact"/>
        <w:rPr>
          <w:sz w:val="24"/>
          <w:szCs w:val="24"/>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6" w:lineRule="exact"/>
        <w:rPr>
          <w:sz w:val="24"/>
          <w:szCs w:val="24"/>
          <w:color w:val="auto"/>
        </w:rPr>
      </w:pPr>
    </w:p>
    <w:p>
      <w:pPr>
        <w:ind w:left="6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TRANSITION REPORT PURSUANT TO SECTION 13 or 15(d) OF THE SECURITIES EXCHANGE ACT OF 1934</w:t>
      </w:r>
    </w:p>
    <w:p>
      <w:pPr>
        <w:spacing w:after="0" w:line="212" w:lineRule="exact"/>
        <w:rPr>
          <w:sz w:val="24"/>
          <w:szCs w:val="24"/>
          <w:color w:val="auto"/>
        </w:rPr>
      </w:pPr>
    </w:p>
    <w:p>
      <w:pPr>
        <w:ind w:left="2840"/>
        <w:spacing w:after="0"/>
        <w:tabs>
          <w:tab w:leader="none" w:pos="654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3188970</wp:posOffset>
            </wp:positionH>
            <wp:positionV relativeFrom="paragraph">
              <wp:posOffset>-7620</wp:posOffset>
            </wp:positionV>
            <wp:extent cx="19735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73580"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No. 1-8061</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u w:val="single" w:color="auto"/>
          <w:color w:val="auto"/>
        </w:rPr>
        <w:t>FREQUENCY ELECTRONICS,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640" w:type="dxa"/>
            <w:vAlign w:val="bottom"/>
            <w:gridSpan w:val="3"/>
          </w:tcPr>
          <w:p>
            <w:pPr>
              <w:jc w:val="center"/>
              <w:ind w:right="29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2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11-1986657</w:t>
            </w:r>
          </w:p>
        </w:tc>
      </w:tr>
      <w:tr>
        <w:trPr>
          <w:trHeight w:val="20"/>
        </w:trPr>
        <w:tc>
          <w:tcPr>
            <w:tcW w:w="3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8"/>
        </w:trPr>
        <w:tc>
          <w:tcPr>
            <w:tcW w:w="380" w:type="dxa"/>
            <w:vAlign w:val="bottom"/>
          </w:tcPr>
          <w:p>
            <w:pPr>
              <w:spacing w:after="0"/>
              <w:rPr>
                <w:sz w:val="18"/>
                <w:szCs w:val="18"/>
                <w:color w:val="auto"/>
              </w:rPr>
            </w:pPr>
          </w:p>
        </w:tc>
        <w:tc>
          <w:tcPr>
            <w:tcW w:w="5640" w:type="dxa"/>
            <w:vAlign w:val="bottom"/>
            <w:gridSpan w:val="4"/>
          </w:tcPr>
          <w:p>
            <w:pPr>
              <w:jc w:val="center"/>
              <w:ind w:right="92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520" w:type="dxa"/>
            <w:vAlign w:val="bottom"/>
            <w:gridSpan w:val="5"/>
          </w:tcPr>
          <w:p>
            <w:pPr>
              <w:jc w:val="center"/>
              <w:ind w:left="81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80" w:type="dxa"/>
            <w:vAlign w:val="bottom"/>
          </w:tcPr>
          <w:p>
            <w:pPr>
              <w:spacing w:after="0"/>
              <w:rPr>
                <w:sz w:val="20"/>
                <w:szCs w:val="20"/>
                <w:color w:val="auto"/>
              </w:rPr>
            </w:pPr>
          </w:p>
        </w:tc>
        <w:tc>
          <w:tcPr>
            <w:tcW w:w="5640" w:type="dxa"/>
            <w:vAlign w:val="bottom"/>
            <w:gridSpan w:val="4"/>
          </w:tcPr>
          <w:p>
            <w:pPr>
              <w:jc w:val="center"/>
              <w:ind w:right="92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91"/>
        </w:trPr>
        <w:tc>
          <w:tcPr>
            <w:tcW w:w="380" w:type="dxa"/>
            <w:vAlign w:val="bottom"/>
          </w:tcPr>
          <w:p>
            <w:pPr>
              <w:spacing w:after="0"/>
              <w:rPr>
                <w:sz w:val="24"/>
                <w:szCs w:val="24"/>
                <w:color w:val="auto"/>
              </w:rPr>
            </w:pPr>
          </w:p>
        </w:tc>
        <w:tc>
          <w:tcPr>
            <w:tcW w:w="5640" w:type="dxa"/>
            <w:vAlign w:val="bottom"/>
            <w:gridSpan w:val="4"/>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55 CHARLES LINDBERGH BLVD., MITCHEL FIELD, NY</w:t>
            </w:r>
          </w:p>
        </w:tc>
        <w:tc>
          <w:tcPr>
            <w:tcW w:w="26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11553</w:t>
            </w:r>
          </w:p>
        </w:tc>
        <w:tc>
          <w:tcPr>
            <w:tcW w:w="880" w:type="dxa"/>
            <w:vAlign w:val="bottom"/>
          </w:tcPr>
          <w:p>
            <w:pPr>
              <w:spacing w:after="0"/>
              <w:rPr>
                <w:sz w:val="24"/>
                <w:szCs w:val="24"/>
                <w:color w:val="auto"/>
              </w:rPr>
            </w:pPr>
          </w:p>
        </w:tc>
      </w:tr>
      <w:tr>
        <w:trPr>
          <w:trHeight w:val="20"/>
        </w:trPr>
        <w:tc>
          <w:tcPr>
            <w:tcW w:w="380" w:type="dxa"/>
            <w:vAlign w:val="bottom"/>
          </w:tcPr>
          <w:p>
            <w:pPr>
              <w:spacing w:after="0" w:line="20" w:lineRule="exact"/>
              <w:rPr>
                <w:sz w:val="1"/>
                <w:szCs w:val="1"/>
                <w:color w:val="auto"/>
              </w:rPr>
            </w:pPr>
          </w:p>
        </w:tc>
        <w:tc>
          <w:tcPr>
            <w:tcW w:w="4720" w:type="dxa"/>
            <w:vAlign w:val="bottom"/>
            <w:gridSpan w:val="3"/>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237"/>
        </w:trPr>
        <w:tc>
          <w:tcPr>
            <w:tcW w:w="380" w:type="dxa"/>
            <w:vAlign w:val="bottom"/>
          </w:tcPr>
          <w:p>
            <w:pPr>
              <w:spacing w:after="0"/>
              <w:rPr>
                <w:sz w:val="20"/>
                <w:szCs w:val="20"/>
                <w:color w:val="auto"/>
              </w:rPr>
            </w:pPr>
          </w:p>
        </w:tc>
        <w:tc>
          <w:tcPr>
            <w:tcW w:w="47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9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740" w:type="dxa"/>
            <w:vAlign w:val="bottom"/>
            <w:gridSpan w:val="4"/>
          </w:tcPr>
          <w:p>
            <w:pPr>
              <w:jc w:val="center"/>
              <w:ind w:right="900"/>
              <w:spacing w:after="0"/>
              <w:rPr>
                <w:sz w:val="20"/>
                <w:szCs w:val="20"/>
                <w:color w:val="auto"/>
              </w:rPr>
            </w:pPr>
            <w:r>
              <w:rPr>
                <w:rFonts w:ascii="Times New Roman" w:cs="Times New Roman" w:eastAsia="Times New Roman" w:hAnsi="Times New Roman"/>
                <w:sz w:val="18"/>
                <w:szCs w:val="18"/>
                <w:color w:val="auto"/>
              </w:rPr>
              <w:t>(Zip Code)</w:t>
            </w:r>
          </w:p>
        </w:tc>
      </w:tr>
      <w:tr>
        <w:trPr>
          <w:trHeight w:val="432"/>
        </w:trPr>
        <w:tc>
          <w:tcPr>
            <w:tcW w:w="6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516-794-4500</w:t>
            </w:r>
          </w:p>
        </w:tc>
        <w:tc>
          <w:tcPr>
            <w:tcW w:w="1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46"/>
        </w:trPr>
        <w:tc>
          <w:tcPr>
            <w:tcW w:w="44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w:t>
            </w:r>
          </w:p>
        </w:tc>
        <w:tc>
          <w:tcPr>
            <w:tcW w:w="4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0"/>
        </w:trPr>
        <w:tc>
          <w:tcPr>
            <w:tcW w:w="4400" w:type="dxa"/>
            <w:vAlign w:val="bottom"/>
            <w:tcBorders>
              <w:left w:val="single" w:sz="8" w:color="auto"/>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Common Stock (par value $1.00 per share)</w:t>
            </w:r>
          </w:p>
        </w:tc>
        <w:tc>
          <w:tcPr>
            <w:tcW w:w="220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FEIM</w:t>
            </w:r>
          </w:p>
        </w:tc>
        <w:tc>
          <w:tcPr>
            <w:tcW w:w="438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NASDAQ Global Market</w:t>
            </w:r>
          </w:p>
        </w:tc>
      </w:tr>
    </w:tbl>
    <w:p>
      <w:pPr>
        <w:spacing w:after="0" w:line="194"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960"/>
          </w:cols>
          <w:pgMar w:left="460" w:top="371" w:right="479" w:bottom="1440" w:gutter="0" w:footer="0" w:header="0"/>
        </w:sectPr>
      </w:pPr>
    </w:p>
    <w:p>
      <w:pPr>
        <w:spacing w:after="0" w:line="13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416" w:lineRule="exact"/>
        <w:rPr>
          <w:sz w:val="24"/>
          <w:szCs w:val="24"/>
          <w:color w:val="auto"/>
        </w:rPr>
      </w:pPr>
    </w:p>
    <w:p>
      <w:pPr>
        <w:sectPr>
          <w:pgSz w:w="11900" w:h="16838" w:orient="portrait"/>
          <w:cols w:equalWidth="0" w:num="2">
            <w:col w:w="5380" w:space="720"/>
            <w:col w:w="4860"/>
          </w:cols>
          <w:pgMar w:left="460" w:top="371" w:right="479" w:bottom="1440" w:gutter="0" w:footer="0" w:header="0"/>
          <w:type w:val="continuous"/>
        </w:sectPr>
      </w:pPr>
    </w:p>
    <w:p>
      <w:pPr>
        <w:spacing w:after="0" w:line="1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APPLICABLE ONLY TO CORPORATE ISSUERS:</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registrant’s Common Stock, par value $1.00 per share, as of March 18, 2024 – 9,487,342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351790</wp:posOffset>
            </wp:positionV>
            <wp:extent cx="69608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371" w:right="479" w:bottom="1440" w:gutter="0" w:footer="0" w:header="0"/>
          <w:type w:val="continuous"/>
        </w:sectPr>
      </w:pPr>
    </w:p>
    <w:bookmarkStart w:id="1" w:name="page2"/>
    <w:bookmarkEnd w:id="1"/>
    <w:p>
      <w:pPr>
        <w:jc w:val="center"/>
        <w:ind w:left="920"/>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u w:val="single" w:color="auto"/>
          <w:color w:val="0000EE"/>
        </w:rPr>
        <w:t>Item 1 - Financial Statements:</w:t>
      </w:r>
    </w:p>
    <w:p>
      <w:pPr>
        <w:spacing w:after="0" w:line="22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u w:val="single" w:color="auto"/>
          <w:color w:val="0000EE"/>
        </w:rPr>
        <w:t>Condensed Consolidated Balance Sheets – January 31, 2024 (unaudited) and April 30, 2023</w:t>
      </w:r>
    </w:p>
    <w:p>
      <w:pPr>
        <w:spacing w:after="0" w:line="225" w:lineRule="exact"/>
        <w:rPr>
          <w:sz w:val="20"/>
          <w:szCs w:val="20"/>
          <w:color w:val="auto"/>
        </w:rPr>
      </w:pPr>
    </w:p>
    <w:p>
      <w:pPr>
        <w:ind w:left="820"/>
        <w:spacing w:after="0" w:line="282" w:lineRule="auto"/>
        <w:rPr>
          <w:sz w:val="20"/>
          <w:szCs w:val="20"/>
          <w:color w:val="auto"/>
        </w:rPr>
      </w:pPr>
      <w:r>
        <w:rPr>
          <w:rFonts w:ascii="Times New Roman" w:cs="Times New Roman" w:eastAsia="Times New Roman" w:hAnsi="Times New Roman"/>
          <w:sz w:val="18"/>
          <w:szCs w:val="18"/>
          <w:u w:val="single" w:color="auto"/>
          <w:color w:val="0000EE"/>
        </w:rPr>
        <w:t>Condensed Consolidated Statements of Operations and Comprehensive Income (Loss) – Three and Nine Months Ended January 31, 2024 and 2023 (unaudited)</w:t>
      </w:r>
    </w:p>
    <w:p>
      <w:pPr>
        <w:spacing w:after="0" w:line="16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u w:val="single" w:color="auto"/>
          <w:color w:val="0000EE"/>
        </w:rPr>
        <w:t>Condensed Consolidated Statements of Cash Flows Nine months ended January 31, 2024 and 2023 (unaudited)</w:t>
      </w:r>
    </w:p>
    <w:p>
      <w:pPr>
        <w:spacing w:after="0" w:line="225" w:lineRule="exact"/>
        <w:rPr>
          <w:sz w:val="20"/>
          <w:szCs w:val="20"/>
          <w:color w:val="auto"/>
        </w:rPr>
      </w:pPr>
    </w:p>
    <w:p>
      <w:pPr>
        <w:ind w:left="820" w:right="280"/>
        <w:spacing w:after="0" w:line="282" w:lineRule="auto"/>
        <w:rPr>
          <w:sz w:val="20"/>
          <w:szCs w:val="20"/>
          <w:color w:val="auto"/>
        </w:rPr>
      </w:pPr>
      <w:r>
        <w:rPr>
          <w:rFonts w:ascii="Times New Roman" w:cs="Times New Roman" w:eastAsia="Times New Roman" w:hAnsi="Times New Roman"/>
          <w:sz w:val="18"/>
          <w:szCs w:val="18"/>
          <w:u w:val="single" w:color="auto"/>
          <w:color w:val="0000EE"/>
        </w:rPr>
        <w:t>Condensed Consolidated Statements of Changes in Stockholders’ Equity – Three and Nine Months Ended January 31, 2024 (unaudited)</w:t>
      </w:r>
    </w:p>
    <w:p>
      <w:pPr>
        <w:spacing w:after="0" w:line="162" w:lineRule="exact"/>
        <w:rPr>
          <w:sz w:val="20"/>
          <w:szCs w:val="20"/>
          <w:color w:val="auto"/>
        </w:rPr>
      </w:pPr>
    </w:p>
    <w:p>
      <w:pPr>
        <w:ind w:left="820" w:right="280"/>
        <w:spacing w:after="0" w:line="282" w:lineRule="auto"/>
        <w:rPr>
          <w:sz w:val="20"/>
          <w:szCs w:val="20"/>
          <w:color w:val="auto"/>
        </w:rPr>
      </w:pPr>
      <w:r>
        <w:rPr>
          <w:rFonts w:ascii="Times New Roman" w:cs="Times New Roman" w:eastAsia="Times New Roman" w:hAnsi="Times New Roman"/>
          <w:sz w:val="18"/>
          <w:szCs w:val="18"/>
          <w:u w:val="single" w:color="auto"/>
          <w:color w:val="0000EE"/>
        </w:rPr>
        <w:t>Condensed Consolidated Statements of Changes in Stockholders’ Equity – Three and Nine Months Ended January 31, 2023 (unaudited)</w:t>
      </w:r>
    </w:p>
    <w:p>
      <w:pPr>
        <w:spacing w:after="0" w:line="16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u w:val="single" w:color="auto"/>
          <w:color w:val="0000EE"/>
        </w:rPr>
        <w:t>Notes to Condensed Consolidated Financial Statements (unaudited)</w:t>
      </w:r>
    </w:p>
    <w:p>
      <w:pPr>
        <w:spacing w:after="0" w:line="225" w:lineRule="exact"/>
        <w:rPr>
          <w:sz w:val="20"/>
          <w:szCs w:val="20"/>
          <w:color w:val="auto"/>
        </w:rPr>
      </w:pPr>
    </w:p>
    <w:p>
      <w:pPr>
        <w:ind w:left="480" w:right="2480"/>
        <w:spacing w:after="0" w:line="499" w:lineRule="auto"/>
        <w:rPr>
          <w:sz w:val="20"/>
          <w:szCs w:val="20"/>
          <w:color w:val="auto"/>
        </w:rPr>
      </w:pPr>
      <w:r>
        <w:rPr>
          <w:rFonts w:ascii="Times New Roman" w:cs="Times New Roman" w:eastAsia="Times New Roman" w:hAnsi="Times New Roman"/>
          <w:sz w:val="18"/>
          <w:szCs w:val="18"/>
          <w:u w:val="single" w:color="auto"/>
          <w:color w:val="0000EE"/>
        </w:rPr>
        <w:t>Item 2 - Management’s Discussion and Analysis of Financial Condition and Results of Operations Item 3 - Quantitative and Qualitative Disclosures About Market Risk Item 4 - Controls and Procedures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Page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27305</wp:posOffset>
            </wp:positionV>
            <wp:extent cx="5060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60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3</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4</w:t>
      </w:r>
    </w:p>
    <w:p>
      <w:pPr>
        <w:spacing w:after="0" w:line="200" w:lineRule="exact"/>
        <w:rPr>
          <w:sz w:val="20"/>
          <w:szCs w:val="20"/>
          <w:color w:val="auto"/>
        </w:rPr>
      </w:pPr>
    </w:p>
    <w:p>
      <w:pPr>
        <w:spacing w:after="0" w:line="2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5</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6</w:t>
      </w:r>
    </w:p>
    <w:p>
      <w:pPr>
        <w:spacing w:after="0" w:line="200" w:lineRule="exact"/>
        <w:rPr>
          <w:sz w:val="20"/>
          <w:szCs w:val="20"/>
          <w:color w:val="auto"/>
        </w:rPr>
      </w:pPr>
    </w:p>
    <w:p>
      <w:pPr>
        <w:spacing w:after="0" w:line="2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7</w:t>
      </w:r>
    </w:p>
    <w:p>
      <w:pPr>
        <w:spacing w:after="0" w:line="3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8-14</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15-20</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21</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21</w:t>
      </w:r>
    </w:p>
    <w:p>
      <w:pPr>
        <w:spacing w:after="0" w:line="627" w:lineRule="exact"/>
        <w:rPr>
          <w:sz w:val="20"/>
          <w:szCs w:val="20"/>
          <w:color w:val="auto"/>
        </w:rPr>
      </w:pPr>
    </w:p>
    <w:p>
      <w:pPr>
        <w:sectPr>
          <w:pgSz w:w="11900" w:h="16838" w:orient="portrait"/>
          <w:cols w:equalWidth="0" w:num="2">
            <w:col w:w="10040" w:space="180"/>
            <w:col w:w="740"/>
          </w:cols>
          <w:pgMar w:left="460" w:top="549" w:right="479" w:bottom="1440" w:gutter="0" w:footer="0" w:header="0"/>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 w:type="dxa"/>
            <w:vAlign w:val="bottom"/>
          </w:tcPr>
          <w:p>
            <w:pPr>
              <w:spacing w:after="0"/>
              <w:rPr>
                <w:sz w:val="18"/>
                <w:szCs w:val="18"/>
                <w:color w:val="auto"/>
              </w:rPr>
            </w:pPr>
          </w:p>
        </w:tc>
        <w:tc>
          <w:tcPr>
            <w:tcW w:w="59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1A – Risk Factors</w:t>
            </w:r>
          </w:p>
        </w:tc>
        <w:tc>
          <w:tcPr>
            <w:tcW w:w="4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4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EE"/>
              </w:rPr>
              <w:t>Item 5</w:t>
            </w:r>
          </w:p>
        </w:tc>
        <w:tc>
          <w:tcPr>
            <w:tcW w:w="54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EE"/>
              </w:rPr>
              <w:t>– Other Information</w:t>
            </w:r>
          </w:p>
        </w:tc>
        <w:tc>
          <w:tcPr>
            <w:tcW w:w="4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22</w:t>
            </w:r>
          </w:p>
        </w:tc>
      </w:tr>
      <w:tr>
        <w:trPr>
          <w:trHeight w:val="412"/>
        </w:trPr>
        <w:tc>
          <w:tcPr>
            <w:tcW w:w="480" w:type="dxa"/>
            <w:vAlign w:val="bottom"/>
          </w:tcPr>
          <w:p>
            <w:pPr>
              <w:spacing w:after="0"/>
              <w:rPr>
                <w:sz w:val="24"/>
                <w:szCs w:val="24"/>
                <w:color w:val="auto"/>
              </w:rPr>
            </w:pPr>
          </w:p>
        </w:tc>
        <w:tc>
          <w:tcPr>
            <w:tcW w:w="50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Item 6</w:t>
            </w:r>
          </w:p>
        </w:tc>
        <w:tc>
          <w:tcPr>
            <w:tcW w:w="1460" w:type="dxa"/>
            <w:vAlign w:val="bottom"/>
            <w:tcBorders>
              <w:top w:val="single" w:sz="8" w:color="0000EE"/>
            </w:tcBorders>
            <w:gridSpan w:val="4"/>
          </w:tcPr>
          <w:p>
            <w:pPr>
              <w:ind w:left="20"/>
              <w:spacing w:after="0"/>
              <w:rPr>
                <w:sz w:val="20"/>
                <w:szCs w:val="20"/>
                <w:color w:val="auto"/>
              </w:rPr>
            </w:pPr>
            <w:r>
              <w:rPr>
                <w:rFonts w:ascii="Times New Roman" w:cs="Times New Roman" w:eastAsia="Times New Roman" w:hAnsi="Times New Roman"/>
                <w:sz w:val="18"/>
                <w:szCs w:val="18"/>
                <w:color w:val="0000EE"/>
              </w:rPr>
              <w:t>- Exhibits</w:t>
            </w:r>
          </w:p>
        </w:tc>
        <w:tc>
          <w:tcPr>
            <w:tcW w:w="4020" w:type="dxa"/>
            <w:vAlign w:val="bottom"/>
          </w:tcPr>
          <w:p>
            <w:pPr>
              <w:spacing w:after="0"/>
              <w:rPr>
                <w:sz w:val="24"/>
                <w:szCs w:val="24"/>
                <w:color w:val="auto"/>
              </w:rPr>
            </w:pPr>
          </w:p>
        </w:tc>
        <w:tc>
          <w:tcPr>
            <w:tcW w:w="4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22</w:t>
            </w:r>
          </w:p>
        </w:tc>
      </w:tr>
      <w:tr>
        <w:trPr>
          <w:trHeight w:val="412"/>
        </w:trPr>
        <w:tc>
          <w:tcPr>
            <w:tcW w:w="480" w:type="dxa"/>
            <w:vAlign w:val="bottom"/>
          </w:tcPr>
          <w:p>
            <w:pPr>
              <w:spacing w:after="0"/>
              <w:rPr>
                <w:sz w:val="24"/>
                <w:szCs w:val="24"/>
                <w:color w:val="auto"/>
              </w:rPr>
            </w:pPr>
          </w:p>
        </w:tc>
        <w:tc>
          <w:tcPr>
            <w:tcW w:w="122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4760" w:type="dxa"/>
            <w:vAlign w:val="bottom"/>
            <w:gridSpan w:val="3"/>
          </w:tcPr>
          <w:p>
            <w:pPr>
              <w:spacing w:after="0"/>
              <w:rPr>
                <w:sz w:val="24"/>
                <w:szCs w:val="24"/>
                <w:color w:val="auto"/>
              </w:rPr>
            </w:pPr>
          </w:p>
        </w:tc>
        <w:tc>
          <w:tcPr>
            <w:tcW w:w="4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23</w:t>
            </w:r>
          </w:p>
        </w:tc>
      </w:tr>
      <w:tr>
        <w:trPr>
          <w:trHeight w:val="554"/>
        </w:trPr>
        <w:tc>
          <w:tcPr>
            <w:tcW w:w="480" w:type="dxa"/>
            <w:vAlign w:val="bottom"/>
            <w:tcBorders>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r>
    </w:tbl>
    <w:p>
      <w:pPr>
        <w:sectPr>
          <w:pgSz w:w="11900" w:h="16838" w:orient="portrait"/>
          <w:cols w:equalWidth="0" w:num="1">
            <w:col w:w="10960"/>
          </w:cols>
          <w:pgMar w:left="460" w:top="549" w:right="47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u w:val="single" w:color="auto"/>
          <w:color w:val="auto"/>
        </w:rPr>
        <w:t>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par value)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January 31,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7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780" w:type="dxa"/>
            <w:vAlign w:val="bottom"/>
            <w:vMerge w:val="restart"/>
          </w:tcPr>
          <w:p>
            <w:pPr>
              <w:ind w:left="34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19"/>
                <w:szCs w:val="19"/>
                <w:color w:val="auto"/>
              </w:rPr>
            </w:pPr>
          </w:p>
        </w:tc>
        <w:tc>
          <w:tcPr>
            <w:tcW w:w="13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(UNAUDITED)</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11,663</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7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doubtful accounts of $111 at January 31, 2024 and April</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30, 2023</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Contract assets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income taxes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52,080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Cash surrender value of life insurance</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 operating leases</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77,744</w:t>
            </w: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74,496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840"/>
              <w:spacing w:after="0"/>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provision accrual</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liability - current portion</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Contract liabilities</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78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Deferred compensation</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 non-current portion</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7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Preferred stock - $1.00 par value; authorized 600 shares, no shares issued</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780" w:type="dxa"/>
            <w:vAlign w:val="bottom"/>
          </w:tcPr>
          <w:p>
            <w:pPr>
              <w:ind w:left="300"/>
              <w:spacing w:after="0" w:line="198" w:lineRule="exact"/>
              <w:rPr>
                <w:sz w:val="20"/>
                <w:szCs w:val="20"/>
                <w:color w:val="auto"/>
              </w:rPr>
            </w:pPr>
            <w:r>
              <w:rPr>
                <w:rFonts w:ascii="Times New Roman" w:cs="Times New Roman" w:eastAsia="Times New Roman" w:hAnsi="Times New Roman"/>
                <w:sz w:val="18"/>
                <w:szCs w:val="18"/>
                <w:color w:val="auto"/>
              </w:rPr>
              <w:t>Common stock - $1.00 par value; authorized 20,000 shares, 9,486 shares issued and 9,485 shares</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outstanding at January 31, 2024; 9,374 shares issued and 9,373 shares outstanding at April 30, 2023</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(22,652)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(25,621)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ind w:left="300"/>
              <w:spacing w:after="0" w:line="198" w:lineRule="exact"/>
              <w:rPr>
                <w:sz w:val="20"/>
                <w:szCs w:val="20"/>
                <w:color w:val="auto"/>
              </w:rPr>
            </w:pPr>
            <w:r>
              <w:rPr>
                <w:rFonts w:ascii="Times New Roman" w:cs="Times New Roman" w:eastAsia="Times New Roman" w:hAnsi="Times New Roman"/>
                <w:sz w:val="18"/>
                <w:szCs w:val="18"/>
                <w:color w:val="auto"/>
              </w:rPr>
              <w:t>Common stock reacquired and held in treasury -</w:t>
            </w:r>
          </w:p>
        </w:tc>
        <w:tc>
          <w:tcPr>
            <w:tcW w:w="100" w:type="dxa"/>
            <w:vAlign w:val="bottom"/>
            <w:shd w:val="clear" w:color="auto" w:fill="CCEEFF"/>
          </w:tcPr>
          <w:p>
            <w:pPr>
              <w:spacing w:after="0"/>
              <w:rPr>
                <w:sz w:val="17"/>
                <w:szCs w:val="17"/>
                <w:color w:val="auto"/>
              </w:rPr>
            </w:pPr>
          </w:p>
        </w:tc>
        <w:tc>
          <w:tcPr>
            <w:tcW w:w="14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78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at cost (1 share at January 31, 2024 and April 30, 2023)</w:t>
            </w:r>
          </w:p>
        </w:tc>
        <w:tc>
          <w:tcPr>
            <w:tcW w:w="100" w:type="dxa"/>
            <w:vAlign w:val="bottom"/>
            <w:shd w:val="clear" w:color="auto" w:fill="CCEEFF"/>
          </w:tcPr>
          <w:p>
            <w:pPr>
              <w:spacing w:after="0"/>
              <w:rPr>
                <w:sz w:val="19"/>
                <w:szCs w:val="19"/>
                <w:color w:val="auto"/>
              </w:rPr>
            </w:pPr>
          </w:p>
        </w:tc>
        <w:tc>
          <w:tcPr>
            <w:tcW w:w="146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top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36,673</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32,886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77,744</w:t>
            </w:r>
          </w:p>
        </w:tc>
        <w:tc>
          <w:tcPr>
            <w:tcW w:w="1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74,496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549"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40" w:type="dxa"/>
            <w:vAlign w:val="bottom"/>
            <w:gridSpan w:val="7"/>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Three Months Ended January</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gridSpan w:val="6"/>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Nine Months Ended January</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6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568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3880" w:type="dxa"/>
            <w:vAlign w:val="bottom"/>
            <w:tcBorders>
              <w:top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13,714</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10,620</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39,698</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margin</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Operating (loss) income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Investment income (expense), net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Net income (loss)</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8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(loss) per common share: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6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 and diluted income (loss) per share</w:t>
            </w:r>
          </w:p>
        </w:tc>
        <w:tc>
          <w:tcPr>
            <w:tcW w:w="3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(0.03)</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4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(0.62)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80" w:type="dxa"/>
            <w:vAlign w:val="bottom"/>
            <w:tcBorders>
              <w:top w:val="single" w:sz="8" w:color="CCEEFF"/>
            </w:tcBorders>
          </w:tcPr>
          <w:p>
            <w:pPr>
              <w:spacing w:after="0"/>
              <w:rPr>
                <w:sz w:val="17"/>
                <w:szCs w:val="17"/>
                <w:color w:val="auto"/>
              </w:rPr>
            </w:pPr>
          </w:p>
        </w:tc>
        <w:tc>
          <w:tcPr>
            <w:tcW w:w="146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38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56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3880" w:type="dxa"/>
            <w:vAlign w:val="bottom"/>
            <w:tcBorders>
              <w:top w:val="single" w:sz="8" w:color="auto"/>
            </w:tcBorders>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(5,747)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60" w:type="dxa"/>
            <w:vAlign w:val="bottom"/>
            <w:gridSpan w:val="3"/>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Change in market value of marketable securities before reclassification,</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of tax</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60" w:type="dxa"/>
            <w:vAlign w:val="bottom"/>
            <w:gridSpan w:val="3"/>
          </w:tcPr>
          <w:p>
            <w:pPr>
              <w:ind w:left="340"/>
              <w:spacing w:after="0" w:line="198" w:lineRule="exact"/>
              <w:rPr>
                <w:sz w:val="20"/>
                <w:szCs w:val="20"/>
                <w:color w:val="auto"/>
              </w:rPr>
            </w:pPr>
            <w:r>
              <w:rPr>
                <w:rFonts w:ascii="Times New Roman" w:cs="Times New Roman" w:eastAsia="Times New Roman" w:hAnsi="Times New Roman"/>
                <w:sz w:val="18"/>
                <w:szCs w:val="18"/>
                <w:color w:val="auto"/>
              </w:rPr>
              <w:t>Reclassification adjustment for realized gains included in net income</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(loss), net of tax</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unrealized gain on marketable securities, net of tax</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6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4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1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360" w:type="dxa"/>
            <w:vAlign w:val="bottom"/>
            <w:gridSpan w:val="11"/>
          </w:tcPr>
          <w:p>
            <w:pPr>
              <w:jc w:val="center"/>
              <w:ind w:left="2470"/>
              <w:spacing w:after="0"/>
              <w:rPr>
                <w:sz w:val="20"/>
                <w:szCs w:val="20"/>
                <w:color w:val="auto"/>
              </w:rPr>
            </w:pPr>
            <w:r>
              <w:rPr>
                <w:rFonts w:ascii="Times New Roman" w:cs="Times New Roman" w:eastAsia="Times New Roman" w:hAnsi="Times New Roman"/>
                <w:sz w:val="18"/>
                <w:szCs w:val="18"/>
                <w:color w:val="auto"/>
                <w:w w:val="99"/>
              </w:rPr>
              <w:t>See accompanying notes to condensed consolidated financial statements.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88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121"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160" w:type="dxa"/>
            <w:vAlign w:val="bottom"/>
            <w:gridSpan w:val="7"/>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Nine Months Ended January 31,</w:t>
            </w:r>
          </w:p>
        </w:tc>
        <w:tc>
          <w:tcPr>
            <w:tcW w:w="0" w:type="dxa"/>
            <w:vAlign w:val="bottom"/>
          </w:tcPr>
          <w:p>
            <w:pPr>
              <w:spacing w:after="0"/>
              <w:rPr>
                <w:sz w:val="1"/>
                <w:szCs w:val="1"/>
                <w:color w:val="auto"/>
              </w:rPr>
            </w:pPr>
          </w:p>
        </w:tc>
      </w:tr>
      <w:tr>
        <w:trPr>
          <w:trHeight w:val="209"/>
        </w:trPr>
        <w:tc>
          <w:tcPr>
            <w:tcW w:w="6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44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60" w:type="dxa"/>
            <w:vAlign w:val="bottom"/>
            <w:gridSpan w:val="2"/>
            <w:vMerge w:val="continue"/>
          </w:tcPr>
          <w:p>
            <w:pPr>
              <w:spacing w:after="0"/>
              <w:rPr>
                <w:sz w:val="18"/>
                <w:szCs w:val="18"/>
                <w:color w:val="auto"/>
              </w:rPr>
            </w:pPr>
          </w:p>
        </w:tc>
        <w:tc>
          <w:tcPr>
            <w:tcW w:w="1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(loss)</w:t>
            </w:r>
          </w:p>
        </w:tc>
        <w:tc>
          <w:tcPr>
            <w:tcW w:w="2340" w:type="dxa"/>
            <w:vAlign w:val="bottom"/>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charges to earnings</w:t>
            </w:r>
          </w:p>
        </w:tc>
        <w:tc>
          <w:tcPr>
            <w:tcW w:w="1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changes in operating assets and liabilities</w:t>
            </w:r>
          </w:p>
        </w:tc>
        <w:tc>
          <w:tcPr>
            <w:tcW w:w="1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(4,824)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40" w:type="dxa"/>
            <w:vAlign w:val="bottom"/>
            <w:tcBorders>
              <w:top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on redemption of marketable securities</w:t>
            </w:r>
          </w:p>
        </w:tc>
        <w:tc>
          <w:tcPr>
            <w:tcW w:w="1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1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 of property, plant, and equipment, and other assets</w:t>
            </w:r>
          </w:p>
        </w:tc>
        <w:tc>
          <w:tcPr>
            <w:tcW w:w="1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4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 of dividend</w:t>
            </w:r>
          </w:p>
        </w:tc>
        <w:tc>
          <w:tcPr>
            <w:tcW w:w="1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(9,354)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 and restricted cash</w:t>
            </w:r>
          </w:p>
        </w:tc>
        <w:tc>
          <w:tcPr>
            <w:tcW w:w="1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at beginning of period</w:t>
            </w:r>
          </w:p>
        </w:tc>
        <w:tc>
          <w:tcPr>
            <w:tcW w:w="1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at end of period</w:t>
            </w:r>
          </w:p>
        </w:tc>
        <w:tc>
          <w:tcPr>
            <w:tcW w:w="234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12,604</w:t>
            </w:r>
          </w:p>
        </w:tc>
        <w:tc>
          <w:tcPr>
            <w:tcW w:w="1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1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1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w:t>
            </w:r>
          </w:p>
        </w:tc>
        <w:tc>
          <w:tcPr>
            <w:tcW w:w="14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340" w:type="dxa"/>
            <w:vAlign w:val="bottom"/>
            <w:tcBorders>
              <w:top w:val="single" w:sz="8" w:color="CCEEFF"/>
            </w:tcBorders>
          </w:tcPr>
          <w:p>
            <w:pPr>
              <w:ind w:left="340"/>
              <w:spacing w:after="0" w:line="196" w:lineRule="exact"/>
              <w:rPr>
                <w:sz w:val="20"/>
                <w:szCs w:val="20"/>
                <w:color w:val="auto"/>
              </w:rPr>
            </w:pPr>
            <w:r>
              <w:rPr>
                <w:rFonts w:ascii="Times New Roman" w:cs="Times New Roman" w:eastAsia="Times New Roman" w:hAnsi="Times New Roman"/>
                <w:sz w:val="18"/>
                <w:szCs w:val="18"/>
                <w:color w:val="auto"/>
              </w:rPr>
              <w:t>Income taxes</w:t>
            </w:r>
          </w:p>
        </w:tc>
        <w:tc>
          <w:tcPr>
            <w:tcW w:w="1440" w:type="dxa"/>
            <w:vAlign w:val="bottom"/>
            <w:tcBorders>
              <w:top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7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3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refunded during the period for:</w:t>
            </w:r>
          </w:p>
        </w:tc>
        <w:tc>
          <w:tcPr>
            <w:tcW w:w="1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w:t>
            </w:r>
          </w:p>
        </w:tc>
        <w:tc>
          <w:tcPr>
            <w:tcW w:w="14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Three and Nine months ended January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gridSpan w:val="5"/>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other</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720" w:type="dxa"/>
            <w:vAlign w:val="bottom"/>
            <w:gridSpan w:val="3"/>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paid in</w:t>
            </w:r>
          </w:p>
        </w:tc>
        <w:tc>
          <w:tcPr>
            <w:tcW w:w="1340" w:type="dxa"/>
            <w:vAlign w:val="bottom"/>
            <w:gridSpan w:val="4"/>
          </w:tcPr>
          <w:p>
            <w:pPr>
              <w:ind w:left="2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40" w:type="dxa"/>
            <w:vAlign w:val="bottom"/>
            <w:gridSpan w:val="5"/>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(at cost)</w:t>
            </w:r>
          </w:p>
        </w:tc>
        <w:tc>
          <w:tcPr>
            <w:tcW w:w="11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80" w:type="dxa"/>
            <w:vAlign w:val="bottom"/>
            <w:tcBorders>
              <w:top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2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April 30, 2023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9,373,776</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9,374</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49,136</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(25,621)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w:t>
            </w:r>
          </w:p>
        </w:tc>
        <w:tc>
          <w:tcPr>
            <w:tcW w:w="10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32,886</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Contribution of stock to 401(k) plan</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17,013</w:t>
            </w: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2,042</w:t>
            </w:r>
          </w:p>
        </w:tc>
        <w:tc>
          <w:tcPr>
            <w:tcW w:w="22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2,042</w:t>
            </w: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July 31, 2023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9,390,789</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9,391</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49,360</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(23,579)</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w:t>
            </w:r>
          </w:p>
        </w:tc>
        <w:tc>
          <w:tcPr>
            <w:tcW w:w="10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35,169</w:t>
            </w:r>
          </w:p>
        </w:tc>
        <w:tc>
          <w:tcPr>
            <w:tcW w:w="10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9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Contribution of stock to 401(k) plan</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12,885</w:t>
            </w:r>
          </w:p>
        </w:tc>
        <w:tc>
          <w:tcPr>
            <w:tcW w:w="280" w:type="dxa"/>
            <w:vAlign w:val="bottom"/>
            <w:tcBorders>
              <w:top w:val="single" w:sz="8" w:color="CCEEFF"/>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Borders>
              <w:top w:val="single" w:sz="8" w:color="CCEEFF"/>
            </w:tcBorders>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28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22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October 31, 2023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9,404,424</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9,405</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49,636</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(22,782)</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w:t>
            </w:r>
          </w:p>
        </w:tc>
        <w:tc>
          <w:tcPr>
            <w:tcW w:w="10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36,256</w:t>
            </w:r>
          </w:p>
        </w:tc>
        <w:tc>
          <w:tcPr>
            <w:tcW w:w="10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9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Contribution of stock to 401(k) plan</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5,364</w:t>
            </w:r>
          </w:p>
        </w:tc>
        <w:tc>
          <w:tcPr>
            <w:tcW w:w="280" w:type="dxa"/>
            <w:vAlign w:val="bottom"/>
            <w:tcBorders>
              <w:top w:val="single" w:sz="8" w:color="CCEEFF"/>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Borders>
              <w:top w:val="single" w:sz="8" w:color="CCEEFF"/>
            </w:tcBorders>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77,272</w:t>
            </w:r>
          </w:p>
        </w:tc>
        <w:tc>
          <w:tcPr>
            <w:tcW w:w="28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Dividends paid</w:t>
            </w:r>
          </w:p>
        </w:tc>
        <w:tc>
          <w:tcPr>
            <w:tcW w:w="76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22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January 31, 2024</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9,487,060</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9,487</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49,841</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(22,652)</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w:t>
            </w:r>
          </w:p>
        </w:tc>
        <w:tc>
          <w:tcPr>
            <w:tcW w:w="10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36,673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Three and Nine months ended January 31,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gridSpan w:val="5"/>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720" w:type="dxa"/>
            <w:vAlign w:val="bottom"/>
            <w:gridSpan w:val="3"/>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paid in</w:t>
            </w:r>
          </w:p>
        </w:tc>
        <w:tc>
          <w:tcPr>
            <w:tcW w:w="120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40" w:type="dxa"/>
            <w:vAlign w:val="bottom"/>
            <w:gridSpan w:val="5"/>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(at cost)</w:t>
            </w:r>
          </w:p>
        </w:tc>
        <w:tc>
          <w:tcPr>
            <w:tcW w:w="124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80" w:type="dxa"/>
            <w:vAlign w:val="bottom"/>
            <w:tcBorders>
              <w:top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2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April 30, 2022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9,298,178</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9,298</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57,956</w:t>
            </w:r>
          </w:p>
        </w:tc>
        <w:tc>
          <w:tcPr>
            <w:tcW w:w="1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(20,120)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w:t>
            </w: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(440)</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46,688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Contribution of stock to 401(k) plan</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16,708</w:t>
            </w: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(3,117)</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(3,117)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Balance at July 31, 2022</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9,314,886</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9,315</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58,036</w:t>
            </w:r>
          </w:p>
        </w:tc>
        <w:tc>
          <w:tcPr>
            <w:tcW w:w="140" w:type="dxa"/>
            <w:vAlign w:val="bottom"/>
          </w:tcPr>
          <w:p>
            <w:pPr>
              <w:spacing w:after="0"/>
              <w:rPr>
                <w:sz w:val="17"/>
                <w:szCs w:val="17"/>
                <w:color w:val="auto"/>
              </w:rPr>
            </w:pP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(23,237)</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(426)</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Contribution of stock to 401(k) plan</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18,632</w:t>
            </w:r>
          </w:p>
        </w:tc>
        <w:tc>
          <w:tcPr>
            <w:tcW w:w="280" w:type="dxa"/>
            <w:vAlign w:val="bottom"/>
            <w:tcBorders>
              <w:right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of stock options and stock</w:t>
            </w:r>
          </w:p>
        </w:tc>
        <w:tc>
          <w:tcPr>
            <w:tcW w:w="76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appreciation</w:t>
            </w:r>
          </w:p>
        </w:tc>
        <w:tc>
          <w:tcPr>
            <w:tcW w:w="76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rights - net of shares tendered for exercise</w:t>
            </w:r>
          </w:p>
        </w:tc>
        <w:tc>
          <w:tcPr>
            <w:tcW w:w="76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price</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(565)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(2,314)</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(2,314)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Balance at October 31, 2022</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9,334,268</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9,334</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58,153</w:t>
            </w:r>
          </w:p>
        </w:tc>
        <w:tc>
          <w:tcPr>
            <w:tcW w:w="140" w:type="dxa"/>
            <w:vAlign w:val="bottom"/>
          </w:tcPr>
          <w:p>
            <w:pPr>
              <w:spacing w:after="0"/>
              <w:rPr>
                <w:sz w:val="17"/>
                <w:szCs w:val="17"/>
                <w:color w:val="auto"/>
              </w:rPr>
            </w:pP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(25,551)</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(991)</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Contribution of stock to 401(k) plan</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7,597</w:t>
            </w:r>
          </w:p>
        </w:tc>
        <w:tc>
          <w:tcPr>
            <w:tcW w:w="280" w:type="dxa"/>
            <w:vAlign w:val="bottom"/>
            <w:tcBorders>
              <w:right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12,076</w:t>
            </w: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Dividends paid</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(9,354)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(9,354)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(316)</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Balance at January 31, 2023</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9,353,941</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9,354</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48,893</w:t>
            </w:r>
          </w:p>
        </w:tc>
        <w:tc>
          <w:tcPr>
            <w:tcW w:w="140" w:type="dxa"/>
            <w:vAlign w:val="bottom"/>
          </w:tcPr>
          <w:p>
            <w:pPr>
              <w:spacing w:after="0"/>
              <w:rPr>
                <w:sz w:val="17"/>
                <w:szCs w:val="17"/>
                <w:color w:val="auto"/>
              </w:rPr>
            </w:pP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(25,867)</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A – CONDENSED CONSOLIDATED FINANCIAL STATEMENTS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opinion of management of Frequency Electronics, Inc. (the “Company”), the accompanying unaudited condensed consolidated interim financial statements reflect all adjustments (which include only normal recurring adjustments) necessary to present fairly, in all material respects, the condensed consolidated financial position of the Company as of January 31, 2024 and the results of its operations, changes in stockholders’ equity for the three and nine months ended January 31, 2024 and 2023, and cash flows for the nine months ended January 31, 2024 and 2023. The April 30, 2023 condensed consolidated balance sheet was derived from audited financial statements. These financial statements are prepared in conformity with accounting principles generally accepted in the United States of America (“U.S. GAAP’). Certain information and footnote disclosures normally included in financial statements prepared in accordance with U.S. GAAP have been condensed or omitted. These condensed consolidated interim financial statements should be read in conjunction with the annual consolidated financial statements included in the Company’s Annual Report on Form 10-K for the fiscal year ended April 30, 2023 (the “Form 10-K”). The results of operations for such interim periods are not necessarily indicative of the operating results for the full fiscal year.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B – EARNINGS (LOSS) PER SHARE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Reconciliation of the weighted average shares outstanding for basic and diluted income (loss) per share (“EPS”) for the three and nine months ended January 31, 2024 and 2023, respectively, were as follows:</w:t>
      </w:r>
    </w:p>
    <w:p>
      <w:pPr>
        <w:sectPr>
          <w:pgSz w:w="11900" w:h="16838" w:orient="portrait"/>
          <w:cols w:equalWidth="0" w:num="1">
            <w:col w:w="10960"/>
          </w:cols>
          <w:pgMar w:left="460" w:top="121"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shares outstanding:</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Basic EPS Shares outstanding (weighted average)</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Effect of Dilutive Securities</w:t>
      </w:r>
    </w:p>
    <w:p>
      <w:pPr>
        <w:spacing w:after="0" w:line="4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Diluted EPS Shares outstanding</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Periods ended January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400" w:type="dxa"/>
            <w:vAlign w:val="bottom"/>
            <w:tcBorders>
              <w:top w:val="single" w:sz="8" w:color="auto"/>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220" w:type="dxa"/>
            <w:vAlign w:val="bottom"/>
            <w:tcBorders>
              <w:top w:val="single" w:sz="8" w:color="auto"/>
            </w:tcBorders>
          </w:tcPr>
          <w:p>
            <w:pPr>
              <w:spacing w:after="0"/>
              <w:rPr>
                <w:sz w:val="18"/>
                <w:szCs w:val="18"/>
                <w:color w:val="auto"/>
              </w:rPr>
            </w:pPr>
          </w:p>
        </w:tc>
        <w:tc>
          <w:tcPr>
            <w:tcW w:w="2400" w:type="dxa"/>
            <w:vAlign w:val="bottom"/>
            <w:tcBorders>
              <w:top w:val="single" w:sz="8" w:color="auto"/>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Nine months</w:t>
            </w:r>
          </w:p>
        </w:tc>
      </w:tr>
      <w:tr>
        <w:trPr>
          <w:trHeight w:val="210"/>
        </w:trPr>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407"/>
        </w:trPr>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9,439,939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9,349,198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9,407,789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9,327,828</w:t>
            </w:r>
          </w:p>
        </w:tc>
      </w:tr>
      <w:tr>
        <w:trPr>
          <w:trHeight w:val="234"/>
        </w:trPr>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9,439,939</w:t>
            </w:r>
          </w:p>
        </w:tc>
        <w:tc>
          <w:tcPr>
            <w:tcW w:w="2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9,349,198</w:t>
            </w:r>
          </w:p>
        </w:tc>
        <w:tc>
          <w:tcPr>
            <w:tcW w:w="22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9,407,789</w:t>
            </w:r>
          </w:p>
        </w:tc>
        <w:tc>
          <w:tcPr>
            <w:tcW w:w="2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9,327,828</w:t>
            </w:r>
          </w:p>
        </w:tc>
      </w:tr>
      <w:tr>
        <w:trPr>
          <w:trHeight w:val="20"/>
        </w:trPr>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-3705860</wp:posOffset>
            </wp:positionH>
            <wp:positionV relativeFrom="paragraph">
              <wp:posOffset>-445135</wp:posOffset>
            </wp:positionV>
            <wp:extent cx="696087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60870" cy="137160"/>
                    </a:xfrm>
                    <a:prstGeom prst="rect">
                      <a:avLst/>
                    </a:prstGeom>
                    <a:noFill/>
                  </pic:spPr>
                </pic:pic>
              </a:graphicData>
            </a:graphic>
          </wp:anchor>
        </w:drawing>
        <w:drawing>
          <wp:anchor simplePos="0" relativeHeight="251657728" behindDoc="1" locked="0" layoutInCell="0" allowOverlap="1">
            <wp:simplePos x="0" y="0"/>
            <wp:positionH relativeFrom="column">
              <wp:posOffset>-3705860</wp:posOffset>
            </wp:positionH>
            <wp:positionV relativeFrom="paragraph">
              <wp:posOffset>-162560</wp:posOffset>
            </wp:positionV>
            <wp:extent cx="696087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6087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120" w:space="720"/>
            <w:col w:w="5120"/>
          </w:cols>
          <w:pgMar w:left="460" w:top="121" w:right="479" w:bottom="1440" w:gutter="0" w:footer="0" w:header="0"/>
          <w:type w:val="continuous"/>
        </w:sectPr>
      </w:pPr>
    </w:p>
    <w:p>
      <w:pPr>
        <w:jc w:val="both"/>
        <w:ind w:firstLine="646"/>
        <w:spacing w:after="0" w:line="266" w:lineRule="auto"/>
        <w:tabs>
          <w:tab w:leader="none" w:pos="89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nine months ended January 31, 2024 and 2023, dilutive securities are excluded from the calculation of EPS since the inclusion of such shares would be antidilutive. The exercisable shares excluded for the three and nine months ended January 31, 2024 were 86,000 shares. The exercisable shares excluded for the three and nine months ended January 31, 2023 were 243,625 shares.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C – CONTRACT (LIABILITIES) ASSETS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At January 31, 2024 and April 30, 2023, contract assets and contract liabilities, consisted of the following (in thousands):</w:t>
      </w:r>
    </w:p>
    <w:p>
      <w:pPr>
        <w:spacing w:after="0" w:line="221" w:lineRule="exact"/>
        <w:rPr>
          <w:sz w:val="20"/>
          <w:szCs w:val="20"/>
          <w:color w:val="auto"/>
        </w:rPr>
      </w:pPr>
    </w:p>
    <w:tbl>
      <w:tblPr>
        <w:tblLayout w:type="fixed"/>
        <w:tblInd w:w="110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January 31, 2024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April 30, 2023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10,572</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2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(18,370)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(18,586)</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Contract assets represent revenue recognized on long-term contracts that have not been billed at the balance sheet dates, and contract liabilities represent a liability for amounts billed in excess of the revenue recognized. Amounts are billed to customers pursuant to contract terms. In general, the recorded amounts will be billed and collected or revenue recognized within twelve months of the balance sheet dates. Revenue on these long-term contracts are accounted for over time using the percentage-of-completion (“POC”) method. Fluctuations of contract assets and contract liabilities are due to the timing of funding, amounts billed and revenue recorded. Contract assets increased $0.6 million during the nine months ended January 31, 2024, primarily due to revenue recognized during the nine months ended January 31, 2024 for which we have not yet billed our customers. Contract liabilities decreased $0.2 million during the nine months ended January 31, 2024, primarily due to revenue recognized on these performance obligations. During the three and nine months ended January 31, 2024, we recognized $8.6 million and $12.3 million, respectively, of our contract liabilities at April 30, 2023 as revenue. During the three and nine months ended January 31, 2023, we recognized $3.6 million and $6.1 million, respectively, of our contract liabilities at April 30, 2022 as revenue. During the three and nine months ended January 31, 2024, revenue recognized under POC contracts was approximately $12.9 million and $37.0 million, respectively. During the three and nine months ended January 31, 2023, revenue recognized under POC contracts was approximately $10.2 million and $26.8 million, respectively. If contract losses are anticipated, a loss provision is recorded for the full amount of such losses when they are determinable. Total contract losses, recorded in cost of revenues, for the three and nine months ended January 31, 2024 were approximately $0.6 million and $2.1 million, respectively. Contract losses of approximately $0.5 million, offset by a loss reduction of approximately $1.0 million, mostly related to additional funding, were recorded for the three months ended January 31, 2023. Contract losses of approximately $1.5 million were recorded for the nine months ended January 31, 2023.</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D – EMPLOYEE BENEFIT PLANS</w:t>
      </w:r>
    </w:p>
    <w:p>
      <w:pPr>
        <w:spacing w:after="0" w:line="225"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During the three and nine months ended January 31, 2024, the Company made contributions of 5,364 and 35,262 shares, respectively, of its common stock to the Company’s profit-sharing plan and trust under Section 401(k) of the Internal Revenue Code. During the three and nine months ended January 31, 2023, the Company made contributions of 7,597 and 42,937 shares, respectively, of its common stock to the Company’s profit-sharing plan and trust under Section 401(k) of the Internal Revenue Code. Such contributions are in accordance with the Company’s discretionary match of employee voluntary contributions to this plan.</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Deferred compensation expense charged to selling and administrative expenses during the three and nine months ended January 31, 2024, was approximately $109,000 and $325,000, respectively. Payments made related to deferred compensation, inclusive of approximately $28,000 and $88,000, respectively, of interest expense, were approximately $175,000 and $536,000 for the same periods. Deferred compensation expense charged to selling and administrative expenses during the three and nine months ended January 31, 2023, was approximately $110,000 and $329,000, respectively. Payments made related to deferred compensation, inclusive of approximately $18,000 and $54,000, respectively, of interest expense were approximately $159,000 and $479,000 for the same periods.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E – INVENTORIES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Inventories, which are reported at the lower of cost and net realizable value,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January 31, 2024</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April 30, 2023</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 and component parts</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14,514</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12,460</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7,547</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0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23,159</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20,526</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80" w:type="dxa"/>
            <w:vAlign w:val="bottom"/>
            <w:vMerge w:val="restart"/>
          </w:tcPr>
          <w:p>
            <w:pPr>
              <w:jc w:val="right"/>
              <w:ind w:right="103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100" w:type="dxa"/>
            <w:vAlign w:val="bottom"/>
            <w:tcBorders>
              <w:bottom w:val="single" w:sz="8" w:color="auto"/>
            </w:tcBorders>
          </w:tcPr>
          <w:p>
            <w:pPr>
              <w:spacing w:after="0"/>
              <w:rPr>
                <w:sz w:val="8"/>
                <w:szCs w:val="8"/>
                <w:color w:val="auto"/>
              </w:rPr>
            </w:pPr>
          </w:p>
        </w:tc>
        <w:tc>
          <w:tcPr>
            <w:tcW w:w="3460" w:type="dxa"/>
            <w:vAlign w:val="bottom"/>
            <w:tcBorders>
              <w:bottom w:val="single" w:sz="8" w:color="auto"/>
            </w:tcBorders>
          </w:tcPr>
          <w:p>
            <w:pPr>
              <w:spacing w:after="0"/>
              <w:rPr>
                <w:sz w:val="8"/>
                <w:szCs w:val="8"/>
                <w:color w:val="auto"/>
              </w:rPr>
            </w:pPr>
          </w:p>
        </w:tc>
        <w:tc>
          <w:tcPr>
            <w:tcW w:w="20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60" w:top="121"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F – RIGHT-OF-USE ASSETS AND LEASE LIABILITIES</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Company’s leases primarily represent offices, warehouses, vehicles, manufacturing facilities and Research and Development (“R&amp;D”) facilities which expire at various times through 2029 and are operating leases. Contractual arrangements are evaluated at inception to determine if the agreement contains a lease.</w:t>
      </w:r>
    </w:p>
    <w:p>
      <w:pPr>
        <w:spacing w:after="0" w:line="174"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New York lease. </w:t>
      </w:r>
      <w:r>
        <w:rPr>
          <w:rFonts w:ascii="Times New Roman" w:cs="Times New Roman" w:eastAsia="Times New Roman" w:hAnsi="Times New Roman"/>
          <w:sz w:val="18"/>
          <w:szCs w:val="18"/>
          <w:color w:val="auto"/>
        </w:rPr>
        <w:t>In February 2019, the Company entered into an agreement to lease a building to be used as a corporate headquarters office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manufacturing facility in Mitchell Field, NY (“New York lease”). The New York lease expires September 30, 2029 and contains renewal options, early termination, rent abatement, and escalation clauses that are factored into our determination of lease payments when appropriate. We include options to extend or terminate leases in the Right-of-Use (“ROU”) operating lease asset and liability when it is reasonably certain we will exercise these options. As of January 31, 2024, lease options were not included in the calculation of the ROU operating lease asset and liability. ROU assets and lease liabilities are recorded based on the present value of future lease payments which will factor in certain qualifying initial direct costs incurred as well as any lease incentives that may have been received. Lease expenses for operating lease payments are recognized on a straight-line basis over the lease term.</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California lease</w:t>
      </w:r>
      <w:r>
        <w:rPr>
          <w:rFonts w:ascii="Times New Roman" w:cs="Times New Roman" w:eastAsia="Times New Roman" w:hAnsi="Times New Roman"/>
          <w:sz w:val="18"/>
          <w:szCs w:val="18"/>
          <w:color w:val="auto"/>
        </w:rPr>
        <w:t>. In October 2017, the Company entered into an agreement to lease a building to be used as an office and manufacturing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facility in Garden Grove, CA (“California lease”). The California lease expires January 31, 2025 and contains renewal options, early termination, rent abatement, and escalation clauses that are factored into our determination of lease payments when appropriate. We include options to extend or terminate leases in the ROU operating lease asset and liability when it is reasonably certain we will exercise these options. As of January 31, 2024, lease options were not included in the calculation of the ROU operating lease asset and liability. ROU assets and lease liabilities are recorded based on the present value of future lease payments which will factor in certain qualifying initial direct costs incurred as well as any lease incentives that may have been received. Lease expenses for operating lease payments are recognized on a straight-line basis over the lease term.</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New Jersey lease</w:t>
      </w:r>
      <w:r>
        <w:rPr>
          <w:rFonts w:ascii="Times New Roman" w:cs="Times New Roman" w:eastAsia="Times New Roman" w:hAnsi="Times New Roman"/>
          <w:sz w:val="18"/>
          <w:szCs w:val="18"/>
          <w:color w:val="auto"/>
        </w:rPr>
        <w:t>. In February 2022, the Company entered into an agreement to lease a building to be used as an office and manufacturing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facility in Northvale, NJ (“New Jersey lease”). The New Jersey lease expires January 31, 2025 and contains renewal options, early termination, rent abatement, and escalation clauses that are factored into our determination of lease payments when appropriate. We include options to extend or terminate leases in the ROU operating lease asset and liability when it is reasonably certain we will exercise these options. As of January 31, 2024, lease options were not included in the calculation of the ROU operating lease asset and liability. ROU assets and lease liabilities are recorded based on the present value of future lease payments which will factor in certain qualifying initial direct costs incurred as well as any lease incentives that may have been received. Lease expenses for operating lease payments are recognized on a straight-line basis over the lease term.</w:t>
      </w:r>
    </w:p>
    <w:p>
      <w:pPr>
        <w:spacing w:after="0" w:line="18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elected the practical expedient for short-term leases which allows leases with terms of 12 months or less to be recorded on a straight-line basis over the lease term without being recognized on the consolidated balance sheets.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table below presents ROU assets and liabilities recorded on the respective consolidated balance sheets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40" w:type="dxa"/>
            <w:vAlign w:val="bottom"/>
          </w:tcPr>
          <w:p>
            <w:pPr>
              <w:spacing w:after="0"/>
              <w:rPr>
                <w:sz w:val="20"/>
                <w:szCs w:val="20"/>
                <w:color w:val="auto"/>
              </w:rPr>
            </w:pPr>
          </w:p>
        </w:tc>
        <w:tc>
          <w:tcPr>
            <w:tcW w:w="372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0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January 31, 2024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30, 2023</w:t>
            </w:r>
          </w:p>
        </w:tc>
        <w:tc>
          <w:tcPr>
            <w:tcW w:w="0" w:type="dxa"/>
            <w:vAlign w:val="bottom"/>
          </w:tcPr>
          <w:p>
            <w:pPr>
              <w:spacing w:after="0"/>
              <w:rPr>
                <w:sz w:val="1"/>
                <w:szCs w:val="1"/>
                <w:color w:val="auto"/>
              </w:rPr>
            </w:pPr>
          </w:p>
        </w:tc>
      </w:tr>
      <w:tr>
        <w:trPr>
          <w:trHeight w:val="209"/>
        </w:trPr>
        <w:tc>
          <w:tcPr>
            <w:tcW w:w="344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3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lease ROU assets</w:t>
            </w:r>
          </w:p>
        </w:tc>
        <w:tc>
          <w:tcPr>
            <w:tcW w:w="42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ROU assets - operating leases</w:t>
            </w:r>
          </w:p>
        </w:tc>
        <w:tc>
          <w:tcPr>
            <w:tcW w:w="66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6,323</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3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4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liabilities (short-term)</w:t>
            </w:r>
          </w:p>
        </w:tc>
        <w:tc>
          <w:tcPr>
            <w:tcW w:w="42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Operating lease liability - current portion</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426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Operating lease liability - non-current portion</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4,716</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lease liabilities</w:t>
            </w:r>
          </w:p>
        </w:tc>
        <w:tc>
          <w:tcPr>
            <w:tcW w:w="5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66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6,499</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4260" w:type="dxa"/>
            <w:vAlign w:val="bottom"/>
            <w:gridSpan w:val="2"/>
            <w:vMerge w:val="restart"/>
          </w:tcPr>
          <w:p>
            <w:pPr>
              <w:jc w:val="right"/>
              <w:ind w:right="20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2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4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7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60" w:top="121"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Total operating lease expense was $0.5 million and $1.4 million for the three and nine months ended January 31, 2024, respectively, the majority of which is included in cost of revenues and the remaining amount in selling and administrative expenses on the unaudited condensed consolidated statements of operations. Total operating lease expense was $0.5 million and $1.4 million for the three and nine months ended January 31, 2023, respectively, the majority of which is included in cost of revenues and the remaining amount in selling and administrative expenses on the unaudited condensed consolidated statements of operations.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reconciles the undiscounted cash flows for each of the first four fiscal years and total of the remaining fiscal years to the operating lease liabilities recorded on the unaudited condensed consolidated balance sheet as of January 31, 2024:</w:t>
      </w:r>
    </w:p>
    <w:p>
      <w:pPr>
        <w:spacing w:after="0" w:line="158"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760" w:type="dxa"/>
            <w:vAlign w:val="bottom"/>
            <w:gridSpan w:val="2"/>
          </w:tcPr>
          <w:p>
            <w:pPr>
              <w:jc w:val="right"/>
              <w:ind w:right="2320"/>
              <w:spacing w:after="0"/>
              <w:rPr>
                <w:sz w:val="20"/>
                <w:szCs w:val="20"/>
                <w:color w:val="auto"/>
              </w:rPr>
            </w:pPr>
            <w:r>
              <w:rPr>
                <w:rFonts w:ascii="Times New Roman" w:cs="Times New Roman" w:eastAsia="Times New Roman" w:hAnsi="Times New Roman"/>
                <w:sz w:val="18"/>
                <w:szCs w:val="18"/>
                <w:b w:val="1"/>
                <w:bCs w:val="1"/>
                <w:color w:val="auto"/>
              </w:rPr>
              <w:t>Fiscal Year Ending April 30,</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760" w:type="dxa"/>
            <w:vAlign w:val="bottom"/>
            <w:gridSpan w:val="2"/>
          </w:tcPr>
          <w:p>
            <w:pPr>
              <w:jc w:val="right"/>
              <w:ind w:right="29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in thousands</w:t>
            </w:r>
            <w:r>
              <w:rPr>
                <w:rFonts w:ascii="Times New Roman" w:cs="Times New Roman" w:eastAsia="Times New Roman" w:hAnsi="Times New Roman"/>
                <w:sz w:val="18"/>
                <w:szCs w:val="18"/>
                <w:b w:val="1"/>
                <w:bCs w:val="1"/>
                <w:color w:val="auto"/>
              </w:rPr>
              <w:t>)</w:t>
            </w: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2024</w:t>
            </w:r>
          </w:p>
        </w:tc>
        <w:tc>
          <w:tcPr>
            <w:tcW w:w="47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4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4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4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2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4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4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future lease payments</w:t>
            </w:r>
          </w:p>
        </w:tc>
        <w:tc>
          <w:tcPr>
            <w:tcW w:w="42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obligations under leases</w:t>
            </w:r>
          </w:p>
        </w:tc>
        <w:tc>
          <w:tcPr>
            <w:tcW w:w="4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47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4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As of January 31, 2024 and 2023, the weighted-average remaining lease term for all operating leases was 5.12 years and 5.79 years, respectively. The Company does not generally have access to the rate implicit in the leases and therefore selected a rate that is reflective of companies with similar credit ratings for secured debt as the discount rate. The weighted average discount rate for operating leases as of January 31, 2024 and 2023, was 6.31% and 6.21%,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G – SEGMENT INFORMATION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Company operates under two reportable segments based on the geographic locations of its subsidiaries:</w:t>
      </w:r>
    </w:p>
    <w:p>
      <w:pPr>
        <w:spacing w:after="0" w:line="225" w:lineRule="exact"/>
        <w:rPr>
          <w:sz w:val="20"/>
          <w:szCs w:val="20"/>
          <w:color w:val="auto"/>
        </w:rPr>
      </w:pPr>
    </w:p>
    <w:p>
      <w:pPr>
        <w:jc w:val="both"/>
        <w:ind w:left="1100" w:right="20" w:hanging="679"/>
        <w:spacing w:after="0" w:line="266" w:lineRule="auto"/>
        <w:tabs>
          <w:tab w:leader="none" w:pos="11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FEI-NY – operates out of New York and its operations consist principally of precision time and frequency control products used in three principal markets: communication satellites (both commercial and U.S. Government-funded); terrestrial cellular telephone or other ground-based telecommunication stations; and other components and systems for the U.S. military.</w:t>
      </w:r>
    </w:p>
    <w:p>
      <w:pPr>
        <w:spacing w:after="0" w:line="175" w:lineRule="exact"/>
        <w:rPr>
          <w:rFonts w:ascii="Times New Roman" w:cs="Times New Roman" w:eastAsia="Times New Roman" w:hAnsi="Times New Roman"/>
          <w:sz w:val="18"/>
          <w:szCs w:val="18"/>
          <w:color w:val="auto"/>
        </w:rPr>
      </w:pPr>
    </w:p>
    <w:p>
      <w:pPr>
        <w:ind w:left="110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FEI-NY segment also includes the operations of the Company’s wholly owned subsidiary, FEI-Elcom. FEI-Elcom, in addition to its own product line, provides design and technical support for the FEI-NY segment’s communication satellite business.</w:t>
      </w:r>
    </w:p>
    <w:p>
      <w:pPr>
        <w:spacing w:after="0" w:line="161" w:lineRule="exact"/>
        <w:rPr>
          <w:rFonts w:ascii="Times New Roman" w:cs="Times New Roman" w:eastAsia="Times New Roman" w:hAnsi="Times New Roman"/>
          <w:sz w:val="18"/>
          <w:szCs w:val="18"/>
          <w:color w:val="auto"/>
        </w:rPr>
      </w:pPr>
    </w:p>
    <w:p>
      <w:pPr>
        <w:jc w:val="both"/>
        <w:ind w:left="1100" w:right="20" w:hanging="679"/>
        <w:spacing w:after="0" w:line="261" w:lineRule="auto"/>
        <w:tabs>
          <w:tab w:leader="none" w:pos="11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FEI-Zyfer – operates out of California and its products incorporate Global Positioning System (GPS) technologies into systems and subsystems for secure communications, both government and commercial, and other locator applications. This segment also provides sales and support for the Company’s wireline telecommunications family of products, including US5G, which are sold in the U.S. market.</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measures segment performance based on total revenues and profits generated by each geographic location rather than on the specific types of customers or end-users. Consequently, the Company determined that the segments indicated above most appropriately reflect the way the Company’s management views the business.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accounting policies of the two segments are the same as those described in “Note 1. Summary of Accounting Policies” to the consolidated financial statements included in the Form 10-K. The Company evaluates the performance of its segments and allocates resources to them based on operating profit (loss), which is defined as income before investment (expense) income, interest expense, other income (expense), and taxes. All acquired assets, including intangible assets, are included in the assets of the applicable reporting segment.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tables below present information about reported segments with reconciliation of segment amounts to consolidated amounts as reported in the condensed consolidated statements of operations or the consolidated balance sheets for each of the periods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6"/>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Periods ended January 31,</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gridSpan w:val="6"/>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gridSpan w:val="5"/>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15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60" w:type="dxa"/>
            <w:vAlign w:val="bottom"/>
            <w:vMerge w:val="continue"/>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1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11,610</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8,420</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30,372</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FEI-Zyfer</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intersegment revenues</w:t>
            </w: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(1,299)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(953)</w:t>
            </w:r>
          </w:p>
        </w:tc>
        <w:tc>
          <w:tcPr>
            <w:tcW w:w="0" w:type="dxa"/>
            <w:vAlign w:val="bottom"/>
          </w:tcPr>
          <w:p>
            <w:pPr>
              <w:spacing w:after="0"/>
              <w:rPr>
                <w:sz w:val="1"/>
                <w:szCs w:val="1"/>
                <w:color w:val="auto"/>
              </w:rPr>
            </w:pPr>
          </w:p>
        </w:tc>
      </w:tr>
      <w:tr>
        <w:trPr>
          <w:trHeight w:val="20"/>
        </w:trPr>
        <w:tc>
          <w:tcPr>
            <w:tcW w:w="426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revenues</w:t>
            </w: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13,714</w:t>
            </w:r>
          </w:p>
        </w:tc>
        <w:tc>
          <w:tcPr>
            <w:tcW w:w="14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10,620</w:t>
            </w: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39,698</w:t>
            </w: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6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1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(3,690)</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FEI-Zyfer</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(1,170)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(1,125)</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intersegment revenues</w:t>
            </w: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Corporate</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operating (loss) income</w:t>
            </w:r>
          </w:p>
        </w:tc>
        <w:tc>
          <w:tcPr>
            <w:tcW w:w="1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(473)</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1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(5,065)</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January 31,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Identifiable assets:</w:t>
            </w: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0"/>
                <w:szCs w:val="20"/>
                <w:color w:val="auto"/>
              </w:rPr>
            </w:pPr>
          </w:p>
        </w:tc>
        <w:tc>
          <w:tcPr>
            <w:tcW w:w="39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April 30, 2023</w:t>
            </w:r>
          </w:p>
        </w:tc>
        <w:tc>
          <w:tcPr>
            <w:tcW w:w="0" w:type="dxa"/>
            <w:vAlign w:val="bottom"/>
          </w:tcPr>
          <w:p>
            <w:pPr>
              <w:spacing w:after="0"/>
              <w:rPr>
                <w:sz w:val="1"/>
                <w:szCs w:val="1"/>
                <w:color w:val="auto"/>
              </w:rPr>
            </w:pPr>
          </w:p>
        </w:tc>
      </w:tr>
      <w:tr>
        <w:trPr>
          <w:trHeight w:val="210"/>
        </w:trPr>
        <w:tc>
          <w:tcPr>
            <w:tcW w:w="4060" w:type="dxa"/>
            <w:vAlign w:val="bottom"/>
            <w:vMerge w:val="continue"/>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36,895</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39,005</w:t>
            </w:r>
          </w:p>
        </w:tc>
        <w:tc>
          <w:tcPr>
            <w:tcW w:w="2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FEI-Zyfer</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10,699</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intersegment balances</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80" w:type="dxa"/>
            <w:vAlign w:val="bottom"/>
            <w:gridSpan w:val="2"/>
            <w:shd w:val="clear" w:color="auto" w:fill="CCEEFF"/>
          </w:tcPr>
          <w:p>
            <w:pPr>
              <w:jc w:val="right"/>
              <w:ind w:right="266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Corporate</w:t>
            </w:r>
          </w:p>
        </w:tc>
        <w:tc>
          <w:tcPr>
            <w:tcW w:w="17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24,850</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identifiable assets</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77,744</w:t>
            </w:r>
          </w:p>
        </w:tc>
        <w:tc>
          <w:tcPr>
            <w:tcW w:w="14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74,496</w:t>
            </w:r>
          </w:p>
        </w:tc>
        <w:tc>
          <w:tcPr>
            <w:tcW w:w="2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5299710</wp:posOffset>
            </wp:positionH>
            <wp:positionV relativeFrom="paragraph">
              <wp:posOffset>-719455</wp:posOffset>
            </wp:positionV>
            <wp:extent cx="166306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63065" cy="137160"/>
                    </a:xfrm>
                    <a:prstGeom prst="rect">
                      <a:avLst/>
                    </a:prstGeom>
                    <a:noFill/>
                  </pic:spPr>
                </pic:pic>
              </a:graphicData>
            </a:graphic>
          </wp:anchor>
        </w:drawing>
        <w:drawing>
          <wp:anchor simplePos="0" relativeHeight="251657728" behindDoc="1" locked="0" layoutInCell="0" allowOverlap="1">
            <wp:simplePos x="0" y="0"/>
            <wp:positionH relativeFrom="column">
              <wp:posOffset>5299710</wp:posOffset>
            </wp:positionH>
            <wp:positionV relativeFrom="paragraph">
              <wp:posOffset>-445135</wp:posOffset>
            </wp:positionV>
            <wp:extent cx="166306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63065" cy="137160"/>
                    </a:xfrm>
                    <a:prstGeom prst="rect">
                      <a:avLst/>
                    </a:prstGeom>
                    <a:noFill/>
                  </pic:spPr>
                </pic:pic>
              </a:graphicData>
            </a:graphic>
          </wp:anchor>
        </w:drawing>
        <w:drawing>
          <wp:anchor simplePos="0" relativeHeight="251657728" behindDoc="1" locked="0" layoutInCell="0" allowOverlap="1">
            <wp:simplePos x="0" y="0"/>
            <wp:positionH relativeFrom="column">
              <wp:posOffset>5299710</wp:posOffset>
            </wp:positionH>
            <wp:positionV relativeFrom="paragraph">
              <wp:posOffset>-161925</wp:posOffset>
            </wp:positionV>
            <wp:extent cx="1663065"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63065" cy="162560"/>
                    </a:xfrm>
                    <a:prstGeom prst="rect">
                      <a:avLst/>
                    </a:prstGeom>
                    <a:noFill/>
                  </pic:spPr>
                </pic:pic>
              </a:graphicData>
            </a:graphic>
          </wp:anchor>
        </w:drawing>
      </w:r>
    </w:p>
    <w:p>
      <w:pPr>
        <w:spacing w:after="0" w:line="17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Total revenue recognized over time as POC and Passage of Title (“POT”) was approximately $12.9 million and $0.8 million, respectively, of the $13.7 million reported for the three months ended January 31, 2024. Total revenue recognized over time as POC and POT was approximately $37.0 million and $2.7 million, respectively, of the $39.7 million reported for the nine months ended January 31, 2024. Total revenue recognized over time as POC and POT was approximately $10.2 million and $0.4 million, respectively, of the $10.6 million reported for the three months ended January 31, 2023. Total revenue recognized over time as POC and POT was approximately $26.8 million and $1.0 million, respectively, of the $27.8 million</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reported for the nine months ended January 31, 2023. The amounts by segment and product line were as follows (in thousands):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2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10"/>
          </w:tcPr>
          <w:p>
            <w:pPr>
              <w:ind w:left="820"/>
              <w:spacing w:after="0"/>
              <w:rPr>
                <w:sz w:val="20"/>
                <w:szCs w:val="20"/>
                <w:color w:val="auto"/>
              </w:rPr>
            </w:pPr>
            <w:r>
              <w:rPr>
                <w:rFonts w:ascii="Times New Roman" w:cs="Times New Roman" w:eastAsia="Times New Roman" w:hAnsi="Times New Roman"/>
                <w:sz w:val="18"/>
                <w:szCs w:val="18"/>
                <w:b w:val="1"/>
                <w:bCs w:val="1"/>
                <w:color w:val="auto"/>
              </w:rPr>
              <w:t>Three Months Ended January 31,</w:t>
            </w: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2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7"/>
        </w:trPr>
        <w:tc>
          <w:tcPr>
            <w:tcW w:w="24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POC</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ind w:left="180"/>
              <w:spacing w:after="0" w:line="188" w:lineRule="exact"/>
              <w:rPr>
                <w:sz w:val="20"/>
                <w:szCs w:val="20"/>
                <w:color w:val="auto"/>
              </w:rPr>
            </w:pPr>
            <w:r>
              <w:rPr>
                <w:rFonts w:ascii="Times New Roman" w:cs="Times New Roman" w:eastAsia="Times New Roman" w:hAnsi="Times New Roman"/>
                <w:sz w:val="18"/>
                <w:szCs w:val="18"/>
                <w:b w:val="1"/>
                <w:bCs w:val="1"/>
                <w:color w:val="auto"/>
              </w:rPr>
              <w:t>POT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ind w:left="180"/>
              <w:spacing w:after="0" w:line="188" w:lineRule="exact"/>
              <w:rPr>
                <w:sz w:val="20"/>
                <w:szCs w:val="20"/>
                <w:color w:val="auto"/>
              </w:rPr>
            </w:pPr>
            <w:r>
              <w:rPr>
                <w:rFonts w:ascii="Times New Roman" w:cs="Times New Roman" w:eastAsia="Times New Roman" w:hAnsi="Times New Roman"/>
                <w:sz w:val="18"/>
                <w:szCs w:val="18"/>
                <w:b w:val="1"/>
                <w:bCs w:val="1"/>
                <w:color w:val="auto"/>
              </w:rPr>
              <w:t>POC</w:t>
            </w:r>
          </w:p>
        </w:tc>
        <w:tc>
          <w:tcPr>
            <w:tcW w:w="120" w:type="dxa"/>
            <w:vAlign w:val="bottom"/>
          </w:tcPr>
          <w:p>
            <w:pPr>
              <w:spacing w:after="0"/>
              <w:rPr>
                <w:sz w:val="16"/>
                <w:szCs w:val="16"/>
                <w:color w:val="auto"/>
              </w:rPr>
            </w:pPr>
          </w:p>
        </w:tc>
        <w:tc>
          <w:tcPr>
            <w:tcW w:w="980" w:type="dxa"/>
            <w:vAlign w:val="bottom"/>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7"/>
              </w:rPr>
              <w:t>POT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6"/>
                <w:szCs w:val="16"/>
                <w:color w:val="auto"/>
              </w:rPr>
            </w:pPr>
          </w:p>
        </w:tc>
      </w:tr>
      <w:tr>
        <w:trPr>
          <w:trHeight w:val="238"/>
        </w:trPr>
        <w:tc>
          <w:tcPr>
            <w:tcW w:w="24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0" w:type="dxa"/>
            <w:vAlign w:val="bottom"/>
          </w:tcPr>
          <w:p>
            <w:pPr>
              <w:spacing w:after="0"/>
              <w:rPr>
                <w:sz w:val="20"/>
                <w:szCs w:val="20"/>
                <w:color w:val="auto"/>
              </w:rPr>
            </w:pPr>
          </w:p>
        </w:tc>
      </w:tr>
      <w:tr>
        <w:trPr>
          <w:trHeight w:val="210"/>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9,687</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11,610</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7,830</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8,420</w:t>
            </w:r>
          </w:p>
        </w:tc>
        <w:tc>
          <w:tcPr>
            <w:tcW w:w="100" w:type="dxa"/>
            <w:vAlign w:val="bottom"/>
            <w:shd w:val="clear" w:color="auto" w:fill="CCEEFF"/>
          </w:tcPr>
          <w:p>
            <w:pPr>
              <w:spacing w:after="0"/>
              <w:rPr>
                <w:sz w:val="18"/>
                <w:szCs w:val="18"/>
                <w:color w:val="auto"/>
              </w:rPr>
            </w:pP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FEI-Zyfer</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100" w:type="dxa"/>
            <w:vAlign w:val="bottom"/>
          </w:tcPr>
          <w:p>
            <w:pPr>
              <w:spacing w:after="0"/>
              <w:rPr>
                <w:sz w:val="18"/>
                <w:szCs w:val="18"/>
                <w:color w:val="auto"/>
              </w:rPr>
            </w:pPr>
          </w:p>
        </w:tc>
      </w:tr>
      <w:tr>
        <w:trPr>
          <w:trHeight w:val="216"/>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(1,299)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(1,299)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(280)</w:t>
            </w:r>
          </w:p>
        </w:tc>
      </w:tr>
      <w:tr>
        <w:trPr>
          <w:trHeight w:val="20"/>
        </w:trPr>
        <w:tc>
          <w:tcPr>
            <w:tcW w:w="240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12,947</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13,714</w:t>
            </w:r>
          </w:p>
        </w:tc>
        <w:tc>
          <w:tcPr>
            <w:tcW w:w="12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10,217</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10,620</w:t>
            </w:r>
          </w:p>
        </w:tc>
        <w:tc>
          <w:tcPr>
            <w:tcW w:w="100" w:type="dxa"/>
            <w:vAlign w:val="bottom"/>
          </w:tcPr>
          <w:p>
            <w:pPr>
              <w:spacing w:after="0"/>
              <w:rPr>
                <w:sz w:val="18"/>
                <w:szCs w:val="18"/>
                <w:color w:val="auto"/>
              </w:rPr>
            </w:pPr>
          </w:p>
        </w:tc>
      </w:tr>
      <w:tr>
        <w:trPr>
          <w:trHeight w:val="20"/>
        </w:trPr>
        <w:tc>
          <w:tcPr>
            <w:tcW w:w="2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2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240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r>
    </w:tbl>
    <w:p>
      <w:pPr>
        <w:sectPr>
          <w:pgSz w:w="11900" w:h="16838" w:orient="portrait"/>
          <w:cols w:equalWidth="0" w:num="1">
            <w:col w:w="10980"/>
          </w:cols>
          <w:pgMar w:left="460" w:top="121"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1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9"/>
              </w:rPr>
              <w:t>Nine Months Ended January 31,</w:t>
            </w: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POC</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4"/>
          </w:tcPr>
          <w:p>
            <w:pPr>
              <w:ind w:left="180"/>
              <w:spacing w:after="0" w:line="188" w:lineRule="exact"/>
              <w:rPr>
                <w:sz w:val="20"/>
                <w:szCs w:val="20"/>
                <w:color w:val="auto"/>
              </w:rPr>
            </w:pPr>
            <w:r>
              <w:rPr>
                <w:rFonts w:ascii="Times New Roman" w:cs="Times New Roman" w:eastAsia="Times New Roman" w:hAnsi="Times New Roman"/>
                <w:sz w:val="18"/>
                <w:szCs w:val="18"/>
                <w:b w:val="1"/>
                <w:bCs w:val="1"/>
                <w:color w:val="auto"/>
              </w:rPr>
              <w:t>POT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POC</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tcPr>
          <w:p>
            <w:pPr>
              <w:jc w:val="right"/>
              <w:ind w:right="380"/>
              <w:spacing w:after="0" w:line="188" w:lineRule="exact"/>
              <w:rPr>
                <w:sz w:val="20"/>
                <w:szCs w:val="20"/>
                <w:color w:val="auto"/>
              </w:rPr>
            </w:pPr>
            <w:r>
              <w:rPr>
                <w:rFonts w:ascii="Times New Roman" w:cs="Times New Roman" w:eastAsia="Times New Roman" w:hAnsi="Times New Roman"/>
                <w:sz w:val="18"/>
                <w:szCs w:val="18"/>
                <w:b w:val="1"/>
                <w:bCs w:val="1"/>
                <w:color w:val="auto"/>
              </w:rPr>
              <w:t>POT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26,256</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30,372</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21,281</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8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FEI-Zyfer</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11,426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5,542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(953)</w:t>
            </w:r>
          </w:p>
        </w:tc>
        <w:tc>
          <w:tcPr>
            <w:tcW w:w="0" w:type="dxa"/>
            <w:vAlign w:val="bottom"/>
          </w:tcPr>
          <w:p>
            <w:pPr>
              <w:spacing w:after="0"/>
              <w:rPr>
                <w:sz w:val="1"/>
                <w:szCs w:val="1"/>
                <w:color w:val="auto"/>
              </w:rPr>
            </w:pPr>
          </w:p>
        </w:tc>
      </w:tr>
      <w:tr>
        <w:trPr>
          <w:trHeight w:val="20"/>
        </w:trPr>
        <w:tc>
          <w:tcPr>
            <w:tcW w:w="34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36,965</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80" w:type="dxa"/>
            <w:vAlign w:val="bottom"/>
          </w:tcPr>
          <w:p>
            <w:pPr>
              <w:spacing w:after="0"/>
              <w:rPr>
                <w:sz w:val="18"/>
                <w:szCs w:val="18"/>
                <w:color w:val="auto"/>
              </w:rPr>
            </w:pPr>
          </w:p>
        </w:tc>
        <w:tc>
          <w:tcPr>
            <w:tcW w:w="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39,698</w:t>
            </w:r>
          </w:p>
        </w:tc>
        <w:tc>
          <w:tcPr>
            <w:tcW w:w="12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26,823</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80" w:type="dxa"/>
            <w:vAlign w:val="bottom"/>
          </w:tcPr>
          <w:p>
            <w:pPr>
              <w:spacing w:after="0"/>
              <w:rPr>
                <w:sz w:val="18"/>
                <w:szCs w:val="18"/>
                <w:color w:val="auto"/>
              </w:rPr>
            </w:pPr>
          </w:p>
        </w:tc>
        <w:tc>
          <w:tcPr>
            <w:tcW w:w="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11"/>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9"/>
              </w:rPr>
              <w:t>Periods ended January 31,</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7"/>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 by Product Line: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3"/>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Satellite Revenue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w:t>
            </w:r>
          </w:p>
        </w:tc>
        <w:tc>
          <w:tcPr>
            <w:tcW w:w="120" w:type="dxa"/>
            <w:vAlign w:val="bottom"/>
            <w:shd w:val="clear" w:color="auto" w:fill="CCEEFF"/>
          </w:tcPr>
          <w:p>
            <w:pPr>
              <w:spacing w:after="0"/>
              <w:rPr>
                <w:sz w:val="18"/>
                <w:szCs w:val="18"/>
                <w:color w:val="auto"/>
              </w:rPr>
            </w:pPr>
          </w:p>
        </w:tc>
        <w:tc>
          <w:tcPr>
            <w:tcW w:w="3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Government Non-Space Revenue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Commercial &amp; Industrial Revenue</w:t>
            </w:r>
          </w:p>
        </w:tc>
        <w:tc>
          <w:tcPr>
            <w:tcW w:w="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220" w:type="dxa"/>
            <w:vAlign w:val="bottom"/>
            <w:tcBorders>
              <w:bottom w:val="single" w:sz="8" w:color="auto"/>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revenues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13,714</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10,620</w:t>
            </w:r>
          </w:p>
        </w:tc>
        <w:tc>
          <w:tcPr>
            <w:tcW w:w="12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39,698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As of January 31, 2024, the Company’s consolidated unsatisfied performance obligations were approximately $67 million compared to $57 million at April 30, 2023, the end of fiscal year 2023. Approximately 74% of these unsatisfied performance obligations are expected to be realized in the next twelve months. The Company excludes from the unsatisfied performance obligations any contracts or awards for which it has not received authorization to proceed.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H – INVESTMENT IN MORION, INC.</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an investment in Morion, Inc. (“Morion”), a privately held Russian company, which manufactures high precision quartz resonators and crystal oscillators. The Company has also licensed certain technology to Morion. During the three and nine months ended January 31, 2024, the Company acquired product from Morion in the aggregate amount of approximately $89,000 for both periods. During the three and nine months ended January 31, 2023, the Company acquired product from Morion in the aggregate amount of approximately $55,000 and $86,000, respectively.</w:t>
      </w:r>
    </w:p>
    <w:p>
      <w:pPr>
        <w:spacing w:after="0" w:line="183"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18"/>
          <w:szCs w:val="18"/>
          <w:color w:val="auto"/>
        </w:rPr>
        <w:t>The Company’s investment consists of 4.6% of Morion’s outstanding shares, accordingly, the Company accounts for its investment in Morion on the cost basis. Morion is a less than wholly owned subsidiary of Gazprombank, a state-owned Russian bank. The U.S. Ukraine-related sanctions regime has since 2014 included a list of sectoral sanctions identifications (“SSI”) pursuant to Executive Order 13662, which prohibits certain transactions, including certain extensions of credit, with an entity designated as an SSI or certain affiliates of an entity designated as an SSI. On July 16, 2014, after the Company’s investment in Morion, Gazprombank was designated on the SSI list, per Directive 1 under Executive Order 13662. The U.S. Russian Harmful Foreign Activities sanctions regime has since 2021 included a variety of blocking and other sanctions pursuant to Executive Order 14024. On February 24, 2022, Gazprombank was designated per Directive 3 under Executive Order 14024, which imposes restrictions on dealing in new debt or equity of designated entities and their property interests.</w:t>
      </w:r>
    </w:p>
    <w:p>
      <w:pPr>
        <w:spacing w:after="0" w:line="192"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Due to the current Russia-Ukraine conflict and resulting sanctions, the future status of the Company’s equity investment in Morion is uncertain. In response to these conditions, in connection with the preparation of the audited financial statements included in the Form 10-K for the fiscal year ended April 30, 2022, as amended, the Company impaired its investment in Morion in full. Future sales to, purchases from, and dividend payments from Morion are expected to be limited or non-existent going forward.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I – RESTRICTED CASH</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As of January 31, 2024 restricted cash consisted of approximately $941,000 related to a letter of credit required for contractual restrictions during the period of performance for one of the Company’s contracts. There was no restricted cash in the prior fiscal year. Restricted cash is classified as current or non-current based on the remaining performance period of the contract.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reconciliation of cash and cash equivalents and restricted cash from the condensed consolidated balance sheets to the condensed consolidated statements of cash flows is shown below (in thousands):</w:t>
      </w:r>
    </w:p>
    <w:p>
      <w:pPr>
        <w:spacing w:after="0" w:line="158" w:lineRule="exact"/>
        <w:rPr>
          <w:sz w:val="20"/>
          <w:szCs w:val="20"/>
          <w:color w:val="auto"/>
        </w:rPr>
      </w:pPr>
    </w:p>
    <w:tbl>
      <w:tblPr>
        <w:tblLayout w:type="fixed"/>
        <w:tblInd w:w="110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January 31, 2024</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April 30, 2023</w:t>
            </w:r>
          </w:p>
        </w:tc>
        <w:tc>
          <w:tcPr>
            <w:tcW w:w="80" w:type="dxa"/>
            <w:vAlign w:val="bottom"/>
          </w:tcPr>
          <w:p>
            <w:pPr>
              <w:spacing w:after="0"/>
              <w:rPr>
                <w:sz w:val="20"/>
                <w:szCs w:val="20"/>
                <w:color w:val="auto"/>
              </w:rPr>
            </w:pPr>
          </w:p>
        </w:tc>
      </w:tr>
      <w:tr>
        <w:trPr>
          <w:trHeight w:val="210"/>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11,663</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12,049</w:t>
            </w:r>
          </w:p>
        </w:tc>
        <w:tc>
          <w:tcPr>
            <w:tcW w:w="80" w:type="dxa"/>
            <w:vAlign w:val="bottom"/>
            <w:shd w:val="clear" w:color="auto" w:fill="CCEEFF"/>
          </w:tcPr>
          <w:p>
            <w:pPr>
              <w:spacing w:after="0"/>
              <w:rPr>
                <w:sz w:val="18"/>
                <w:szCs w:val="18"/>
                <w:color w:val="auto"/>
              </w:rPr>
            </w:pPr>
          </w:p>
        </w:tc>
      </w:tr>
      <w:tr>
        <w:trPr>
          <w:trHeight w:val="216"/>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8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29"/>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cash and cash equivalents and restricted cash</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12,604</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12,049</w:t>
            </w:r>
          </w:p>
        </w:tc>
        <w:tc>
          <w:tcPr>
            <w:tcW w:w="80" w:type="dxa"/>
            <w:vAlign w:val="bottom"/>
            <w:shd w:val="clear" w:color="auto" w:fill="CCEEFF"/>
          </w:tcPr>
          <w:p>
            <w:pPr>
              <w:spacing w:after="0"/>
              <w:rPr>
                <w:sz w:val="19"/>
                <w:szCs w:val="19"/>
                <w:color w:val="auto"/>
              </w:rPr>
            </w:pPr>
          </w:p>
        </w:tc>
      </w:tr>
      <w:tr>
        <w:trPr>
          <w:trHeight w:val="20"/>
        </w:trPr>
        <w:tc>
          <w:tcPr>
            <w:tcW w:w="46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J – RECENT ACCOUNTING PRONOUNCEMENTS</w:t>
      </w:r>
    </w:p>
    <w:p>
      <w:pPr>
        <w:spacing w:after="0" w:line="223"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ASU No. 2023-07, </w:t>
      </w:r>
      <w:r>
        <w:rPr>
          <w:rFonts w:ascii="Times New Roman" w:cs="Times New Roman" w:eastAsia="Times New Roman" w:hAnsi="Times New Roman"/>
          <w:sz w:val="18"/>
          <w:szCs w:val="18"/>
          <w:i w:val="1"/>
          <w:iCs w:val="1"/>
          <w:color w:val="auto"/>
        </w:rPr>
        <w:t>Segment Reporting (Topic 280):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to Reportable Segment Disclosures </w:t>
      </w:r>
      <w:r>
        <w:rPr>
          <w:rFonts w:ascii="Times New Roman" w:cs="Times New Roman" w:eastAsia="Times New Roman" w:hAnsi="Times New Roman"/>
          <w:sz w:val="18"/>
          <w:szCs w:val="18"/>
          <w:color w:val="auto"/>
        </w:rPr>
        <w:t>(“ASU 2023-07”), which expands on the required disclosure of incremental segment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new guidance is effective for fiscal years beginning after December 15, 2023, and interim periods within fiscal years beginning after December 15, 2024, with early adoption permitted. The Company expects the new standard to have an immaterial effect on its consolidated financial statements when adopted in fiscal year 2025.</w:t>
      </w:r>
    </w:p>
    <w:p>
      <w:pPr>
        <w:spacing w:after="0" w:line="183"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which requires companies to annually disclose categories in the effective tax rate reconciliation and additional information about income taxes paid. The new guidance is effective for annual periods beginning after December 15, 2024, and interim periods within fiscal years beginning after December 15, 2024, with early adoption permitted. The Company expects the new standard to have an immaterial effect on its consolidated financial statements when adopted in fiscal year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K – CREDIT FACILITY</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As of January 31, 2024, the Company neither had any borrowings nor any borrowing capacity pursuant to a credit facility. As of April 30, 2023, the Company retired its advisory credit arrangement with UBS Bank USA. Prior to retiring the advisory credit arrangement, no borrowings were made during fiscal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L – DEFERRED INCOME TAXES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Deferred income taxes arise from temporary differences between the tax basis of assets and liabilities and their reported amounts in the financial statements, which will result in taxable or deductible amounts in the future.</w:t>
      </w:r>
    </w:p>
    <w:p>
      <w:pPr>
        <w:spacing w:after="0" w:line="162"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As required by the authoritative guidance on accounting for income taxes, we evaluate the realization of deferred tax assets on a jurisdictional basis at each reporting date. We consider all positive and negative evidence, including the reversal of deferred tax liabilities, projected future taxable income, tax planning strategies, and results of recent operations. Accounting for income taxes requires that a valuation allowance be established when it is more likely than not that all or a portion of the deferred tax assets will not be realized. In circumstances where there is sufficient negative evidence indicating that the deferred tax assets will not be realizable, we establish a valuation allowance. As of January 31, 2024, and April 30, 2023, the Company maintained a full valuation allowance against its deferred tax assets. If these estimates and assumptions change in the future, the Company may be required to adjust its existing valuation allowance resulting in changes to deferred income tax expense.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 Discussion and Analysis of Financial Condition and 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“Safe Harbor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Statement under the Private Securities Litigation Reform Act of 1995</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statements in this Quarterly Report on Form 10-Q regarding future earnings and operations and other statements relating to the future constitute “forward-looking” statements pursuant to the safe harbor provisions of the Private Securities Litigation Reform Act of 1995. Forward-looking statements inherently involve risks and uncertainties that could cause actual results to differ materially from the forward-looking statements. Factors that would cause or contribute to such differences include but are not limited to, our inability to integrate operations and personnel, actions by significant customers or competitors, general domestic and international economic conditions, reliance on key customers, including the U.S government, continued acceptance of the Company’s products in the marketplace, competitive factors, new products and technological changes, product prices and raw material costs, dependence upon third-party vendors, competitive developments, changes in manufacturing and transportation costs, the availability of capital, and the outcome of any litigation and arbitration proceedings. The factors listed above are not exhaustive. Other sections of this Form 10-Q and in Part I, Item 1A (Risk Factors) of the Company’s Annual Report on Form 10-K for the fiscal year ended April 30, 2023 (the “Form 10-K”) include additional factors that could materially and adversely impact the Company’s business, financial condition and results of operations. Moreover, the Company operates in a very competitive and rapidly changing environment. New factors emerge from time to time and it is not possible for management to predict the impact of all these factors on the Company’s business, financial condition or results of operations or the extent to which any factor, or combination of factors, may cause actual results to differ materially from those contained in any forward-looking statements. Given these risks and uncertainties, investors should not rely on forward-looking statements as a prediction of actual results. Any or all of the forward-looking statements contained in this Form 10-Q and any other public statement made by the Company or its management may turn out to be incorrect. The Company expressly disclaims any obligation to update or revise any forward-looking statements, whether as a result of new information, future events or otherwise, except as required by law.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believes its most critical accounting policies to be the recognition of revenue and costs on production contracts and the valuation of inventory. Both of these areas require the Company to make use of reasonable estimates including estimating the cost to complete a contract, the realizable value of its inventory and the market value of its products. Changes in estimates can have a material impact on the Company’s financial position and results of operations. The Company’s significant accounting policies did not change during the three and nine months ended January 31, 2024.</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5"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18"/>
          <w:szCs w:val="18"/>
          <w:color w:val="auto"/>
        </w:rPr>
        <w:t>Revenues are reported in operating results predominantly over time using the cost-to-cost method. Under this method, revenue is recorded based upon the ratio that incurred costs bear to total estimated contract costs with related cost of revenues recorded as the costs are incurred. Each month management reviews estimated contract costs through a process of aggregating actual costs incurred and estimating additional costs to completion based upon the current available information regarding labor, outside services, materials, overhead costs, and status of the contract. The effect of any change in the estimated gross margin rate (“GM Rate”) for a contract is reflected in revenues in the period in which the change is known. Provisions for the full amount of anticipated losses on contracts are made in the period in which they become determinable.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Significant judgment is used in evaluating the financial information for certain contracts to determine an appropriate budget and estimated cost. The Company evaluates this information continuously and bases its judgments on historical experience, design specifications, and expected costs for material and labor.</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Inventories</w:t>
      </w:r>
    </w:p>
    <w:p>
      <w:pPr>
        <w:spacing w:after="0" w:line="225"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industry practice, inventoried costs contain amounts relating to contracts and programs with long production cycles, a portion of which will not be realized within one year. Inventory write downs are established for slow-moving materials based on percentage of usage over a ten-year period, obsolete items on a gradual basis over five years with no usage and costs incurred on programs for which production-level orders cannot be determined as probable. Such write-downs are based upon management’s experience and estimates for future business. Any changes arising from revised estimates are reflected in cost of revenues in the period the revision is made.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table below sets forth for the three and nine months ended January 31, 2024 and 2023, respectively, the percentage of consolidated revenues represented by certain items in the Company’s condensed consolidated statements of operations or notes to the condensed consolidated financial statements: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6"/>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6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9"/>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Periods ended January 31,</w:t>
            </w:r>
          </w:p>
        </w:tc>
        <w:tc>
          <w:tcPr>
            <w:tcW w:w="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Borders>
              <w:bottom w:val="single" w:sz="8" w:color="auto"/>
            </w:tcBorders>
            <w:gridSpan w:val="4"/>
          </w:tcPr>
          <w:p>
            <w:pPr>
              <w:jc w:val="right"/>
              <w:ind w:right="275"/>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w w:val="77"/>
              </w:rPr>
              <w:t>2023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8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84.7%</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79.3%</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76.5%</w:t>
            </w:r>
          </w:p>
        </w:tc>
        <w:tc>
          <w:tcPr>
            <w:tcW w:w="2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FEI-Zyfer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intersegment revenues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2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67.4</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right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(loss) income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(loss), net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right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4"/>
          </w:tcPr>
          <w:p>
            <w:pPr>
              <w:jc w:val="right"/>
              <w:ind w:right="39"/>
              <w:spacing w:after="0"/>
              <w:rPr>
                <w:sz w:val="20"/>
                <w:szCs w:val="20"/>
                <w:color w:val="auto"/>
              </w:rPr>
            </w:pPr>
            <w:r>
              <w:rPr>
                <w:rFonts w:ascii="Times New Roman" w:cs="Times New Roman" w:eastAsia="Times New Roman" w:hAnsi="Times New Roman"/>
                <w:sz w:val="18"/>
                <w:szCs w:val="18"/>
                <w:color w:val="auto"/>
              </w:rPr>
              <w:t>(3.0)%</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39"/>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0"/>
        </w:trPr>
        <w:tc>
          <w:tcPr>
            <w:tcW w:w="30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08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7"/>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Three months</w:t>
            </w: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7"/>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Nine months</w:t>
            </w: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8"/>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Periods ended January 31,</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7"/>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6"/>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7"/>
                <w:szCs w:val="17"/>
                <w:color w:val="auto"/>
              </w:rPr>
            </w:pPr>
          </w:p>
        </w:tc>
        <w:tc>
          <w:tcPr>
            <w:tcW w:w="660" w:type="dxa"/>
            <w:vAlign w:val="bottom"/>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4"/>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FEI-NY</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11,610</w:t>
            </w:r>
          </w:p>
        </w:tc>
        <w:tc>
          <w:tcPr>
            <w:tcW w:w="1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8,420</w:t>
            </w:r>
          </w:p>
        </w:tc>
        <w:tc>
          <w:tcPr>
            <w:tcW w:w="1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3,190</w:t>
            </w:r>
          </w:p>
        </w:tc>
        <w:tc>
          <w:tcPr>
            <w:tcW w:w="10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37.9%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30,372</w:t>
            </w: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22,954</w:t>
            </w:r>
          </w:p>
        </w:tc>
        <w:tc>
          <w:tcPr>
            <w:tcW w:w="8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7,418</w:t>
            </w:r>
          </w:p>
        </w:tc>
        <w:tc>
          <w:tcPr>
            <w:tcW w:w="220" w:type="dxa"/>
            <w:vAlign w:val="bottom"/>
            <w:tcBorders>
              <w:right w:val="single" w:sz="8" w:color="CCEEFF"/>
            </w:tcBorders>
            <w:shd w:val="clear" w:color="auto" w:fill="CCEEFF"/>
          </w:tcPr>
          <w:p>
            <w:pPr>
              <w:spacing w:after="0"/>
              <w:rPr>
                <w:sz w:val="17"/>
                <w:szCs w:val="17"/>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FEI-Zyfer</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923</w:t>
            </w:r>
          </w:p>
        </w:tc>
        <w:tc>
          <w:tcPr>
            <w:tcW w:w="100" w:type="dxa"/>
            <w:vAlign w:val="bottom"/>
          </w:tcPr>
          <w:p>
            <w:pPr>
              <w:spacing w:after="0"/>
              <w:rPr>
                <w:sz w:val="17"/>
                <w:szCs w:val="17"/>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37.2</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11,426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5,654</w:t>
            </w:r>
          </w:p>
        </w:tc>
        <w:tc>
          <w:tcPr>
            <w:tcW w:w="22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Intersegment revenues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(1,299)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(280)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(1,019)</w:t>
            </w: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363.9</w:t>
            </w:r>
          </w:p>
        </w:tc>
        <w:tc>
          <w:tcPr>
            <w:tcW w:w="2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(2,100)</w:t>
            </w:r>
          </w:p>
        </w:tc>
        <w:tc>
          <w:tcPr>
            <w:tcW w:w="1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(953)</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tcBorders>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(1,147)</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3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13,714</w:t>
            </w:r>
          </w:p>
        </w:tc>
        <w:tc>
          <w:tcPr>
            <w:tcW w:w="140" w:type="dxa"/>
            <w:vAlign w:val="bottom"/>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10,620</w:t>
            </w:r>
          </w:p>
        </w:tc>
        <w:tc>
          <w:tcPr>
            <w:tcW w:w="12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3,094</w:t>
            </w:r>
          </w:p>
        </w:tc>
        <w:tc>
          <w:tcPr>
            <w:tcW w:w="100" w:type="dxa"/>
            <w:vAlign w:val="bottom"/>
          </w:tcPr>
          <w:p>
            <w:pPr>
              <w:spacing w:after="0"/>
              <w:rPr>
                <w:sz w:val="17"/>
                <w:szCs w:val="17"/>
                <w:color w:val="auto"/>
              </w:rPr>
            </w:pPr>
          </w:p>
        </w:tc>
        <w:tc>
          <w:tcPr>
            <w:tcW w:w="1120" w:type="dxa"/>
            <w:vAlign w:val="bottom"/>
            <w:gridSpan w:val="4"/>
          </w:tcPr>
          <w:p>
            <w:pPr>
              <w:jc w:val="right"/>
              <w:ind w:right="120"/>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39,698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27,773</w:t>
            </w:r>
          </w:p>
        </w:tc>
        <w:tc>
          <w:tcPr>
            <w:tcW w:w="80" w:type="dxa"/>
            <w:vAlign w:val="bottom"/>
          </w:tcPr>
          <w:p>
            <w:pPr>
              <w:spacing w:after="0"/>
              <w:rPr>
                <w:sz w:val="17"/>
                <w:szCs w:val="17"/>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11,925</w:t>
            </w:r>
          </w:p>
        </w:tc>
        <w:tc>
          <w:tcPr>
            <w:tcW w:w="220" w:type="dxa"/>
            <w:vAlign w:val="bottom"/>
          </w:tcPr>
          <w:p>
            <w:pPr>
              <w:spacing w:after="0"/>
              <w:rPr>
                <w:sz w:val="17"/>
                <w:szCs w:val="17"/>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the three months ended January 31, 2024, revenues from commercial and U.S. Government communication satellite programs accounted for approximately 50% of consolidated revenues compared to approximately 47% of consolidated revenues during this same period in the prior fiscal year. Revenues are recognized primarily over time under the percentage-of-completion (“POC”) method. Revenues from the satellite market are recorded in the FEI-NY segment. Revenues from non-space U.S. Government/Department of Defense (“DOD”) customers, which are recorded in both the FEI-NY and FEI-Zyfer segments, accounted for approximately 44% of consolidated revenues for the three months ended January, 31, 2024 compared to approximately 47% of consolidated revenue during the same period in the prior fiscal year. Other commercial and industrial revenues for the three months ended January 31, 2024 accounted for approximately 7% of consolidated revenue compared to 6% in the same period of the prior fiscal year. The significant increase in revenue for this quarter, compared to the same quarter in the previous fiscal year, was reflected in both segments and primarily related to increases in government space of approximately $1.8 million in sales from space U.S. Government customers and approximately $1.0 million in sales from non-space U.S. government customers.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7"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18"/>
          <w:szCs w:val="18"/>
          <w:color w:val="auto"/>
        </w:rPr>
        <w:t>For the nine months ended January 31, 2024, revenues from commercial and U.S. Government communication satellite programs accounted for approximately 41% of consolidated revenues compared to approximately 46% of consolidated revenues during this same period in the prior fiscal year. Revenues are recognized primarily over time under the POC method. Revenues from the satellite market are recorded in the FEI-NY segment. Revenues from non-space U.S. Government/DOD customers, which are recorded in both the FEI-NY and FEI-Zyfer segments, accounted for approximately 53% of consolidated revenues for the nine months ended January, 31, 2024 compared to approximately 47% of consolidated revenue during the same period in the prior fiscal year. Other commercial and industrial revenues for the nine months ended January 31, 2024 accounted for approximately 6% of consolidated revenue compared to 7% in the same period of the prior fiscal year. The significant increase in revenue for this period, compared to the same period in the previous fiscal year, was reflected in both segments and primarily related to contract awards from prior periods that have moved into production.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53"/>
        </w:trPr>
        <w:tc>
          <w:tcPr>
            <w:tcW w:w="1060" w:type="dxa"/>
            <w:vAlign w:val="bottom"/>
            <w:tcBorders>
              <w:top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9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10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09"/>
        </w:trPr>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5"/>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Periods ended January 31,</w:t>
            </w: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4"/>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2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(361)</w:t>
            </w:r>
          </w:p>
        </w:tc>
        <w:tc>
          <w:tcPr>
            <w:tcW w:w="1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 $   12,302</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w:t>
            </w: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8,492</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222.9%</w:t>
            </w:r>
          </w:p>
        </w:tc>
      </w:tr>
      <w:tr>
        <w:trPr>
          <w:trHeight w:val="234"/>
        </w:trPr>
        <w:tc>
          <w:tcPr>
            <w:tcW w:w="2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Gross margin rate</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32.6%</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9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31.0%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13.7%</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79"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For the three months ended January 31, 2024, gross margin (“GM”) decreased and GM Rate decreased compared to the same period in the prior fiscal year. The GM dollars and the GM Rate decreased due to un-anticipated costs associated with fixed price and customer funded new product development. For the nine months ended January 31, 2024, GM and GM Rate increased compared to the same period in the prior fiscal year. Despite the issue noted above with respect to the new product development costs during the quarter ended January 31, 2024, the increase in GM and GM Rate during the nine months ended January 31, 2024 were due to the fact that many of the technical challenges faced in the prior fiscal year period have been resolved and, as a result, the related programs are now moving forward and running more efficiently. Previous programs that sustained lower margins due to technical issues are near completion, or have been completed.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0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453"/>
        </w:trPr>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760" w:type="dxa"/>
            <w:vAlign w:val="bottom"/>
            <w:tcBorders>
              <w:top w:val="single" w:sz="8" w:color="auto"/>
              <w:bottom w:val="single" w:sz="8" w:color="auto"/>
            </w:tcBorders>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220" w:type="dxa"/>
            <w:vAlign w:val="bottom"/>
            <w:tcBorders>
              <w:top w:val="single" w:sz="8" w:color="auto"/>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1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Periods ended January 31,</w:t>
            </w:r>
          </w:p>
        </w:tc>
        <w:tc>
          <w:tcPr>
            <w:tcW w:w="2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8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8"/>
              </w:rPr>
              <w:t>2,357</w:t>
            </w:r>
          </w:p>
        </w:tc>
        <w:tc>
          <w:tcPr>
            <w:tcW w:w="8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262</w:t>
            </w:r>
          </w:p>
        </w:tc>
        <w:tc>
          <w:tcPr>
            <w:tcW w:w="14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11.1%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7,473</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6,383</w:t>
            </w:r>
          </w:p>
        </w:tc>
        <w:tc>
          <w:tcPr>
            <w:tcW w:w="8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1,090</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17.1%</w:t>
            </w:r>
          </w:p>
        </w:tc>
      </w:tr>
    </w:tbl>
    <w:p>
      <w:pPr>
        <w:spacing w:after="0" w:line="198"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January 31, 2024 and 2023, selling, general, and administrative (“SG&amp;A”) expenses were approximately 19% and 22%, respectively, of consolidated revenues. The percentage of consolidated revenue decreased 3% due to an increase in sales for the three months ended January 31, 2024 as compared to the three months ended January 31, 2023. Similarly, the absolute increase in SG&amp;A expenses for the three months ended January 31, 2024, as compared to the prior year period, was driven by increased bid/proposal costs associated with the increased sales.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nine months ended January 31, 2024 and 2023, SG&amp;A expenses were approximately 19% and 23%, respectively, of consolidated revenues. The percentage of consolidated revenue decreased 4% due to an increase in sales for the nine months ended January 31, 2024 as compared to the nine months ended January 31, 2023. Similarly, the absolute increase in SG&amp;A expenses for the nine months ended January 31, 2024 as compared to the prior year period was largely due to bid/proposal cost associated with increased sales and an increase in professional fees and payroll associated costs.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Research and Development Expenses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9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13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Periods ended January 31,</w:t>
            </w: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0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8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175</w:t>
            </w:r>
          </w:p>
        </w:tc>
        <w:tc>
          <w:tcPr>
            <w:tcW w:w="14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22.3%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8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(188)</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w:t>
            </w: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(“R&amp;D”) expenditures represent investments intended to keep the Company’s products at the leading edge of time and frequency technology and enhance future competitiveness. The change in R&amp;D expenditures for the three and nine months ended January 31, 2024, as compared to the prior year quarter, was primarily due to a temporary shift of R&amp;D focus. The Company plans to continue to invest in R&amp;D in the future to keep its products at the state of the art.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Income (Loss)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0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12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Periods ended January 31,</w:t>
            </w:r>
          </w:p>
        </w:tc>
        <w:tc>
          <w:tcPr>
            <w:tcW w:w="2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8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(473)</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8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(798)</w:t>
            </w:r>
          </w:p>
        </w:tc>
        <w:tc>
          <w:tcPr>
            <w:tcW w:w="14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(245.5)%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(5,065)</w:t>
            </w:r>
          </w:p>
        </w:tc>
        <w:tc>
          <w:tcPr>
            <w:tcW w:w="6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7,590</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149.9%</w:t>
            </w: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January 31, 2024, operating income decreased due to the design issue relating to a new product development. For the nine months ended January 31, 2024, operating income increased despite the temporary design issue, due to a combination of increased revenue and GM, and the effects of certain cost cutting measures instituted by management that began in fiscal year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Income (Expense), net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8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Three months</w:t>
            </w:r>
          </w:p>
        </w:tc>
        <w:tc>
          <w:tcPr>
            <w:tcW w:w="4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Nine months</w:t>
            </w:r>
          </w:p>
        </w:tc>
        <w:tc>
          <w:tcPr>
            <w:tcW w:w="4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199"/>
        </w:trPr>
        <w:tc>
          <w:tcPr>
            <w:tcW w:w="228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6"/>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Periods ended January 31,</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196"/>
        </w:trPr>
        <w:tc>
          <w:tcPr>
            <w:tcW w:w="228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ind w:right="196"/>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196"/>
        </w:trPr>
        <w:tc>
          <w:tcPr>
            <w:tcW w:w="2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gridSpan w:val="3"/>
          </w:tcPr>
          <w:p>
            <w:pPr>
              <w:ind w:left="2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82"/>
        </w:trPr>
        <w:tc>
          <w:tcPr>
            <w:tcW w:w="2280" w:type="dxa"/>
            <w:vAlign w:val="bottom"/>
            <w:tcBorders>
              <w:right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Investment income (expense) ,</w:t>
            </w:r>
          </w:p>
        </w:tc>
        <w:tc>
          <w:tcPr>
            <w:tcW w:w="6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300" w:type="dxa"/>
            <w:vAlign w:val="bottom"/>
            <w:tcBorders>
              <w:right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216"/>
        </w:trPr>
        <w:tc>
          <w:tcPr>
            <w:tcW w:w="22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w:t>
            </w:r>
          </w:p>
        </w:tc>
        <w:tc>
          <w:tcPr>
            <w:tcW w:w="60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636</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(625)</w:t>
            </w:r>
          </w:p>
        </w:tc>
        <w:tc>
          <w:tcPr>
            <w:tcW w:w="5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201.8%</w:t>
            </w:r>
          </w:p>
        </w:tc>
        <w:tc>
          <w:tcPr>
            <w:tcW w:w="60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549</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(600)</w:t>
            </w:r>
          </w:p>
        </w:tc>
        <w:tc>
          <w:tcPr>
            <w:tcW w:w="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191.5%</w:t>
            </w:r>
          </w:p>
        </w:tc>
      </w:tr>
      <w:tr>
        <w:trPr>
          <w:trHeight w:val="203"/>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600" w:type="dxa"/>
            <w:vAlign w:val="bottom"/>
          </w:tcPr>
          <w:p>
            <w:pPr>
              <w:spacing w:after="0"/>
              <w:rPr>
                <w:sz w:val="17"/>
                <w:szCs w:val="17"/>
                <w:color w:val="auto"/>
              </w:rPr>
            </w:pP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w:t>
            </w:r>
          </w:p>
        </w:tc>
        <w:tc>
          <w:tcPr>
            <w:tcW w:w="2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50.0%</w:t>
            </w:r>
          </w:p>
        </w:tc>
        <w:tc>
          <w:tcPr>
            <w:tcW w:w="600" w:type="dxa"/>
            <w:vAlign w:val="bottom"/>
          </w:tcPr>
          <w:p>
            <w:pPr>
              <w:spacing w:after="0"/>
              <w:rPr>
                <w:sz w:val="17"/>
                <w:szCs w:val="17"/>
                <w:color w:val="auto"/>
              </w:rPr>
            </w:pP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w:t>
            </w:r>
          </w:p>
        </w:tc>
        <w:tc>
          <w:tcPr>
            <w:tcW w:w="28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6.2%</w:t>
            </w:r>
          </w:p>
        </w:tc>
      </w:tr>
      <w:tr>
        <w:trPr>
          <w:trHeight w:val="203"/>
        </w:trPr>
        <w:tc>
          <w:tcPr>
            <w:tcW w:w="22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w:t>
            </w:r>
          </w:p>
        </w:tc>
        <w:tc>
          <w:tcPr>
            <w:tcW w:w="28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w:t>
            </w:r>
          </w:p>
        </w:tc>
        <w:tc>
          <w:tcPr>
            <w:tcW w:w="2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0"/>
        </w:trPr>
        <w:tc>
          <w:tcPr>
            <w:tcW w:w="228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96"/>
        </w:trPr>
        <w:tc>
          <w:tcPr>
            <w:tcW w:w="2280" w:type="dxa"/>
            <w:vAlign w:val="bottom"/>
          </w:tcPr>
          <w:p>
            <w:pPr>
              <w:spacing w:after="0"/>
              <w:rPr>
                <w:sz w:val="17"/>
                <w:szCs w:val="17"/>
                <w:color w:val="auto"/>
              </w:rPr>
            </w:pPr>
          </w:p>
        </w:tc>
        <w:tc>
          <w:tcPr>
            <w:tcW w:w="600" w:type="dxa"/>
            <w:vAlign w:val="bottom"/>
          </w:tcPr>
          <w:p>
            <w:pPr>
              <w:jc w:val="right"/>
              <w:ind w:right="476"/>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1"/>
              </w:rPr>
              <w:t>609</w:t>
            </w:r>
          </w:p>
        </w:tc>
        <w:tc>
          <w:tcPr>
            <w:tcW w:w="120" w:type="dxa"/>
            <w:vAlign w:val="bottom"/>
          </w:tcPr>
          <w:p>
            <w:pPr>
              <w:spacing w:after="0"/>
              <w:rPr>
                <w:sz w:val="17"/>
                <w:szCs w:val="17"/>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(638)</w:t>
            </w:r>
          </w:p>
        </w:tc>
        <w:tc>
          <w:tcPr>
            <w:tcW w:w="5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1,247</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(195)%</w:t>
            </w:r>
          </w:p>
        </w:tc>
        <w:tc>
          <w:tcPr>
            <w:tcW w:w="600" w:type="dxa"/>
            <w:vAlign w:val="bottom"/>
          </w:tcPr>
          <w:p>
            <w:pPr>
              <w:jc w:val="right"/>
              <w:ind w:right="476"/>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463</w:t>
            </w:r>
          </w:p>
        </w:tc>
        <w:tc>
          <w:tcPr>
            <w:tcW w:w="120" w:type="dxa"/>
            <w:vAlign w:val="bottom"/>
          </w:tcPr>
          <w:p>
            <w:pPr>
              <w:spacing w:after="0"/>
              <w:rPr>
                <w:sz w:val="17"/>
                <w:szCs w:val="17"/>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(676)</w:t>
            </w: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1,139</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(168)%</w:t>
            </w:r>
          </w:p>
        </w:tc>
      </w:tr>
      <w:tr>
        <w:trPr>
          <w:trHeight w:val="20"/>
        </w:trPr>
        <w:tc>
          <w:tcPr>
            <w:tcW w:w="2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income (expense), net is derived from various sources. The income can come from reclaiming of metal, refunds, interest on deferred trust assets, or the sale of a fixed asset. Interest expense is related to the deferred compensation payments made to retired employees. The majority of the approximately $0.6 million of investment income for the three months ended January 31, 2024 was from the proceeds from a life insurance plan. The increase in investment income for the nine months ended January 31, 2024, likewise reflected the proceeds from this same life insurance plan.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Provision for Income Tax</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7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8"/>
              </w:rPr>
              <w:t>Nine months</w:t>
            </w:r>
          </w:p>
        </w:tc>
        <w:tc>
          <w:tcPr>
            <w:tcW w:w="7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187"/>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100" w:type="dxa"/>
            <w:vAlign w:val="bottom"/>
            <w:gridSpan w:val="4"/>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Periods ended January 31,</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38"/>
        </w:trPr>
        <w:tc>
          <w:tcPr>
            <w:tcW w:w="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8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1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w:t>
            </w:r>
          </w:p>
        </w:tc>
        <w:tc>
          <w:tcPr>
            <w:tcW w:w="2100" w:type="dxa"/>
            <w:vAlign w:val="bottom"/>
            <w:gridSpan w:val="4"/>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100.0%  $</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19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216.7%</w:t>
            </w:r>
          </w:p>
        </w:tc>
      </w:tr>
      <w:tr>
        <w:trPr>
          <w:trHeight w:val="432"/>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Borders>
              <w:bottom w:val="single" w:sz="8" w:color="auto"/>
            </w:tcBorders>
            <w:gridSpan w:val="7"/>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w w:val="98"/>
              </w:rPr>
              <w:t>Nine months</w:t>
            </w:r>
          </w:p>
        </w:tc>
        <w:tc>
          <w:tcPr>
            <w:tcW w:w="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10"/>
          </w:tcPr>
          <w:p>
            <w:pPr>
              <w:ind w:left="220"/>
              <w:spacing w:after="0"/>
              <w:rPr>
                <w:sz w:val="20"/>
                <w:szCs w:val="20"/>
                <w:color w:val="auto"/>
              </w:rPr>
            </w:pPr>
            <w:r>
              <w:rPr>
                <w:rFonts w:ascii="Times New Roman" w:cs="Times New Roman" w:eastAsia="Times New Roman" w:hAnsi="Times New Roman"/>
                <w:sz w:val="18"/>
                <w:szCs w:val="18"/>
                <w:b w:val="1"/>
                <w:bCs w:val="1"/>
                <w:color w:val="auto"/>
              </w:rPr>
              <w:t>Periods ended January 31,</w:t>
            </w:r>
          </w:p>
        </w:tc>
        <w:tc>
          <w:tcPr>
            <w:tcW w:w="7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gridSpan w:val="3"/>
          </w:tcPr>
          <w:p>
            <w:pPr>
              <w:spacing w:after="0"/>
              <w:rPr>
                <w:sz w:val="18"/>
                <w:szCs w:val="18"/>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5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 on pre-tax book income (loss):</w:t>
            </w:r>
          </w:p>
        </w:tc>
        <w:tc>
          <w:tcPr>
            <w:tcW w:w="7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0.6%</w:t>
            </w:r>
          </w:p>
        </w:tc>
        <w:tc>
          <w:tcPr>
            <w:tcW w:w="3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estimated annual effective tax rate for the fiscal year ending April 30, 2024 is 0.4%. This calculation reflects estimated income tax expense based on our current year annual pretax income forecast which is offset by the estimated change in the current year valuation allowance. The Company maintains a full valuation allowance against its deferred tax assets.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January 31, 2024, the Company recorded an income tax provision of $6,000 primarily related to state income taxes and discrete income tax provision related to an accrual of interest for unrecognized tax benefits. For the three months ended January 31, 2023, the Company recorded an income tax provision of $3,000.</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nine months ended January 31, 2024, the Company recorded an income tax provision of $19,000 primarily related to state income taxes and discrete income tax provision related to an accrual of interest for unrecognized tax benefits. For the nine months ended January 31, 2023, the Company recorded an income tax provision of $6,000.</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effective tax rate for the three months ended January 31, 2024 was an income tax provision of 4.4% on pretax income of $0.1 million compared to an income tax provision of (1.1)% on pretax loss of $0.3 million in the comparable prior fiscal year period. The effective tax rate for the three months ended January 31, 2024 differs from the U.S. federal statutory rate of 21% primarily due to domestic losses for which the Company is not recognizing an income tax benefit.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effective tax rate for the nine months ended January 31, 2024 was an income tax provision of 0.6% on pretax income of $3.0 million compared to an income tax provision of (0.1)% on pretax loss of $5.7 million in the comparable prior fiscal year period. The effective tax rate for the nine months ended January 31, 2024 differs from the U.S. federal statutory rate of 21% primarily due to domestic losses for which the Company is not recognizing an income tax benefit.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Inflation Reduction Act of 2022 (the “Act”) was signed into U.S. law on August 16, 2022. The Act includes various tax provisions, including an excise tax on stock repurchases, expanded tax credits for clean energy incentives, and a corporate alternative minimum tax that generally applies to U.S. corporations with average adjusted annual financial statement income over a three-year period in excess of $1 billion. The Company does not expect the Act to materially impact its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consolidated balance sheets continue to reflect a strong working capital position of approximately $24.1 million at January 31, 2024 and $21.0 million at April 30, 2023. Included in working capital at January 31, 2024 and April 30, 2023 was $11.7 million and $12.0 million, respectively, of cash and cash equivalents. The Company’s current ratio was 1.9 to 1 at January 31, 2024 compared to 1.8 to 1 as of April 30, 2023.</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7"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for the nine months ended January 31, 2024 and 2023 was approximately $1.2 million and $1.9 million, respectively. The decrease in net cash provided by operating activities in the first nine months of fiscal 2024 as compared to the prior fiscal year period was mainly due to operating income, offset by an increase in inventories. For the nine months ended January 31, 2024 and 2023, the Company incurred approximately $3.1 million and $2.7 million, respectively, of non-cash operating expenses including amortization of ROU assets, depreciation and amortization, inventory net realizable value adjustments, deferred compensation, and accruals for employee benefit programs.</w:t>
      </w:r>
    </w:p>
    <w:p>
      <w:pPr>
        <w:spacing w:after="0" w:line="183"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January 31, 2024 was approximately $0.7 million compared to net cash provided by investing activities of approximately $8.7 million for the nine months ended January 31, 2023. During the nine months ended January 31, 2024, no marketable securities were sold or redeemed compared to $11.0 million for the same period of fiscal year 2023. During the nine months ended January 31, 2024, no marketable securities were purchased compared to $1.4 million for the same period of fiscal year 2023. The Company acquired property, plant, and equipment in the amount of approximately $0.7 million and $0.9 million for the nine month periods ended January 31, 2024 and 2023, respectively.</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were no financing activities for the nine months ended January 31, 2024. Net cash used in financing activities for the nine months ended January 31, 2023 was approximately $9.4 million related to a dividend payout.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been authorized by its Board of Directors to repurchase up to $5.0 million worth of shares of its common stock when appropriate opportunities arise. As of January 31, 2024, the Company has repurchased approximately $4.0 million of its common stock out of the $5 million authorization, the majority of which has since been reissued. For the nine months ended January 31, 2024 and 2023, there were no repurchases of shares.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will continue to expend resources for R&amp;D to develop, improve and acquire products for space applications, guidance and targeting systems, and communication systems that management believes will result in future growth and profitability. The Company anticipates securing additional customer funding for a portion of its R&amp;D activities and will allocate internal funds depending on market conditions and identification of new opportunities. The Company expects internally generated cash will be adequate to fund these R&amp;D efforts. The Company may also pursue acquisitions to expand its range of products and may use internally generated cash and external funding in connection with such acquisitions.</w:t>
      </w:r>
    </w:p>
    <w:p>
      <w:pPr>
        <w:spacing w:after="0" w:line="187"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As of January 31, 2024, the Company’s consolidated funded backlog was approximately $67 million compared to $57 million at April 30, 2023, the end of fiscal year 2023. Approximately 74% of this backlog is expected to be realized in the next twelve months. The Company excludes from backlog any contracts or awards for which it has not received authorization to proceed. On fixed price contracts, the Company excludes any unfunded portion. Over time, as partially funded contracts become fully funded, the Company will add the additional funding to its backlog. The backlog is subject to change for various reasons, including possible cancellation of orders, change orders, terms of the contracts and other factors beyond the Company’s control. Accordingly, the backlog is not necessarily indicative of future revenues or profits (losses) which may be realized when the results of such contracts are reported.</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believes that its liquidity is adequate to meet its short-term operating and investment needs through at least March 18, 2025 and its long-term operation and investment needs for the foreseeable future thereafter.</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does not have any off-balance sheet arrangements that have or are reasonably likely to have a current or future effect on the Company’s financial condition, revenues or expenses, results of operations, liquidity, capital expenditures, or capital resources that is material to investors.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Quantitative and Qualitative Disclosures about Market Risk</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 to smaller reporting companies.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Controls and Procedures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their evaluation, the Company’s chief executive officer and chief financial officer have concluded that, as of January 31, 2024, the Company’s disclosure controls and procedures were effective at a reasonable assurance level.</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(as such term is defined in Rules 13a-15(f) and 15d-15(f) under the Exchange Act) during the fiscal quarter ended January 31, 2024 that has materially affected, or are reasonably likely to materially affect, the Company’s internal control over financial reporting.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u w:val="single" w:color="auto"/>
          <w:color w:val="auto"/>
        </w:rPr>
        <w:t>Risk Factors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disclosed in “Item 1A. Risk Factors” in the Form 10-K, there are a number of risks and uncertainties that could have a material adverse effect on the Company’s business, financial position, results of operations and/or cash flows. There are no material updates or changes to the Company’s risk factors since the filing of the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u w:val="single" w:color="auto"/>
          <w:color w:val="auto"/>
        </w:rPr>
        <w:t>Other Information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January 31, 2024, no director or officer of the Company adopted or terminated a “Rule 10b5-1 trading arrangement” or “non-Rule 10b5-1 trading arrangement,” as each term is defined in Item 408(a) of Regulation S-K.</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Item 6. Exhibits</w:t>
            </w:r>
          </w:p>
        </w:tc>
        <w:tc>
          <w:tcPr>
            <w:tcW w:w="46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160" w:type="dxa"/>
            <w:vAlign w:val="bottom"/>
          </w:tcPr>
          <w:p>
            <w:pPr>
              <w:spacing w:after="0"/>
              <w:rPr>
                <w:sz w:val="17"/>
                <w:szCs w:val="17"/>
                <w:color w:val="auto"/>
              </w:rPr>
            </w:pPr>
          </w:p>
        </w:tc>
      </w:tr>
      <w:tr>
        <w:trPr>
          <w:trHeight w:val="412"/>
        </w:trPr>
        <w:tc>
          <w:tcPr>
            <w:tcW w:w="580" w:type="dxa"/>
            <w:vAlign w:val="bottom"/>
          </w:tcPr>
          <w:p>
            <w:pPr>
              <w:spacing w:after="0"/>
              <w:rPr>
                <w:sz w:val="24"/>
                <w:szCs w:val="24"/>
                <w:color w:val="auto"/>
              </w:rPr>
            </w:pPr>
          </w:p>
        </w:tc>
        <w:tc>
          <w:tcPr>
            <w:tcW w:w="6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31.1 -</w:t>
            </w:r>
          </w:p>
        </w:tc>
        <w:tc>
          <w:tcPr>
            <w:tcW w:w="460" w:type="dxa"/>
            <w:vAlign w:val="bottom"/>
          </w:tcPr>
          <w:p>
            <w:pPr>
              <w:spacing w:after="0"/>
              <w:rPr>
                <w:sz w:val="24"/>
                <w:szCs w:val="24"/>
                <w:color w:val="auto"/>
              </w:rPr>
            </w:pPr>
          </w:p>
        </w:tc>
        <w:tc>
          <w:tcPr>
            <w:tcW w:w="92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Certification by the Chief Executive Officer pursuant to Rule 13a-14(a) or 15d-14(a) under the Securities Exchange Act of 1934,</w:t>
            </w:r>
          </w:p>
        </w:tc>
      </w:tr>
      <w:tr>
        <w:trPr>
          <w:trHeight w:val="196"/>
        </w:trPr>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1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as adopted pursuant to Section 302 of the Sarbanes-Oxley Act of 2002.</w:t>
            </w:r>
          </w:p>
        </w:tc>
        <w:tc>
          <w:tcPr>
            <w:tcW w:w="4160" w:type="dxa"/>
            <w:vAlign w:val="bottom"/>
          </w:tcPr>
          <w:p>
            <w:pPr>
              <w:spacing w:after="0"/>
              <w:rPr>
                <w:sz w:val="17"/>
                <w:szCs w:val="17"/>
                <w:color w:val="auto"/>
              </w:rPr>
            </w:pPr>
          </w:p>
        </w:tc>
      </w:tr>
      <w:tr>
        <w:trPr>
          <w:trHeight w:val="412"/>
        </w:trPr>
        <w:tc>
          <w:tcPr>
            <w:tcW w:w="1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31.2 -</w:t>
            </w:r>
          </w:p>
        </w:tc>
        <w:tc>
          <w:tcPr>
            <w:tcW w:w="460" w:type="dxa"/>
            <w:vAlign w:val="bottom"/>
          </w:tcPr>
          <w:p>
            <w:pPr>
              <w:spacing w:after="0"/>
              <w:rPr>
                <w:sz w:val="24"/>
                <w:szCs w:val="24"/>
                <w:color w:val="auto"/>
              </w:rPr>
            </w:pPr>
          </w:p>
        </w:tc>
        <w:tc>
          <w:tcPr>
            <w:tcW w:w="92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Certification by the Chief Financial Officer pursuant to Rule 13a-14(a) or 15d-14(a) under the Securities Exchange Act of 1934,</w:t>
            </w:r>
          </w:p>
        </w:tc>
      </w:tr>
      <w:tr>
        <w:trPr>
          <w:trHeight w:val="196"/>
        </w:trPr>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1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as adopted pursuant to Section 302 of the Sarbanes-Oxley Act of 2002.</w:t>
            </w:r>
          </w:p>
        </w:tc>
        <w:tc>
          <w:tcPr>
            <w:tcW w:w="4160" w:type="dxa"/>
            <w:vAlign w:val="bottom"/>
          </w:tcPr>
          <w:p>
            <w:pPr>
              <w:spacing w:after="0"/>
              <w:rPr>
                <w:sz w:val="17"/>
                <w:szCs w:val="17"/>
                <w:color w:val="auto"/>
              </w:rPr>
            </w:pPr>
          </w:p>
        </w:tc>
      </w:tr>
      <w:tr>
        <w:trPr>
          <w:trHeight w:val="412"/>
        </w:trPr>
        <w:tc>
          <w:tcPr>
            <w:tcW w:w="1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32 -</w:t>
            </w:r>
          </w:p>
        </w:tc>
        <w:tc>
          <w:tcPr>
            <w:tcW w:w="460" w:type="dxa"/>
            <w:vAlign w:val="bottom"/>
          </w:tcPr>
          <w:p>
            <w:pPr>
              <w:spacing w:after="0"/>
              <w:rPr>
                <w:sz w:val="24"/>
                <w:szCs w:val="24"/>
                <w:color w:val="auto"/>
              </w:rPr>
            </w:pPr>
          </w:p>
        </w:tc>
        <w:tc>
          <w:tcPr>
            <w:tcW w:w="92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Certifications by the Chief Executive Officer and Chief Financial Officer pursuant to 18 U.S.C. Section 1350, as adopted</w:t>
            </w:r>
          </w:p>
        </w:tc>
      </w:tr>
      <w:tr>
        <w:trPr>
          <w:trHeight w:val="196"/>
        </w:trPr>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906 of the Sarbanes-Oxley Act of 2002.</w:t>
            </w:r>
          </w:p>
        </w:tc>
      </w:tr>
      <w:tr>
        <w:trPr>
          <w:trHeight w:val="20"/>
        </w:trPr>
        <w:tc>
          <w:tcPr>
            <w:tcW w:w="12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300" w:type="dxa"/>
            <w:vAlign w:val="bottom"/>
            <w:shd w:val="clear" w:color="auto" w:fill="0000EE"/>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r>
      <w:tr>
        <w:trPr>
          <w:trHeight w:val="434"/>
        </w:trPr>
        <w:tc>
          <w:tcPr>
            <w:tcW w:w="1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101-</w:t>
            </w:r>
          </w:p>
        </w:tc>
        <w:tc>
          <w:tcPr>
            <w:tcW w:w="460" w:type="dxa"/>
            <w:vAlign w:val="bottom"/>
          </w:tcPr>
          <w:p>
            <w:pPr>
              <w:spacing w:after="0"/>
              <w:rPr>
                <w:sz w:val="24"/>
                <w:szCs w:val="24"/>
                <w:color w:val="auto"/>
              </w:rPr>
            </w:pPr>
          </w:p>
        </w:tc>
        <w:tc>
          <w:tcPr>
            <w:tcW w:w="9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materials from the Frequency Electronics, Inc. Quarterly Report on Form 10-Q for the quarter ended January 31,</w:t>
            </w:r>
          </w:p>
        </w:tc>
      </w:tr>
      <w:tr>
        <w:trPr>
          <w:trHeight w:val="216"/>
        </w:trPr>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2024 formatted in eXtensible Business Reporting Language (XBRL): (i) Cover Page, (ii) Condensed Consolidated Balance</w:t>
            </w:r>
          </w:p>
        </w:tc>
      </w:tr>
      <w:tr>
        <w:trPr>
          <w:trHeight w:val="216"/>
        </w:trPr>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Sheets,  (iii)  Condensed  Consolidated  Statements  of  Operations  and  Comprehensive  Income  (Loss),  (iv)  Condensed</w:t>
            </w:r>
          </w:p>
        </w:tc>
      </w:tr>
      <w:tr>
        <w:trPr>
          <w:trHeight w:val="216"/>
        </w:trPr>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Consolidated Statements of Cash Flows, (v) Condensed Consolidated Statements of Changes in Stockholders’ Equity and (vi)</w:t>
            </w:r>
          </w:p>
        </w:tc>
      </w:tr>
      <w:tr>
        <w:trPr>
          <w:trHeight w:val="216"/>
        </w:trPr>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Notes to Condensed Consolidated Financial Statements. The instance document does not appear in the Interactive Data File</w:t>
            </w:r>
          </w:p>
        </w:tc>
      </w:tr>
      <w:tr>
        <w:trPr>
          <w:trHeight w:val="234"/>
        </w:trPr>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because its XBRL tags are embedded within Inline XBRL document.</w:t>
            </w:r>
          </w:p>
        </w:tc>
      </w:tr>
      <w:tr>
        <w:trPr>
          <w:trHeight w:val="432"/>
        </w:trPr>
        <w:tc>
          <w:tcPr>
            <w:tcW w:w="1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104-</w:t>
            </w:r>
          </w:p>
        </w:tc>
        <w:tc>
          <w:tcPr>
            <w:tcW w:w="460" w:type="dxa"/>
            <w:vAlign w:val="bottom"/>
          </w:tcPr>
          <w:p>
            <w:pPr>
              <w:spacing w:after="0"/>
              <w:rPr>
                <w:sz w:val="24"/>
                <w:szCs w:val="24"/>
                <w:color w:val="auto"/>
              </w:rPr>
            </w:pPr>
          </w:p>
        </w:tc>
        <w:tc>
          <w:tcPr>
            <w:tcW w:w="9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Interaction Data File (formatted as inline XBRL and contained in Exhibit 101).</w:t>
            </w:r>
          </w:p>
        </w:tc>
      </w:tr>
      <w:tr>
        <w:trPr>
          <w:trHeight w:val="648"/>
        </w:trPr>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76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22</w:t>
            </w:r>
          </w:p>
        </w:tc>
        <w:tc>
          <w:tcPr>
            <w:tcW w:w="82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101"/>
        </w:trPr>
        <w:tc>
          <w:tcPr>
            <w:tcW w:w="5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3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160" w:type="dxa"/>
            <w:vAlign w:val="bottom"/>
            <w:tcBorders>
              <w:bottom w:val="single" w:sz="8" w:color="auto"/>
            </w:tcBorders>
          </w:tcPr>
          <w:p>
            <w:pPr>
              <w:spacing w:after="0"/>
              <w:rPr>
                <w:sz w:val="8"/>
                <w:szCs w:val="8"/>
                <w:color w:val="auto"/>
              </w:rPr>
            </w:pPr>
          </w:p>
        </w:tc>
      </w:tr>
    </w:tbl>
    <w:p>
      <w:pPr>
        <w:sectPr>
          <w:pgSz w:w="11900" w:h="16838" w:orient="portrait"/>
          <w:cols w:equalWidth="0" w:num="1">
            <w:col w:w="10960"/>
          </w:cols>
          <w:pgMar w:left="460" w:top="121"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FREQUENCY ELECTRONICS,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18, 2024</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By: /s/ Thomas McClelland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3072130</wp:posOffset>
            </wp:positionH>
            <wp:positionV relativeFrom="paragraph">
              <wp:posOffset>-19050</wp:posOffset>
            </wp:positionV>
            <wp:extent cx="20720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072005" cy="8255"/>
                    </a:xfrm>
                    <a:prstGeom prst="rect">
                      <a:avLst/>
                    </a:prstGeom>
                    <a:noFill/>
                  </pic:spPr>
                </pic:pic>
              </a:graphicData>
            </a:graphic>
          </wp:anchor>
        </w:drawing>
      </w:r>
    </w:p>
    <w:p>
      <w:pPr>
        <w:ind w:left="4780"/>
        <w:spacing w:after="0"/>
        <w:rPr>
          <w:sz w:val="20"/>
          <w:szCs w:val="20"/>
          <w:color w:val="auto"/>
        </w:rPr>
      </w:pPr>
      <w:r>
        <w:rPr>
          <w:rFonts w:ascii="Times New Roman" w:cs="Times New Roman" w:eastAsia="Times New Roman" w:hAnsi="Times New Roman"/>
          <w:sz w:val="18"/>
          <w:szCs w:val="18"/>
          <w:color w:val="auto"/>
        </w:rPr>
        <w:t>Thomas McClelland</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By: /s/ Steven L. Bernstein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3072130</wp:posOffset>
            </wp:positionH>
            <wp:positionV relativeFrom="paragraph">
              <wp:posOffset>-7620</wp:posOffset>
            </wp:positionV>
            <wp:extent cx="20688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068830" cy="8255"/>
                    </a:xfrm>
                    <a:prstGeom prst="rect">
                      <a:avLst/>
                    </a:prstGeom>
                    <a:noFill/>
                  </pic:spPr>
                </pic:pic>
              </a:graphicData>
            </a:graphic>
          </wp:anchor>
        </w:drawing>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Steven L. Bernstein</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Chief Financial Officer, Secretary and Treasurer</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60"/>
          </w:cols>
          <w:pgMar w:left="460" w:top="121" w:right="47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McClelland, certify that:</w:t>
      </w:r>
    </w:p>
    <w:p>
      <w:pPr>
        <w:spacing w:after="0" w:line="225" w:lineRule="exact"/>
        <w:rPr>
          <w:sz w:val="20"/>
          <w:szCs w:val="20"/>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Frequency Electronics,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8"/>
        <w:spacing w:after="0" w:line="266" w:lineRule="auto"/>
        <w:tabs>
          <w:tab w:leader="none" w:pos="25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5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5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7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firstLine="8"/>
        <w:spacing w:after="0" w:line="282" w:lineRule="auto"/>
        <w:tabs>
          <w:tab w:leader="none" w:pos="2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8"/>
        <w:spacing w:after="0" w:line="282" w:lineRule="auto"/>
        <w:tabs>
          <w:tab w:leader="none" w:pos="24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6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McClelland</w:t>
            </w:r>
          </w:p>
        </w:tc>
        <w:tc>
          <w:tcPr>
            <w:tcW w:w="3200" w:type="dxa"/>
            <w:vAlign w:val="bottom"/>
          </w:tcPr>
          <w:p>
            <w:pPr>
              <w:ind w:left="2060"/>
              <w:spacing w:after="0"/>
              <w:rPr>
                <w:sz w:val="20"/>
                <w:szCs w:val="20"/>
                <w:color w:val="auto"/>
              </w:rPr>
            </w:pPr>
            <w:r>
              <w:rPr>
                <w:rFonts w:ascii="Times New Roman" w:cs="Times New Roman" w:eastAsia="Times New Roman" w:hAnsi="Times New Roman"/>
                <w:sz w:val="18"/>
                <w:szCs w:val="18"/>
                <w:color w:val="auto"/>
                <w:w w:val="97"/>
              </w:rPr>
              <w:t>March 18, 2024</w:t>
            </w:r>
          </w:p>
        </w:tc>
      </w:tr>
      <w:tr>
        <w:trPr>
          <w:trHeight w:val="218"/>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Thomas McClelland</w:t>
            </w:r>
          </w:p>
        </w:tc>
        <w:tc>
          <w:tcPr>
            <w:tcW w:w="3200" w:type="dxa"/>
            <w:vAlign w:val="bottom"/>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3200" w:type="dxa"/>
            <w:vAlign w:val="bottom"/>
          </w:tcPr>
          <w:p>
            <w:pPr>
              <w:spacing w:after="0"/>
              <w:rPr>
                <w:sz w:val="18"/>
                <w:szCs w:val="18"/>
                <w:color w:val="auto"/>
              </w:rPr>
            </w:pPr>
          </w:p>
        </w:tc>
      </w:t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200" w:type="dxa"/>
            <w:vAlign w:val="bottom"/>
          </w:tcPr>
          <w:p>
            <w:pPr>
              <w:spacing w:after="0"/>
              <w:rPr>
                <w:sz w:val="20"/>
                <w:szCs w:val="20"/>
                <w:color w:val="auto"/>
              </w:rPr>
            </w:pPr>
          </w:p>
        </w:tc>
      </w:tr>
    </w:tbl>
    <w:p>
      <w:pPr>
        <w:sectPr>
          <w:pgSz w:w="11900" w:h="16838" w:orient="portrait"/>
          <w:cols w:equalWidth="0" w:num="1">
            <w:col w:w="11240"/>
          </w:cols>
          <w:pgMar w:left="320" w:top="117"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L. Bernstein, certify that</w:t>
      </w:r>
    </w:p>
    <w:p>
      <w:pPr>
        <w:spacing w:after="0" w:line="225" w:lineRule="exact"/>
        <w:rPr>
          <w:sz w:val="20"/>
          <w:szCs w:val="20"/>
          <w:color w:val="auto"/>
        </w:rPr>
      </w:pPr>
    </w:p>
    <w:p>
      <w:pPr>
        <w:ind w:left="180" w:hanging="172"/>
        <w:spacing w:after="0"/>
        <w:tabs>
          <w:tab w:leader="none" w:pos="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Frequency Electronics,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8"/>
        <w:spacing w:after="0" w:line="266" w:lineRule="auto"/>
        <w:tabs>
          <w:tab w:leader="none" w:pos="25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5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5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7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firstLine="8"/>
        <w:spacing w:after="0" w:line="282" w:lineRule="auto"/>
        <w:tabs>
          <w:tab w:leader="none" w:pos="2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8"/>
        <w:spacing w:after="0" w:line="282" w:lineRule="auto"/>
        <w:tabs>
          <w:tab w:leader="none" w:pos="24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6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L. Bernstein</w:t>
            </w:r>
          </w:p>
        </w:tc>
        <w:tc>
          <w:tcPr>
            <w:tcW w:w="1140" w:type="dxa"/>
            <w:vAlign w:val="bottom"/>
          </w:tcPr>
          <w:p>
            <w:pPr>
              <w:spacing w:after="0"/>
              <w:rPr>
                <w:sz w:val="18"/>
                <w:szCs w:val="18"/>
                <w:color w:val="auto"/>
              </w:rPr>
            </w:pPr>
          </w:p>
        </w:tc>
        <w:tc>
          <w:tcPr>
            <w:tcW w:w="20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7"/>
              </w:rPr>
              <w:t>March 18, 2024</w:t>
            </w:r>
          </w:p>
        </w:tc>
      </w:tr>
      <w:tr>
        <w:trPr>
          <w:trHeight w:val="218"/>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L. Bernstein</w:t>
            </w:r>
          </w:p>
        </w:tc>
        <w:tc>
          <w:tcPr>
            <w:tcW w:w="2080" w:type="dxa"/>
            <w:vAlign w:val="bottom"/>
          </w:tcPr>
          <w:p>
            <w:pPr>
              <w:spacing w:after="0"/>
              <w:rPr>
                <w:sz w:val="18"/>
                <w:szCs w:val="18"/>
                <w:color w:val="auto"/>
              </w:rPr>
            </w:pP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Secretary and Treasurer</w:t>
            </w:r>
          </w:p>
        </w:tc>
        <w:tc>
          <w:tcPr>
            <w:tcW w:w="2080" w:type="dxa"/>
            <w:vAlign w:val="bottom"/>
          </w:tcPr>
          <w:p>
            <w:pPr>
              <w:spacing w:after="0"/>
              <w:rPr>
                <w:sz w:val="18"/>
                <w:szCs w:val="18"/>
                <w:color w:val="auto"/>
              </w:rPr>
            </w:pPr>
          </w:p>
        </w:tc>
      </w:tr>
      <w:tr>
        <w:trPr>
          <w:trHeight w:val="23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080" w:type="dxa"/>
            <w:vAlign w:val="bottom"/>
          </w:tcPr>
          <w:p>
            <w:pPr>
              <w:spacing w:after="0"/>
              <w:rPr>
                <w:sz w:val="20"/>
                <w:szCs w:val="20"/>
                <w:color w:val="auto"/>
              </w:rPr>
            </w:pPr>
          </w:p>
        </w:tc>
      </w:tr>
    </w:tbl>
    <w:p>
      <w:pPr>
        <w:sectPr>
          <w:pgSz w:w="11900" w:h="16838" w:orient="portrait"/>
          <w:cols w:equalWidth="0" w:num="1">
            <w:col w:w="11240"/>
          </w:cols>
          <w:pgMar w:left="320" w:top="117"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CEO</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Frequency Electronics, Inc. (the “Company”) on Form 10-Q for the period ended January 31, 2024 as filed with the Securities and Exchange Commission on the date hereof (the “Report”), I, Thomas McClelland, President and Chief Executive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920" w:hanging="264"/>
        <w:spacing w:after="0"/>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McClelland</w:t>
            </w:r>
          </w:p>
        </w:tc>
        <w:tc>
          <w:tcPr>
            <w:tcW w:w="4240" w:type="dxa"/>
            <w:vAlign w:val="bottom"/>
          </w:tcPr>
          <w:p>
            <w:pPr>
              <w:ind w:left="3100"/>
              <w:spacing w:after="0"/>
              <w:rPr>
                <w:sz w:val="20"/>
                <w:szCs w:val="20"/>
                <w:color w:val="auto"/>
              </w:rPr>
            </w:pPr>
            <w:r>
              <w:rPr>
                <w:rFonts w:ascii="Times New Roman" w:cs="Times New Roman" w:eastAsia="Times New Roman" w:hAnsi="Times New Roman"/>
                <w:sz w:val="18"/>
                <w:szCs w:val="18"/>
                <w:color w:val="auto"/>
                <w:w w:val="97"/>
              </w:rPr>
              <w:t>March 18, 2024</w:t>
            </w:r>
          </w:p>
        </w:tc>
      </w:tr>
      <w:tr>
        <w:trPr>
          <w:trHeight w:val="218"/>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McClelland</w:t>
            </w:r>
          </w:p>
        </w:tc>
        <w:tc>
          <w:tcPr>
            <w:tcW w:w="4240" w:type="dxa"/>
            <w:vAlign w:val="bottom"/>
          </w:tcPr>
          <w:p>
            <w:pPr>
              <w:spacing w:after="0"/>
              <w:rPr>
                <w:sz w:val="18"/>
                <w:szCs w:val="18"/>
                <w:color w:val="auto"/>
              </w:rPr>
            </w:pPr>
          </w:p>
        </w:tc>
      </w:tr>
      <w:tr>
        <w:trPr>
          <w:trHeight w:val="234"/>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4240" w:type="dxa"/>
            <w:vAlign w:val="bottom"/>
          </w:tcPr>
          <w:p>
            <w:pPr>
              <w:spacing w:after="0"/>
              <w:rPr>
                <w:sz w:val="20"/>
                <w:szCs w:val="20"/>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CFO</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Frequency Electronics, Inc. (the “Company”) on Form 10-Q for the period ended January 31, 2024 as filed with the Securities and Exchange Commission on the date hereof (the “Report”), I, Steven L. Bernstein, Chief Financial Officer, Secretary and Treasurer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920" w:hanging="264"/>
        <w:spacing w:after="0"/>
        <w:tabs>
          <w:tab w:leader="none" w:pos="9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0" w:lineRule="exact"/>
        <w:rPr>
          <w:sz w:val="20"/>
          <w:szCs w:val="20"/>
          <w:color w:val="auto"/>
        </w:rPr>
      </w:pPr>
    </w:p>
    <w:p>
      <w:pPr>
        <w:spacing w:after="0" w:line="210"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L. Bernstein</w:t>
            </w:r>
          </w:p>
        </w:tc>
        <w:tc>
          <w:tcPr>
            <w:tcW w:w="1720" w:type="dxa"/>
            <w:vAlign w:val="bottom"/>
          </w:tcPr>
          <w:p>
            <w:pPr>
              <w:spacing w:after="0"/>
              <w:rPr>
                <w:sz w:val="18"/>
                <w:szCs w:val="18"/>
                <w:color w:val="auto"/>
              </w:rPr>
            </w:pPr>
          </w:p>
        </w:tc>
        <w:tc>
          <w:tcPr>
            <w:tcW w:w="248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7"/>
              </w:rPr>
              <w:t>March 18, 2024</w:t>
            </w:r>
          </w:p>
        </w:tc>
      </w:tr>
      <w:tr>
        <w:trPr>
          <w:trHeight w:val="218"/>
        </w:trPr>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Steven L. Bernstein</w:t>
            </w:r>
          </w:p>
        </w:tc>
        <w:tc>
          <w:tcPr>
            <w:tcW w:w="2480" w:type="dxa"/>
            <w:vAlign w:val="bottom"/>
          </w:tcPr>
          <w:p>
            <w:pPr>
              <w:spacing w:after="0"/>
              <w:rPr>
                <w:sz w:val="18"/>
                <w:szCs w:val="18"/>
                <w:color w:val="auto"/>
              </w:rPr>
            </w:pPr>
          </w:p>
        </w:tc>
      </w:tr>
      <w:tr>
        <w:trPr>
          <w:trHeight w:val="234"/>
        </w:trPr>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Financial Officer, Secretary and Treasurer</w:t>
            </w:r>
          </w:p>
        </w:tc>
        <w:tc>
          <w:tcPr>
            <w:tcW w:w="2480" w:type="dxa"/>
            <w:vAlign w:val="bottom"/>
          </w:tcPr>
          <w:p>
            <w:pPr>
              <w:spacing w:after="0"/>
              <w:rPr>
                <w:sz w:val="20"/>
                <w:szCs w:val="20"/>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Times New Roman" w:cs="Times New Roman" w:eastAsia="Times New Roman" w:hAnsi="Times New Roman"/>
          <w:sz w:val="18"/>
          <w:szCs w:val="18"/>
          <w:b w:val="1"/>
          <w:bCs w:val="1"/>
          <w:color w:val="auto"/>
        </w:rPr>
        <w: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lowerLetter"/>
      <w:start w:val="1"/>
    </w:lvl>
  </w:abstractNum>
  <w:abstractNum w:abstractNumId="4">
    <w:nsid w:val="515F007C"/>
    <w:multiLevelType w:val="hybridMultilevel"/>
    <w:lvl w:ilvl="0">
      <w:lvlJc w:val="left"/>
      <w:lvlText w:val="%1."/>
      <w:numFmt w:val="decimal"/>
      <w:start w:val="5"/>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decimal"/>
      <w:start w:val="5"/>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2024-03-18T16:02:05Z</dcterms:created>
  <dcterms:modified xsi:type="dcterms:W3CDTF">2024-03-18T16:02:05Z</dcterms:modified>
</cp:coreProperties>
</file>