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6" w:lineRule="exact"/>
        <w:rPr>
          <w:sz w:val="24"/>
          <w:szCs w:val="24"/>
          <w:color w:val="auto"/>
        </w:rPr>
      </w:pPr>
    </w:p>
    <w:p>
      <w:pPr>
        <w:ind w:left="4080" w:right="1640" w:hanging="3248"/>
        <w:spacing w:after="0" w:line="530" w:lineRule="auto"/>
        <w:tabs>
          <w:tab w:leader="none" w:pos="1152"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 (d) OF THE SECURITIES EXCHANGE ACT OF 1934 For the Quarterly Period ended July 31, 2010</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3600" w:right="1620" w:hanging="2768"/>
        <w:spacing w:after="0" w:line="527" w:lineRule="auto"/>
        <w:tabs>
          <w:tab w:leader="none" w:pos="1149"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ind w:left="466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FREQUENCY ELECTRONICS,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2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right"/>
              <w:ind w:right="790"/>
              <w:spacing w:after="0"/>
              <w:rPr>
                <w:sz w:val="20"/>
                <w:szCs w:val="20"/>
                <w:color w:val="auto"/>
              </w:rPr>
            </w:pPr>
            <w:r>
              <w:rPr>
                <w:rFonts w:ascii="Arial" w:cs="Arial" w:eastAsia="Arial" w:hAnsi="Arial"/>
                <w:sz w:val="18"/>
                <w:szCs w:val="18"/>
                <w:b w:val="1"/>
                <w:bCs w:val="1"/>
                <w:color w:val="auto"/>
              </w:rPr>
              <w:t>11-1986657</w:t>
            </w:r>
          </w:p>
        </w:tc>
      </w:tr>
      <w:tr>
        <w:trPr>
          <w:trHeight w:val="216"/>
        </w:trPr>
        <w:tc>
          <w:tcPr>
            <w:tcW w:w="6260" w:type="dxa"/>
            <w:vAlign w:val="bottom"/>
          </w:tcPr>
          <w:p>
            <w:pPr>
              <w:jc w:val="center"/>
              <w:ind w:right="45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left="9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6260" w:type="dxa"/>
            <w:vAlign w:val="bottom"/>
          </w:tcPr>
          <w:p>
            <w:pPr>
              <w:jc w:val="center"/>
              <w:ind w:right="45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spacing w:after="0"/>
              <w:rPr>
                <w:sz w:val="20"/>
                <w:szCs w:val="20"/>
                <w:color w:val="auto"/>
              </w:rPr>
            </w:pPr>
          </w:p>
        </w:tc>
      </w:tr>
      <w:tr>
        <w:trPr>
          <w:trHeight w:val="418"/>
        </w:trPr>
        <w:tc>
          <w:tcPr>
            <w:tcW w:w="6260" w:type="dxa"/>
            <w:vAlign w:val="bottom"/>
          </w:tcPr>
          <w:p>
            <w:pPr>
              <w:jc w:val="center"/>
              <w:ind w:right="450"/>
              <w:spacing w:after="0"/>
              <w:rPr>
                <w:sz w:val="20"/>
                <w:szCs w:val="20"/>
                <w:color w:val="auto"/>
              </w:rPr>
            </w:pPr>
            <w:r>
              <w:rPr>
                <w:rFonts w:ascii="Arial" w:cs="Arial" w:eastAsia="Arial" w:hAnsi="Arial"/>
                <w:sz w:val="18"/>
                <w:szCs w:val="18"/>
                <w:b w:val="1"/>
                <w:bCs w:val="1"/>
                <w:color w:val="auto"/>
              </w:rPr>
              <w:t>55 CHARLES LINDBERGH BLVD., MITCHEL FIELD, N.Y.</w:t>
            </w:r>
          </w:p>
        </w:tc>
        <w:tc>
          <w:tcPr>
            <w:tcW w:w="3620" w:type="dxa"/>
            <w:vAlign w:val="bottom"/>
          </w:tcPr>
          <w:p>
            <w:pPr>
              <w:jc w:val="right"/>
              <w:ind w:right="990"/>
              <w:spacing w:after="0"/>
              <w:rPr>
                <w:sz w:val="20"/>
                <w:szCs w:val="20"/>
                <w:color w:val="auto"/>
              </w:rPr>
            </w:pPr>
            <w:r>
              <w:rPr>
                <w:rFonts w:ascii="Arial" w:cs="Arial" w:eastAsia="Arial" w:hAnsi="Arial"/>
                <w:sz w:val="18"/>
                <w:szCs w:val="18"/>
                <w:b w:val="1"/>
                <w:bCs w:val="1"/>
                <w:color w:val="auto"/>
              </w:rPr>
              <w:t>11553</w:t>
            </w:r>
          </w:p>
        </w:tc>
      </w:tr>
      <w:tr>
        <w:trPr>
          <w:trHeight w:val="230"/>
        </w:trPr>
        <w:tc>
          <w:tcPr>
            <w:tcW w:w="6260" w:type="dxa"/>
            <w:vAlign w:val="bottom"/>
          </w:tcPr>
          <w:p>
            <w:pPr>
              <w:jc w:val="center"/>
              <w:ind w:right="43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left="910"/>
              <w:spacing w:after="0"/>
              <w:rPr>
                <w:sz w:val="20"/>
                <w:szCs w:val="20"/>
                <w:color w:val="auto"/>
              </w:rPr>
            </w:pPr>
            <w:r>
              <w:rPr>
                <w:rFonts w:ascii="Arial" w:cs="Arial" w:eastAsia="Arial" w:hAnsi="Arial"/>
                <w:sz w:val="18"/>
                <w:szCs w:val="18"/>
                <w:color w:val="auto"/>
                <w:w w:val="91"/>
              </w:rPr>
              <w:t>(Zip Code)</w:t>
            </w:r>
          </w:p>
        </w:tc>
      </w:tr>
      <w:tr>
        <w:trPr>
          <w:trHeight w:val="459"/>
        </w:trPr>
        <w:tc>
          <w:tcPr>
            <w:tcW w:w="6260" w:type="dxa"/>
            <w:vAlign w:val="bottom"/>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3620" w:type="dxa"/>
            <w:vAlign w:val="bottom"/>
          </w:tcPr>
          <w:p>
            <w:pPr>
              <w:spacing w:after="0"/>
              <w:rPr>
                <w:sz w:val="24"/>
                <w:szCs w:val="24"/>
                <w:color w:val="auto"/>
              </w:rPr>
            </w:pPr>
          </w:p>
        </w:tc>
      </w:tr>
    </w:tbl>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1" w:lineRule="exact"/>
        <w:rPr>
          <w:sz w:val="24"/>
          <w:szCs w:val="24"/>
          <w:color w:val="auto"/>
        </w:rPr>
      </w:pPr>
    </w:p>
    <w:p>
      <w:pPr>
        <w:ind w:left="2260" w:right="3500" w:hanging="3972"/>
        <w:spacing w:after="0" w:line="239" w:lineRule="exact"/>
        <w:tabs>
          <w:tab w:leader="none" w:pos="22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x (do not check if a smaller reporting company)</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340"/>
        <w:spacing w:after="0" w:line="207" w:lineRule="exact"/>
        <w:tabs>
          <w:tab w:leader="none" w:pos="1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September 10, 2010 – 8,241,472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80" w:type="dxa"/>
            <w:vAlign w:val="bottom"/>
          </w:tcPr>
          <w:p>
            <w:pPr>
              <w:jc w:val="center"/>
              <w:ind w:left="1090"/>
              <w:spacing w:after="0"/>
              <w:rPr>
                <w:sz w:val="20"/>
                <w:szCs w:val="20"/>
                <w:color w:val="auto"/>
              </w:rPr>
            </w:pPr>
            <w:r>
              <w:rPr>
                <w:rFonts w:ascii="Arial" w:cs="Arial" w:eastAsia="Arial" w:hAnsi="Arial"/>
                <w:sz w:val="18"/>
                <w:szCs w:val="18"/>
                <w:color w:val="auto"/>
                <w:w w:val="94"/>
              </w:rPr>
              <w:t>FREQUENCY ELECTRONICS, INC. and SUBSIDIARIES</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80" w:type="dxa"/>
            <w:vAlign w:val="bottom"/>
          </w:tcPr>
          <w:p>
            <w:pPr>
              <w:jc w:val="center"/>
              <w:ind w:left="1110"/>
              <w:spacing w:after="0"/>
              <w:rPr>
                <w:sz w:val="20"/>
                <w:szCs w:val="20"/>
                <w:color w:val="auto"/>
              </w:rPr>
            </w:pPr>
            <w:r>
              <w:rPr>
                <w:rFonts w:ascii="Arial" w:cs="Arial" w:eastAsia="Arial" w:hAnsi="Arial"/>
                <w:sz w:val="18"/>
                <w:szCs w:val="18"/>
                <w:color w:val="auto"/>
              </w:rPr>
              <w:t>INDEX</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2160" w:type="dxa"/>
            <w:vAlign w:val="bottom"/>
          </w:tcPr>
          <w:p>
            <w:pPr>
              <w:ind w:left="138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 Financial Information:</w:t>
            </w:r>
          </w:p>
        </w:tc>
        <w:tc>
          <w:tcPr>
            <w:tcW w:w="2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FFCC"/>
          </w:tcPr>
          <w:p>
            <w:pPr>
              <w:ind w:left="480"/>
              <w:spacing w:after="0"/>
              <w:rPr>
                <w:sz w:val="20"/>
                <w:szCs w:val="20"/>
                <w:color w:val="auto"/>
              </w:rPr>
            </w:pPr>
            <w:r>
              <w:rPr>
                <w:rFonts w:ascii="Arial" w:cs="Arial" w:eastAsia="Arial" w:hAnsi="Arial"/>
                <w:sz w:val="18"/>
                <w:szCs w:val="18"/>
                <w:color w:val="auto"/>
                <w:w w:val="91"/>
              </w:rPr>
              <w:t>Item 1</w:t>
            </w:r>
          </w:p>
        </w:tc>
        <w:tc>
          <w:tcPr>
            <w:tcW w:w="8280" w:type="dxa"/>
            <w:vAlign w:val="bottom"/>
            <w:shd w:val="clear" w:color="auto" w:fill="CCFFCC"/>
          </w:tcPr>
          <w:p>
            <w:pPr>
              <w:ind w:left="20"/>
              <w:spacing w:after="0"/>
              <w:rPr>
                <w:sz w:val="20"/>
                <w:szCs w:val="20"/>
                <w:color w:val="auto"/>
              </w:rPr>
            </w:pPr>
            <w:r>
              <w:rPr>
                <w:rFonts w:ascii="Arial" w:cs="Arial" w:eastAsia="Arial" w:hAnsi="Arial"/>
                <w:sz w:val="18"/>
                <w:szCs w:val="18"/>
                <w:color w:val="auto"/>
              </w:rPr>
              <w:t>- Financial Statements:</w:t>
            </w:r>
          </w:p>
        </w:tc>
        <w:tc>
          <w:tcPr>
            <w:tcW w:w="2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FFCC"/>
          </w:tcPr>
          <w:p>
            <w:pPr>
              <w:ind w:left="800"/>
              <w:spacing w:after="0"/>
              <w:rPr>
                <w:sz w:val="20"/>
                <w:szCs w:val="20"/>
                <w:color w:val="auto"/>
              </w:rPr>
            </w:pPr>
            <w:r>
              <w:rPr>
                <w:rFonts w:ascii="Arial" w:cs="Arial" w:eastAsia="Arial" w:hAnsi="Arial"/>
                <w:sz w:val="18"/>
                <w:szCs w:val="18"/>
                <w:color w:val="auto"/>
              </w:rPr>
              <w:t>Condensed Consolidated Balance Sheets - July 31, 2010 and April 30, 2010</w:t>
            </w:r>
          </w:p>
        </w:tc>
        <w:tc>
          <w:tcPr>
            <w:tcW w:w="2160" w:type="dxa"/>
            <w:vAlign w:val="bottom"/>
            <w:shd w:val="clear" w:color="auto" w:fill="CCFFCC"/>
          </w:tcPr>
          <w:p>
            <w:pPr>
              <w:jc w:val="center"/>
              <w:ind w:left="117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FFCC"/>
          </w:tcPr>
          <w:p>
            <w:pPr>
              <w:ind w:left="800"/>
              <w:spacing w:after="0"/>
              <w:rPr>
                <w:sz w:val="20"/>
                <w:szCs w:val="20"/>
                <w:color w:val="auto"/>
              </w:rPr>
            </w:pPr>
            <w:r>
              <w:rPr>
                <w:rFonts w:ascii="Arial" w:cs="Arial" w:eastAsia="Arial" w:hAnsi="Arial"/>
                <w:sz w:val="18"/>
                <w:szCs w:val="18"/>
                <w:color w:val="auto"/>
              </w:rPr>
              <w:t>Condensed Consolidated Statements of Operations Three Months Ended July 31, 2010 and 2009</w:t>
            </w:r>
          </w:p>
        </w:tc>
        <w:tc>
          <w:tcPr>
            <w:tcW w:w="2160" w:type="dxa"/>
            <w:vAlign w:val="bottom"/>
            <w:shd w:val="clear" w:color="auto" w:fill="CCFFCC"/>
          </w:tcPr>
          <w:p>
            <w:pPr>
              <w:jc w:val="center"/>
              <w:ind w:left="117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FFCC"/>
          </w:tcPr>
          <w:p>
            <w:pPr>
              <w:ind w:left="800"/>
              <w:spacing w:after="0"/>
              <w:rPr>
                <w:sz w:val="20"/>
                <w:szCs w:val="20"/>
                <w:color w:val="auto"/>
              </w:rPr>
            </w:pPr>
            <w:r>
              <w:rPr>
                <w:rFonts w:ascii="Arial" w:cs="Arial" w:eastAsia="Arial" w:hAnsi="Arial"/>
                <w:sz w:val="18"/>
                <w:szCs w:val="18"/>
                <w:color w:val="auto"/>
              </w:rPr>
              <w:t>Condensed Consolidated Statements of Cash Flows Three Months Ended July 31, 2010 and 2009</w:t>
            </w:r>
          </w:p>
        </w:tc>
        <w:tc>
          <w:tcPr>
            <w:tcW w:w="2160" w:type="dxa"/>
            <w:vAlign w:val="bottom"/>
            <w:shd w:val="clear" w:color="auto" w:fill="CCFFCC"/>
          </w:tcPr>
          <w:p>
            <w:pPr>
              <w:jc w:val="center"/>
              <w:ind w:left="117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FFCC"/>
          </w:tcPr>
          <w:p>
            <w:pPr>
              <w:ind w:left="800"/>
              <w:spacing w:after="0"/>
              <w:rPr>
                <w:sz w:val="20"/>
                <w:szCs w:val="20"/>
                <w:color w:val="auto"/>
              </w:rPr>
            </w:pPr>
            <w:r>
              <w:rPr>
                <w:rFonts w:ascii="Arial" w:cs="Arial" w:eastAsia="Arial" w:hAnsi="Arial"/>
                <w:sz w:val="18"/>
                <w:szCs w:val="18"/>
                <w:color w:val="auto"/>
              </w:rPr>
              <w:t>Notes to Condensed Consolidated Financial Statements</w:t>
            </w:r>
          </w:p>
        </w:tc>
        <w:tc>
          <w:tcPr>
            <w:tcW w:w="2160" w:type="dxa"/>
            <w:vAlign w:val="bottom"/>
            <w:shd w:val="clear" w:color="auto" w:fill="CCFFCC"/>
          </w:tcPr>
          <w:p>
            <w:pPr>
              <w:jc w:val="center"/>
              <w:ind w:left="1170"/>
              <w:spacing w:after="0"/>
              <w:rPr>
                <w:sz w:val="20"/>
                <w:szCs w:val="20"/>
                <w:color w:val="auto"/>
              </w:rPr>
            </w:pPr>
            <w:r>
              <w:rPr>
                <w:rFonts w:ascii="Arial" w:cs="Arial" w:eastAsia="Arial" w:hAnsi="Arial"/>
                <w:sz w:val="18"/>
                <w:szCs w:val="18"/>
                <w:color w:val="auto"/>
                <w:w w:val="94"/>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FFCC"/>
          </w:tcPr>
          <w:p>
            <w:pPr>
              <w:ind w:left="480"/>
              <w:spacing w:after="0"/>
              <w:rPr>
                <w:sz w:val="20"/>
                <w:szCs w:val="20"/>
                <w:color w:val="auto"/>
              </w:rPr>
            </w:pPr>
            <w:r>
              <w:rPr>
                <w:rFonts w:ascii="Arial" w:cs="Arial" w:eastAsia="Arial" w:hAnsi="Arial"/>
                <w:sz w:val="18"/>
                <w:szCs w:val="18"/>
                <w:color w:val="auto"/>
                <w:w w:val="91"/>
              </w:rPr>
              <w:t>Item 2</w:t>
            </w:r>
          </w:p>
        </w:tc>
        <w:tc>
          <w:tcPr>
            <w:tcW w:w="8280" w:type="dxa"/>
            <w:vAlign w:val="bottom"/>
            <w:shd w:val="clear" w:color="auto" w:fill="CCFFCC"/>
          </w:tcPr>
          <w:p>
            <w:pPr>
              <w:ind w:left="20"/>
              <w:spacing w:after="0"/>
              <w:rPr>
                <w:sz w:val="20"/>
                <w:szCs w:val="20"/>
                <w:color w:val="auto"/>
              </w:rPr>
            </w:pPr>
            <w:r>
              <w:rPr>
                <w:rFonts w:ascii="Arial" w:cs="Arial" w:eastAsia="Arial" w:hAnsi="Arial"/>
                <w:sz w:val="18"/>
                <w:szCs w:val="18"/>
                <w:color w:val="auto"/>
              </w:rPr>
              <w:t>- Management's Discussion and Analysis of Financial Condition and Results of Operations</w:t>
            </w:r>
          </w:p>
        </w:tc>
        <w:tc>
          <w:tcPr>
            <w:tcW w:w="2160" w:type="dxa"/>
            <w:vAlign w:val="bottom"/>
            <w:shd w:val="clear" w:color="auto" w:fill="CCFFCC"/>
          </w:tcPr>
          <w:p>
            <w:pPr>
              <w:jc w:val="center"/>
              <w:ind w:left="1170"/>
              <w:spacing w:after="0"/>
              <w:rPr>
                <w:sz w:val="20"/>
                <w:szCs w:val="20"/>
                <w:color w:val="auto"/>
              </w:rPr>
            </w:pPr>
            <w:r>
              <w:rPr>
                <w:rFonts w:ascii="Arial" w:cs="Arial" w:eastAsia="Arial" w:hAnsi="Arial"/>
                <w:sz w:val="18"/>
                <w:szCs w:val="18"/>
                <w:color w:val="auto"/>
                <w:w w:val="91"/>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FFCC"/>
          </w:tcPr>
          <w:p>
            <w:pPr>
              <w:ind w:left="480"/>
              <w:spacing w:after="0"/>
              <w:rPr>
                <w:sz w:val="20"/>
                <w:szCs w:val="20"/>
                <w:color w:val="auto"/>
              </w:rPr>
            </w:pPr>
            <w:r>
              <w:rPr>
                <w:rFonts w:ascii="Arial" w:cs="Arial" w:eastAsia="Arial" w:hAnsi="Arial"/>
                <w:sz w:val="18"/>
                <w:szCs w:val="18"/>
                <w:color w:val="auto"/>
                <w:w w:val="91"/>
              </w:rPr>
              <w:t>Item 3</w:t>
            </w:r>
          </w:p>
        </w:tc>
        <w:tc>
          <w:tcPr>
            <w:tcW w:w="8280" w:type="dxa"/>
            <w:vAlign w:val="bottom"/>
            <w:shd w:val="clear" w:color="auto" w:fill="CCFFCC"/>
          </w:tcPr>
          <w:p>
            <w:pPr>
              <w:ind w:left="20"/>
              <w:spacing w:after="0"/>
              <w:rPr>
                <w:sz w:val="20"/>
                <w:szCs w:val="20"/>
                <w:color w:val="auto"/>
              </w:rPr>
            </w:pPr>
            <w:r>
              <w:rPr>
                <w:rFonts w:ascii="Arial" w:cs="Arial" w:eastAsia="Arial" w:hAnsi="Arial"/>
                <w:sz w:val="18"/>
                <w:szCs w:val="18"/>
                <w:color w:val="auto"/>
              </w:rPr>
              <w:t>– Quantitative and Qualitative Disclosures about Market Risk</w:t>
            </w:r>
          </w:p>
        </w:tc>
        <w:tc>
          <w:tcPr>
            <w:tcW w:w="2160" w:type="dxa"/>
            <w:vAlign w:val="bottom"/>
            <w:shd w:val="clear" w:color="auto" w:fill="CCFFCC"/>
          </w:tcPr>
          <w:p>
            <w:pPr>
              <w:jc w:val="center"/>
              <w:ind w:left="1170"/>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FFCC"/>
          </w:tcPr>
          <w:p>
            <w:pPr>
              <w:ind w:left="480"/>
              <w:spacing w:after="0"/>
              <w:rPr>
                <w:sz w:val="20"/>
                <w:szCs w:val="20"/>
                <w:color w:val="auto"/>
              </w:rPr>
            </w:pPr>
            <w:r>
              <w:rPr>
                <w:rFonts w:ascii="Arial" w:cs="Arial" w:eastAsia="Arial" w:hAnsi="Arial"/>
                <w:sz w:val="18"/>
                <w:szCs w:val="18"/>
                <w:color w:val="auto"/>
              </w:rPr>
              <w:t>Item 4T- Controls and Procedures</w:t>
            </w:r>
          </w:p>
        </w:tc>
        <w:tc>
          <w:tcPr>
            <w:tcW w:w="2160" w:type="dxa"/>
            <w:vAlign w:val="bottom"/>
            <w:shd w:val="clear" w:color="auto" w:fill="CCFFCC"/>
          </w:tcPr>
          <w:p>
            <w:pPr>
              <w:jc w:val="center"/>
              <w:ind w:left="1170"/>
              <w:spacing w:after="0"/>
              <w:rPr>
                <w:sz w:val="20"/>
                <w:szCs w:val="20"/>
                <w:color w:val="auto"/>
              </w:rPr>
            </w:pPr>
            <w:r>
              <w:rPr>
                <w:rFonts w:ascii="Arial" w:cs="Arial" w:eastAsia="Arial" w:hAnsi="Arial"/>
                <w:sz w:val="18"/>
                <w:szCs w:val="18"/>
                <w:color w:val="auto"/>
                <w:w w:val="91"/>
              </w:rPr>
              <w:t>16-17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II. Other Information:</w:t>
            </w:r>
          </w:p>
        </w:tc>
        <w:tc>
          <w:tcPr>
            <w:tcW w:w="2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FFCC"/>
          </w:tcPr>
          <w:p>
            <w:pPr>
              <w:ind w:left="480"/>
              <w:spacing w:after="0"/>
              <w:rPr>
                <w:sz w:val="20"/>
                <w:szCs w:val="20"/>
                <w:color w:val="auto"/>
              </w:rPr>
            </w:pPr>
            <w:r>
              <w:rPr>
                <w:rFonts w:ascii="Arial" w:cs="Arial" w:eastAsia="Arial" w:hAnsi="Arial"/>
                <w:sz w:val="18"/>
                <w:szCs w:val="18"/>
                <w:color w:val="auto"/>
                <w:w w:val="91"/>
              </w:rPr>
              <w:t>Item 6</w:t>
            </w:r>
          </w:p>
        </w:tc>
        <w:tc>
          <w:tcPr>
            <w:tcW w:w="8280" w:type="dxa"/>
            <w:vAlign w:val="bottom"/>
            <w:shd w:val="clear" w:color="auto" w:fill="CCFFCC"/>
          </w:tcPr>
          <w:p>
            <w:pPr>
              <w:ind w:left="20"/>
              <w:spacing w:after="0"/>
              <w:rPr>
                <w:sz w:val="20"/>
                <w:szCs w:val="20"/>
                <w:color w:val="auto"/>
              </w:rPr>
            </w:pPr>
            <w:r>
              <w:rPr>
                <w:rFonts w:ascii="Arial" w:cs="Arial" w:eastAsia="Arial" w:hAnsi="Arial"/>
                <w:sz w:val="18"/>
                <w:szCs w:val="18"/>
                <w:color w:val="auto"/>
              </w:rPr>
              <w:t>- Exhibits</w:t>
            </w:r>
          </w:p>
        </w:tc>
        <w:tc>
          <w:tcPr>
            <w:tcW w:w="2160" w:type="dxa"/>
            <w:vAlign w:val="bottom"/>
            <w:shd w:val="clear" w:color="auto" w:fill="CCFFCC"/>
          </w:tcPr>
          <w:p>
            <w:pPr>
              <w:jc w:val="center"/>
              <w:ind w:left="1170"/>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FFCC"/>
          </w:tcPr>
          <w:p>
            <w:pPr>
              <w:ind w:left="480"/>
              <w:spacing w:after="0"/>
              <w:rPr>
                <w:sz w:val="20"/>
                <w:szCs w:val="20"/>
                <w:color w:val="auto"/>
              </w:rPr>
            </w:pPr>
            <w:r>
              <w:rPr>
                <w:rFonts w:ascii="Arial" w:cs="Arial" w:eastAsia="Arial" w:hAnsi="Arial"/>
                <w:sz w:val="18"/>
                <w:szCs w:val="18"/>
                <w:color w:val="auto"/>
              </w:rPr>
              <w:t>Signatures</w:t>
            </w:r>
          </w:p>
        </w:tc>
        <w:tc>
          <w:tcPr>
            <w:tcW w:w="2160" w:type="dxa"/>
            <w:vAlign w:val="bottom"/>
            <w:shd w:val="clear" w:color="auto" w:fill="CCFFCC"/>
          </w:tcPr>
          <w:p>
            <w:pPr>
              <w:jc w:val="center"/>
              <w:ind w:left="1170"/>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FFCC"/>
          </w:tcPr>
          <w:p>
            <w:pPr>
              <w:ind w:left="480"/>
              <w:spacing w:after="0"/>
              <w:rPr>
                <w:sz w:val="20"/>
                <w:szCs w:val="20"/>
                <w:color w:val="auto"/>
              </w:rPr>
            </w:pPr>
            <w:r>
              <w:rPr>
                <w:rFonts w:ascii="Arial" w:cs="Arial" w:eastAsia="Arial" w:hAnsi="Arial"/>
                <w:sz w:val="18"/>
                <w:szCs w:val="18"/>
                <w:color w:val="auto"/>
              </w:rPr>
              <w:t>Exhibits</w:t>
            </w:r>
          </w:p>
        </w:tc>
        <w:tc>
          <w:tcPr>
            <w:tcW w:w="2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80" w:type="dxa"/>
            <w:vAlign w:val="bottom"/>
          </w:tcPr>
          <w:p>
            <w:pPr>
              <w:jc w:val="center"/>
              <w:ind w:left="1090"/>
              <w:spacing w:after="0"/>
              <w:rPr>
                <w:sz w:val="20"/>
                <w:szCs w:val="20"/>
                <w:color w:val="auto"/>
              </w:rPr>
            </w:pPr>
            <w:r>
              <w:rPr>
                <w:rFonts w:ascii="Arial" w:cs="Arial" w:eastAsia="Arial" w:hAnsi="Arial"/>
                <w:sz w:val="18"/>
                <w:szCs w:val="18"/>
                <w:color w:val="auto"/>
                <w:w w:val="90"/>
              </w:rPr>
              <w:t>2 of 18</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28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220980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July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30,</w:t>
            </w:r>
          </w:p>
        </w:tc>
      </w:tr>
      <w:tr>
        <w:trPr>
          <w:trHeight w:val="237"/>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1180" w:type="dxa"/>
            <w:vAlign w:val="bottom"/>
            <w:gridSpan w:val="2"/>
          </w:tcPr>
          <w:p>
            <w:pPr>
              <w:spacing w:after="0" w:line="201" w:lineRule="exact"/>
              <w:rPr>
                <w:sz w:val="20"/>
                <w:szCs w:val="20"/>
                <w:color w:val="auto"/>
              </w:rPr>
            </w:pPr>
            <w:r>
              <w:rPr>
                <w:rFonts w:ascii="Arial" w:cs="Arial" w:eastAsia="Arial" w:hAnsi="Arial"/>
                <w:sz w:val="18"/>
                <w:szCs w:val="18"/>
                <w:color w:val="auto"/>
                <w:w w:val="99"/>
              </w:rPr>
              <w:t>(UNAUDITED)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0"/>
              <w:spacing w:after="0" w:line="201" w:lineRule="exact"/>
              <w:rPr>
                <w:sz w:val="20"/>
                <w:szCs w:val="20"/>
                <w:color w:val="auto"/>
              </w:rPr>
            </w:pPr>
            <w:r>
              <w:rPr>
                <w:rFonts w:ascii="Arial" w:cs="Arial" w:eastAsia="Arial" w:hAnsi="Arial"/>
                <w:sz w:val="18"/>
                <w:szCs w:val="18"/>
                <w:color w:val="auto"/>
              </w:rPr>
              <w:t>(AUDITED)</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(NOTE A)</w:t>
            </w:r>
          </w:p>
        </w:tc>
      </w:tr>
      <w:tr>
        <w:trPr>
          <w:trHeight w:val="230"/>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6"/>
          </w:tcPr>
          <w:p>
            <w:pPr>
              <w:jc w:val="right"/>
              <w:ind w:right="220"/>
              <w:spacing w:after="0"/>
              <w:rPr>
                <w:sz w:val="20"/>
                <w:szCs w:val="20"/>
                <w:color w:val="auto"/>
              </w:rPr>
            </w:pPr>
            <w:r>
              <w:rPr>
                <w:rFonts w:ascii="Arial" w:cs="Arial" w:eastAsia="Arial" w:hAnsi="Arial"/>
                <w:sz w:val="18"/>
                <w:szCs w:val="18"/>
                <w:color w:val="auto"/>
                <w:w w:val="87"/>
              </w:rPr>
              <w:t>(In thousands except share data)</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ind w:left="3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FFCC"/>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9,445</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9,954</w:t>
            </w:r>
          </w:p>
        </w:tc>
      </w:tr>
      <w:tr>
        <w:trPr>
          <w:trHeight w:val="216"/>
        </w:trPr>
        <w:tc>
          <w:tcPr>
            <w:tcW w:w="20" w:type="dxa"/>
            <w:vAlign w:val="bottom"/>
          </w:tcPr>
          <w:p>
            <w:pPr>
              <w:spacing w:after="0"/>
              <w:rPr>
                <w:sz w:val="18"/>
                <w:szCs w:val="18"/>
                <w:color w:val="auto"/>
              </w:rPr>
            </w:pPr>
          </w:p>
        </w:tc>
        <w:tc>
          <w:tcPr>
            <w:tcW w:w="876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11,470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10,418</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Accounts receivable, net of allowance for doubtful accounts of $266</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8,669</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10,504</w:t>
            </w:r>
          </w:p>
        </w:tc>
      </w:tr>
      <w:tr>
        <w:trPr>
          <w:trHeight w:val="216"/>
        </w:trPr>
        <w:tc>
          <w:tcPr>
            <w:tcW w:w="20" w:type="dxa"/>
            <w:vAlign w:val="bottom"/>
          </w:tcPr>
          <w:p>
            <w:pPr>
              <w:spacing w:after="0"/>
              <w:rPr>
                <w:sz w:val="18"/>
                <w:szCs w:val="18"/>
                <w:color w:val="auto"/>
              </w:rPr>
            </w:pPr>
          </w:p>
        </w:tc>
        <w:tc>
          <w:tcPr>
            <w:tcW w:w="8760" w:type="dxa"/>
            <w:vAlign w:val="bottom"/>
          </w:tcPr>
          <w:p>
            <w:pPr>
              <w:ind w:left="160"/>
              <w:spacing w:after="0"/>
              <w:rPr>
                <w:sz w:val="20"/>
                <w:szCs w:val="20"/>
                <w:color w:val="auto"/>
              </w:rPr>
            </w:pPr>
            <w:r>
              <w:rPr>
                <w:rFonts w:ascii="Arial" w:cs="Arial" w:eastAsia="Arial" w:hAnsi="Arial"/>
                <w:sz w:val="18"/>
                <w:szCs w:val="18"/>
                <w:color w:val="auto"/>
              </w:rPr>
              <w:t>Costs and estimated earnings in excess of billings</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2,867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1,667</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27,053</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26,975</w:t>
            </w:r>
          </w:p>
        </w:tc>
      </w:tr>
      <w:tr>
        <w:trPr>
          <w:trHeight w:val="216"/>
        </w:trPr>
        <w:tc>
          <w:tcPr>
            <w:tcW w:w="20" w:type="dxa"/>
            <w:vAlign w:val="bottom"/>
          </w:tcPr>
          <w:p>
            <w:pPr>
              <w:spacing w:after="0"/>
              <w:rPr>
                <w:sz w:val="18"/>
                <w:szCs w:val="18"/>
                <w:color w:val="auto"/>
              </w:rPr>
            </w:pPr>
          </w:p>
        </w:tc>
        <w:tc>
          <w:tcPr>
            <w:tcW w:w="8760" w:type="dxa"/>
            <w:vAlign w:val="bottom"/>
          </w:tcPr>
          <w:p>
            <w:pPr>
              <w:ind w:left="16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1,122</w:t>
            </w: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ind w:left="8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60,466</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60,640</w:t>
            </w: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Property, plant and equipment, at cost, less accumulated depreciation and amortization</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6,672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7,015</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Goodwill and other intangible assets</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9,049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8,917</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Investment in and loans receivable from affiliates</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3,837</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3,813</w:t>
            </w: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8760" w:type="dxa"/>
            <w:vAlign w:val="bottom"/>
            <w:tcBorders>
              <w:right w:val="single" w:sz="8" w:color="CCFFCC"/>
            </w:tcBorders>
            <w:shd w:val="clear" w:color="auto" w:fill="CCFFCC"/>
          </w:tcPr>
          <w:p>
            <w:pPr>
              <w:ind w:left="3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81,059</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81,420</w:t>
            </w:r>
          </w:p>
        </w:tc>
      </w:tr>
      <w:tr>
        <w:trPr>
          <w:trHeight w:val="210"/>
        </w:trPr>
        <w:tc>
          <w:tcPr>
            <w:tcW w:w="20" w:type="dxa"/>
            <w:vAlign w:val="bottom"/>
          </w:tcPr>
          <w:p>
            <w:pPr>
              <w:spacing w:after="0"/>
              <w:rPr>
                <w:sz w:val="18"/>
                <w:szCs w:val="18"/>
                <w:color w:val="auto"/>
              </w:rPr>
            </w:pPr>
          </w:p>
        </w:tc>
        <w:tc>
          <w:tcPr>
            <w:tcW w:w="8760" w:type="dxa"/>
            <w:vAlign w:val="bottom"/>
            <w:tcBorders>
              <w:top w:val="single" w:sz="8" w:color="CCFFCC"/>
            </w:tcBorders>
          </w:tcPr>
          <w:p>
            <w:pPr>
              <w:ind w:left="2340"/>
              <w:spacing w:after="0"/>
              <w:rPr>
                <w:sz w:val="20"/>
                <w:szCs w:val="20"/>
                <w:color w:val="auto"/>
              </w:rPr>
            </w:pPr>
            <w:r>
              <w:rPr>
                <w:rFonts w:ascii="Arial" w:cs="Arial" w:eastAsia="Arial" w:hAnsi="Arial"/>
                <w:sz w:val="18"/>
                <w:szCs w:val="18"/>
                <w:b w:val="1"/>
                <w:bCs w:val="1"/>
                <w:color w:val="auto"/>
              </w:rPr>
              <w:t>LIABILITIES AND STOCKHOLDERS' EQUITY</w:t>
            </w:r>
            <w:r>
              <w:rPr>
                <w:rFonts w:ascii="Arial" w:cs="Arial" w:eastAsia="Arial" w:hAnsi="Arial"/>
                <w:sz w:val="18"/>
                <w:szCs w:val="18"/>
                <w:color w:val="auto"/>
              </w:rPr>
              <w:t>:</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Short-term credit and lease obligations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Accounts payable - trade</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2,350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1,720</w:t>
            </w:r>
          </w:p>
        </w:tc>
      </w:tr>
      <w:tr>
        <w:trPr>
          <w:trHeight w:val="216"/>
        </w:trPr>
        <w:tc>
          <w:tcPr>
            <w:tcW w:w="20" w:type="dxa"/>
            <w:vAlign w:val="bottom"/>
          </w:tcPr>
          <w:p>
            <w:pPr>
              <w:spacing w:after="0"/>
              <w:rPr>
                <w:sz w:val="18"/>
                <w:szCs w:val="18"/>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4,260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5,047</w:t>
            </w:r>
          </w:p>
        </w:tc>
      </w:tr>
      <w:tr>
        <w:trPr>
          <w:trHeight w:val="27"/>
        </w:trPr>
        <w:tc>
          <w:tcPr>
            <w:tcW w:w="20" w:type="dxa"/>
            <w:vAlign w:val="bottom"/>
          </w:tcPr>
          <w:p>
            <w:pPr>
              <w:spacing w:after="0"/>
              <w:rPr>
                <w:sz w:val="2"/>
                <w:szCs w:val="2"/>
                <w:color w:val="auto"/>
              </w:rPr>
            </w:pPr>
          </w:p>
        </w:tc>
        <w:tc>
          <w:tcPr>
            <w:tcW w:w="8760" w:type="dxa"/>
            <w:vAlign w:val="bottom"/>
            <w:tcBorders>
              <w:right w:val="single" w:sz="8" w:color="CCFFCC"/>
            </w:tcBorders>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80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7,055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7,308</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Lease obligation- noncurrent</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441</w:t>
            </w: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9,652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9,624</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Deferred rent and other liabilities</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664</w:t>
            </w:r>
          </w:p>
        </w:tc>
      </w:tr>
      <w:tr>
        <w:trPr>
          <w:trHeight w:val="27"/>
        </w:trPr>
        <w:tc>
          <w:tcPr>
            <w:tcW w:w="20" w:type="dxa"/>
            <w:vAlign w:val="bottom"/>
          </w:tcPr>
          <w:p>
            <w:pPr>
              <w:spacing w:after="0"/>
              <w:rPr>
                <w:sz w:val="2"/>
                <w:szCs w:val="2"/>
                <w:color w:val="auto"/>
              </w:rPr>
            </w:pPr>
          </w:p>
        </w:tc>
        <w:tc>
          <w:tcPr>
            <w:tcW w:w="8760" w:type="dxa"/>
            <w:vAlign w:val="bottom"/>
            <w:tcBorders>
              <w:right w:val="single" w:sz="8" w:color="CCFFCC"/>
            </w:tcBorders>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80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17,751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18,037</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Preferred stock - $1.00 par value</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Common stock - $1.00 par value</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9,164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49,628</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49,580</w:t>
            </w:r>
          </w:p>
        </w:tc>
      </w:tr>
      <w:tr>
        <w:trPr>
          <w:trHeight w:val="216"/>
        </w:trPr>
        <w:tc>
          <w:tcPr>
            <w:tcW w:w="20" w:type="dxa"/>
            <w:vAlign w:val="bottom"/>
          </w:tcPr>
          <w:p>
            <w:pPr>
              <w:spacing w:after="0"/>
              <w:rPr>
                <w:sz w:val="18"/>
                <w:szCs w:val="18"/>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5,778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5,271</w:t>
            </w: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64,570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64,015</w:t>
            </w:r>
          </w:p>
        </w:tc>
      </w:tr>
      <w:tr>
        <w:trPr>
          <w:trHeight w:val="202"/>
        </w:trPr>
        <w:tc>
          <w:tcPr>
            <w:tcW w:w="20" w:type="dxa"/>
            <w:vAlign w:val="bottom"/>
          </w:tcPr>
          <w:p>
            <w:pPr>
              <w:spacing w:after="0"/>
              <w:rPr>
                <w:sz w:val="17"/>
                <w:szCs w:val="17"/>
                <w:color w:val="auto"/>
              </w:rPr>
            </w:pPr>
          </w:p>
        </w:tc>
        <w:tc>
          <w:tcPr>
            <w:tcW w:w="8760" w:type="dxa"/>
            <w:vAlign w:val="bottom"/>
          </w:tcPr>
          <w:p>
            <w:pPr>
              <w:ind w:left="320"/>
              <w:spacing w:after="0" w:line="201" w:lineRule="exact"/>
              <w:rPr>
                <w:sz w:val="20"/>
                <w:szCs w:val="20"/>
                <w:color w:val="auto"/>
              </w:rPr>
            </w:pPr>
            <w:r>
              <w:rPr>
                <w:rFonts w:ascii="Arial" w:cs="Arial" w:eastAsia="Arial" w:hAnsi="Arial"/>
                <w:sz w:val="18"/>
                <w:szCs w:val="18"/>
                <w:color w:val="auto"/>
                <w:w w:val="94"/>
              </w:rPr>
              <w:t>Common stock reacquired and held in treasury -at cost (922,467 shares at July 31, 2010 and 946,172 shares at</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April 30, 2010)</w:t>
            </w:r>
          </w:p>
        </w:tc>
        <w:tc>
          <w:tcPr>
            <w:tcW w:w="1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(4,437)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(4,651)</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3,175</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4,019</w:t>
            </w:r>
          </w:p>
        </w:tc>
      </w:tr>
      <w:tr>
        <w:trPr>
          <w:trHeight w:val="27"/>
        </w:trPr>
        <w:tc>
          <w:tcPr>
            <w:tcW w:w="20" w:type="dxa"/>
            <w:vAlign w:val="bottom"/>
          </w:tcPr>
          <w:p>
            <w:pPr>
              <w:spacing w:after="0"/>
              <w:rPr>
                <w:sz w:val="2"/>
                <w:szCs w:val="2"/>
                <w:color w:val="auto"/>
              </w:rPr>
            </w:pPr>
          </w:p>
        </w:tc>
        <w:tc>
          <w:tcPr>
            <w:tcW w:w="8760" w:type="dxa"/>
            <w:vAlign w:val="bottom"/>
            <w:tcBorders>
              <w:right w:val="single" w:sz="8" w:color="CCFFCC"/>
            </w:tcBorders>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80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63,308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63,383</w:t>
            </w: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760" w:type="dxa"/>
            <w:vAlign w:val="bottom"/>
            <w:tcBorders>
              <w:right w:val="single" w:sz="8" w:color="CCFFCC"/>
            </w:tcBorders>
            <w:shd w:val="clear" w:color="auto" w:fill="CCFFCC"/>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81,059</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81,420</w:t>
            </w:r>
          </w:p>
        </w:tc>
      </w:tr>
      <w:tr>
        <w:trPr>
          <w:trHeight w:val="20"/>
        </w:trPr>
        <w:tc>
          <w:tcPr>
            <w:tcW w:w="20" w:type="dxa"/>
            <w:vAlign w:val="bottom"/>
          </w:tcPr>
          <w:p>
            <w:pPr>
              <w:spacing w:after="0" w:line="20" w:lineRule="exact"/>
              <w:rPr>
                <w:sz w:val="1"/>
                <w:szCs w:val="1"/>
                <w:color w:val="auto"/>
              </w:rPr>
            </w:pPr>
          </w:p>
        </w:tc>
        <w:tc>
          <w:tcPr>
            <w:tcW w:w="87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740" w:type="dxa"/>
            <w:vAlign w:val="bottom"/>
            <w:gridSpan w:val="2"/>
          </w:tcPr>
          <w:p>
            <w:pPr>
              <w:jc w:val="center"/>
              <w:ind w:right="790"/>
              <w:spacing w:after="0"/>
              <w:rPr>
                <w:sz w:val="20"/>
                <w:szCs w:val="20"/>
                <w:color w:val="auto"/>
              </w:rPr>
            </w:pPr>
            <w:r>
              <w:rPr>
                <w:rFonts w:ascii="Arial" w:cs="Arial" w:eastAsia="Arial" w:hAnsi="Arial"/>
                <w:sz w:val="18"/>
                <w:szCs w:val="18"/>
                <w:color w:val="auto"/>
                <w:w w:val="94"/>
              </w:rPr>
              <w:t>FREQUENCY ELECTRONICS, INC. and SUBSIDIARIES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740" w:type="dxa"/>
            <w:vAlign w:val="bottom"/>
            <w:gridSpan w:val="2"/>
          </w:tcPr>
          <w:p>
            <w:pPr>
              <w:jc w:val="center"/>
              <w:ind w:right="790"/>
              <w:spacing w:after="0"/>
              <w:rPr>
                <w:sz w:val="20"/>
                <w:szCs w:val="20"/>
                <w:color w:val="auto"/>
              </w:rPr>
            </w:pPr>
            <w:r>
              <w:rPr>
                <w:rFonts w:ascii="Arial" w:cs="Arial" w:eastAsia="Arial" w:hAnsi="Arial"/>
                <w:sz w:val="18"/>
                <w:szCs w:val="18"/>
                <w:color w:val="auto"/>
                <w:w w:val="88"/>
              </w:rPr>
              <w:t>Condensed Consolidated Statements of Operations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740" w:type="dxa"/>
            <w:vAlign w:val="bottom"/>
            <w:gridSpan w:val="2"/>
          </w:tcPr>
          <w:p>
            <w:pPr>
              <w:jc w:val="center"/>
              <w:ind w:right="790"/>
              <w:spacing w:after="0"/>
              <w:rPr>
                <w:sz w:val="20"/>
                <w:szCs w:val="20"/>
                <w:color w:val="auto"/>
              </w:rPr>
            </w:pPr>
            <w:r>
              <w:rPr>
                <w:rFonts w:ascii="Arial" w:cs="Arial" w:eastAsia="Arial" w:hAnsi="Arial"/>
                <w:sz w:val="18"/>
                <w:szCs w:val="18"/>
                <w:color w:val="auto"/>
                <w:w w:val="90"/>
              </w:rPr>
              <w:t>Three Months Ended July 31,</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740" w:type="dxa"/>
            <w:vAlign w:val="bottom"/>
            <w:gridSpan w:val="2"/>
          </w:tcPr>
          <w:p>
            <w:pPr>
              <w:jc w:val="center"/>
              <w:ind w:right="790"/>
              <w:spacing w:after="0"/>
              <w:rPr>
                <w:sz w:val="20"/>
                <w:szCs w:val="20"/>
                <w:color w:val="auto"/>
              </w:rPr>
            </w:pPr>
            <w:r>
              <w:rPr>
                <w:rFonts w:ascii="Arial" w:cs="Arial" w:eastAsia="Arial" w:hAnsi="Arial"/>
                <w:sz w:val="18"/>
                <w:szCs w:val="18"/>
                <w:color w:val="auto"/>
                <w:w w:val="91"/>
              </w:rPr>
              <w:t>(Unaudited)</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640" w:type="dxa"/>
            <w:vAlign w:val="bottom"/>
            <w:gridSpan w:val="7"/>
          </w:tcPr>
          <w:p>
            <w:pPr>
              <w:spacing w:after="0"/>
              <w:rPr>
                <w:sz w:val="20"/>
                <w:szCs w:val="20"/>
                <w:color w:val="auto"/>
              </w:rPr>
            </w:pPr>
            <w:r>
              <w:rPr>
                <w:rFonts w:ascii="Arial" w:cs="Arial" w:eastAsia="Arial" w:hAnsi="Arial"/>
                <w:sz w:val="18"/>
                <w:szCs w:val="18"/>
                <w:color w:val="auto"/>
                <w:w w:val="89"/>
              </w:rPr>
              <w:t>(In thousands except per share data)</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Net revenues</w:t>
            </w:r>
          </w:p>
        </w:tc>
        <w:tc>
          <w:tcPr>
            <w:tcW w:w="5740" w:type="dxa"/>
            <w:vAlign w:val="bottom"/>
            <w:gridSpan w:val="2"/>
            <w:shd w:val="clear" w:color="auto" w:fill="CCFFCC"/>
          </w:tcPr>
          <w:p>
            <w:pPr>
              <w:ind w:left="5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12,124</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Cost of revenues</w:t>
            </w:r>
          </w:p>
        </w:tc>
        <w:tc>
          <w:tcPr>
            <w:tcW w:w="5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Gross margin</w:t>
            </w:r>
          </w:p>
        </w:tc>
        <w:tc>
          <w:tcPr>
            <w:tcW w:w="55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4,746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55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2,795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5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Operating profit</w:t>
            </w:r>
          </w:p>
        </w:tc>
        <w:tc>
          <w:tcPr>
            <w:tcW w:w="55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789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Other income (expense):</w:t>
            </w:r>
          </w:p>
        </w:tc>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Investment income</w:t>
            </w:r>
          </w:p>
        </w:tc>
        <w:tc>
          <w:tcPr>
            <w:tcW w:w="55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Arial" w:cs="Arial" w:eastAsia="Arial" w:hAnsi="Arial"/>
                <w:sz w:val="18"/>
                <w:szCs w:val="18"/>
                <w:color w:val="auto"/>
              </w:rPr>
              <w:t>Equity income (loss)</w:t>
            </w:r>
          </w:p>
        </w:tc>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Interest expense</w:t>
            </w:r>
          </w:p>
        </w:tc>
        <w:tc>
          <w:tcPr>
            <w:tcW w:w="55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ind w:left="320"/>
              <w:spacing w:after="0"/>
              <w:rPr>
                <w:sz w:val="20"/>
                <w:szCs w:val="20"/>
                <w:color w:val="auto"/>
              </w:rPr>
            </w:pPr>
            <w:r>
              <w:rPr>
                <w:rFonts w:ascii="Arial" w:cs="Arial" w:eastAsia="Arial" w:hAnsi="Arial"/>
                <w:sz w:val="18"/>
                <w:szCs w:val="18"/>
                <w:color w:val="auto"/>
              </w:rPr>
              <w:t>Other expense, net</w:t>
            </w:r>
          </w:p>
        </w:tc>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w w:val="98"/>
              </w:rPr>
              <w:t>Income before provision for income taxes</w:t>
            </w:r>
          </w:p>
        </w:tc>
        <w:tc>
          <w:tcPr>
            <w:tcW w:w="550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857</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Net income</w:t>
            </w:r>
          </w:p>
        </w:tc>
        <w:tc>
          <w:tcPr>
            <w:tcW w:w="5740" w:type="dxa"/>
            <w:vAlign w:val="bottom"/>
            <w:gridSpan w:val="2"/>
            <w:shd w:val="clear" w:color="auto" w:fill="CCFFCC"/>
          </w:tcPr>
          <w:p>
            <w:pPr>
              <w:ind w:left="5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507</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Borders>
              <w:top w:val="single" w:sz="8" w:color="CCFFCC"/>
            </w:tcBorders>
          </w:tcPr>
          <w:p>
            <w:pPr>
              <w:spacing w:after="0"/>
              <w:rPr>
                <w:sz w:val="18"/>
                <w:szCs w:val="18"/>
                <w:color w:val="auto"/>
              </w:rPr>
            </w:pPr>
          </w:p>
        </w:tc>
        <w:tc>
          <w:tcPr>
            <w:tcW w:w="55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Net income per common share:</w:t>
            </w:r>
          </w:p>
        </w:tc>
        <w:tc>
          <w:tcPr>
            <w:tcW w:w="55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80"/>
              <w:spacing w:after="0"/>
              <w:rPr>
                <w:sz w:val="20"/>
                <w:szCs w:val="20"/>
                <w:color w:val="auto"/>
              </w:rPr>
            </w:pPr>
            <w:r>
              <w:rPr>
                <w:rFonts w:ascii="Arial" w:cs="Arial" w:eastAsia="Arial" w:hAnsi="Arial"/>
                <w:sz w:val="18"/>
                <w:szCs w:val="18"/>
                <w:color w:val="auto"/>
              </w:rPr>
              <w:t>Basic</w:t>
            </w:r>
          </w:p>
        </w:tc>
        <w:tc>
          <w:tcPr>
            <w:tcW w:w="5740" w:type="dxa"/>
            <w:vAlign w:val="bottom"/>
            <w:gridSpan w:val="2"/>
          </w:tcPr>
          <w:p>
            <w:pPr>
              <w:ind w:left="5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Diluted</w:t>
            </w:r>
          </w:p>
        </w:tc>
        <w:tc>
          <w:tcPr>
            <w:tcW w:w="5740" w:type="dxa"/>
            <w:vAlign w:val="bottom"/>
            <w:gridSpan w:val="2"/>
            <w:shd w:val="clear" w:color="auto" w:fill="CCFFCC"/>
          </w:tcPr>
          <w:p>
            <w:pPr>
              <w:ind w:left="5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0.06</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Borders>
              <w:top w:val="single" w:sz="8" w:color="CCFFCC"/>
            </w:tcBorders>
          </w:tcPr>
          <w:p>
            <w:pPr>
              <w:spacing w:after="0"/>
              <w:rPr>
                <w:sz w:val="18"/>
                <w:szCs w:val="18"/>
                <w:color w:val="auto"/>
              </w:rPr>
            </w:pPr>
          </w:p>
        </w:tc>
        <w:tc>
          <w:tcPr>
            <w:tcW w:w="55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Average shares outstanding:</w:t>
            </w:r>
          </w:p>
        </w:tc>
        <w:tc>
          <w:tcPr>
            <w:tcW w:w="55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80"/>
              <w:spacing w:after="0"/>
              <w:rPr>
                <w:sz w:val="20"/>
                <w:szCs w:val="20"/>
                <w:color w:val="auto"/>
              </w:rPr>
            </w:pPr>
            <w:r>
              <w:rPr>
                <w:rFonts w:ascii="Arial" w:cs="Arial" w:eastAsia="Arial" w:hAnsi="Arial"/>
                <w:sz w:val="18"/>
                <w:szCs w:val="18"/>
                <w:color w:val="auto"/>
              </w:rPr>
              <w:t>Basic</w:t>
            </w:r>
          </w:p>
        </w:tc>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8,233,570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8,164,627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60" w:type="dxa"/>
            <w:vAlign w:val="bottom"/>
            <w:tcBorders>
              <w:bottom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Diluted</w:t>
            </w:r>
          </w:p>
        </w:tc>
        <w:tc>
          <w:tcPr>
            <w:tcW w:w="55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8,280,332</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8,172,080</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color w:val="auto"/>
                <w:w w:val="94"/>
              </w:rPr>
              <w:t>FREQUENCY ELECTRONICS, INC. and SUBSIDIARIES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color w:val="auto"/>
                <w:w w:val="89"/>
              </w:rPr>
              <w:t>Condensed Consolidated Statements of Cash Flows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color w:val="auto"/>
                <w:w w:val="90"/>
              </w:rPr>
              <w:t>Three Months Ended July 31,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5280"/>
              <w:spacing w:after="0"/>
              <w:rPr>
                <w:sz w:val="20"/>
                <w:szCs w:val="20"/>
                <w:color w:val="auto"/>
              </w:rPr>
            </w:pPr>
            <w:r>
              <w:rPr>
                <w:rFonts w:ascii="Arial" w:cs="Arial" w:eastAsia="Arial" w:hAnsi="Arial"/>
                <w:sz w:val="18"/>
                <w:szCs w:val="18"/>
                <w:color w:val="auto"/>
              </w:rPr>
              <w:t>(Unaudited)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507</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Non-cash charges to earnings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1,043</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Net changes in other assets and liabilities</w:t>
            </w: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bottom w:val="single" w:sz="8" w:color="auto"/>
            </w:tcBorders>
            <w:shd w:val="clear" w:color="auto" w:fill="CCFFCC"/>
          </w:tcPr>
          <w:p>
            <w:pPr>
              <w:spacing w:after="0"/>
              <w:rPr>
                <w:sz w:val="19"/>
                <w:szCs w:val="19"/>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spacing w:after="0"/>
              <w:rPr>
                <w:sz w:val="19"/>
                <w:szCs w:val="19"/>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Purchase of marketable securities</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Proceeds on redemption of marketable securities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(1,243)</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Payment of short-term credit and lease obligations</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Net (decrease) increase in cash and cash equivalents before effect of exchange rate changes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(821)</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shd w:val="clear" w:color="auto" w:fill="CCFFCC"/>
          </w:tcPr>
          <w:p>
            <w:pPr>
              <w:spacing w:after="0"/>
              <w:rPr>
                <w:sz w:val="19"/>
                <w:szCs w:val="19"/>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64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FFCC"/>
          </w:tcPr>
          <w:p>
            <w:pPr>
              <w:ind w:left="6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shd w:val="clear" w:color="auto" w:fill="CCFFCC"/>
          </w:tcPr>
          <w:p>
            <w:pPr>
              <w:spacing w:after="0"/>
              <w:rPr>
                <w:sz w:val="19"/>
                <w:szCs w:val="19"/>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9,954</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FFCC"/>
          </w:tcPr>
          <w:p>
            <w:pPr>
              <w:ind w:left="6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9,445</w:t>
            </w:r>
          </w:p>
        </w:tc>
        <w:tc>
          <w:tcPr>
            <w:tcW w:w="140" w:type="dxa"/>
            <w:vAlign w:val="bottom"/>
            <w:shd w:val="clear" w:color="auto" w:fill="CCFFCC"/>
          </w:tcPr>
          <w:p>
            <w:pPr>
              <w:spacing w:after="0"/>
              <w:rPr>
                <w:sz w:val="22"/>
                <w:szCs w:val="22"/>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Cash paid during the period for: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FFCC"/>
          </w:tcPr>
          <w:p>
            <w:pPr>
              <w:ind w:left="96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FFCC"/>
          </w:tcPr>
          <w:p>
            <w:pPr>
              <w:spacing w:after="0"/>
              <w:rPr>
                <w:sz w:val="22"/>
                <w:szCs w:val="22"/>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FFCC"/>
            </w:tcBorders>
          </w:tcPr>
          <w:p>
            <w:pPr>
              <w:ind w:left="960"/>
              <w:spacing w:after="0"/>
              <w:rPr>
                <w:sz w:val="20"/>
                <w:szCs w:val="20"/>
                <w:color w:val="auto"/>
              </w:rPr>
            </w:pPr>
            <w:r>
              <w:rPr>
                <w:rFonts w:ascii="Arial" w:cs="Arial" w:eastAsia="Arial" w:hAnsi="Arial"/>
                <w:sz w:val="18"/>
                <w:szCs w:val="18"/>
                <w:color w:val="auto"/>
              </w:rPr>
              <w:t>Income Taxes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A - CONSOLIDATED FINANCIAL STATEMENTS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July 31, 2010 and the results of its operations and cash flows for the three months ended July 31, 2010 and 2009. The April 30, 2010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April 30, 2010 Annual Report to Stockholders on Form 10-K. The results of operations for such interim periods are not necessarily indicative of the operating results for the full fiscal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18"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360" w:type="dxa"/>
            <w:vAlign w:val="bottom"/>
            <w:gridSpan w:val="4"/>
          </w:tcPr>
          <w:p>
            <w:pPr>
              <w:ind w:left="100"/>
              <w:spacing w:after="0"/>
              <w:rPr>
                <w:sz w:val="20"/>
                <w:szCs w:val="20"/>
                <w:color w:val="auto"/>
              </w:rPr>
            </w:pPr>
            <w:r>
              <w:rPr>
                <w:rFonts w:ascii="Arial" w:cs="Arial" w:eastAsia="Arial" w:hAnsi="Arial"/>
                <w:sz w:val="18"/>
                <w:szCs w:val="18"/>
                <w:color w:val="auto"/>
                <w:w w:val="96"/>
              </w:rPr>
              <w:t>Three months ended July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color w:val="auto"/>
              </w:rPr>
              <w:t>Basic EPS Shares outstanding (weighted average)</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8,233,570</w:t>
            </w: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8,164,627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46,762</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color w:val="auto"/>
              </w:rPr>
              <w:t>Diluted EPS Shares outstanding</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8,280,332</w:t>
            </w: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8,172,080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computation of diluted earnings per share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for the three months ended July 31, 2010 and 2009 were 1,020,775 and 1,325,525,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July 31, 2010 and April 30, 2010, costs and estimated earnings in excess of billings on uncompleted contracts accounted for on the percentage of completion basis were approximately $2,867,000 and $1,667,000, respectively. Such amounts represent revenue recognized on long-term contracts that had not been billed at the balance sheet dates, net of amounts billed in excess of the revenue recognized. Such amounts are billed pursuant to contract terms. During the three months ended July 31, 2010 and 2009, revenue recognized under percentage of completion contracts was approximately $5.1 million and $4.4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D - INVENTORIES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which are reported at the lower of cost or market, consist of the following:</w:t>
      </w:r>
    </w:p>
    <w:p>
      <w:pPr>
        <w:spacing w:after="0" w:line="252" w:lineRule="exact"/>
        <w:rPr>
          <w:sz w:val="20"/>
          <w:szCs w:val="20"/>
          <w:color w:val="auto"/>
        </w:rPr>
      </w:pPr>
    </w:p>
    <w:tbl>
      <w:tblPr>
        <w:tblLayout w:type="fixed"/>
        <w:tblInd w:w="980" w:type="dxa"/>
        <w:tblCellMar>
          <w:top w:w="0" w:type="dxa"/>
          <w:left w:w="0" w:type="dxa"/>
          <w:bottom w:w="0" w:type="dxa"/>
          <w:right w:w="0" w:type="dxa"/>
        </w:tblCellMar>
      </w:tblPr>
      <w:tr>
        <w:trPr>
          <w:trHeight w:val="237"/>
        </w:trPr>
        <w:tc>
          <w:tcPr>
            <w:tcW w:w="5920" w:type="dxa"/>
            <w:vAlign w:val="bottom"/>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July 31, 2010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3"/>
              </w:rPr>
              <w:t>April 30, 2010</w:t>
            </w:r>
          </w:p>
        </w:tc>
        <w:tc>
          <w:tcPr>
            <w:tcW w:w="80" w:type="dxa"/>
            <w:vAlign w:val="bottom"/>
          </w:tcPr>
          <w:p>
            <w:pPr>
              <w:spacing w:after="0"/>
              <w:rPr>
                <w:sz w:val="20"/>
                <w:szCs w:val="20"/>
                <w:color w:val="auto"/>
              </w:rPr>
            </w:pPr>
          </w:p>
        </w:tc>
      </w:tr>
      <w:tr>
        <w:trPr>
          <w:trHeight w:val="216"/>
        </w:trPr>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680" w:type="dxa"/>
            <w:vAlign w:val="bottom"/>
            <w:gridSpan w:val="3"/>
          </w:tcPr>
          <w:p>
            <w:pPr>
              <w:spacing w:after="0"/>
              <w:rPr>
                <w:sz w:val="20"/>
                <w:szCs w:val="20"/>
                <w:color w:val="auto"/>
              </w:rPr>
            </w:pPr>
            <w:r>
              <w:rPr>
                <w:rFonts w:ascii="Arial" w:cs="Arial" w:eastAsia="Arial" w:hAnsi="Arial"/>
                <w:sz w:val="18"/>
                <w:szCs w:val="18"/>
                <w:color w:val="auto"/>
                <w:w w:val="74"/>
              </w:rPr>
              <w:t>thousands)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Raw Materials and Component Parts</w:t>
            </w:r>
          </w:p>
        </w:tc>
        <w:tc>
          <w:tcPr>
            <w:tcW w:w="340" w:type="dxa"/>
            <w:vAlign w:val="bottom"/>
            <w:shd w:val="clear" w:color="auto" w:fill="CCFFCC"/>
          </w:tcPr>
          <w:p>
            <w:pPr>
              <w:jc w:val="right"/>
              <w:ind w:right="18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11,779</w:t>
            </w:r>
          </w:p>
        </w:tc>
        <w:tc>
          <w:tcPr>
            <w:tcW w:w="20" w:type="dxa"/>
            <w:vAlign w:val="bottom"/>
            <w:shd w:val="clear" w:color="auto" w:fill="CCFFCC"/>
          </w:tcPr>
          <w:p>
            <w:pPr>
              <w:spacing w:after="0"/>
              <w:rPr>
                <w:sz w:val="18"/>
                <w:szCs w:val="18"/>
                <w:color w:val="auto"/>
              </w:rPr>
            </w:pPr>
          </w:p>
        </w:tc>
        <w:tc>
          <w:tcPr>
            <w:tcW w:w="6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13,192</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Work in Progress</w:t>
            </w: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12,318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11,039</w:t>
            </w:r>
          </w:p>
        </w:tc>
        <w:tc>
          <w:tcPr>
            <w:tcW w:w="80" w:type="dxa"/>
            <w:vAlign w:val="bottom"/>
          </w:tcPr>
          <w:p>
            <w:pPr>
              <w:spacing w:after="0"/>
              <w:rPr>
                <w:sz w:val="18"/>
                <w:szCs w:val="18"/>
                <w:color w:val="auto"/>
              </w:rPr>
            </w:pPr>
          </w:p>
        </w:tc>
      </w:tr>
      <w:tr>
        <w:trPr>
          <w:trHeight w:val="223"/>
        </w:trPr>
        <w:tc>
          <w:tcPr>
            <w:tcW w:w="59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auto"/>
            </w:tcBorders>
            <w:shd w:val="clear" w:color="auto" w:fill="CCFFCC"/>
          </w:tcPr>
          <w:p>
            <w:pPr>
              <w:spacing w:after="0"/>
              <w:rPr>
                <w:sz w:val="19"/>
                <w:szCs w:val="19"/>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2,956</w:t>
            </w:r>
          </w:p>
        </w:tc>
        <w:tc>
          <w:tcPr>
            <w:tcW w:w="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500" w:type="dxa"/>
            <w:vAlign w:val="bottom"/>
            <w:tcBorders>
              <w:bottom w:val="single" w:sz="8" w:color="auto"/>
            </w:tcBorders>
            <w:shd w:val="clear" w:color="auto" w:fill="CCFFCC"/>
          </w:tcPr>
          <w:p>
            <w:pPr>
              <w:spacing w:after="0"/>
              <w:rPr>
                <w:sz w:val="19"/>
                <w:szCs w:val="19"/>
                <w:color w:val="auto"/>
              </w:rPr>
            </w:pPr>
          </w:p>
        </w:tc>
        <w:tc>
          <w:tcPr>
            <w:tcW w:w="5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2,744</w:t>
            </w:r>
          </w:p>
        </w:tc>
        <w:tc>
          <w:tcPr>
            <w:tcW w:w="80" w:type="dxa"/>
            <w:vAlign w:val="bottom"/>
            <w:tcBorders>
              <w:bottom w:val="single" w:sz="8" w:color="CCFFCC"/>
            </w:tcBorders>
            <w:shd w:val="clear" w:color="auto" w:fill="CCFFCC"/>
          </w:tcPr>
          <w:p>
            <w:pPr>
              <w:spacing w:after="0"/>
              <w:rPr>
                <w:sz w:val="19"/>
                <w:szCs w:val="19"/>
                <w:color w:val="auto"/>
              </w:rPr>
            </w:pPr>
          </w:p>
        </w:tc>
      </w:tr>
      <w:tr>
        <w:trPr>
          <w:trHeight w:val="216"/>
        </w:trPr>
        <w:tc>
          <w:tcPr>
            <w:tcW w:w="5920" w:type="dxa"/>
            <w:vAlign w:val="bottom"/>
          </w:tcPr>
          <w:p>
            <w:pPr>
              <w:spacing w:after="0"/>
              <w:rPr>
                <w:sz w:val="18"/>
                <w:szCs w:val="18"/>
                <w:color w:val="auto"/>
              </w:rPr>
            </w:pPr>
          </w:p>
        </w:tc>
        <w:tc>
          <w:tcPr>
            <w:tcW w:w="340" w:type="dxa"/>
            <w:vAlign w:val="bottom"/>
          </w:tcPr>
          <w:p>
            <w:pPr>
              <w:jc w:val="right"/>
              <w:ind w:right="18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27,053</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26,975</w:t>
            </w:r>
          </w:p>
        </w:tc>
      </w:tr>
      <w:tr>
        <w:trPr>
          <w:trHeight w:val="21"/>
        </w:trPr>
        <w:tc>
          <w:tcPr>
            <w:tcW w:w="59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July 31, 2010 and April 30, 2010, approximately $18.7 million and $18.2 million, respectively, of total inventory is located in the United States, approximately $7.6 million and $7.9 million, respectively, is located in Belgium and approximately $800,000 and $900,000, respectively, is located in China.</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E – COMPREHENSIVE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July 31, 2010 and 2009, comprehensive (loss) income is composed of (in thousands):</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Three months ended July 31,</w:t>
      </w:r>
    </w:p>
    <w:p>
      <w:pPr>
        <w:spacing w:after="0" w:line="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4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FFCC"/>
          </w:tcPr>
          <w:p>
            <w:pPr>
              <w:jc w:val="right"/>
              <w:ind w:right="640"/>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507</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8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Change in market value of marketable securities</w:t>
            </w:r>
          </w:p>
        </w:tc>
        <w:tc>
          <w:tcPr>
            <w:tcW w:w="800" w:type="dxa"/>
            <w:vAlign w:val="bottom"/>
            <w:shd w:val="clear" w:color="auto" w:fill="CCFFCC"/>
          </w:tcPr>
          <w:p>
            <w:pPr>
              <w:spacing w:after="0"/>
              <w:rPr>
                <w:sz w:val="18"/>
                <w:szCs w:val="18"/>
                <w:color w:val="auto"/>
              </w:rPr>
            </w:pPr>
          </w:p>
        </w:tc>
        <w:tc>
          <w:tcPr>
            <w:tcW w:w="56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Borders>
              <w:right w:val="single" w:sz="8" w:color="CCFFCC"/>
            </w:tcBorders>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800" w:type="dxa"/>
            <w:vAlign w:val="bottom"/>
          </w:tcPr>
          <w:p>
            <w:pPr>
              <w:jc w:val="right"/>
              <w:ind w:right="64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( 337)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F – SEGMENT INFORMATION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operates under three reportable segments based on the geographic locations of its subsidiaries:</w:t>
      </w:r>
    </w:p>
    <w:p>
      <w:pPr>
        <w:spacing w:after="0" w:line="23" w:lineRule="exact"/>
        <w:rPr>
          <w:sz w:val="20"/>
          <w:szCs w:val="20"/>
          <w:color w:val="auto"/>
        </w:rPr>
      </w:pPr>
    </w:p>
    <w:p>
      <w:pPr>
        <w:jc w:val="both"/>
        <w:ind w:left="1140" w:hanging="484"/>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 w:lineRule="exact"/>
        <w:rPr>
          <w:rFonts w:ascii="Arial" w:cs="Arial" w:eastAsia="Arial" w:hAnsi="Arial"/>
          <w:sz w:val="18"/>
          <w:szCs w:val="18"/>
          <w:color w:val="auto"/>
        </w:rPr>
      </w:pPr>
    </w:p>
    <w:p>
      <w:pPr>
        <w:ind w:left="1140" w:hanging="484"/>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Gillam-FEI - operates out of Belgium and France and primarily sells wireline synchronization and network management systems in non-U.S. markets. All sales from Gillam-FEI to the United States are to other segments of the Company.</w:t>
      </w:r>
    </w:p>
    <w:p>
      <w:pPr>
        <w:jc w:val="both"/>
        <w:ind w:left="1140" w:hanging="484"/>
        <w:spacing w:after="0" w:line="302"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8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FEI-NY segment also includes the operations of the Company’s wholly-owned subsidiary, FEI-Asia. FEI-Asia functions primarily as a manufacturing facility for the FEI-NY segment.</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20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table below presents information about reported segments with reconciliation of segment amounts to consolidated amounts as reported in the statement of operations or the balance sheet for each of the periods (in thousands):</w:t>
      </w: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6"/>
          </w:tcPr>
          <w:p>
            <w:pPr>
              <w:jc w:val="right"/>
              <w:ind w:right="400"/>
              <w:spacing w:after="0" w:line="203" w:lineRule="exact"/>
              <w:rPr>
                <w:sz w:val="20"/>
                <w:szCs w:val="20"/>
                <w:color w:val="auto"/>
              </w:rPr>
            </w:pPr>
            <w:r>
              <w:rPr>
                <w:rFonts w:ascii="Arial" w:cs="Arial" w:eastAsia="Arial" w:hAnsi="Arial"/>
                <w:sz w:val="18"/>
                <w:szCs w:val="18"/>
                <w:color w:val="auto"/>
                <w:w w:val="93"/>
              </w:rPr>
              <w:t>Three months ended July 31,</w:t>
            </w:r>
          </w:p>
        </w:tc>
        <w:tc>
          <w:tcPr>
            <w:tcW w:w="17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Net revenues:</w:t>
            </w:r>
          </w:p>
        </w:tc>
        <w:tc>
          <w:tcPr>
            <w:tcW w:w="28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FEI-NY</w:t>
            </w:r>
          </w:p>
        </w:tc>
        <w:tc>
          <w:tcPr>
            <w:tcW w:w="30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7,642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7,065</w:t>
            </w: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Gillam-FEI</w:t>
            </w:r>
          </w:p>
        </w:tc>
        <w:tc>
          <w:tcPr>
            <w:tcW w:w="28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2,973</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2,474</w:t>
            </w: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FEI-Zyfer</w:t>
            </w: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4,249</w:t>
            </w: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Less intercompany revenues</w:t>
            </w:r>
          </w:p>
        </w:tc>
        <w:tc>
          <w:tcPr>
            <w:tcW w:w="28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(1,346)</w:t>
            </w:r>
          </w:p>
        </w:tc>
        <w:tc>
          <w:tcPr>
            <w:tcW w:w="17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020" w:type="dxa"/>
            <w:vAlign w:val="bottom"/>
            <w:shd w:val="clear" w:color="auto" w:fill="CCFFCC"/>
          </w:tcPr>
          <w:p>
            <w:pPr>
              <w:spacing w:after="0"/>
              <w:rPr>
                <w:sz w:val="2"/>
                <w:szCs w:val="2"/>
                <w:color w:val="auto"/>
              </w:rPr>
            </w:pPr>
          </w:p>
        </w:tc>
        <w:tc>
          <w:tcPr>
            <w:tcW w:w="286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7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480"/>
              <w:spacing w:after="0"/>
              <w:rPr>
                <w:sz w:val="20"/>
                <w:szCs w:val="20"/>
                <w:color w:val="auto"/>
              </w:rPr>
            </w:pPr>
            <w:r>
              <w:rPr>
                <w:rFonts w:ascii="Arial" w:cs="Arial" w:eastAsia="Arial" w:hAnsi="Arial"/>
                <w:sz w:val="18"/>
                <w:szCs w:val="18"/>
                <w:color w:val="auto"/>
              </w:rPr>
              <w:t>Consolidated revenues</w:t>
            </w:r>
          </w:p>
        </w:tc>
        <w:tc>
          <w:tcPr>
            <w:tcW w:w="28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12,124</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12,442</w:t>
            </w:r>
          </w:p>
        </w:tc>
        <w:tc>
          <w:tcPr>
            <w:tcW w:w="17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Operating profit:</w:t>
            </w:r>
          </w:p>
        </w:tc>
        <w:tc>
          <w:tcPr>
            <w:tcW w:w="28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FEI-NY</w:t>
            </w:r>
          </w:p>
        </w:tc>
        <w:tc>
          <w:tcPr>
            <w:tcW w:w="30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1,012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Gillam-FEI</w:t>
            </w:r>
          </w:p>
        </w:tc>
        <w:tc>
          <w:tcPr>
            <w:tcW w:w="28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w:t>
            </w: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FEI-Zyfer</w:t>
            </w: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656</w:t>
            </w: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Corporate</w:t>
            </w:r>
          </w:p>
        </w:tc>
        <w:tc>
          <w:tcPr>
            <w:tcW w:w="28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(64)</w:t>
            </w:r>
          </w:p>
        </w:tc>
        <w:tc>
          <w:tcPr>
            <w:tcW w:w="17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020" w:type="dxa"/>
            <w:vAlign w:val="bottom"/>
            <w:shd w:val="clear" w:color="auto" w:fill="CCFFCC"/>
          </w:tcPr>
          <w:p>
            <w:pPr>
              <w:spacing w:after="0"/>
              <w:rPr>
                <w:sz w:val="2"/>
                <w:szCs w:val="2"/>
                <w:color w:val="auto"/>
              </w:rPr>
            </w:pPr>
          </w:p>
        </w:tc>
        <w:tc>
          <w:tcPr>
            <w:tcW w:w="286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7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480"/>
              <w:spacing w:after="0"/>
              <w:rPr>
                <w:sz w:val="20"/>
                <w:szCs w:val="20"/>
                <w:color w:val="auto"/>
              </w:rPr>
            </w:pPr>
            <w:r>
              <w:rPr>
                <w:rFonts w:ascii="Arial" w:cs="Arial" w:eastAsia="Arial" w:hAnsi="Arial"/>
                <w:sz w:val="18"/>
                <w:szCs w:val="18"/>
                <w:color w:val="auto"/>
              </w:rPr>
              <w:t>Consolidated operating profit</w:t>
            </w:r>
          </w:p>
        </w:tc>
        <w:tc>
          <w:tcPr>
            <w:tcW w:w="28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789</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659</w:t>
            </w:r>
          </w:p>
        </w:tc>
        <w:tc>
          <w:tcPr>
            <w:tcW w:w="17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60" w:type="dxa"/>
            <w:vAlign w:val="bottom"/>
            <w:gridSpan w:val="2"/>
          </w:tcPr>
          <w:p>
            <w:pPr>
              <w:jc w:val="right"/>
              <w:ind w:right="1050"/>
              <w:spacing w:after="0"/>
              <w:rPr>
                <w:sz w:val="20"/>
                <w:szCs w:val="20"/>
                <w:color w:val="auto"/>
              </w:rPr>
            </w:pPr>
            <w:r>
              <w:rPr>
                <w:rFonts w:ascii="Arial" w:cs="Arial" w:eastAsia="Arial" w:hAnsi="Arial"/>
                <w:sz w:val="18"/>
                <w:szCs w:val="18"/>
                <w:color w:val="auto"/>
              </w:rPr>
              <w:t>7 of 18</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180" w:type="dxa"/>
        <w:tblCellMar>
          <w:top w:w="0" w:type="dxa"/>
          <w:left w:w="0" w:type="dxa"/>
          <w:bottom w:w="0" w:type="dxa"/>
          <w:right w:w="0" w:type="dxa"/>
        </w:tblCellMar>
      </w:tblPr>
      <w:tr>
        <w:trPr>
          <w:trHeight w:val="237"/>
        </w:trPr>
        <w:tc>
          <w:tcPr>
            <w:tcW w:w="6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July 31, 2010</w:t>
            </w:r>
          </w:p>
        </w:tc>
        <w:tc>
          <w:tcPr>
            <w:tcW w:w="60" w:type="dxa"/>
            <w:vAlign w:val="bottom"/>
          </w:tcPr>
          <w:p>
            <w:pPr>
              <w:spacing w:after="0"/>
              <w:rPr>
                <w:sz w:val="20"/>
                <w:szCs w:val="20"/>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April 30, 2010</w:t>
            </w:r>
          </w:p>
        </w:tc>
      </w:tr>
      <w:tr>
        <w:trPr>
          <w:trHeight w:val="216"/>
        </w:trPr>
        <w:tc>
          <w:tcPr>
            <w:tcW w:w="6800" w:type="dxa"/>
            <w:vAlign w:val="bottom"/>
            <w:shd w:val="clear" w:color="auto" w:fill="CCFFCC"/>
          </w:tcPr>
          <w:p>
            <w:pPr>
              <w:spacing w:after="0"/>
              <w:rPr>
                <w:sz w:val="20"/>
                <w:szCs w:val="20"/>
                <w:color w:val="auto"/>
              </w:rPr>
            </w:pPr>
            <w:r>
              <w:rPr>
                <w:rFonts w:ascii="Arial" w:cs="Arial" w:eastAsia="Arial" w:hAnsi="Arial"/>
                <w:sz w:val="18"/>
                <w:szCs w:val="18"/>
                <w:color w:val="auto"/>
              </w:rPr>
              <w:t>Identifiable assets:</w:t>
            </w:r>
          </w:p>
        </w:tc>
        <w:tc>
          <w:tcPr>
            <w:tcW w:w="10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800" w:type="dxa"/>
            <w:vAlign w:val="bottom"/>
          </w:tcPr>
          <w:p>
            <w:pPr>
              <w:ind w:left="160"/>
              <w:spacing w:after="0"/>
              <w:rPr>
                <w:sz w:val="20"/>
                <w:szCs w:val="20"/>
                <w:color w:val="auto"/>
              </w:rPr>
            </w:pPr>
            <w:r>
              <w:rPr>
                <w:rFonts w:ascii="Arial" w:cs="Arial" w:eastAsia="Arial" w:hAnsi="Arial"/>
                <w:sz w:val="18"/>
                <w:szCs w:val="18"/>
                <w:color w:val="auto"/>
              </w:rPr>
              <w:t>FEI-NY (approximately $3.5 million in China)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35,568</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35,462</w:t>
            </w:r>
          </w:p>
        </w:tc>
      </w:tr>
      <w:tr>
        <w:trPr>
          <w:trHeight w:val="216"/>
        </w:trPr>
        <w:tc>
          <w:tcPr>
            <w:tcW w:w="6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 (all in Belgium or France)</w:t>
            </w: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18,683</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19,594</w:t>
            </w:r>
          </w:p>
        </w:tc>
      </w:tr>
      <w:tr>
        <w:trPr>
          <w:trHeight w:val="216"/>
        </w:trPr>
        <w:tc>
          <w:tcPr>
            <w:tcW w:w="6800" w:type="dxa"/>
            <w:vAlign w:val="bottom"/>
          </w:tcPr>
          <w:p>
            <w:pPr>
              <w:ind w:left="160"/>
              <w:spacing w:after="0"/>
              <w:rPr>
                <w:sz w:val="20"/>
                <w:szCs w:val="20"/>
                <w:color w:val="auto"/>
              </w:rPr>
            </w:pPr>
            <w:r>
              <w:rPr>
                <w:rFonts w:ascii="Arial" w:cs="Arial" w:eastAsia="Arial" w:hAnsi="Arial"/>
                <w:sz w:val="18"/>
                <w:szCs w:val="18"/>
                <w:color w:val="auto"/>
              </w:rPr>
              <w:t>FEI-Zyfer</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7,413</w:t>
            </w:r>
          </w:p>
        </w:tc>
      </w:tr>
      <w:tr>
        <w:trPr>
          <w:trHeight w:val="216"/>
        </w:trPr>
        <w:tc>
          <w:tcPr>
            <w:tcW w:w="6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intersegment balances</w:t>
            </w: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(14,139)</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(14,655)</w:t>
            </w:r>
          </w:p>
        </w:tc>
      </w:tr>
      <w:tr>
        <w:trPr>
          <w:trHeight w:val="223"/>
        </w:trPr>
        <w:tc>
          <w:tcPr>
            <w:tcW w:w="680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33,606</w:t>
            </w:r>
          </w:p>
        </w:tc>
        <w:tc>
          <w:tcPr>
            <w:tcW w:w="100" w:type="dxa"/>
            <w:vAlign w:val="bottom"/>
          </w:tcPr>
          <w:p>
            <w:pPr>
              <w:spacing w:after="0"/>
              <w:rPr>
                <w:sz w:val="19"/>
                <w:szCs w:val="19"/>
                <w:color w:val="auto"/>
              </w:rPr>
            </w:pPr>
          </w:p>
        </w:tc>
      </w:tr>
      <w:tr>
        <w:trPr>
          <w:trHeight w:val="257"/>
        </w:trPr>
        <w:tc>
          <w:tcPr>
            <w:tcW w:w="680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Consolidated identifiable assets</w:t>
            </w: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81,059</w:t>
            </w:r>
          </w:p>
        </w:tc>
        <w:tc>
          <w:tcPr>
            <w:tcW w:w="120" w:type="dxa"/>
            <w:vAlign w:val="bottom"/>
            <w:tcBorders>
              <w:bottom w:val="single" w:sz="8" w:color="CCFFCC"/>
            </w:tcBorders>
            <w:shd w:val="clear" w:color="auto" w:fill="CCFFCC"/>
          </w:tcPr>
          <w:p>
            <w:pPr>
              <w:spacing w:after="0"/>
              <w:rPr>
                <w:sz w:val="22"/>
                <w:szCs w:val="22"/>
                <w:color w:val="auto"/>
              </w:rPr>
            </w:pPr>
          </w:p>
        </w:tc>
        <w:tc>
          <w:tcPr>
            <w:tcW w:w="60" w:type="dxa"/>
            <w:vAlign w:val="bottom"/>
            <w:tcBorders>
              <w:bottom w:val="single" w:sz="8" w:color="CCFFCC"/>
            </w:tcBorders>
            <w:shd w:val="clear" w:color="auto" w:fill="CCFFCC"/>
          </w:tcPr>
          <w:p>
            <w:pPr>
              <w:spacing w:after="0"/>
              <w:rPr>
                <w:sz w:val="22"/>
                <w:szCs w:val="22"/>
                <w:color w:val="auto"/>
              </w:rPr>
            </w:pPr>
          </w:p>
        </w:tc>
        <w:tc>
          <w:tcPr>
            <w:tcW w:w="40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81,420</w:t>
            </w:r>
          </w:p>
        </w:tc>
        <w:tc>
          <w:tcPr>
            <w:tcW w:w="100" w:type="dxa"/>
            <w:vAlign w:val="bottom"/>
            <w:tcBorders>
              <w:bottom w:val="single" w:sz="8" w:color="CCFFCC"/>
            </w:tcBorders>
            <w:shd w:val="clear" w:color="auto" w:fill="CCFFCC"/>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G – RELATED PARTY TRANSACTIONS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an equity interest in two strategically important companies: Elcom Technologies, Inc. (“Elcom”) and Morion Inc. (“Morion”). During the three month periods ended July 31, 2010 and 2009, the Company acquired technical services from Elcom, purchased crystal oscillator products from Morion and sold certain of its products to both companies. The Company also receives interest from Elcom under two notes receivable. The table below summarizes these transactions:</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2480" w:type="dxa"/>
            <w:vAlign w:val="bottom"/>
            <w:gridSpan w:val="6"/>
          </w:tcPr>
          <w:p>
            <w:pPr>
              <w:ind w:left="160"/>
              <w:spacing w:after="0"/>
              <w:rPr>
                <w:sz w:val="20"/>
                <w:szCs w:val="20"/>
                <w:color w:val="auto"/>
              </w:rPr>
            </w:pPr>
            <w:r>
              <w:rPr>
                <w:rFonts w:ascii="Arial" w:cs="Arial" w:eastAsia="Arial" w:hAnsi="Arial"/>
                <w:sz w:val="18"/>
                <w:szCs w:val="18"/>
                <w:color w:val="auto"/>
                <w:w w:val="98"/>
              </w:rPr>
              <w:t>Three months ended July 31,</w:t>
            </w:r>
          </w:p>
        </w:tc>
      </w:tr>
      <w:tr>
        <w:trPr>
          <w:trHeight w:val="237"/>
        </w:trPr>
        <w:tc>
          <w:tcPr>
            <w:tcW w:w="61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120" w:type="dxa"/>
            <w:vAlign w:val="bottom"/>
          </w:tcPr>
          <w:p>
            <w:pPr>
              <w:spacing w:after="0"/>
              <w:rPr>
                <w:sz w:val="18"/>
                <w:szCs w:val="18"/>
                <w:color w:val="auto"/>
              </w:rPr>
            </w:pP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(in</w:t>
            </w:r>
          </w:p>
        </w:tc>
        <w:tc>
          <w:tcPr>
            <w:tcW w:w="960" w:type="dxa"/>
            <w:vAlign w:val="bottom"/>
            <w:gridSpan w:val="2"/>
          </w:tcPr>
          <w:p>
            <w:pPr>
              <w:jc w:val="right"/>
              <w:ind w:right="301"/>
              <w:spacing w:after="0"/>
              <w:rPr>
                <w:sz w:val="20"/>
                <w:szCs w:val="20"/>
                <w:color w:val="auto"/>
              </w:rPr>
            </w:pPr>
            <w:r>
              <w:rPr>
                <w:rFonts w:ascii="Arial" w:cs="Arial" w:eastAsia="Arial" w:hAnsi="Arial"/>
                <w:sz w:val="16"/>
                <w:szCs w:val="16"/>
                <w:color w:val="auto"/>
                <w:w w:val="70"/>
              </w:rPr>
              <w:t>thousands)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Purchases from:</w:t>
            </w:r>
          </w:p>
        </w:tc>
        <w:tc>
          <w:tcPr>
            <w:tcW w:w="7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6120" w:type="dxa"/>
            <w:vAlign w:val="bottom"/>
          </w:tcPr>
          <w:p>
            <w:pPr>
              <w:ind w:left="480"/>
              <w:spacing w:after="0"/>
              <w:rPr>
                <w:sz w:val="20"/>
                <w:szCs w:val="20"/>
                <w:color w:val="auto"/>
              </w:rPr>
            </w:pPr>
            <w:r>
              <w:rPr>
                <w:rFonts w:ascii="Arial" w:cs="Arial" w:eastAsia="Arial" w:hAnsi="Arial"/>
                <w:sz w:val="18"/>
                <w:szCs w:val="18"/>
                <w:color w:val="auto"/>
              </w:rPr>
              <w:t>Elcom</w:t>
            </w:r>
          </w:p>
        </w:tc>
        <w:tc>
          <w:tcPr>
            <w:tcW w:w="780" w:type="dxa"/>
            <w:vAlign w:val="bottom"/>
          </w:tcPr>
          <w:p>
            <w:pPr>
              <w:jc w:val="right"/>
              <w:ind w:right="617"/>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0" w:type="dxa"/>
            <w:vAlign w:val="bottom"/>
          </w:tcPr>
          <w:p>
            <w:pPr>
              <w:jc w:val="right"/>
              <w:ind w:right="641"/>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16"/>
        </w:trPr>
        <w:tc>
          <w:tcPr>
            <w:tcW w:w="61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Morion</w:t>
            </w:r>
          </w:p>
        </w:tc>
        <w:tc>
          <w:tcPr>
            <w:tcW w:w="780" w:type="dxa"/>
            <w:vAlign w:val="bottom"/>
            <w:shd w:val="clear" w:color="auto" w:fill="CCFFCC"/>
          </w:tcPr>
          <w:p>
            <w:pPr>
              <w:spacing w:after="0"/>
              <w:rPr>
                <w:sz w:val="18"/>
                <w:szCs w:val="18"/>
                <w:color w:val="auto"/>
              </w:rPr>
            </w:pP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w:t>
            </w:r>
          </w:p>
        </w:tc>
        <w:tc>
          <w:tcPr>
            <w:tcW w:w="800" w:type="dxa"/>
            <w:vAlign w:val="bottom"/>
            <w:shd w:val="clear" w:color="auto" w:fill="CCFFCC"/>
          </w:tcPr>
          <w:p>
            <w:pPr>
              <w:spacing w:after="0"/>
              <w:rPr>
                <w:sz w:val="18"/>
                <w:szCs w:val="18"/>
                <w:color w:val="auto"/>
              </w:rPr>
            </w:pPr>
          </w:p>
        </w:tc>
        <w:tc>
          <w:tcPr>
            <w:tcW w:w="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9"/>
              </w:rPr>
              <w:t>166</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Sales to:</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Elcom</w:t>
            </w:r>
          </w:p>
        </w:tc>
        <w:tc>
          <w:tcPr>
            <w:tcW w:w="780" w:type="dxa"/>
            <w:vAlign w:val="bottom"/>
            <w:shd w:val="clear" w:color="auto" w:fill="CCFFCC"/>
          </w:tcPr>
          <w:p>
            <w:pPr>
              <w:jc w:val="right"/>
              <w:ind w:right="61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58</w:t>
            </w:r>
          </w:p>
        </w:tc>
        <w:tc>
          <w:tcPr>
            <w:tcW w:w="800" w:type="dxa"/>
            <w:vAlign w:val="bottom"/>
            <w:shd w:val="clear" w:color="auto" w:fill="CCFFCC"/>
          </w:tcPr>
          <w:p>
            <w:pPr>
              <w:jc w:val="right"/>
              <w:ind w:right="641"/>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w:t>
            </w:r>
          </w:p>
        </w:tc>
      </w:tr>
      <w:tr>
        <w:trPr>
          <w:trHeight w:val="216"/>
        </w:trPr>
        <w:tc>
          <w:tcPr>
            <w:tcW w:w="6120" w:type="dxa"/>
            <w:vAlign w:val="bottom"/>
          </w:tcPr>
          <w:p>
            <w:pPr>
              <w:ind w:left="480"/>
              <w:spacing w:after="0"/>
              <w:rPr>
                <w:sz w:val="20"/>
                <w:szCs w:val="20"/>
                <w:color w:val="auto"/>
              </w:rPr>
            </w:pPr>
            <w:r>
              <w:rPr>
                <w:rFonts w:ascii="Arial" w:cs="Arial" w:eastAsia="Arial" w:hAnsi="Arial"/>
                <w:sz w:val="18"/>
                <w:szCs w:val="18"/>
                <w:color w:val="auto"/>
              </w:rPr>
              <w:t>Morion</w:t>
            </w:r>
          </w:p>
        </w:tc>
        <w:tc>
          <w:tcPr>
            <w:tcW w:w="7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8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r>
      <w:tr>
        <w:trPr>
          <w:trHeight w:val="216"/>
        </w:trPr>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Interest on Elcom notes receivable</w:t>
            </w:r>
          </w:p>
        </w:tc>
        <w:tc>
          <w:tcPr>
            <w:tcW w:w="780" w:type="dxa"/>
            <w:vAlign w:val="bottom"/>
            <w:shd w:val="clear" w:color="auto" w:fill="CCFFCC"/>
          </w:tcPr>
          <w:p>
            <w:pPr>
              <w:jc w:val="right"/>
              <w:ind w:right="61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w:t>
            </w:r>
          </w:p>
        </w:tc>
        <w:tc>
          <w:tcPr>
            <w:tcW w:w="800" w:type="dxa"/>
            <w:vAlign w:val="bottom"/>
            <w:shd w:val="clear" w:color="auto" w:fill="CCFFCC"/>
          </w:tcPr>
          <w:p>
            <w:pPr>
              <w:jc w:val="right"/>
              <w:ind w:right="641"/>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w:t>
            </w:r>
          </w:p>
        </w:tc>
      </w:tr>
    </w:tbl>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measures the current market value of Elcom based on comparisons to comparable companies as well as Elcom’s forecasts of future financial results. In fiscal year 2010, the Company determined that its investment was impaired and for the year ended April 30, 2010, recorded impairment charges in the amount $550,000 in addition to its equity share in the income or loss of Elcom during the year. No impairment charges were recorded during the three months ended July 31, 2010 and 2009.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OF FINANCIAL INSTRUMENTS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July 31, 2010 and April 30, 2010 are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color w:val="auto"/>
              </w:rPr>
              <w:t>July 31, 2010</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02"/>
        </w:trPr>
        <w:tc>
          <w:tcPr>
            <w:tcW w:w="5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90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7"/>
                <w:szCs w:val="17"/>
                <w:color w:val="auto"/>
              </w:rPr>
            </w:pPr>
          </w:p>
        </w:tc>
        <w:tc>
          <w:tcPr>
            <w:tcW w:w="76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6"/>
              </w:rPr>
              <w:t>Fair</w:t>
            </w: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Market</w:t>
            </w:r>
          </w:p>
        </w:tc>
        <w:tc>
          <w:tcPr>
            <w:tcW w:w="2180" w:type="dxa"/>
            <w:vAlign w:val="bottom"/>
          </w:tcPr>
          <w:p>
            <w:pPr>
              <w:spacing w:after="0"/>
              <w:rPr>
                <w:sz w:val="18"/>
                <w:szCs w:val="18"/>
                <w:color w:val="auto"/>
              </w:rPr>
            </w:pPr>
          </w:p>
        </w:tc>
      </w:tr>
      <w:tr>
        <w:trPr>
          <w:trHeight w:val="237"/>
        </w:trPr>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Losses</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Value</w:t>
            </w:r>
          </w:p>
        </w:tc>
        <w:tc>
          <w:tcPr>
            <w:tcW w:w="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318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10,572</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10,890</w:t>
            </w:r>
          </w:p>
        </w:tc>
        <w:tc>
          <w:tcPr>
            <w:tcW w:w="2180" w:type="dxa"/>
            <w:vAlign w:val="bottom"/>
          </w:tcPr>
          <w:p>
            <w:pPr>
              <w:spacing w:after="0"/>
              <w:rPr>
                <w:sz w:val="18"/>
                <w:szCs w:val="18"/>
                <w:color w:val="auto"/>
              </w:rPr>
            </w:pPr>
          </w:p>
        </w:tc>
      </w:tr>
      <w:tr>
        <w:trPr>
          <w:trHeight w:val="223"/>
        </w:trPr>
        <w:tc>
          <w:tcPr>
            <w:tcW w:w="50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Equity securities</w:t>
            </w:r>
          </w:p>
        </w:tc>
        <w:tc>
          <w:tcPr>
            <w:tcW w:w="1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37"/>
        </w:trPr>
        <w:tc>
          <w:tcPr>
            <w:tcW w:w="500" w:type="dxa"/>
            <w:vAlign w:val="bottom"/>
          </w:tcPr>
          <w:p>
            <w:pPr>
              <w:spacing w:after="0"/>
              <w:rPr>
                <w:sz w:val="20"/>
                <w:szCs w:val="20"/>
                <w:color w:val="auto"/>
              </w:rPr>
            </w:pPr>
          </w:p>
        </w:tc>
        <w:tc>
          <w:tcPr>
            <w:tcW w:w="3180" w:type="dxa"/>
            <w:vAlign w:val="bottom"/>
            <w:shd w:val="clear" w:color="auto" w:fill="CCFFCC"/>
          </w:tcPr>
          <w:p>
            <w:pPr>
              <w:spacing w:after="0"/>
              <w:rPr>
                <w:sz w:val="20"/>
                <w:szCs w:val="20"/>
                <w:color w:val="auto"/>
              </w:rPr>
            </w:pPr>
          </w:p>
        </w:tc>
        <w:tc>
          <w:tcPr>
            <w:tcW w:w="1460" w:type="dxa"/>
            <w:vAlign w:val="bottom"/>
            <w:shd w:val="clear" w:color="auto" w:fill="CCFFCC"/>
          </w:tcPr>
          <w:p>
            <w:pPr>
              <w:spacing w:after="0"/>
              <w:rPr>
                <w:sz w:val="20"/>
                <w:szCs w:val="20"/>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11,022</w:t>
            </w:r>
          </w:p>
        </w:tc>
        <w:tc>
          <w:tcPr>
            <w:tcW w:w="80" w:type="dxa"/>
            <w:vAlign w:val="bottom"/>
            <w:shd w:val="clear" w:color="auto" w:fill="CCFFCC"/>
          </w:tcPr>
          <w:p>
            <w:pPr>
              <w:spacing w:after="0"/>
              <w:rPr>
                <w:sz w:val="20"/>
                <w:szCs w:val="20"/>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11,470</w:t>
            </w:r>
          </w:p>
        </w:tc>
        <w:tc>
          <w:tcPr>
            <w:tcW w:w="2180" w:type="dxa"/>
            <w:vAlign w:val="bottom"/>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3180" w:type="dxa"/>
            <w:vAlign w:val="bottom"/>
            <w:tcBorders>
              <w:top w:val="single" w:sz="8" w:color="CCFFCC"/>
            </w:tcBorders>
            <w:shd w:val="clear" w:color="auto" w:fill="CCFFCC"/>
          </w:tcPr>
          <w:p>
            <w:pPr>
              <w:spacing w:after="0" w:line="20" w:lineRule="exact"/>
              <w:rPr>
                <w:sz w:val="1"/>
                <w:szCs w:val="1"/>
                <w:color w:val="auto"/>
              </w:rPr>
            </w:pPr>
          </w:p>
        </w:tc>
        <w:tc>
          <w:tcPr>
            <w:tcW w:w="14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60"/>
        </w:trPr>
        <w:tc>
          <w:tcPr>
            <w:tcW w:w="5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color w:val="auto"/>
              </w:rPr>
              <w:t>April 30, 2010</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02"/>
        </w:trPr>
        <w:tc>
          <w:tcPr>
            <w:tcW w:w="5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90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7"/>
                <w:szCs w:val="17"/>
                <w:color w:val="auto"/>
              </w:rPr>
            </w:pPr>
          </w:p>
        </w:tc>
        <w:tc>
          <w:tcPr>
            <w:tcW w:w="76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6"/>
              </w:rPr>
              <w:t>Fair</w:t>
            </w: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Market</w:t>
            </w:r>
          </w:p>
        </w:tc>
        <w:tc>
          <w:tcPr>
            <w:tcW w:w="2180" w:type="dxa"/>
            <w:vAlign w:val="bottom"/>
          </w:tcPr>
          <w:p>
            <w:pPr>
              <w:spacing w:after="0"/>
              <w:rPr>
                <w:sz w:val="18"/>
                <w:szCs w:val="18"/>
                <w:color w:val="auto"/>
              </w:rPr>
            </w:pPr>
          </w:p>
        </w:tc>
      </w:tr>
      <w:tr>
        <w:trPr>
          <w:trHeight w:val="237"/>
        </w:trPr>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Losses</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Value</w:t>
            </w:r>
          </w:p>
        </w:tc>
        <w:tc>
          <w:tcPr>
            <w:tcW w:w="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318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9,606</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9,777</w:t>
            </w:r>
          </w:p>
        </w:tc>
        <w:tc>
          <w:tcPr>
            <w:tcW w:w="2180" w:type="dxa"/>
            <w:vAlign w:val="bottom"/>
          </w:tcPr>
          <w:p>
            <w:pPr>
              <w:spacing w:after="0"/>
              <w:rPr>
                <w:sz w:val="18"/>
                <w:szCs w:val="18"/>
                <w:color w:val="auto"/>
              </w:rPr>
            </w:pPr>
          </w:p>
        </w:tc>
      </w:tr>
      <w:tr>
        <w:trPr>
          <w:trHeight w:val="223"/>
        </w:trPr>
        <w:tc>
          <w:tcPr>
            <w:tcW w:w="50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Equity securities</w:t>
            </w:r>
          </w:p>
        </w:tc>
        <w:tc>
          <w:tcPr>
            <w:tcW w:w="1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57"/>
        </w:trPr>
        <w:tc>
          <w:tcPr>
            <w:tcW w:w="500" w:type="dxa"/>
            <w:vAlign w:val="bottom"/>
          </w:tcPr>
          <w:p>
            <w:pPr>
              <w:spacing w:after="0"/>
              <w:rPr>
                <w:sz w:val="22"/>
                <w:szCs w:val="22"/>
                <w:color w:val="auto"/>
              </w:rPr>
            </w:pPr>
          </w:p>
        </w:tc>
        <w:tc>
          <w:tcPr>
            <w:tcW w:w="3180" w:type="dxa"/>
            <w:vAlign w:val="bottom"/>
            <w:shd w:val="clear" w:color="auto" w:fill="CCFFCC"/>
          </w:tcPr>
          <w:p>
            <w:pPr>
              <w:spacing w:after="0"/>
              <w:rPr>
                <w:sz w:val="22"/>
                <w:szCs w:val="22"/>
                <w:color w:val="auto"/>
              </w:rPr>
            </w:pPr>
          </w:p>
        </w:tc>
        <w:tc>
          <w:tcPr>
            <w:tcW w:w="1460" w:type="dxa"/>
            <w:vAlign w:val="bottom"/>
            <w:shd w:val="clear" w:color="auto" w:fill="CCFFCC"/>
          </w:tcPr>
          <w:p>
            <w:pPr>
              <w:spacing w:after="0"/>
              <w:rPr>
                <w:sz w:val="22"/>
                <w:szCs w:val="22"/>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10,056</w:t>
            </w:r>
          </w:p>
        </w:tc>
        <w:tc>
          <w:tcPr>
            <w:tcW w:w="80" w:type="dxa"/>
            <w:vAlign w:val="bottom"/>
            <w:shd w:val="clear" w:color="auto" w:fill="CCFFCC"/>
          </w:tcPr>
          <w:p>
            <w:pPr>
              <w:spacing w:after="0"/>
              <w:rPr>
                <w:sz w:val="22"/>
                <w:szCs w:val="22"/>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10,418</w:t>
            </w:r>
          </w:p>
        </w:tc>
        <w:tc>
          <w:tcPr>
            <w:tcW w:w="2180" w:type="dxa"/>
            <w:vAlign w:val="bottom"/>
          </w:tcPr>
          <w:p>
            <w:pPr>
              <w:spacing w:after="0"/>
              <w:rPr>
                <w:sz w:val="22"/>
                <w:szCs w:val="22"/>
                <w:color w:val="auto"/>
              </w:rPr>
            </w:pPr>
          </w:p>
        </w:tc>
      </w:tr>
      <w:tr>
        <w:trPr>
          <w:trHeight w:val="601"/>
        </w:trPr>
        <w:tc>
          <w:tcPr>
            <w:tcW w:w="500" w:type="dxa"/>
            <w:vAlign w:val="bottom"/>
          </w:tcPr>
          <w:p>
            <w:pPr>
              <w:spacing w:after="0"/>
              <w:rPr>
                <w:sz w:val="24"/>
                <w:szCs w:val="24"/>
                <w:color w:val="auto"/>
              </w:rPr>
            </w:pPr>
          </w:p>
        </w:tc>
        <w:tc>
          <w:tcPr>
            <w:tcW w:w="3180" w:type="dxa"/>
            <w:vAlign w:val="bottom"/>
            <w:tcBorders>
              <w:top w:val="single" w:sz="8" w:color="CCFFCC"/>
            </w:tcBorders>
          </w:tcPr>
          <w:p>
            <w:pPr>
              <w:spacing w:after="0"/>
              <w:rPr>
                <w:sz w:val="24"/>
                <w:szCs w:val="24"/>
                <w:color w:val="auto"/>
              </w:rPr>
            </w:pPr>
          </w:p>
        </w:tc>
        <w:tc>
          <w:tcPr>
            <w:tcW w:w="1460" w:type="dxa"/>
            <w:vAlign w:val="bottom"/>
            <w:tcBorders>
              <w:top w:val="single" w:sz="8" w:color="CCFFC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 of 18</w:t>
            </w:r>
          </w:p>
        </w:tc>
        <w:tc>
          <w:tcPr>
            <w:tcW w:w="8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180" w:type="dxa"/>
            <w:vAlign w:val="bottom"/>
          </w:tcPr>
          <w:p>
            <w:pPr>
              <w:spacing w:after="0"/>
              <w:rPr>
                <w:sz w:val="24"/>
                <w:szCs w:val="24"/>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174"/>
        </w:trPr>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40" w:type="dxa"/>
            <w:vAlign w:val="bottom"/>
            <w:gridSpan w:val="4"/>
          </w:tcPr>
          <w:p>
            <w:pPr>
              <w:jc w:val="right"/>
              <w:ind w:right="348"/>
              <w:spacing w:after="0"/>
              <w:rPr>
                <w:sz w:val="20"/>
                <w:szCs w:val="20"/>
                <w:color w:val="auto"/>
              </w:rPr>
            </w:pPr>
            <w:r>
              <w:rPr>
                <w:rFonts w:ascii="Arial" w:cs="Arial" w:eastAsia="Arial" w:hAnsi="Arial"/>
                <w:sz w:val="14"/>
                <w:szCs w:val="14"/>
                <w:color w:val="auto"/>
              </w:rPr>
              <w:t>Less than 12 months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6"/>
          </w:tcPr>
          <w:p>
            <w:pPr>
              <w:jc w:val="right"/>
              <w:ind w:right="740"/>
              <w:spacing w:after="0"/>
              <w:rPr>
                <w:sz w:val="20"/>
                <w:szCs w:val="20"/>
                <w:color w:val="auto"/>
              </w:rPr>
            </w:pPr>
            <w:r>
              <w:rPr>
                <w:rFonts w:ascii="Arial" w:cs="Arial" w:eastAsia="Arial" w:hAnsi="Arial"/>
                <w:sz w:val="14"/>
                <w:szCs w:val="14"/>
                <w:color w:val="auto"/>
              </w:rPr>
              <w:t>12 Months or more</w:t>
            </w:r>
          </w:p>
        </w:tc>
        <w:tc>
          <w:tcPr>
            <w:tcW w:w="200" w:type="dxa"/>
            <w:vAlign w:val="bottom"/>
          </w:tcPr>
          <w:p>
            <w:pPr>
              <w:spacing w:after="0"/>
              <w:rPr>
                <w:sz w:val="15"/>
                <w:szCs w:val="15"/>
                <w:color w:val="auto"/>
              </w:rPr>
            </w:pPr>
          </w:p>
        </w:tc>
        <w:tc>
          <w:tcPr>
            <w:tcW w:w="1120" w:type="dxa"/>
            <w:vAlign w:val="bottom"/>
            <w:gridSpan w:val="3"/>
          </w:tcPr>
          <w:p>
            <w:pPr>
              <w:jc w:val="right"/>
              <w:ind w:right="29"/>
              <w:spacing w:after="0"/>
              <w:rPr>
                <w:sz w:val="20"/>
                <w:szCs w:val="20"/>
                <w:color w:val="auto"/>
              </w:rPr>
            </w:pPr>
            <w:r>
              <w:rPr>
                <w:rFonts w:ascii="Arial" w:cs="Arial" w:eastAsia="Arial" w:hAnsi="Arial"/>
                <w:sz w:val="14"/>
                <w:szCs w:val="14"/>
                <w:color w:val="auto"/>
              </w:rPr>
              <w:t>Total</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0"/>
        </w:trPr>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20" w:type="dxa"/>
            <w:vAlign w:val="bottom"/>
            <w:tcBorders>
              <w:top w:val="single" w:sz="8" w:color="auto"/>
            </w:tcBorders>
          </w:tcPr>
          <w:p>
            <w:pPr>
              <w:jc w:val="right"/>
              <w:ind w:right="140"/>
              <w:spacing w:after="0" w:line="130" w:lineRule="exact"/>
              <w:rPr>
                <w:sz w:val="20"/>
                <w:szCs w:val="20"/>
                <w:color w:val="auto"/>
              </w:rPr>
            </w:pPr>
            <w:r>
              <w:rPr>
                <w:rFonts w:ascii="Arial" w:cs="Arial" w:eastAsia="Arial" w:hAnsi="Arial"/>
                <w:sz w:val="14"/>
                <w:szCs w:val="14"/>
                <w:color w:val="auto"/>
              </w:rPr>
              <w:t>Fair</w:t>
            </w: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8"/>
              <w:spacing w:after="0" w:line="130" w:lineRule="exact"/>
              <w:rPr>
                <w:sz w:val="20"/>
                <w:szCs w:val="20"/>
                <w:color w:val="auto"/>
              </w:rPr>
            </w:pPr>
            <w:r>
              <w:rPr>
                <w:rFonts w:ascii="Arial" w:cs="Arial" w:eastAsia="Arial" w:hAnsi="Arial"/>
                <w:sz w:val="14"/>
                <w:szCs w:val="14"/>
                <w:color w:val="auto"/>
              </w:rPr>
              <w:t>Unrealized</w:t>
            </w:r>
          </w:p>
        </w:tc>
        <w:tc>
          <w:tcPr>
            <w:tcW w:w="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500"/>
              <w:spacing w:after="0" w:line="130" w:lineRule="exact"/>
              <w:rPr>
                <w:sz w:val="20"/>
                <w:szCs w:val="20"/>
                <w:color w:val="auto"/>
              </w:rPr>
            </w:pPr>
            <w:r>
              <w:rPr>
                <w:rFonts w:ascii="Arial" w:cs="Arial" w:eastAsia="Arial" w:hAnsi="Arial"/>
                <w:sz w:val="14"/>
                <w:szCs w:val="14"/>
                <w:color w:val="auto"/>
              </w:rPr>
              <w:t>Fair</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08"/>
              <w:spacing w:after="0" w:line="130" w:lineRule="exact"/>
              <w:rPr>
                <w:sz w:val="20"/>
                <w:szCs w:val="20"/>
                <w:color w:val="auto"/>
              </w:rPr>
            </w:pPr>
            <w:r>
              <w:rPr>
                <w:rFonts w:ascii="Arial" w:cs="Arial" w:eastAsia="Arial" w:hAnsi="Arial"/>
                <w:sz w:val="14"/>
                <w:szCs w:val="14"/>
                <w:color w:val="auto"/>
              </w:rPr>
              <w:t>Unrealized</w:t>
            </w: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580"/>
              <w:spacing w:after="0" w:line="130" w:lineRule="exact"/>
              <w:rPr>
                <w:sz w:val="20"/>
                <w:szCs w:val="20"/>
                <w:color w:val="auto"/>
              </w:rPr>
            </w:pPr>
            <w:r>
              <w:rPr>
                <w:rFonts w:ascii="Arial" w:cs="Arial" w:eastAsia="Arial" w:hAnsi="Arial"/>
                <w:sz w:val="14"/>
                <w:szCs w:val="14"/>
                <w:color w:val="auto"/>
              </w:rPr>
              <w:t>Fair</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28"/>
              <w:spacing w:after="0" w:line="130" w:lineRule="exact"/>
              <w:rPr>
                <w:sz w:val="20"/>
                <w:szCs w:val="20"/>
                <w:color w:val="auto"/>
              </w:rPr>
            </w:pPr>
            <w:r>
              <w:rPr>
                <w:rFonts w:ascii="Arial" w:cs="Arial" w:eastAsia="Arial" w:hAnsi="Arial"/>
                <w:sz w:val="14"/>
                <w:szCs w:val="14"/>
                <w:color w:val="auto"/>
                <w:w w:val="98"/>
              </w:rPr>
              <w:t>Unrealized</w:t>
            </w:r>
          </w:p>
        </w:tc>
        <w:tc>
          <w:tcPr>
            <w:tcW w:w="80" w:type="dxa"/>
            <w:vAlign w:val="bottom"/>
          </w:tcPr>
          <w:p>
            <w:pPr>
              <w:spacing w:after="0"/>
              <w:rPr>
                <w:sz w:val="11"/>
                <w:szCs w:val="11"/>
                <w:color w:val="auto"/>
              </w:rPr>
            </w:pPr>
          </w:p>
        </w:tc>
      </w:tr>
      <w:tr>
        <w:trPr>
          <w:trHeight w:val="174"/>
        </w:trPr>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color w:val="auto"/>
              </w:rPr>
              <w:t>Value</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Losses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Losses</w:t>
            </w:r>
          </w:p>
        </w:tc>
        <w:tc>
          <w:tcPr>
            <w:tcW w:w="20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color w:val="auto"/>
              </w:rPr>
              <w:t>Value</w:t>
            </w:r>
          </w:p>
        </w:tc>
        <w:tc>
          <w:tcPr>
            <w:tcW w:w="12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Losses</w:t>
            </w:r>
          </w:p>
        </w:tc>
      </w:tr>
      <w:tr>
        <w:trPr>
          <w:trHeight w:val="156"/>
        </w:trPr>
        <w:tc>
          <w:tcPr>
            <w:tcW w:w="160" w:type="dxa"/>
            <w:vAlign w:val="bottom"/>
            <w:tcBorders>
              <w:bottom w:val="single" w:sz="8" w:color="CCFFCC"/>
            </w:tcBorders>
            <w:shd w:val="clear" w:color="auto" w:fill="CCFFCC"/>
          </w:tcPr>
          <w:p>
            <w:pPr>
              <w:spacing w:after="0"/>
              <w:rPr>
                <w:sz w:val="13"/>
                <w:szCs w:val="13"/>
                <w:color w:val="auto"/>
              </w:rPr>
            </w:pPr>
          </w:p>
        </w:tc>
        <w:tc>
          <w:tcPr>
            <w:tcW w:w="780" w:type="dxa"/>
            <w:vAlign w:val="bottom"/>
            <w:tcBorders>
              <w:bottom w:val="single" w:sz="8" w:color="auto"/>
            </w:tcBorders>
            <w:shd w:val="clear" w:color="auto" w:fill="CCFFCC"/>
          </w:tcPr>
          <w:p>
            <w:pPr>
              <w:spacing w:after="0" w:line="135" w:lineRule="exact"/>
              <w:rPr>
                <w:sz w:val="20"/>
                <w:szCs w:val="20"/>
                <w:color w:val="auto"/>
              </w:rPr>
            </w:pPr>
            <w:r>
              <w:rPr>
                <w:rFonts w:ascii="Arial" w:cs="Arial" w:eastAsia="Arial" w:hAnsi="Arial"/>
                <w:sz w:val="14"/>
                <w:szCs w:val="14"/>
                <w:color w:val="auto"/>
                <w:w w:val="91"/>
              </w:rPr>
              <w:t>July 31, 2010</w:t>
            </w:r>
          </w:p>
        </w:tc>
        <w:tc>
          <w:tcPr>
            <w:tcW w:w="2000" w:type="dxa"/>
            <w:vAlign w:val="bottom"/>
            <w:tcBorders>
              <w:bottom w:val="single" w:sz="8" w:color="CCFFCC"/>
            </w:tcBorders>
            <w:gridSpan w:val="2"/>
            <w:shd w:val="clear" w:color="auto" w:fill="CCFFCC"/>
          </w:tcPr>
          <w:p>
            <w:pPr>
              <w:spacing w:after="0"/>
              <w:rPr>
                <w:sz w:val="13"/>
                <w:szCs w:val="13"/>
                <w:color w:val="auto"/>
              </w:rPr>
            </w:pPr>
          </w:p>
        </w:tc>
        <w:tc>
          <w:tcPr>
            <w:tcW w:w="820" w:type="dxa"/>
            <w:vAlign w:val="bottom"/>
            <w:tcBorders>
              <w:top w:val="single" w:sz="8" w:color="auto"/>
              <w:bottom w:val="single" w:sz="8" w:color="CCFFCC"/>
            </w:tcBorders>
            <w:shd w:val="clear" w:color="auto" w:fill="CCFFCC"/>
          </w:tcPr>
          <w:p>
            <w:pPr>
              <w:spacing w:after="0"/>
              <w:rPr>
                <w:sz w:val="13"/>
                <w:szCs w:val="13"/>
                <w:color w:val="auto"/>
              </w:rPr>
            </w:pPr>
          </w:p>
        </w:tc>
        <w:tc>
          <w:tcPr>
            <w:tcW w:w="200" w:type="dxa"/>
            <w:vAlign w:val="bottom"/>
            <w:tcBorders>
              <w:top w:val="single" w:sz="8" w:color="auto"/>
              <w:bottom w:val="single" w:sz="8" w:color="CCFFCC"/>
            </w:tcBorders>
            <w:shd w:val="clear" w:color="auto" w:fill="CCFFCC"/>
          </w:tcPr>
          <w:p>
            <w:pPr>
              <w:spacing w:after="0"/>
              <w:rPr>
                <w:sz w:val="13"/>
                <w:szCs w:val="13"/>
                <w:color w:val="auto"/>
              </w:rPr>
            </w:pPr>
          </w:p>
        </w:tc>
        <w:tc>
          <w:tcPr>
            <w:tcW w:w="220" w:type="dxa"/>
            <w:vAlign w:val="bottom"/>
            <w:tcBorders>
              <w:bottom w:val="single" w:sz="8" w:color="CCFFCC"/>
            </w:tcBorders>
            <w:shd w:val="clear" w:color="auto" w:fill="CCFFCC"/>
          </w:tcPr>
          <w:p>
            <w:pPr>
              <w:spacing w:after="0"/>
              <w:rPr>
                <w:sz w:val="13"/>
                <w:szCs w:val="13"/>
                <w:color w:val="auto"/>
              </w:rPr>
            </w:pPr>
          </w:p>
        </w:tc>
        <w:tc>
          <w:tcPr>
            <w:tcW w:w="900" w:type="dxa"/>
            <w:vAlign w:val="bottom"/>
            <w:tcBorders>
              <w:top w:val="single" w:sz="8" w:color="auto"/>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CCFFCC"/>
            </w:tcBorders>
            <w:shd w:val="clear" w:color="auto" w:fill="CCFFCC"/>
          </w:tcPr>
          <w:p>
            <w:pPr>
              <w:spacing w:after="0"/>
              <w:rPr>
                <w:sz w:val="13"/>
                <w:szCs w:val="13"/>
                <w:color w:val="auto"/>
              </w:rPr>
            </w:pPr>
          </w:p>
        </w:tc>
        <w:tc>
          <w:tcPr>
            <w:tcW w:w="12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200" w:type="dxa"/>
            <w:vAlign w:val="bottom"/>
            <w:tcBorders>
              <w:top w:val="single" w:sz="8" w:color="auto"/>
              <w:bottom w:val="single" w:sz="8" w:color="CCFFCC"/>
            </w:tcBorders>
            <w:shd w:val="clear" w:color="auto" w:fill="CCFFCC"/>
          </w:tcPr>
          <w:p>
            <w:pPr>
              <w:spacing w:after="0"/>
              <w:rPr>
                <w:sz w:val="13"/>
                <w:szCs w:val="13"/>
                <w:color w:val="auto"/>
              </w:rPr>
            </w:pPr>
          </w:p>
        </w:tc>
        <w:tc>
          <w:tcPr>
            <w:tcW w:w="820" w:type="dxa"/>
            <w:vAlign w:val="bottom"/>
            <w:tcBorders>
              <w:top w:val="single" w:sz="8" w:color="auto"/>
              <w:bottom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CCFFCC"/>
            </w:tcBorders>
            <w:shd w:val="clear" w:color="auto" w:fill="CCFFCC"/>
          </w:tcPr>
          <w:p>
            <w:pPr>
              <w:spacing w:after="0"/>
              <w:rPr>
                <w:sz w:val="13"/>
                <w:szCs w:val="13"/>
                <w:color w:val="auto"/>
              </w:rPr>
            </w:pPr>
          </w:p>
        </w:tc>
        <w:tc>
          <w:tcPr>
            <w:tcW w:w="880" w:type="dxa"/>
            <w:vAlign w:val="bottom"/>
            <w:tcBorders>
              <w:top w:val="single" w:sz="8" w:color="auto"/>
              <w:bottom w:val="single" w:sz="8" w:color="CCFFCC"/>
            </w:tcBorders>
            <w:shd w:val="clear" w:color="auto" w:fill="CCFFCC"/>
          </w:tcPr>
          <w:p>
            <w:pPr>
              <w:spacing w:after="0"/>
              <w:rPr>
                <w:sz w:val="13"/>
                <w:szCs w:val="13"/>
                <w:color w:val="auto"/>
              </w:rPr>
            </w:pPr>
          </w:p>
        </w:tc>
        <w:tc>
          <w:tcPr>
            <w:tcW w:w="180" w:type="dxa"/>
            <w:vAlign w:val="bottom"/>
            <w:tcBorders>
              <w:bottom w:val="single" w:sz="8" w:color="CCFFCC"/>
            </w:tcBorders>
            <w:shd w:val="clear" w:color="auto" w:fill="CCFFCC"/>
          </w:tcPr>
          <w:p>
            <w:pPr>
              <w:spacing w:after="0"/>
              <w:rPr>
                <w:sz w:val="13"/>
                <w:szCs w:val="13"/>
                <w:color w:val="auto"/>
              </w:rPr>
            </w:pPr>
          </w:p>
        </w:tc>
        <w:tc>
          <w:tcPr>
            <w:tcW w:w="200" w:type="dxa"/>
            <w:vAlign w:val="bottom"/>
            <w:tcBorders>
              <w:top w:val="single" w:sz="8" w:color="auto"/>
              <w:bottom w:val="single" w:sz="8" w:color="CCFFCC"/>
            </w:tcBorders>
            <w:shd w:val="clear" w:color="auto" w:fill="CCFFCC"/>
          </w:tcPr>
          <w:p>
            <w:pPr>
              <w:spacing w:after="0"/>
              <w:rPr>
                <w:sz w:val="13"/>
                <w:szCs w:val="13"/>
                <w:color w:val="auto"/>
              </w:rPr>
            </w:pPr>
          </w:p>
        </w:tc>
        <w:tc>
          <w:tcPr>
            <w:tcW w:w="800" w:type="dxa"/>
            <w:vAlign w:val="bottom"/>
            <w:tcBorders>
              <w:top w:val="single" w:sz="8" w:color="auto"/>
              <w:bottom w:val="single" w:sz="8" w:color="CCFFCC"/>
            </w:tcBorders>
            <w:shd w:val="clear" w:color="auto" w:fill="CCFFCC"/>
          </w:tcPr>
          <w:p>
            <w:pPr>
              <w:spacing w:after="0"/>
              <w:rPr>
                <w:sz w:val="13"/>
                <w:szCs w:val="13"/>
                <w:color w:val="auto"/>
              </w:rPr>
            </w:pPr>
          </w:p>
        </w:tc>
        <w:tc>
          <w:tcPr>
            <w:tcW w:w="200" w:type="dxa"/>
            <w:vAlign w:val="bottom"/>
            <w:tcBorders>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CCFFCC"/>
            </w:tcBorders>
            <w:shd w:val="clear" w:color="auto" w:fill="CCFFCC"/>
          </w:tcPr>
          <w:p>
            <w:pPr>
              <w:spacing w:after="0"/>
              <w:rPr>
                <w:sz w:val="13"/>
                <w:szCs w:val="13"/>
                <w:color w:val="auto"/>
              </w:rPr>
            </w:pPr>
          </w:p>
        </w:tc>
        <w:tc>
          <w:tcPr>
            <w:tcW w:w="880" w:type="dxa"/>
            <w:vAlign w:val="bottom"/>
            <w:tcBorders>
              <w:top w:val="single" w:sz="8" w:color="auto"/>
              <w:bottom w:val="single" w:sz="8" w:color="CCFFCC"/>
            </w:tcBorders>
            <w:shd w:val="clear" w:color="auto" w:fill="CCFFCC"/>
          </w:tcPr>
          <w:p>
            <w:pPr>
              <w:spacing w:after="0"/>
              <w:rPr>
                <w:sz w:val="13"/>
                <w:szCs w:val="13"/>
                <w:color w:val="auto"/>
              </w:rPr>
            </w:pPr>
          </w:p>
        </w:tc>
        <w:tc>
          <w:tcPr>
            <w:tcW w:w="80" w:type="dxa"/>
            <w:vAlign w:val="bottom"/>
            <w:tcBorders>
              <w:bottom w:val="single" w:sz="8" w:color="CCFFCC"/>
            </w:tcBorders>
            <w:shd w:val="clear" w:color="auto" w:fill="CCFFCC"/>
          </w:tcPr>
          <w:p>
            <w:pPr>
              <w:spacing w:after="0"/>
              <w:rPr>
                <w:sz w:val="13"/>
                <w:szCs w:val="13"/>
                <w:color w:val="auto"/>
              </w:rPr>
            </w:pPr>
          </w:p>
        </w:tc>
      </w:tr>
      <w:tr>
        <w:trPr>
          <w:trHeight w:val="149"/>
        </w:trPr>
        <w:tc>
          <w:tcPr>
            <w:tcW w:w="2940" w:type="dxa"/>
            <w:vAlign w:val="bottom"/>
            <w:gridSpan w:val="4"/>
          </w:tcPr>
          <w:p>
            <w:pPr>
              <w:spacing w:after="0" w:line="149" w:lineRule="exact"/>
              <w:rPr>
                <w:sz w:val="20"/>
                <w:szCs w:val="20"/>
                <w:color w:val="auto"/>
              </w:rPr>
            </w:pPr>
            <w:r>
              <w:rPr>
                <w:rFonts w:ascii="Arial" w:cs="Arial" w:eastAsia="Arial" w:hAnsi="Arial"/>
                <w:sz w:val="14"/>
                <w:szCs w:val="14"/>
                <w:color w:val="auto"/>
              </w:rPr>
              <w:t>Fixed Income Securities</w:t>
            </w:r>
          </w:p>
        </w:tc>
        <w:tc>
          <w:tcPr>
            <w:tcW w:w="820" w:type="dxa"/>
            <w:vAlign w:val="bottom"/>
          </w:tcPr>
          <w:p>
            <w:pPr>
              <w:jc w:val="right"/>
              <w:ind w:right="700"/>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768"/>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970</w:t>
            </w:r>
          </w:p>
        </w:tc>
        <w:tc>
          <w:tcPr>
            <w:tcW w:w="100" w:type="dxa"/>
            <w:vAlign w:val="bottom"/>
          </w:tcPr>
          <w:p>
            <w:pPr>
              <w:spacing w:after="0"/>
              <w:rPr>
                <w:sz w:val="12"/>
                <w:szCs w:val="12"/>
                <w:color w:val="auto"/>
              </w:rPr>
            </w:pP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970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w:t>
            </w:r>
          </w:p>
        </w:tc>
      </w:tr>
      <w:tr>
        <w:trPr>
          <w:trHeight w:val="149"/>
        </w:trPr>
        <w:tc>
          <w:tcPr>
            <w:tcW w:w="2940" w:type="dxa"/>
            <w:vAlign w:val="bottom"/>
            <w:gridSpan w:val="4"/>
            <w:shd w:val="clear" w:color="auto" w:fill="CCFFCC"/>
          </w:tcPr>
          <w:p>
            <w:pPr>
              <w:spacing w:after="0" w:line="149" w:lineRule="exact"/>
              <w:rPr>
                <w:sz w:val="20"/>
                <w:szCs w:val="20"/>
                <w:color w:val="auto"/>
              </w:rPr>
            </w:pPr>
            <w:r>
              <w:rPr>
                <w:rFonts w:ascii="Arial" w:cs="Arial" w:eastAsia="Arial" w:hAnsi="Arial"/>
                <w:sz w:val="14"/>
                <w:szCs w:val="14"/>
                <w:color w:val="auto"/>
              </w:rPr>
              <w:t>Equity Securities</w:t>
            </w:r>
          </w:p>
        </w:tc>
        <w:tc>
          <w:tcPr>
            <w:tcW w:w="820" w:type="dxa"/>
            <w:vAlign w:val="bottom"/>
            <w:shd w:val="clear" w:color="auto" w:fill="CCFFCC"/>
          </w:tcPr>
          <w:p>
            <w:pPr>
              <w:spacing w:after="0"/>
              <w:rPr>
                <w:sz w:val="12"/>
                <w:szCs w:val="12"/>
                <w:color w:val="auto"/>
              </w:rPr>
            </w:pPr>
          </w:p>
        </w:tc>
        <w:tc>
          <w:tcPr>
            <w:tcW w:w="2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27"/>
        </w:trPr>
        <w:tc>
          <w:tcPr>
            <w:tcW w:w="16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60" w:type="dxa"/>
            <w:vAlign w:val="bottom"/>
            <w:shd w:val="clear" w:color="auto" w:fill="CCFFCC"/>
          </w:tcPr>
          <w:p>
            <w:pPr>
              <w:spacing w:after="0"/>
              <w:rPr>
                <w:sz w:val="2"/>
                <w:szCs w:val="2"/>
                <w:color w:val="auto"/>
              </w:rPr>
            </w:pPr>
          </w:p>
        </w:tc>
        <w:tc>
          <w:tcPr>
            <w:tcW w:w="194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r>
      <w:tr>
        <w:trPr>
          <w:trHeight w:val="149"/>
        </w:trPr>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20" w:type="dxa"/>
            <w:vAlign w:val="bottom"/>
          </w:tcPr>
          <w:p>
            <w:pPr>
              <w:jc w:val="right"/>
              <w:ind w:right="700"/>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768"/>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970</w:t>
            </w:r>
          </w:p>
        </w:tc>
        <w:tc>
          <w:tcPr>
            <w:tcW w:w="100" w:type="dxa"/>
            <w:vAlign w:val="bottom"/>
          </w:tcPr>
          <w:p>
            <w:pPr>
              <w:spacing w:after="0"/>
              <w:rPr>
                <w:sz w:val="12"/>
                <w:szCs w:val="12"/>
                <w:color w:val="auto"/>
              </w:rPr>
            </w:pP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970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w:t>
            </w:r>
          </w:p>
        </w:tc>
      </w:tr>
      <w:tr>
        <w:trPr>
          <w:trHeight w:val="21"/>
        </w:trPr>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160" w:type="dxa"/>
            <w:vAlign w:val="bottom"/>
            <w:tcBorders>
              <w:bottom w:val="single" w:sz="8" w:color="CCFFCC"/>
            </w:tcBorders>
            <w:shd w:val="clear" w:color="auto" w:fill="CCFFCC"/>
          </w:tcPr>
          <w:p>
            <w:pPr>
              <w:spacing w:after="0"/>
              <w:rPr>
                <w:sz w:val="12"/>
                <w:szCs w:val="12"/>
                <w:color w:val="auto"/>
              </w:rPr>
            </w:pPr>
          </w:p>
        </w:tc>
        <w:tc>
          <w:tcPr>
            <w:tcW w:w="840" w:type="dxa"/>
            <w:vAlign w:val="bottom"/>
            <w:tcBorders>
              <w:bottom w:val="single" w:sz="8" w:color="auto"/>
            </w:tcBorders>
            <w:gridSpan w:val="2"/>
            <w:shd w:val="clear" w:color="auto" w:fill="CCFFCC"/>
          </w:tcPr>
          <w:p>
            <w:pPr>
              <w:spacing w:after="0" w:line="129" w:lineRule="exact"/>
              <w:rPr>
                <w:sz w:val="20"/>
                <w:szCs w:val="20"/>
                <w:color w:val="auto"/>
              </w:rPr>
            </w:pPr>
            <w:r>
              <w:rPr>
                <w:rFonts w:ascii="Arial" w:cs="Arial" w:eastAsia="Arial" w:hAnsi="Arial"/>
                <w:sz w:val="14"/>
                <w:szCs w:val="14"/>
                <w:color w:val="auto"/>
                <w:w w:val="94"/>
              </w:rPr>
              <w:t>April 30, 2010</w:t>
            </w:r>
          </w:p>
        </w:tc>
        <w:tc>
          <w:tcPr>
            <w:tcW w:w="1940" w:type="dxa"/>
            <w:vAlign w:val="bottom"/>
            <w:tcBorders>
              <w:bottom w:val="single" w:sz="8" w:color="CCFFCC"/>
            </w:tcBorders>
            <w:shd w:val="clear" w:color="auto" w:fill="CCFFCC"/>
          </w:tcPr>
          <w:p>
            <w:pPr>
              <w:spacing w:after="0"/>
              <w:rPr>
                <w:sz w:val="12"/>
                <w:szCs w:val="12"/>
                <w:color w:val="auto"/>
              </w:rPr>
            </w:pPr>
          </w:p>
        </w:tc>
        <w:tc>
          <w:tcPr>
            <w:tcW w:w="820" w:type="dxa"/>
            <w:vAlign w:val="bottom"/>
            <w:tcBorders>
              <w:bottom w:val="single" w:sz="8" w:color="CCFFCC"/>
            </w:tcBorders>
            <w:shd w:val="clear" w:color="auto" w:fill="CCFFCC"/>
          </w:tcPr>
          <w:p>
            <w:pPr>
              <w:spacing w:after="0"/>
              <w:rPr>
                <w:sz w:val="12"/>
                <w:szCs w:val="12"/>
                <w:color w:val="auto"/>
              </w:rPr>
            </w:pPr>
          </w:p>
        </w:tc>
        <w:tc>
          <w:tcPr>
            <w:tcW w:w="200" w:type="dxa"/>
            <w:vAlign w:val="bottom"/>
            <w:tcBorders>
              <w:bottom w:val="single" w:sz="8" w:color="CCFFCC"/>
            </w:tcBorders>
            <w:shd w:val="clear" w:color="auto" w:fill="CCFFCC"/>
          </w:tcPr>
          <w:p>
            <w:pPr>
              <w:spacing w:after="0"/>
              <w:rPr>
                <w:sz w:val="12"/>
                <w:szCs w:val="12"/>
                <w:color w:val="auto"/>
              </w:rPr>
            </w:pPr>
          </w:p>
        </w:tc>
        <w:tc>
          <w:tcPr>
            <w:tcW w:w="220" w:type="dxa"/>
            <w:vAlign w:val="bottom"/>
            <w:tcBorders>
              <w:bottom w:val="single" w:sz="8" w:color="CCFFCC"/>
            </w:tcBorders>
            <w:shd w:val="clear" w:color="auto" w:fill="CCFFCC"/>
          </w:tcPr>
          <w:p>
            <w:pPr>
              <w:spacing w:after="0"/>
              <w:rPr>
                <w:sz w:val="12"/>
                <w:szCs w:val="12"/>
                <w:color w:val="auto"/>
              </w:rPr>
            </w:pPr>
          </w:p>
        </w:tc>
        <w:tc>
          <w:tcPr>
            <w:tcW w:w="900" w:type="dxa"/>
            <w:vAlign w:val="bottom"/>
            <w:tcBorders>
              <w:bottom w:val="single" w:sz="8" w:color="CCFFCC"/>
            </w:tcBorders>
            <w:shd w:val="clear" w:color="auto" w:fill="CCFFCC"/>
          </w:tcPr>
          <w:p>
            <w:pPr>
              <w:spacing w:after="0"/>
              <w:rPr>
                <w:sz w:val="12"/>
                <w:szCs w:val="12"/>
                <w:color w:val="auto"/>
              </w:rPr>
            </w:pPr>
          </w:p>
        </w:tc>
        <w:tc>
          <w:tcPr>
            <w:tcW w:w="120" w:type="dxa"/>
            <w:vAlign w:val="bottom"/>
            <w:tcBorders>
              <w:bottom w:val="single" w:sz="8" w:color="CCFFCC"/>
            </w:tcBorders>
            <w:shd w:val="clear" w:color="auto" w:fill="CCFFCC"/>
          </w:tcPr>
          <w:p>
            <w:pPr>
              <w:spacing w:after="0"/>
              <w:rPr>
                <w:sz w:val="12"/>
                <w:szCs w:val="12"/>
                <w:color w:val="auto"/>
              </w:rPr>
            </w:pPr>
          </w:p>
        </w:tc>
        <w:tc>
          <w:tcPr>
            <w:tcW w:w="120" w:type="dxa"/>
            <w:vAlign w:val="bottom"/>
            <w:tcBorders>
              <w:bottom w:val="single" w:sz="8" w:color="CCFFCC"/>
            </w:tcBorders>
            <w:shd w:val="clear" w:color="auto" w:fill="CCFFCC"/>
          </w:tcPr>
          <w:p>
            <w:pPr>
              <w:spacing w:after="0"/>
              <w:rPr>
                <w:sz w:val="12"/>
                <w:szCs w:val="12"/>
                <w:color w:val="auto"/>
              </w:rPr>
            </w:pPr>
          </w:p>
        </w:tc>
        <w:tc>
          <w:tcPr>
            <w:tcW w:w="100" w:type="dxa"/>
            <w:vAlign w:val="bottom"/>
            <w:tcBorders>
              <w:bottom w:val="single" w:sz="8" w:color="CCFFCC"/>
            </w:tcBorders>
            <w:shd w:val="clear" w:color="auto" w:fill="CCFFCC"/>
          </w:tcPr>
          <w:p>
            <w:pPr>
              <w:spacing w:after="0"/>
              <w:rPr>
                <w:sz w:val="12"/>
                <w:szCs w:val="12"/>
                <w:color w:val="auto"/>
              </w:rPr>
            </w:pPr>
          </w:p>
        </w:tc>
        <w:tc>
          <w:tcPr>
            <w:tcW w:w="200" w:type="dxa"/>
            <w:vAlign w:val="bottom"/>
            <w:tcBorders>
              <w:bottom w:val="single" w:sz="8" w:color="CCFFCC"/>
            </w:tcBorders>
            <w:shd w:val="clear" w:color="auto" w:fill="CCFFCC"/>
          </w:tcPr>
          <w:p>
            <w:pPr>
              <w:spacing w:after="0"/>
              <w:rPr>
                <w:sz w:val="12"/>
                <w:szCs w:val="12"/>
                <w:color w:val="auto"/>
              </w:rPr>
            </w:pPr>
          </w:p>
        </w:tc>
        <w:tc>
          <w:tcPr>
            <w:tcW w:w="820" w:type="dxa"/>
            <w:vAlign w:val="bottom"/>
            <w:tcBorders>
              <w:bottom w:val="single" w:sz="8" w:color="CCFFCC"/>
            </w:tcBorders>
            <w:shd w:val="clear" w:color="auto" w:fill="CCFFCC"/>
          </w:tcPr>
          <w:p>
            <w:pPr>
              <w:spacing w:after="0"/>
              <w:rPr>
                <w:sz w:val="12"/>
                <w:szCs w:val="12"/>
                <w:color w:val="auto"/>
              </w:rPr>
            </w:pPr>
          </w:p>
        </w:tc>
        <w:tc>
          <w:tcPr>
            <w:tcW w:w="100" w:type="dxa"/>
            <w:vAlign w:val="bottom"/>
            <w:tcBorders>
              <w:bottom w:val="single" w:sz="8" w:color="CCFFCC"/>
            </w:tcBorders>
            <w:shd w:val="clear" w:color="auto" w:fill="CCFFCC"/>
          </w:tcPr>
          <w:p>
            <w:pPr>
              <w:spacing w:after="0"/>
              <w:rPr>
                <w:sz w:val="12"/>
                <w:szCs w:val="12"/>
                <w:color w:val="auto"/>
              </w:rPr>
            </w:pPr>
          </w:p>
        </w:tc>
        <w:tc>
          <w:tcPr>
            <w:tcW w:w="100" w:type="dxa"/>
            <w:vAlign w:val="bottom"/>
            <w:tcBorders>
              <w:bottom w:val="single" w:sz="8" w:color="CCFFCC"/>
            </w:tcBorders>
            <w:shd w:val="clear" w:color="auto" w:fill="CCFFCC"/>
          </w:tcPr>
          <w:p>
            <w:pPr>
              <w:spacing w:after="0"/>
              <w:rPr>
                <w:sz w:val="12"/>
                <w:szCs w:val="12"/>
                <w:color w:val="auto"/>
              </w:rPr>
            </w:pPr>
          </w:p>
        </w:tc>
        <w:tc>
          <w:tcPr>
            <w:tcW w:w="120" w:type="dxa"/>
            <w:vAlign w:val="bottom"/>
            <w:tcBorders>
              <w:bottom w:val="single" w:sz="8" w:color="CCFFCC"/>
            </w:tcBorders>
            <w:shd w:val="clear" w:color="auto" w:fill="CCFFCC"/>
          </w:tcPr>
          <w:p>
            <w:pPr>
              <w:spacing w:after="0"/>
              <w:rPr>
                <w:sz w:val="12"/>
                <w:szCs w:val="12"/>
                <w:color w:val="auto"/>
              </w:rPr>
            </w:pPr>
          </w:p>
        </w:tc>
        <w:tc>
          <w:tcPr>
            <w:tcW w:w="880" w:type="dxa"/>
            <w:vAlign w:val="bottom"/>
            <w:tcBorders>
              <w:bottom w:val="single" w:sz="8" w:color="CCFFCC"/>
            </w:tcBorders>
            <w:shd w:val="clear" w:color="auto" w:fill="CCFFCC"/>
          </w:tcPr>
          <w:p>
            <w:pPr>
              <w:spacing w:after="0"/>
              <w:rPr>
                <w:sz w:val="12"/>
                <w:szCs w:val="12"/>
                <w:color w:val="auto"/>
              </w:rPr>
            </w:pPr>
          </w:p>
        </w:tc>
        <w:tc>
          <w:tcPr>
            <w:tcW w:w="180" w:type="dxa"/>
            <w:vAlign w:val="bottom"/>
            <w:tcBorders>
              <w:bottom w:val="single" w:sz="8" w:color="CCFFCC"/>
            </w:tcBorders>
            <w:shd w:val="clear" w:color="auto" w:fill="CCFFCC"/>
          </w:tcPr>
          <w:p>
            <w:pPr>
              <w:spacing w:after="0"/>
              <w:rPr>
                <w:sz w:val="12"/>
                <w:szCs w:val="12"/>
                <w:color w:val="auto"/>
              </w:rPr>
            </w:pPr>
          </w:p>
        </w:tc>
        <w:tc>
          <w:tcPr>
            <w:tcW w:w="200" w:type="dxa"/>
            <w:vAlign w:val="bottom"/>
            <w:tcBorders>
              <w:bottom w:val="single" w:sz="8" w:color="CCFFCC"/>
            </w:tcBorders>
            <w:shd w:val="clear" w:color="auto" w:fill="CCFFCC"/>
          </w:tcPr>
          <w:p>
            <w:pPr>
              <w:spacing w:after="0"/>
              <w:rPr>
                <w:sz w:val="12"/>
                <w:szCs w:val="12"/>
                <w:color w:val="auto"/>
              </w:rPr>
            </w:pPr>
          </w:p>
        </w:tc>
        <w:tc>
          <w:tcPr>
            <w:tcW w:w="800" w:type="dxa"/>
            <w:vAlign w:val="bottom"/>
            <w:tcBorders>
              <w:bottom w:val="single" w:sz="8" w:color="CCFFCC"/>
            </w:tcBorders>
            <w:shd w:val="clear" w:color="auto" w:fill="CCFFCC"/>
          </w:tcPr>
          <w:p>
            <w:pPr>
              <w:spacing w:after="0"/>
              <w:rPr>
                <w:sz w:val="12"/>
                <w:szCs w:val="12"/>
                <w:color w:val="auto"/>
              </w:rPr>
            </w:pPr>
          </w:p>
        </w:tc>
        <w:tc>
          <w:tcPr>
            <w:tcW w:w="200" w:type="dxa"/>
            <w:vAlign w:val="bottom"/>
            <w:tcBorders>
              <w:bottom w:val="single" w:sz="8" w:color="CCFFCC"/>
            </w:tcBorders>
            <w:shd w:val="clear" w:color="auto" w:fill="CCFFCC"/>
          </w:tcPr>
          <w:p>
            <w:pPr>
              <w:spacing w:after="0"/>
              <w:rPr>
                <w:sz w:val="12"/>
                <w:szCs w:val="12"/>
                <w:color w:val="auto"/>
              </w:rPr>
            </w:pPr>
          </w:p>
        </w:tc>
        <w:tc>
          <w:tcPr>
            <w:tcW w:w="120" w:type="dxa"/>
            <w:vAlign w:val="bottom"/>
            <w:tcBorders>
              <w:bottom w:val="single" w:sz="8" w:color="CCFFCC"/>
            </w:tcBorders>
            <w:shd w:val="clear" w:color="auto" w:fill="CCFFCC"/>
          </w:tcPr>
          <w:p>
            <w:pPr>
              <w:spacing w:after="0"/>
              <w:rPr>
                <w:sz w:val="12"/>
                <w:szCs w:val="12"/>
                <w:color w:val="auto"/>
              </w:rPr>
            </w:pPr>
          </w:p>
        </w:tc>
        <w:tc>
          <w:tcPr>
            <w:tcW w:w="880" w:type="dxa"/>
            <w:vAlign w:val="bottom"/>
            <w:tcBorders>
              <w:bottom w:val="single" w:sz="8" w:color="CCFFCC"/>
            </w:tcBorders>
            <w:shd w:val="clear" w:color="auto" w:fill="CCFFCC"/>
          </w:tcPr>
          <w:p>
            <w:pPr>
              <w:spacing w:after="0"/>
              <w:rPr>
                <w:sz w:val="12"/>
                <w:szCs w:val="12"/>
                <w:color w:val="auto"/>
              </w:rPr>
            </w:pPr>
          </w:p>
        </w:tc>
        <w:tc>
          <w:tcPr>
            <w:tcW w:w="80" w:type="dxa"/>
            <w:vAlign w:val="bottom"/>
            <w:tcBorders>
              <w:bottom w:val="single" w:sz="8" w:color="CCFFCC"/>
            </w:tcBorders>
            <w:shd w:val="clear" w:color="auto" w:fill="CCFFCC"/>
          </w:tcPr>
          <w:p>
            <w:pPr>
              <w:spacing w:after="0"/>
              <w:rPr>
                <w:sz w:val="12"/>
                <w:szCs w:val="12"/>
                <w:color w:val="auto"/>
              </w:rPr>
            </w:pPr>
          </w:p>
        </w:tc>
      </w:tr>
      <w:tr>
        <w:trPr>
          <w:trHeight w:val="149"/>
        </w:trPr>
        <w:tc>
          <w:tcPr>
            <w:tcW w:w="2940" w:type="dxa"/>
            <w:vAlign w:val="bottom"/>
            <w:gridSpan w:val="4"/>
          </w:tcPr>
          <w:p>
            <w:pPr>
              <w:spacing w:after="0" w:line="149" w:lineRule="exact"/>
              <w:rPr>
                <w:sz w:val="20"/>
                <w:szCs w:val="20"/>
                <w:color w:val="auto"/>
              </w:rPr>
            </w:pPr>
            <w:r>
              <w:rPr>
                <w:rFonts w:ascii="Arial" w:cs="Arial" w:eastAsia="Arial" w:hAnsi="Arial"/>
                <w:sz w:val="14"/>
                <w:szCs w:val="14"/>
                <w:color w:val="auto"/>
              </w:rPr>
              <w:t>Fixed Income Securities</w:t>
            </w:r>
          </w:p>
        </w:tc>
        <w:tc>
          <w:tcPr>
            <w:tcW w:w="820" w:type="dxa"/>
            <w:vAlign w:val="bottom"/>
          </w:tcPr>
          <w:p>
            <w:pPr>
              <w:jc w:val="right"/>
              <w:ind w:right="700"/>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768"/>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3,438</w:t>
            </w: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3,438</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w:t>
            </w:r>
          </w:p>
        </w:tc>
      </w:tr>
      <w:tr>
        <w:trPr>
          <w:trHeight w:val="149"/>
        </w:trPr>
        <w:tc>
          <w:tcPr>
            <w:tcW w:w="2940" w:type="dxa"/>
            <w:vAlign w:val="bottom"/>
            <w:gridSpan w:val="4"/>
            <w:shd w:val="clear" w:color="auto" w:fill="CCFFCC"/>
          </w:tcPr>
          <w:p>
            <w:pPr>
              <w:spacing w:after="0" w:line="149" w:lineRule="exact"/>
              <w:rPr>
                <w:sz w:val="20"/>
                <w:szCs w:val="20"/>
                <w:color w:val="auto"/>
              </w:rPr>
            </w:pPr>
            <w:r>
              <w:rPr>
                <w:rFonts w:ascii="Arial" w:cs="Arial" w:eastAsia="Arial" w:hAnsi="Arial"/>
                <w:sz w:val="14"/>
                <w:szCs w:val="14"/>
                <w:color w:val="auto"/>
              </w:rPr>
              <w:t>Equity Securities</w:t>
            </w:r>
          </w:p>
        </w:tc>
        <w:tc>
          <w:tcPr>
            <w:tcW w:w="820" w:type="dxa"/>
            <w:vAlign w:val="bottom"/>
            <w:shd w:val="clear" w:color="auto" w:fill="CCFFCC"/>
          </w:tcPr>
          <w:p>
            <w:pPr>
              <w:spacing w:after="0"/>
              <w:rPr>
                <w:sz w:val="12"/>
                <w:szCs w:val="12"/>
                <w:color w:val="auto"/>
              </w:rPr>
            </w:pPr>
          </w:p>
        </w:tc>
        <w:tc>
          <w:tcPr>
            <w:tcW w:w="2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27"/>
        </w:trPr>
        <w:tc>
          <w:tcPr>
            <w:tcW w:w="16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60" w:type="dxa"/>
            <w:vAlign w:val="bottom"/>
            <w:shd w:val="clear" w:color="auto" w:fill="CCFFCC"/>
          </w:tcPr>
          <w:p>
            <w:pPr>
              <w:spacing w:after="0"/>
              <w:rPr>
                <w:sz w:val="2"/>
                <w:szCs w:val="2"/>
                <w:color w:val="auto"/>
              </w:rPr>
            </w:pPr>
          </w:p>
        </w:tc>
        <w:tc>
          <w:tcPr>
            <w:tcW w:w="194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r>
      <w:tr>
        <w:trPr>
          <w:trHeight w:val="149"/>
        </w:trPr>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20" w:type="dxa"/>
            <w:vAlign w:val="bottom"/>
          </w:tcPr>
          <w:p>
            <w:pPr>
              <w:jc w:val="right"/>
              <w:ind w:right="700"/>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768"/>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3,438</w:t>
            </w: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3,438</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w:t>
            </w:r>
          </w:p>
        </w:tc>
      </w:tr>
      <w:tr>
        <w:trPr>
          <w:trHeight w:val="21"/>
        </w:trPr>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July 31, 2010 are other-than-temporary due to market volatility of the security’s fair value, analysts’ expectations and the Company’s ability to hold the securities for a period of time sufficient to allow for any anticipated recoveries in market value.</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months ended July 31, 2010, the Company redeemed an available-for-sale security in the amount of $1,500,000 and realized a loss of $27,800 on the transaction which is included in the determination of net income for the period. During the three months ended July 31, 2009, the Company did not sell or redeem any available-for-sale securities. Accordingly, there were no realized gains or losses included in the determination of net income for that period.</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fixed income securities classified as available-for-sale at July 31, 2010 are as follows, at cost (in thousands):</w:t>
      </w:r>
    </w:p>
    <w:p>
      <w:pPr>
        <w:spacing w:after="0" w:line="26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FFC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9,572</w:t>
            </w:r>
          </w:p>
        </w:tc>
        <w:tc>
          <w:tcPr>
            <w:tcW w:w="60" w:type="dxa"/>
            <w:vAlign w:val="bottom"/>
          </w:tcPr>
          <w:p>
            <w:pPr>
              <w:spacing w:after="0"/>
              <w:rPr>
                <w:sz w:val="18"/>
                <w:szCs w:val="18"/>
                <w:color w:val="auto"/>
              </w:rPr>
            </w:pPr>
          </w:p>
        </w:tc>
      </w:tr>
      <w:tr>
        <w:trPr>
          <w:trHeight w:val="223"/>
        </w:trPr>
        <w:tc>
          <w:tcPr>
            <w:tcW w:w="55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Due after five years through ten years</w:t>
            </w:r>
          </w:p>
        </w:tc>
        <w:tc>
          <w:tcPr>
            <w:tcW w:w="42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FFCC"/>
            </w:tcBorders>
            <w:shd w:val="clear" w:color="auto" w:fill="CCFFCC"/>
          </w:tcPr>
          <w:p>
            <w:pPr>
              <w:spacing w:after="0"/>
              <w:rPr>
                <w:sz w:val="19"/>
                <w:szCs w:val="19"/>
                <w:color w:val="auto"/>
              </w:rPr>
            </w:pPr>
          </w:p>
        </w:tc>
      </w:tr>
      <w:tr>
        <w:trPr>
          <w:trHeight w:val="216"/>
        </w:trPr>
        <w:tc>
          <w:tcPr>
            <w:tcW w:w="552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10,572</w:t>
            </w:r>
          </w:p>
        </w:tc>
        <w:tc>
          <w:tcPr>
            <w:tcW w:w="60" w:type="dxa"/>
            <w:vAlign w:val="bottom"/>
          </w:tcPr>
          <w:p>
            <w:pPr>
              <w:spacing w:after="0"/>
              <w:rPr>
                <w:sz w:val="18"/>
                <w:szCs w:val="18"/>
                <w:color w:val="auto"/>
              </w:rPr>
            </w:pPr>
          </w:p>
        </w:tc>
      </w:tr>
      <w:tr>
        <w:trPr>
          <w:trHeight w:val="21"/>
        </w:trPr>
        <w:tc>
          <w:tcPr>
            <w:tcW w:w="5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93" w:lineRule="exact"/>
        <w:rPr>
          <w:sz w:val="20"/>
          <w:szCs w:val="20"/>
          <w:color w:val="auto"/>
        </w:rPr>
      </w:pPr>
    </w:p>
    <w:p>
      <w:pPr>
        <w:ind w:left="1380" w:right="20" w:hanging="971"/>
        <w:spacing w:after="0" w:line="277" w:lineRule="auto"/>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97"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8"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I - RECENTLY ISSUED ACCOUNTING PRONOUNCEMENTS</w:t>
      </w:r>
    </w:p>
    <w:p>
      <w:pPr>
        <w:spacing w:after="0" w:line="25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June 2009, the FASB issued standards which modified how a company determines when an entity that is insufficiently capitalized or is not controlled through voting (or similar rights) should be consolidated. These standards clarify that the determination of whether a company is required to consolidate an entity is based on, among other things, an entity’s purpose and design and a company’s ability to direct the activities of the entity that most significantly impact the entity’s economic performance. These standards require an ongoing reassessment of whether a company is the primary beneficiary of a variable interest entity. These standards also require additional disclosures about a company’s involvement in variable interest entities and any significant changes in risk exposure due to that involvement. These standards are effective for fiscal years beginning after November 15, 2009 and were effective for the Company on May 1, 2010. The adoption of these standards did not have a material impact on the financial condition, results of operations, cash flows and disclosures of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J – INCOME TAXES</w:t>
      </w:r>
    </w:p>
    <w:p>
      <w:pPr>
        <w:spacing w:after="0" w:line="25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has established a valuation allowance against all the deferred tax assets of its domestic and foreign subsidiaries. Because of the full valuation allowance, the provision for income taxes consists solely of taxes currently due to taxing authorities in the United States. Any tax provision or benefit realized from temporary tax differences is offset by increases or decreases in the valuation allowance thus creating a higher than normally expected effective tax rate. As of both July 31, 2010 and April 30, 2010, the deferred tax asset valuation allowance is approximately $8.1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NOTE K – TREASURY STOCK TRANSACTIONS</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three month period ended July 31, 2010, the Company made a contribution of 23,705 shares of its common stock held in treasury to the Company’s profit sharing plan and trust under section 401(k) of the Internal Revenue Code. Such contribution is in accordance with the Company’s discretionary match of employee voluntary contributions to this plan.</w:t>
      </w:r>
    </w:p>
    <w:p>
      <w:pPr>
        <w:spacing w:after="0" w:line="204"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w:t>
      </w:r>
    </w:p>
    <w:p>
      <w:pPr>
        <w:spacing w:after="0" w:line="252"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Item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By making these forward-looking statements, the Company undertakes no obligation to update these statements for revisions or changes after the date of this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April 30, 2010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Revenue Recognition</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updating estimated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06"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On production-type orders, revenue is recorded as units are delivered with the related cost of sales recognized on each shipment based upon a percentage of estimated final program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17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Costs and Expenses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and obsolete items and are based upon management’s experience and expectations for future business. Any changes arising from revised expectations are reflected in cost of sales in the period the revision is made.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 below sets forth for the respective periods of fiscal years 2011 and 2010 the percentage of consolidated revenues represented by certain items in the Company’s consolidated statements of operations:</w:t>
      </w:r>
    </w:p>
    <w:p>
      <w:pPr>
        <w:spacing w:after="0" w:line="19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520" w:type="dxa"/>
            <w:vAlign w:val="bottom"/>
            <w:gridSpan w:val="4"/>
          </w:tcPr>
          <w:p>
            <w:pPr>
              <w:jc w:val="right"/>
              <w:ind w:right="300"/>
              <w:spacing w:after="0"/>
              <w:rPr>
                <w:sz w:val="20"/>
                <w:szCs w:val="20"/>
                <w:color w:val="auto"/>
              </w:rPr>
            </w:pPr>
            <w:r>
              <w:rPr>
                <w:rFonts w:ascii="Arial" w:cs="Arial" w:eastAsia="Arial" w:hAnsi="Arial"/>
                <w:sz w:val="18"/>
                <w:szCs w:val="18"/>
                <w:color w:val="auto"/>
                <w:w w:val="94"/>
              </w:rPr>
              <w:t>Three months ended July 31,</w:t>
            </w:r>
          </w:p>
        </w:tc>
      </w:tr>
      <w:tr>
        <w:trPr>
          <w:trHeight w:val="237"/>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Net Revenues</w:t>
            </w:r>
          </w:p>
        </w:tc>
        <w:tc>
          <w:tcPr>
            <w:tcW w:w="10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00"/>
              <w:spacing w:after="0"/>
              <w:rPr>
                <w:sz w:val="20"/>
                <w:szCs w:val="20"/>
                <w:color w:val="auto"/>
              </w:rPr>
            </w:pPr>
            <w:r>
              <w:rPr>
                <w:rFonts w:ascii="Arial" w:cs="Arial" w:eastAsia="Arial" w:hAnsi="Arial"/>
                <w:sz w:val="18"/>
                <w:szCs w:val="18"/>
                <w:color w:val="auto"/>
              </w:rPr>
              <w:t>FEI-NY</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56.8%</w:t>
            </w: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Gillam-FEI</w:t>
            </w:r>
          </w:p>
        </w:tc>
        <w:tc>
          <w:tcPr>
            <w:tcW w:w="13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24.5</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19.9</w:t>
            </w:r>
          </w:p>
        </w:tc>
      </w:tr>
      <w:tr>
        <w:trPr>
          <w:trHeight w:val="216"/>
        </w:trPr>
        <w:tc>
          <w:tcPr>
            <w:tcW w:w="20" w:type="dxa"/>
            <w:vAlign w:val="bottom"/>
          </w:tcPr>
          <w:p>
            <w:pPr>
              <w:spacing w:after="0"/>
              <w:rPr>
                <w:sz w:val="18"/>
                <w:szCs w:val="18"/>
                <w:color w:val="auto"/>
              </w:rPr>
            </w:pPr>
          </w:p>
        </w:tc>
        <w:tc>
          <w:tcPr>
            <w:tcW w:w="5640" w:type="dxa"/>
            <w:vAlign w:val="bottom"/>
          </w:tcPr>
          <w:p>
            <w:pPr>
              <w:ind w:left="300"/>
              <w:spacing w:after="0"/>
              <w:rPr>
                <w:sz w:val="20"/>
                <w:szCs w:val="20"/>
                <w:color w:val="auto"/>
              </w:rPr>
            </w:pPr>
            <w:r>
              <w:rPr>
                <w:rFonts w:ascii="Arial" w:cs="Arial" w:eastAsia="Arial" w:hAnsi="Arial"/>
                <w:sz w:val="18"/>
                <w:szCs w:val="18"/>
                <w:color w:val="auto"/>
              </w:rPr>
              <w:t>FEI-Zyfer</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20.6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r>
      <w:tr>
        <w:trPr>
          <w:trHeight w:val="223"/>
        </w:trPr>
        <w:tc>
          <w:tcPr>
            <w:tcW w:w="20" w:type="dxa"/>
            <w:vAlign w:val="bottom"/>
          </w:tcPr>
          <w:p>
            <w:pPr>
              <w:spacing w:after="0"/>
              <w:rPr>
                <w:sz w:val="19"/>
                <w:szCs w:val="19"/>
                <w:color w:val="auto"/>
              </w:rPr>
            </w:pPr>
          </w:p>
        </w:tc>
        <w:tc>
          <w:tcPr>
            <w:tcW w:w="56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Less intersegment revenues</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(8.1)</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564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FFCC"/>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Cost of revenues</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60.9</w:t>
            </w:r>
          </w:p>
        </w:tc>
        <w:tc>
          <w:tcPr>
            <w:tcW w:w="240" w:type="dxa"/>
            <w:vAlign w:val="bottom"/>
            <w:tcBorders>
              <w:bottom w:val="single" w:sz="8" w:color="CCFFCC"/>
            </w:tcBorders>
            <w:shd w:val="clear" w:color="auto" w:fill="CCFFCC"/>
          </w:tcPr>
          <w:p>
            <w:pPr>
              <w:spacing w:after="0"/>
              <w:rPr>
                <w:sz w:val="19"/>
                <w:szCs w:val="19"/>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65.4</w:t>
            </w:r>
          </w:p>
        </w:tc>
        <w:tc>
          <w:tcPr>
            <w:tcW w:w="16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780"/>
              <w:spacing w:after="0"/>
              <w:rPr>
                <w:sz w:val="20"/>
                <w:szCs w:val="20"/>
                <w:color w:val="auto"/>
              </w:rPr>
            </w:pPr>
            <w:r>
              <w:rPr>
                <w:rFonts w:ascii="Arial" w:cs="Arial" w:eastAsia="Arial" w:hAnsi="Arial"/>
                <w:sz w:val="18"/>
                <w:szCs w:val="18"/>
                <w:color w:val="auto"/>
              </w:rPr>
              <w:t>Gross margin</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39.1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13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23.0</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20.6</w:t>
            </w: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780"/>
              <w:spacing w:after="0"/>
              <w:rPr>
                <w:sz w:val="20"/>
                <w:szCs w:val="20"/>
                <w:color w:val="auto"/>
              </w:rPr>
            </w:pPr>
            <w:r>
              <w:rPr>
                <w:rFonts w:ascii="Arial" w:cs="Arial" w:eastAsia="Arial" w:hAnsi="Arial"/>
                <w:sz w:val="18"/>
                <w:szCs w:val="18"/>
                <w:color w:val="auto"/>
              </w:rPr>
              <w:t>Operating Income</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w:t>
            </w: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income, net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Pretax income</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w:t>
            </w: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640" w:type="dxa"/>
            <w:vAlign w:val="bottom"/>
            <w:shd w:val="clear" w:color="auto" w:fill="CCFFCC"/>
          </w:tcPr>
          <w:p>
            <w:pPr>
              <w:ind w:left="780"/>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5.3%</w:t>
            </w: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(Note: All dollar amounts in following tables are in thousands, except Revenues which are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gridSpan w:val="3"/>
          </w:tcPr>
          <w:p>
            <w:pPr>
              <w:spacing w:after="0"/>
              <w:rPr>
                <w:sz w:val="20"/>
                <w:szCs w:val="20"/>
                <w:color w:val="auto"/>
              </w:rPr>
            </w:pPr>
            <w:r>
              <w:rPr>
                <w:rFonts w:ascii="Arial" w:cs="Arial" w:eastAsia="Arial" w:hAnsi="Arial"/>
                <w:sz w:val="18"/>
                <w:szCs w:val="18"/>
                <w:b w:val="1"/>
                <w:bCs w:val="1"/>
                <w:color w:val="auto"/>
              </w:rPr>
              <w:t>Revenues</w:t>
            </w: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65"/>
        </w:trPr>
        <w:tc>
          <w:tcPr>
            <w:tcW w:w="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w w:val="98"/>
              </w:rPr>
              <w:t>(in millions)</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7"/>
          </w:tcPr>
          <w:p>
            <w:pPr>
              <w:ind w:left="260"/>
              <w:spacing w:after="0"/>
              <w:rPr>
                <w:sz w:val="20"/>
                <w:szCs w:val="20"/>
                <w:color w:val="auto"/>
              </w:rPr>
            </w:pPr>
            <w:r>
              <w:rPr>
                <w:rFonts w:ascii="Arial" w:cs="Arial" w:eastAsia="Arial" w:hAnsi="Arial"/>
                <w:sz w:val="18"/>
                <w:szCs w:val="18"/>
                <w:color w:val="auto"/>
              </w:rPr>
              <w:t>Three months ended July 31,</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color w:val="auto"/>
              </w:rPr>
              <w:t>Change</w:t>
            </w: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3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FEI-NY</w:t>
            </w:r>
          </w:p>
        </w:tc>
        <w:tc>
          <w:tcPr>
            <w:tcW w:w="2500" w:type="dxa"/>
            <w:vAlign w:val="bottom"/>
            <w:gridSpan w:val="2"/>
            <w:shd w:val="clear" w:color="auto" w:fill="CCFFCC"/>
          </w:tcPr>
          <w:p>
            <w:pPr>
              <w:jc w:val="right"/>
              <w:ind w:right="67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7.6</w:t>
            </w:r>
          </w:p>
        </w:tc>
        <w:tc>
          <w:tcPr>
            <w:tcW w:w="820" w:type="dxa"/>
            <w:vAlign w:val="bottom"/>
            <w:shd w:val="clear" w:color="auto" w:fill="CCFFCC"/>
          </w:tcPr>
          <w:p>
            <w:pPr>
              <w:jc w:val="right"/>
              <w:ind w:right="65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7.1</w:t>
            </w:r>
          </w:p>
        </w:tc>
        <w:tc>
          <w:tcPr>
            <w:tcW w:w="780" w:type="dxa"/>
            <w:vAlign w:val="bottom"/>
            <w:shd w:val="clear" w:color="auto" w:fill="CCFFCC"/>
          </w:tcPr>
          <w:p>
            <w:pPr>
              <w:jc w:val="right"/>
              <w:ind w:right="62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Gillam-FEI</w:t>
            </w: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8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7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FEI-Zyfer</w:t>
            </w:r>
          </w:p>
        </w:tc>
        <w:tc>
          <w:tcPr>
            <w:tcW w:w="164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w:t>
            </w:r>
          </w:p>
        </w:tc>
        <w:tc>
          <w:tcPr>
            <w:tcW w:w="82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4.2</w:t>
            </w:r>
          </w:p>
        </w:tc>
        <w:tc>
          <w:tcPr>
            <w:tcW w:w="78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Intersegment sales</w:t>
            </w: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7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2240" w:type="dxa"/>
            <w:vAlign w:val="bottom"/>
            <w:shd w:val="clear" w:color="auto" w:fill="CCFFCC"/>
          </w:tcPr>
          <w:p>
            <w:pPr>
              <w:spacing w:after="0"/>
              <w:rPr>
                <w:sz w:val="20"/>
                <w:szCs w:val="20"/>
                <w:color w:val="auto"/>
              </w:rPr>
            </w:pPr>
          </w:p>
        </w:tc>
        <w:tc>
          <w:tcPr>
            <w:tcW w:w="1640" w:type="dxa"/>
            <w:vAlign w:val="bottom"/>
            <w:shd w:val="clear" w:color="auto" w:fill="CCFFCC"/>
          </w:tcPr>
          <w:p>
            <w:pPr>
              <w:spacing w:after="0"/>
              <w:rPr>
                <w:sz w:val="20"/>
                <w:szCs w:val="20"/>
                <w:color w:val="auto"/>
              </w:rPr>
            </w:pPr>
          </w:p>
        </w:tc>
        <w:tc>
          <w:tcPr>
            <w:tcW w:w="860" w:type="dxa"/>
            <w:vAlign w:val="bottom"/>
            <w:shd w:val="clear" w:color="auto" w:fill="CCFFCC"/>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6"/>
              </w:rPr>
              <w:t>12.1</w:t>
            </w:r>
          </w:p>
        </w:tc>
        <w:tc>
          <w:tcPr>
            <w:tcW w:w="820" w:type="dxa"/>
            <w:vAlign w:val="bottom"/>
            <w:shd w:val="clear" w:color="auto" w:fill="CCFFCC"/>
          </w:tcPr>
          <w:p>
            <w:pPr>
              <w:jc w:val="right"/>
              <w:ind w:right="65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12.4</w:t>
            </w:r>
          </w:p>
        </w:tc>
        <w:tc>
          <w:tcPr>
            <w:tcW w:w="780" w:type="dxa"/>
            <w:vAlign w:val="bottom"/>
            <w:shd w:val="clear" w:color="auto" w:fill="CCFFCC"/>
          </w:tcPr>
          <w:p>
            <w:pPr>
              <w:jc w:val="right"/>
              <w:ind w:right="62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2240" w:type="dxa"/>
            <w:vAlign w:val="bottom"/>
            <w:tcBorders>
              <w:top w:val="single" w:sz="8" w:color="CCFFCC"/>
            </w:tcBorders>
            <w:shd w:val="clear" w:color="auto" w:fill="CCFFCC"/>
          </w:tcPr>
          <w:p>
            <w:pPr>
              <w:spacing w:after="0" w:line="20" w:lineRule="exact"/>
              <w:rPr>
                <w:sz w:val="1"/>
                <w:szCs w:val="1"/>
                <w:color w:val="auto"/>
              </w:rPr>
            </w:pPr>
          </w:p>
        </w:tc>
        <w:tc>
          <w:tcPr>
            <w:tcW w:w="164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3% decrease in revenues for the three months ended July 31, 2010 compared to the same period of fiscal year 2010, is due to the lower level of telecommunication infrastructure revenues generated by the FEI-Zyfer segment. In the prior year, revenues for that segment and market area benefited from additional sales that had been delayed from the preceding fiscal quarter due to inventory shortages. The lower fiscal year 2011 telecommunications revenues were partially offset by increased revenues from the FEI-NY and Gillam-FEI segments and the Company’s other two major market areas: satellite payloads and non-satellite U.S. Government/DOD. For the fiscal year 2011 quarter, revenues from satellite payload programs increased modestly compared to the same period of fiscal year 2010 and accounted for 31% of consolidated revenues. Revenues from U.S. Government/DOD non-space programs, which are recorded in the FEI-NY and FEI-Zyfer segments, increased by more than 20% year-over-year and accounted for more than 25% of consolidated revenue in the quarter ended July 31, 2010 compared to approximately 20% of consolidated revenues in the fiscal year 2010 quarter. Revenues from Gillam-FEI’s non-telecommunication product line accounted for the increased fiscal year 2011 revenues in that segment. During the remainder of fiscal year 2011, the Company expects to book additional new satellite payload business for both U.S. Government and commercial applications and to realize increased revenues from that market area. Similarly, the Company expects to realize continued sales growth in U.S. Government/DOD non-space programs and from wireline telecommunication infrastructure products.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margin</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23"/>
        </w:trPr>
        <w:tc>
          <w:tcPr>
            <w:tcW w:w="4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8"/>
          </w:tcPr>
          <w:p>
            <w:pPr>
              <w:ind w:left="120"/>
              <w:spacing w:after="0"/>
              <w:rPr>
                <w:sz w:val="20"/>
                <w:szCs w:val="20"/>
                <w:color w:val="auto"/>
              </w:rPr>
            </w:pPr>
            <w:r>
              <w:rPr>
                <w:rFonts w:ascii="Arial" w:cs="Arial" w:eastAsia="Arial" w:hAnsi="Arial"/>
                <w:sz w:val="18"/>
                <w:szCs w:val="18"/>
                <w:color w:val="auto"/>
              </w:rPr>
              <w:t>Three months ended July 31,</w:t>
            </w: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4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color w:val="auto"/>
                <w:w w:val="95"/>
              </w:rPr>
              <w:t>Change</w:t>
            </w: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4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16"/>
        </w:trPr>
        <w:tc>
          <w:tcPr>
            <w:tcW w:w="45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4,746</w:t>
            </w:r>
          </w:p>
        </w:tc>
        <w:tc>
          <w:tcPr>
            <w:tcW w:w="4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4,301</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445</w:t>
            </w:r>
          </w:p>
        </w:tc>
        <w:tc>
          <w:tcPr>
            <w:tcW w:w="26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520" w:type="dxa"/>
            <w:vAlign w:val="bottom"/>
            <w:gridSpan w:val="2"/>
          </w:tcPr>
          <w:p>
            <w:pPr>
              <w:jc w:val="right"/>
              <w:ind w:right="3860"/>
              <w:spacing w:after="0"/>
              <w:rPr>
                <w:sz w:val="20"/>
                <w:szCs w:val="20"/>
                <w:color w:val="auto"/>
              </w:rPr>
            </w:pPr>
            <w:r>
              <w:rPr>
                <w:rFonts w:ascii="Arial" w:cs="Arial" w:eastAsia="Arial" w:hAnsi="Arial"/>
                <w:sz w:val="18"/>
                <w:szCs w:val="18"/>
                <w:color w:val="auto"/>
                <w:w w:val="88"/>
              </w:rPr>
              <w:t>GM Rate</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improvement in gross margin and gross margin rate for the three months ended July 31, 2010 compared to the same period a year ago reflect the benefits of the efficiency improvements which were implemented in the prior year and the different mix of programs on which the Company is working in the fiscal year 2011 period. Of the Company’s three segments, the FEI-NY segment experienced the largest gross margin rate improvement. The gross margin rate recorded in the fiscal year 2011 period approaches the Company’s targeted rate. The Company anticipates that its gross margin rates for the remainder of fiscal year 2011 will be comparable to the current periods and will show an improvement over the prior fiscal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5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Three months ended July 31,</w:t>
      </w:r>
    </w:p>
    <w:p>
      <w:pPr>
        <w:spacing w:after="0" w:line="23"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gridSpan w:val="3"/>
          </w:tcPr>
          <w:p>
            <w:pPr>
              <w:ind w:left="400"/>
              <w:spacing w:after="0"/>
              <w:rPr>
                <w:sz w:val="20"/>
                <w:szCs w:val="20"/>
                <w:color w:val="auto"/>
              </w:rPr>
            </w:pPr>
            <w:r>
              <w:rPr>
                <w:rFonts w:ascii="Arial" w:cs="Arial" w:eastAsia="Arial" w:hAnsi="Arial"/>
                <w:sz w:val="18"/>
                <w:szCs w:val="18"/>
                <w:color w:val="auto"/>
                <w:w w:val="98"/>
              </w:rPr>
              <w:t>Change</w:t>
            </w:r>
          </w:p>
        </w:tc>
        <w:tc>
          <w:tcPr>
            <w:tcW w:w="56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2009</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16"/>
        </w:trPr>
        <w:tc>
          <w:tcPr>
            <w:tcW w:w="4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2,795</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2,567</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w:t>
            </w:r>
          </w:p>
        </w:tc>
      </w:tr>
    </w:tbl>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For the three months ended July 31, 2010 and 2009, selling and administrative expenses were 23% and 21%, respectively, of consolidated revenues. The increase in expenses in the fiscal year 2011 quarter compared to the same period of fiscal year 2010 is primarily due to increased incentive compensation expenses resulting from greater profitability. For the remainder of fiscal year 2011, the Company expects selling and administrative expenses to be incurred at approximately the same rate in dollars but could decrease as a percentage of revenues as sales increase.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5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Three months ended July 31,</w:t>
      </w:r>
    </w:p>
    <w:p>
      <w:pPr>
        <w:spacing w:after="0" w:line="23"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gridSpan w:val="3"/>
          </w:tcPr>
          <w:p>
            <w:pPr>
              <w:ind w:left="400"/>
              <w:spacing w:after="0"/>
              <w:rPr>
                <w:sz w:val="20"/>
                <w:szCs w:val="20"/>
                <w:color w:val="auto"/>
              </w:rPr>
            </w:pPr>
            <w:r>
              <w:rPr>
                <w:rFonts w:ascii="Arial" w:cs="Arial" w:eastAsia="Arial" w:hAnsi="Arial"/>
                <w:sz w:val="18"/>
                <w:szCs w:val="18"/>
                <w:color w:val="auto"/>
                <w:w w:val="98"/>
              </w:rPr>
              <w:t>Change</w:t>
            </w:r>
          </w:p>
        </w:tc>
        <w:tc>
          <w:tcPr>
            <w:tcW w:w="56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2009</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16"/>
        </w:trPr>
        <w:tc>
          <w:tcPr>
            <w:tcW w:w="4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1,162</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1,075</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FFCC"/>
          </w:tcPr>
          <w:p>
            <w:pPr>
              <w:ind w:left="420"/>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w:t>
            </w:r>
          </w:p>
        </w:tc>
      </w:tr>
    </w:tbl>
    <w:p>
      <w:pPr>
        <w:spacing w:after="0" w:line="2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Research and development expenditures represent investments intended to keep the Company’s products at the leading edge of time and frequency technology and enhance competitiveness for future revenues. Research and development spending for the three-month periods ended July 31, 2010 and 2009, was 10% and 9% of revenues, respectively, compared to the Company’s target of 10% of revenues. R&amp;D spending in fiscal year 2011 continued the development of new satellite payload products, including new C and Ku band beacon/telemetry transceivers, a new family of frequency generators and converters, and new product introductions and improvements in the technology of the Company’s GPS-based wireless products and wireline synchronization equipment. In addition, the Company continues to conduct development activities on customer-funded programs the cost of which appears in cost of revenues, thus reducing the level of internal research and development spending. The Company will continue to devote significant resources to develop new products, enhance existing products and implement efficient manufacturing processes. For the remainder of fiscal year 2011, the Company anticipates that internal research and development spending will be approximately 10% of revenues. Internally generated cash and cash reserves are adequate to fund these development efforts.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Income</w:t>
      </w:r>
    </w:p>
    <w:p>
      <w:pPr>
        <w:spacing w:after="0" w:line="2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Three months ended July 31,</w:t>
      </w:r>
    </w:p>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gridSpan w:val="3"/>
          </w:tcPr>
          <w:p>
            <w:pPr>
              <w:ind w:left="400"/>
              <w:spacing w:after="0"/>
              <w:rPr>
                <w:sz w:val="20"/>
                <w:szCs w:val="20"/>
                <w:color w:val="auto"/>
              </w:rPr>
            </w:pPr>
            <w:r>
              <w:rPr>
                <w:rFonts w:ascii="Arial" w:cs="Arial" w:eastAsia="Arial" w:hAnsi="Arial"/>
                <w:sz w:val="18"/>
                <w:szCs w:val="18"/>
                <w:color w:val="auto"/>
                <w:w w:val="98"/>
              </w:rPr>
              <w:t>Change</w:t>
            </w:r>
          </w:p>
        </w:tc>
        <w:tc>
          <w:tcPr>
            <w:tcW w:w="56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2009</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16"/>
        </w:trPr>
        <w:tc>
          <w:tcPr>
            <w:tcW w:w="4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789</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659</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Increased gross margin from an improved gross margin rate partially offset by higher operating expenses, particularly in the FEI-NY segment, enabled the Company to record a 20% improvement in operating income for the three-months ended July 31, 2010, compared to the same period of fiscal year 2010. The Company anticipates that at the current level of business and having implemented certain cost saving measures, that it can sustain operating income at this level. As the Company gains additional business through increased bookings on its current product lines and expands its product offerings through research and development efforts, operating income is expected to further improve. The Company anticipates that it will generate operating income for the full fiscal year 2011.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1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8"/>
            <w:vMerge w:val="restart"/>
          </w:tcPr>
          <w:p>
            <w:pPr>
              <w:spacing w:after="0"/>
              <w:rPr>
                <w:sz w:val="20"/>
                <w:szCs w:val="20"/>
                <w:color w:val="auto"/>
              </w:rPr>
            </w:pPr>
            <w:r>
              <w:rPr>
                <w:rFonts w:ascii="Arial" w:cs="Arial" w:eastAsia="Arial" w:hAnsi="Arial"/>
                <w:sz w:val="18"/>
                <w:szCs w:val="18"/>
                <w:color w:val="auto"/>
              </w:rPr>
              <w:t>Three months ended July 31,</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8"/>
            <w:vMerge w:val="continue"/>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rPr>
              <w:t>Change</w:t>
            </w: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 income</w:t>
            </w:r>
          </w:p>
        </w:tc>
        <w:tc>
          <w:tcPr>
            <w:tcW w:w="2320" w:type="dxa"/>
            <w:vAlign w:val="bottom"/>
            <w:gridSpan w:val="2"/>
            <w:shd w:val="clear" w:color="auto" w:fill="CCFFCC"/>
          </w:tcPr>
          <w:p>
            <w:pPr>
              <w:jc w:val="right"/>
              <w:ind w:right="5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128</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Equity income (loss)</w:t>
            </w: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16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4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3"/>
              </w:rPr>
              <w:t>(35)</w:t>
            </w:r>
          </w:p>
        </w:tc>
        <w:tc>
          <w:tcPr>
            <w:tcW w:w="1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Other expenses, net</w:t>
            </w: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1620" w:type="dxa"/>
            <w:vAlign w:val="bottom"/>
            <w:shd w:val="clear" w:color="auto" w:fill="CCFFCC"/>
          </w:tcPr>
          <w:p>
            <w:pPr>
              <w:spacing w:after="0"/>
              <w:rPr>
                <w:sz w:val="18"/>
                <w:szCs w:val="18"/>
                <w:color w:val="auto"/>
              </w:rPr>
            </w:pPr>
          </w:p>
        </w:tc>
        <w:tc>
          <w:tcPr>
            <w:tcW w:w="70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Investment income is derived primarily from the Company’s holdings of marketable securities. Earnings on these securities may vary based on fluctuating interest rate levels and the timing of purchases or sales of securities. During the quarter ended July 31, 2010, the Company redeemed a marketable security which resulted in a realized loss of approximately $28,000. No gains or losses on marketable securities were recorded during the same period of fiscal year 2010.</w:t>
      </w:r>
    </w:p>
    <w:p>
      <w:pPr>
        <w:spacing w:after="0" w:line="21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Equity income (loss) in the fiscal year 2011 and 2010 periods represent the Company’s share of the quarterly income or loss recorded by Elcom Technologies in which the Company owns a 25% interest.</w:t>
      </w:r>
    </w:p>
    <w:p>
      <w:pPr>
        <w:spacing w:after="0" w:line="19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decrease in interest expense for the three months ended July 31, 2010 compared to the same period of fiscal year 2010 is due to lower levels of credit and lease obligations in the fiscal year 2011 quarter.</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Other expenses in the fiscal year 2011 quarter were insignificant compared to the quarter ended July 31, 2009 in which period the Company recorded royalty expense and certain foreign currency exchange losses at the Company’s overseas subsidiaries. Such expenses were not incurred during fiscal year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Provision</w:t>
      </w:r>
    </w:p>
    <w:p>
      <w:pPr>
        <w:spacing w:after="0" w:line="25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Three months ended July 31,</w:t>
      </w:r>
    </w:p>
    <w:p>
      <w:pPr>
        <w:spacing w:after="0" w:line="23"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gridSpan w:val="3"/>
          </w:tcPr>
          <w:p>
            <w:pPr>
              <w:ind w:left="400"/>
              <w:spacing w:after="0"/>
              <w:rPr>
                <w:sz w:val="20"/>
                <w:szCs w:val="20"/>
                <w:color w:val="auto"/>
              </w:rPr>
            </w:pPr>
            <w:r>
              <w:rPr>
                <w:rFonts w:ascii="Arial" w:cs="Arial" w:eastAsia="Arial" w:hAnsi="Arial"/>
                <w:sz w:val="18"/>
                <w:szCs w:val="18"/>
                <w:color w:val="auto"/>
                <w:w w:val="98"/>
              </w:rPr>
              <w:t>Change</w:t>
            </w:r>
          </w:p>
        </w:tc>
        <w:tc>
          <w:tcPr>
            <w:tcW w:w="56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4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350</w:t>
            </w:r>
          </w:p>
        </w:tc>
        <w:tc>
          <w:tcPr>
            <w:tcW w:w="12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CFFCC"/>
          </w:tcPr>
          <w:p>
            <w:pPr>
              <w:spacing w:after="0"/>
              <w:rPr>
                <w:sz w:val="18"/>
                <w:szCs w:val="18"/>
                <w:color w:val="auto"/>
              </w:rPr>
            </w:pPr>
          </w:p>
        </w:tc>
        <w:tc>
          <w:tcPr>
            <w:tcW w:w="640" w:type="dxa"/>
            <w:vAlign w:val="bottom"/>
            <w:gridSpan w:val="2"/>
            <w:shd w:val="clear" w:color="auto" w:fill="CCFFCC"/>
          </w:tcPr>
          <w:p>
            <w:pPr>
              <w:ind w:left="280"/>
              <w:spacing w:after="0"/>
              <w:rPr>
                <w:sz w:val="20"/>
                <w:szCs w:val="20"/>
                <w:color w:val="auto"/>
              </w:rPr>
            </w:pPr>
            <w:r>
              <w:rPr>
                <w:rFonts w:ascii="Arial" w:cs="Arial" w:eastAsia="Arial" w:hAnsi="Arial"/>
                <w:sz w:val="18"/>
                <w:szCs w:val="18"/>
                <w:color w:val="auto"/>
              </w:rPr>
              <w:t>NM</w:t>
            </w:r>
          </w:p>
        </w:tc>
      </w:tr>
    </w:tbl>
    <w:p>
      <w:pPr>
        <w:spacing w:after="0" w:line="20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has established a valuation allowance against all the deferred tax assets of its domestic and foreign subsidiaries. Because of the full valuation allowance, the provision for income taxes consists solely of taxes currently due to taxing authorities in the United States. Any tax provision or benefit realized from temporary tax differences is offset by increases or decreases in the valuation allowance thus creating a higher than normally expected effective tax rate. As of both July 31, 2010 and April 30, 2010, the deferred tax asset valuation allowance is approximately $8.1 million.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In the first quarter of fiscal year 2010, the Company expected to carryforward a portion of the tax loss incurred in the previous fiscal year. Consequently, the Company did not expect to incur any current tax expense even though it recorded pretax income for both financial reporting and tax purposes. Subsequent to the end of the Company’s second quarter, in November 2009, Congress changed the tax code enabling companies to carry back tax losses up to five years rather than two years. Consequently, the Company’s U.S. corporate tax return, filed in January 2010, claimed full benefit for the loss incurred in fiscal year 2009 and received a tax refund during fiscal year 2010. In the second half of fiscal year 2010, the Company recorded an additional tax benefit due to the change in tax law but also recorded a tax provision on that year’s earnings since the prior year tax loss had been fully utilized.</w:t>
      </w:r>
    </w:p>
    <w:p>
      <w:pPr>
        <w:spacing w:after="0" w:line="19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is subject to taxation in several countries as well as the states of New York and California. The statutory federal rates are 34% in the United States and Belgium. The effective rate is impacted by the income or loss of certain of the Company’s European and Asian subsidiaries which are currently not taxed. In addition, the Company utilizes the availability of research and development tax credits in the United States to lower its tax rate. As of April 30, 2010, the Company’s European subsidiaries had available net operating loss carryforwards of approximately $1.3 million, which will offset future taxable income. The domestic U.S. tax loss carryforward for state income tax purposes is approximately $8.4 million in New York and $2.3 million in California.</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Three months ended July 31,</w:t>
      </w:r>
    </w:p>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gridSpan w:val="3"/>
          </w:tcPr>
          <w:p>
            <w:pPr>
              <w:ind w:left="420"/>
              <w:spacing w:after="0"/>
              <w:rPr>
                <w:sz w:val="20"/>
                <w:szCs w:val="20"/>
                <w:color w:val="auto"/>
              </w:rPr>
            </w:pPr>
            <w:r>
              <w:rPr>
                <w:rFonts w:ascii="Arial" w:cs="Arial" w:eastAsia="Arial" w:hAnsi="Arial"/>
                <w:sz w:val="18"/>
                <w:szCs w:val="18"/>
                <w:color w:val="auto"/>
                <w:w w:val="95"/>
              </w:rPr>
              <w:t>Change</w:t>
            </w:r>
          </w:p>
        </w:tc>
        <w:tc>
          <w:tcPr>
            <w:tcW w:w="58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16"/>
        </w:trPr>
        <w:tc>
          <w:tcPr>
            <w:tcW w:w="4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507</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654</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discussed above, for the three months ended July 31, 2010, the Company recorded a provision for income taxes but was not required to do so in the same period of fiscal year 2010. Consequently, net income in fiscal year 2011 is less than fiscal year 2010 even though pretax income for the period ended July 31, 2010 is greater than the prior year. The Company expects to realize improved gross and operating margins throughout fiscal year 2011 and anticipates that it will report a profit for the full year. However, comparisons of net income to the prior year will be inconsistent due to the change in tax law as discussed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Company’s balance sheet continues to reflect a strong working capital position of $53 million at July 31, 2010, similar to that at April 30,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2009. Included in working capital at July 31, 2010 is $20.9 million of cash, cash equivalents and marketable securities. The Company’s current ratio at July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 2010 is 8.6 to 1.</w:t>
      </w:r>
    </w:p>
    <w:p>
      <w:pPr>
        <w:spacing w:after="0" w:line="23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three months ended July 31, 2010, the Company had positive cash flow from operating activities of $492,000 compared to $1.2 million provided by operations in the comparable fiscal year 2010 period. The primary sources of cash in the fiscal year 2010 period were profitable operations and net increase in trade payables. For the three months ended July 31, 2010 and 2009, the Company incurred over $1.0 million of non-cash operating expenses, such as depreciation and amortization and accruals for employee benefit programs. For the balance of fiscal year 2011, the Company expects to generate positive cash flow from operating activities.</w:t>
      </w:r>
    </w:p>
    <w:p>
      <w:pPr>
        <w:spacing w:after="0" w:line="21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Net cash used in investing activities for the three months ended July 31, 2010 and 2009, was $1.2 million and $175,000, respectively. In the fiscal year 2011 quarter, the Company redeemed a marketable security in the amount of $1.5 million and invested in additional marketable securities for $2.5 million. In both fiscal years, the Company acquired property, plant and equipment in the amount of $243,000 and $175,000, respectively. The Company may continue to acquire or sell marketable securities as dictated by its investment strategies as well as by the cash requirements for its development activities. Property, plant and equipment purchases for all of fiscal year 2011 are expected to be less than $1.0 million. Internally generated cash is adequate to acquire this level of property, plant and equipment.</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financing activities for the three months ended July 31, 2010 and 2009, was $70,000 each quarter which consisted solely of payments against the Company’s capital lease obligation.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July 31, 2010, the Company has repurchased approximately $4 million of its common stock out of the $5 million authorization.</w:t>
      </w:r>
    </w:p>
    <w:p>
      <w:pPr>
        <w:spacing w:after="0" w:line="20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will continue to expend resources to develop and improve products for space applications, guidance and targeting systems, and communication systems which management believes will result in future growth and continued profitability. During fiscal year 2011, the Company intends to make a substantial investment of capital and technical resources to develop and acquire new products to meet the needs of the U.S. Government, commercial space and telecommunications infrastructure marketplaces and to invest in more efficient product designs and manufacturing procedures. Where possible, the Company will secure partial customer funding for such development efforts but is targeting to spend its own funds at a rate of approximately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9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July 31, 2010, the Company's consolidated backlog amounted to approximately $32 million. Approximately 75% of this backlog is expected to be filled in the next twelve months. Included in the backlog at July 31, 2010 is approximately $7 million under cost-plus-fee contracts which the Company believes represent firm commitments from its customers for which the Company has not received full funding to date. The Company excludes from backlog any contracts or awards for which it has not received authorization to proceed.</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believes that its liquidity is adequate to meet its operating and investment needs through at least April 30, 2011.</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220980</wp:posOffset>
            </wp:positionV>
            <wp:extent cx="11061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Controls and Procedures</w:t>
      </w:r>
    </w:p>
    <w:p>
      <w:pPr>
        <w:spacing w:after="0" w:line="23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for the reasons discussed below, as of July 31, 2010, the Company’s disclosure controls and procedures were not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(Continued)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disclosed in its Form 10-K for the year ended April 30, 2010, the Company has identified several material weaknesses in its internal control over financial reporting. While the Company did not conduct a full assessment of the effectiveness of internal controls over financial reporting at July 31, 2010, for the first quarter of fiscal year 2011, there were no substantial changes made to the Company’s internal control over financial reporting since management’s assessment of April 30, 2010, and therefore the weaknesses previously identified by management continued to exist at July 31, 2010. Please refer to the Company’s Annual Report on Form 10-K for the year ended April 30, 2010 for a more detailed discussion of the weaknesses previously identified by management.</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were no changes in the Company’s internal control over financial reporting (as such term is defined in Rules 13a-15(f) and 15d-15(f) under the Exchange Act) during the quarter ended July 31, 2010 to which this report relates that have materially affected, or are reasonably likely to materially affect, the Company’s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6 - Exhibits</w:t>
      </w:r>
    </w:p>
    <w:p>
      <w:pPr>
        <w:spacing w:after="0" w:line="238" w:lineRule="exact"/>
        <w:rPr>
          <w:sz w:val="20"/>
          <w:szCs w:val="20"/>
          <w:color w:val="auto"/>
        </w:rPr>
      </w:pPr>
    </w:p>
    <w:p>
      <w:pPr>
        <w:ind w:left="1140" w:right="180" w:hanging="485"/>
        <w:spacing w:after="0" w:line="277" w:lineRule="auto"/>
        <w:rPr>
          <w:sz w:val="20"/>
          <w:szCs w:val="20"/>
          <w:color w:val="auto"/>
        </w:rPr>
      </w:pPr>
      <w:r>
        <w:rPr>
          <w:rFonts w:ascii="Arial" w:cs="Arial" w:eastAsia="Arial" w:hAnsi="Arial"/>
          <w:sz w:val="18"/>
          <w:szCs w:val="18"/>
          <w:color w:val="auto"/>
        </w:rPr>
        <w:t>31.1 - Certification by the Chief Executive Officer pursuant to Rule 13a-14(a) or 15d-14(a) under the Securities Exchange Act of 1934, as adopted pursuant to Section 302 of the Sarbanes-Oxley Act of 2002.</w:t>
      </w:r>
    </w:p>
    <w:p>
      <w:pPr>
        <w:spacing w:after="0" w:line="197" w:lineRule="exact"/>
        <w:rPr>
          <w:sz w:val="20"/>
          <w:szCs w:val="20"/>
          <w:color w:val="auto"/>
        </w:rPr>
      </w:pPr>
    </w:p>
    <w:p>
      <w:pPr>
        <w:ind w:left="1140" w:right="240" w:hanging="485"/>
        <w:spacing w:after="0" w:line="277" w:lineRule="auto"/>
        <w:rPr>
          <w:sz w:val="20"/>
          <w:szCs w:val="20"/>
          <w:color w:val="auto"/>
        </w:rPr>
      </w:pPr>
      <w:r>
        <w:rPr>
          <w:rFonts w:ascii="Arial" w:cs="Arial" w:eastAsia="Arial" w:hAnsi="Arial"/>
          <w:sz w:val="18"/>
          <w:szCs w:val="18"/>
          <w:color w:val="auto"/>
        </w:rPr>
        <w:t>31.2 - Certification by the Chief Financial Officer pursuant to Rule 13a-14(a) or 15d-14(a) under the Securities Exchange Act of 1934, as adopted pursuant to Section 302 of the Sarbanes-Oxley Act of 2002.</w:t>
      </w:r>
    </w:p>
    <w:p>
      <w:pPr>
        <w:spacing w:after="0" w:line="197" w:lineRule="exact"/>
        <w:rPr>
          <w:sz w:val="20"/>
          <w:szCs w:val="20"/>
          <w:color w:val="auto"/>
        </w:rPr>
      </w:pPr>
    </w:p>
    <w:p>
      <w:pPr>
        <w:ind w:left="1140" w:right="260" w:hanging="485"/>
        <w:spacing w:after="0" w:line="277" w:lineRule="auto"/>
        <w:rPr>
          <w:sz w:val="20"/>
          <w:szCs w:val="20"/>
          <w:color w:val="auto"/>
        </w:rPr>
      </w:pPr>
      <w:r>
        <w:rPr>
          <w:rFonts w:ascii="Arial" w:cs="Arial" w:eastAsia="Arial" w:hAnsi="Arial"/>
          <w:sz w:val="18"/>
          <w:szCs w:val="18"/>
          <w:color w:val="auto"/>
        </w:rPr>
        <w:t>32.1 - Certification by the Chief Executive Officer pursuant to 18 U.S.C. Section 1350, as adopted pursuant to Section 906 of the Sarbanes-Oxley Act of 2002.</w:t>
      </w:r>
    </w:p>
    <w:p>
      <w:pPr>
        <w:spacing w:after="0" w:line="197" w:lineRule="exact"/>
        <w:rPr>
          <w:sz w:val="20"/>
          <w:szCs w:val="20"/>
          <w:color w:val="auto"/>
        </w:rPr>
      </w:pPr>
    </w:p>
    <w:p>
      <w:pPr>
        <w:ind w:left="1140" w:right="300" w:hanging="485"/>
        <w:spacing w:after="0" w:line="277" w:lineRule="auto"/>
        <w:rPr>
          <w:sz w:val="20"/>
          <w:szCs w:val="20"/>
          <w:color w:val="auto"/>
        </w:rPr>
      </w:pPr>
      <w:r>
        <w:rPr>
          <w:rFonts w:ascii="Arial" w:cs="Arial" w:eastAsia="Arial" w:hAnsi="Arial"/>
          <w:sz w:val="18"/>
          <w:szCs w:val="18"/>
          <w:color w:val="auto"/>
        </w:rPr>
        <w:t>32.2 - Certification by the Chief Financial Officer pursuant to 18 U.S.C. Section 1350, as adopted pursuant to Section 906 of the Sarbanes-Oxley Act of 2002.</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center"/>
        <w:ind w:right="-15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3800"/>
        <w:spacing w:after="0"/>
        <w:rPr>
          <w:sz w:val="20"/>
          <w:szCs w:val="20"/>
          <w:color w:val="auto"/>
        </w:rPr>
      </w:pPr>
      <w:r>
        <w:rPr>
          <w:rFonts w:ascii="Arial" w:cs="Arial" w:eastAsia="Arial" w:hAnsi="Arial"/>
          <w:sz w:val="18"/>
          <w:szCs w:val="18"/>
          <w:color w:val="auto"/>
        </w:rPr>
        <w:t>FREQUENCY ELECTRONICS, INC.</w:t>
      </w:r>
    </w:p>
    <w:p>
      <w:pPr>
        <w:spacing w:after="0" w:line="23" w:lineRule="exact"/>
        <w:rPr>
          <w:sz w:val="20"/>
          <w:szCs w:val="20"/>
          <w:color w:val="auto"/>
        </w:rPr>
      </w:pPr>
    </w:p>
    <w:p>
      <w:pPr>
        <w:jc w:val="center"/>
        <w:ind w:left="38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September 14, 2010</w:t>
      </w:r>
      <w:r>
        <w:rPr>
          <w:sz w:val="20"/>
          <w:szCs w:val="20"/>
          <w:color w:val="auto"/>
        </w:rPr>
        <w:tab/>
      </w:r>
      <w:r>
        <w:rPr>
          <w:rFonts w:ascii="Arial" w:cs="Arial" w:eastAsia="Arial" w:hAnsi="Arial"/>
          <w:sz w:val="18"/>
          <w:szCs w:val="18"/>
          <w:color w:val="auto"/>
        </w:rPr>
        <w:t>BY /s/ Alan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19551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Alan Miller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Secretary/Treasurer and 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Signing on behalf of the registrant and as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90" w:right="37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Martin B. Bloch, certify that:</w:t>
      </w:r>
    </w:p>
    <w:p>
      <w:pPr>
        <w:spacing w:after="0" w:line="252"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100"/>
        <w:spacing w:after="0"/>
        <w:tabs>
          <w:tab w:leader="none" w:pos="6840" w:val="left"/>
        </w:tabs>
        <w:rPr>
          <w:sz w:val="20"/>
          <w:szCs w:val="20"/>
          <w:color w:val="auto"/>
        </w:rPr>
      </w:pPr>
      <w:r>
        <w:rPr>
          <w:rFonts w:ascii="Arial" w:cs="Arial" w:eastAsia="Arial" w:hAnsi="Arial"/>
          <w:sz w:val="18"/>
          <w:szCs w:val="18"/>
          <w:color w:val="auto"/>
        </w:rPr>
        <w:t>/s/ Martin Bloch</w:t>
      </w:r>
      <w:r>
        <w:rPr>
          <w:sz w:val="20"/>
          <w:szCs w:val="20"/>
          <w:color w:val="auto"/>
        </w:rPr>
        <w:tab/>
      </w:r>
      <w:r>
        <w:rPr>
          <w:rFonts w:ascii="Arial" w:cs="Arial" w:eastAsia="Arial" w:hAnsi="Arial"/>
          <w:sz w:val="15"/>
          <w:szCs w:val="15"/>
          <w:color w:val="auto"/>
        </w:rPr>
        <w:t>September 14,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Alan L. Miller, certify that</w:t>
      </w:r>
    </w:p>
    <w:p>
      <w:pPr>
        <w:spacing w:after="0" w:line="252"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100"/>
        <w:spacing w:after="0"/>
        <w:tabs>
          <w:tab w:leader="none" w:pos="6840" w:val="left"/>
        </w:tabs>
        <w:rPr>
          <w:sz w:val="20"/>
          <w:szCs w:val="20"/>
          <w:color w:val="auto"/>
        </w:rPr>
      </w:pPr>
      <w:r>
        <w:rPr>
          <w:rFonts w:ascii="Arial" w:cs="Arial" w:eastAsia="Arial" w:hAnsi="Arial"/>
          <w:sz w:val="18"/>
          <w:szCs w:val="18"/>
          <w:color w:val="auto"/>
        </w:rPr>
        <w:t>/s/ Alan Miller</w:t>
      </w:r>
      <w:r>
        <w:rPr>
          <w:sz w:val="20"/>
          <w:szCs w:val="20"/>
          <w:color w:val="auto"/>
        </w:rPr>
        <w:tab/>
      </w:r>
      <w:r>
        <w:rPr>
          <w:rFonts w:ascii="Arial" w:cs="Arial" w:eastAsia="Arial" w:hAnsi="Arial"/>
          <w:sz w:val="15"/>
          <w:szCs w:val="15"/>
          <w:color w:val="auto"/>
        </w:rPr>
        <w:t>September 14,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July 31, 2010 as filed with the Securities and Exchange Commission on the date hereof (the “Report”), I, Martin B. Bloch, Chief Executive Officer of the Company, certify, pursuant to 18 U.S.C. Section 1350, as adopted pursuant to Section 906 of the Sarbanes-Oxley Act of 2002, that to my knowledge:</w:t>
      </w:r>
    </w:p>
    <w:p>
      <w:pPr>
        <w:spacing w:after="0" w:line="193" w:lineRule="exact"/>
        <w:rPr>
          <w:sz w:val="20"/>
          <w:szCs w:val="20"/>
          <w:color w:val="auto"/>
        </w:rPr>
      </w:pPr>
    </w:p>
    <w:p>
      <w:pPr>
        <w:ind w:left="1000" w:hanging="330"/>
        <w:spacing w:after="0"/>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100"/>
        <w:spacing w:after="0"/>
        <w:tabs>
          <w:tab w:leader="none" w:pos="6840" w:val="left"/>
        </w:tabs>
        <w:rPr>
          <w:sz w:val="20"/>
          <w:szCs w:val="20"/>
          <w:color w:val="auto"/>
        </w:rPr>
      </w:pPr>
      <w:r>
        <w:rPr>
          <w:rFonts w:ascii="Arial" w:cs="Arial" w:eastAsia="Arial" w:hAnsi="Arial"/>
          <w:sz w:val="18"/>
          <w:szCs w:val="18"/>
          <w:color w:val="auto"/>
        </w:rPr>
        <w:t>/s/ Martin Bloch</w:t>
      </w:r>
      <w:r>
        <w:rPr>
          <w:sz w:val="20"/>
          <w:szCs w:val="20"/>
          <w:color w:val="auto"/>
        </w:rPr>
        <w:tab/>
      </w:r>
      <w:r>
        <w:rPr>
          <w:rFonts w:ascii="Arial" w:cs="Arial" w:eastAsia="Arial" w:hAnsi="Arial"/>
          <w:sz w:val="15"/>
          <w:szCs w:val="15"/>
          <w:color w:val="auto"/>
        </w:rPr>
        <w:t>September 14,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July 31, 2010 as filed with the Securities and Exchange Commission on the date hereof (the “Report”), I, Alan L. Miller, Chief Financial Officer of the Company, certify, pursuant to 18 U.S.C. Section 1350, as adopted pursuant to Section 906 of the Sarbanes-Oxley Act of 2002, that to my knowledge:</w:t>
      </w:r>
    </w:p>
    <w:p>
      <w:pPr>
        <w:spacing w:after="0" w:line="208"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100"/>
        <w:spacing w:after="0"/>
        <w:tabs>
          <w:tab w:leader="none" w:pos="7600" w:val="left"/>
        </w:tabs>
        <w:rPr>
          <w:sz w:val="20"/>
          <w:szCs w:val="20"/>
          <w:color w:val="auto"/>
        </w:rPr>
      </w:pPr>
      <w:r>
        <w:rPr>
          <w:rFonts w:ascii="Arial" w:cs="Arial" w:eastAsia="Arial" w:hAnsi="Arial"/>
          <w:sz w:val="18"/>
          <w:szCs w:val="18"/>
          <w:color w:val="auto"/>
        </w:rPr>
        <w:t>/s/ Alan Miller</w:t>
      </w:r>
      <w:r>
        <w:rPr>
          <w:sz w:val="20"/>
          <w:szCs w:val="20"/>
          <w:color w:val="auto"/>
        </w:rPr>
        <w:tab/>
      </w:r>
      <w:r>
        <w:rPr>
          <w:rFonts w:ascii="Arial" w:cs="Arial" w:eastAsia="Arial" w:hAnsi="Arial"/>
          <w:sz w:val="15"/>
          <w:szCs w:val="15"/>
          <w:color w:val="auto"/>
        </w:rPr>
        <w:t>September 14,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098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0982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lvl w:ilvl="1">
      <w:lvlJc w:val="left"/>
      <w:lvlText w:val="(%2)"/>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decimal"/>
      <w:start w:val="1"/>
    </w:lvl>
  </w:abstractNum>
  <w:abstractNum w:abstractNumId="7">
    <w:nsid w:val="515F007C"/>
    <w:multiLevelType w:val="hybridMultilevel"/>
    <w:lvl w:ilvl="0">
      <w:lvlJc w:val="left"/>
      <w:lvlText w:val="(%1)"/>
      <w:numFmt w:val="decimal"/>
      <w:start w:val="2"/>
    </w:lvl>
    <w:lvl w:ilvl="1">
      <w:lvlJc w:val="left"/>
      <w:lvlText w:val="%2"/>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2019-12-10T00:39:40Z</dcterms:created>
  <dcterms:modified xsi:type="dcterms:W3CDTF">2019-12-10T00:39:40Z</dcterms:modified>
</cp:coreProperties>
</file>