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QUARTERLY REPORT PURSUANT TO SECTION 13 or 15(d) OF THE SECURITIES EXCHANGE ACT OF 1934</w:t>
      </w:r>
    </w:p>
    <w:p>
      <w:pPr>
        <w:spacing w:after="0" w:line="25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Quarterly Period ended July 31, 2021</w:t>
      </w:r>
    </w:p>
    <w:p>
      <w:pPr>
        <w:spacing w:after="0" w:line="23"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TRANSITION REPORT PURSUANT TO SECTION 13 or 15(d) OF THE SECURITIES EXCHANGE ACT OF 1934</w:t>
      </w:r>
    </w:p>
    <w:p>
      <w:pPr>
        <w:spacing w:after="0" w:line="216"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gridSpan w:val="5"/>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0" w:type="dxa"/>
            <w:vAlign w:val="bottom"/>
          </w:tcPr>
          <w:p>
            <w:pPr>
              <w:spacing w:after="0"/>
              <w:rPr>
                <w:sz w:val="20"/>
                <w:szCs w:val="20"/>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11553</w:t>
            </w:r>
          </w:p>
        </w:tc>
        <w:tc>
          <w:tcPr>
            <w:tcW w:w="8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32"/>
        </w:trPr>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FEIM</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7" w:right="47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400" w:space="720"/>
            <w:col w:w="4840"/>
          </w:cols>
          <w:pgMar w:left="460" w:top="377" w:right="47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September 10, 2021 – 9,245,940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7"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209"/>
        </w:trPr>
        <w:tc>
          <w:tcPr>
            <w:tcW w:w="10180" w:type="dxa"/>
            <w:vAlign w:val="bottom"/>
            <w:gridSpan w:val="17"/>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 Financial Statements:</w:t>
              </w:r>
            </w:hyperlink>
          </w:p>
        </w:tc>
        <w:tc>
          <w:tcPr>
            <w:tcW w:w="75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31, 2021 (unaudited) and April 30, 2021</w:t>
              </w:r>
            </w:hyperlink>
          </w:p>
        </w:tc>
        <w:tc>
          <w:tcPr>
            <w:tcW w:w="298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gridSpan w:val="1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Three Months Ended July 31, 2021 and 2020</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Three Months Ended July 31, 2021 and 2020 (unaudited)</w:t>
              </w:r>
            </w:hyperlink>
          </w:p>
        </w:tc>
        <w:tc>
          <w:tcPr>
            <w:tcW w:w="146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Three Months Ended July 31, 2021 and 2020</w:t>
              </w:r>
            </w:hyperlink>
          </w:p>
        </w:tc>
        <w:tc>
          <w:tcPr>
            <w:tcW w:w="8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4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7-15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970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16-21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Item 3</w:t>
              </w:r>
            </w:hyperlink>
          </w:p>
        </w:tc>
        <w:tc>
          <w:tcPr>
            <w:tcW w:w="658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 Quantitative and Qualitative Disclosures About Market Risk</w:t>
              </w:r>
            </w:hyperlink>
          </w:p>
        </w:tc>
        <w:tc>
          <w:tcPr>
            <w:tcW w:w="26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472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53"/>
        </w:trPr>
        <w:tc>
          <w:tcPr>
            <w:tcW w:w="101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Item 1</w:t>
              </w:r>
            </w:hyperlink>
          </w:p>
        </w:tc>
        <w:tc>
          <w:tcPr>
            <w:tcW w:w="9200" w:type="dxa"/>
            <w:vAlign w:val="bottom"/>
            <w:gridSpan w:val="14"/>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 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Item 6</w:t>
              </w:r>
            </w:hyperlink>
          </w:p>
        </w:tc>
        <w:tc>
          <w:tcPr>
            <w:tcW w:w="148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 Exhibits</w:t>
              </w:r>
            </w:hyperlink>
          </w:p>
        </w:tc>
        <w:tc>
          <w:tcPr>
            <w:tcW w:w="77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848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986"/>
        </w:trPr>
        <w:tc>
          <w:tcPr>
            <w:tcW w:w="48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53" w:right="47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0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$111 at July 31, 2021 and April 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 net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surrender value of life insurance - current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Cash surrender value of life insurance, net of current portion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Right-of-Use assets – operating leases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86,564</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provision accrual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estimated earnings,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Deferred compensation - current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 $1.00 par value; authorized 20,000 shares, 9,247 shares issued and 9,246 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w w:val="95"/>
              </w:rPr>
              <w:t>outstanding at July 31, 2021; 9,226 shares issued and 9,225 shares outstanding at April 30, 2021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(13,032)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cost (1 share at July 31, 2021 and 1 share at April 30, 2021)</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86,564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769"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5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040" w:type="dxa"/>
            <w:vAlign w:val="bottom"/>
            <w:gridSpan w:val="4"/>
            <w:vMerge w:val="continue"/>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66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12,955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Operating loss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Net loss</w:t>
            </w:r>
          </w:p>
        </w:tc>
        <w:tc>
          <w:tcPr>
            <w:tcW w:w="366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(1,575)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Net loss per common share: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Basic and diluted loss per share</w:t>
            </w:r>
          </w:p>
        </w:tc>
        <w:tc>
          <w:tcPr>
            <w:tcW w:w="366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Basic and diluted</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4"/>
              </w:rPr>
              <w:t>Condensed Consolidated Statements of Comprehensive Loss</w:t>
            </w: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66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(1,575)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reclassification, net of tax</w:t>
            </w: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 net of tax</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3"/>
          </w:tcPr>
          <w:p>
            <w:pPr>
              <w:ind w:left="300"/>
              <w:spacing w:after="0"/>
              <w:rPr>
                <w:sz w:val="20"/>
                <w:szCs w:val="20"/>
                <w:color w:val="auto"/>
              </w:rPr>
            </w:pPr>
            <w:r>
              <w:rPr>
                <w:rFonts w:ascii="Arial" w:cs="Arial" w:eastAsia="Arial" w:hAnsi="Arial"/>
                <w:sz w:val="18"/>
                <w:szCs w:val="18"/>
                <w:color w:val="auto"/>
              </w:rPr>
              <w:t>Total unrealized gain on marketable securities, net of tax</w:t>
            </w: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Comprehensive loss</w:t>
            </w:r>
          </w:p>
        </w:tc>
        <w:tc>
          <w:tcPr>
            <w:tcW w:w="2760" w:type="dxa"/>
            <w:vAlign w:val="bottom"/>
          </w:tcPr>
          <w:p>
            <w:pPr>
              <w:spacing w:after="0"/>
              <w:rPr>
                <w:sz w:val="18"/>
                <w:szCs w:val="18"/>
                <w:color w:val="auto"/>
              </w:rPr>
            </w:pPr>
          </w:p>
        </w:tc>
        <w:tc>
          <w:tcPr>
            <w:tcW w:w="900" w:type="dxa"/>
            <w:vAlign w:val="bottom"/>
            <w:gridSpan w:val="2"/>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(1,496)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6"/>
          </w:tcPr>
          <w:p>
            <w:pPr>
              <w:jc w:val="center"/>
              <w:ind w:left="215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jc w:val="right"/>
              <w:ind w:right="219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1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9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(1,575)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Non-cash charges to earnings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changes in operating assets and liabilities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on redemption of marketable securities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fixed assets and other assets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PPP Loan</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Proceeds from UBS line of credit</w:t>
            </w:r>
          </w:p>
        </w:tc>
        <w:tc>
          <w:tcPr>
            <w:tcW w:w="19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8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9"/>
              </w:rPr>
              <w:t>Treasury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9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paid in</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20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9"/>
              </w:rPr>
              <w:t>(at cost)</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9,226,268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(11,457)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55,409</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401(k) plan</w:t>
            </w:r>
          </w:p>
        </w:tc>
        <w:tc>
          <w:tcPr>
            <w:tcW w:w="860" w:type="dxa"/>
            <w:vAlign w:val="bottom"/>
          </w:tcPr>
          <w:p>
            <w:pPr>
              <w:jc w:val="right"/>
              <w:spacing w:after="0"/>
              <w:rPr>
                <w:sz w:val="20"/>
                <w:szCs w:val="20"/>
                <w:color w:val="auto"/>
              </w:rPr>
            </w:pPr>
            <w:r>
              <w:rPr>
                <w:rFonts w:ascii="Arial" w:cs="Arial" w:eastAsia="Arial" w:hAnsi="Arial"/>
                <w:sz w:val="16"/>
                <w:szCs w:val="16"/>
                <w:color w:val="auto"/>
              </w:rPr>
              <w:t>13,251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and stock appreciation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rights - net of shares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tendered for exercise price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income, net of tax</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(1,575)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(1,575)</w:t>
            </w:r>
          </w:p>
        </w:tc>
      </w:tr>
      <w:tr>
        <w:trPr>
          <w:trHeight w:val="20"/>
        </w:trPr>
        <w:tc>
          <w:tcPr>
            <w:tcW w:w="2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July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9,247,019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57,533</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(13,032)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54,112</w:t>
            </w:r>
          </w:p>
        </w:tc>
        <w:tc>
          <w:tcPr>
            <w:tcW w:w="100" w:type="dxa"/>
            <w:vAlign w:val="bottom"/>
            <w:shd w:val="clear" w:color="auto" w:fill="CCEEFF"/>
          </w:tcPr>
          <w:p>
            <w:pPr>
              <w:spacing w:after="0"/>
              <w:rPr>
                <w:sz w:val="20"/>
                <w:szCs w:val="20"/>
                <w:color w:val="auto"/>
              </w:rPr>
            </w:pPr>
          </w:p>
        </w:tc>
      </w:tr>
      <w:tr>
        <w:trPr>
          <w:trHeight w:val="601"/>
        </w:trPr>
        <w:tc>
          <w:tcPr>
            <w:tcW w:w="224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9"/>
              </w:rPr>
              <w:t>Treasury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9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paid in</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20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9"/>
              </w:rPr>
              <w:t>(at cost)</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9,163,940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56,914</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(12,137)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54,236</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401(k) plan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(14,926)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and stock appreciation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rights - net of shares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tendered for exercise price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(23,808)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income, net of tax</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(262)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(262)</w:t>
            </w:r>
          </w:p>
        </w:tc>
      </w:tr>
      <w:tr>
        <w:trPr>
          <w:trHeight w:val="20"/>
        </w:trPr>
        <w:tc>
          <w:tcPr>
            <w:tcW w:w="2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July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9,163,940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(12,399)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54,335</w:t>
            </w:r>
          </w:p>
        </w:tc>
        <w:tc>
          <w:tcPr>
            <w:tcW w:w="100" w:type="dxa"/>
            <w:vAlign w:val="bottom"/>
            <w:shd w:val="clear" w:color="auto" w:fill="CCEEFF"/>
          </w:tcPr>
          <w:p>
            <w:pPr>
              <w:spacing w:after="0"/>
              <w:rPr>
                <w:sz w:val="18"/>
                <w:szCs w:val="18"/>
                <w:color w:val="auto"/>
              </w:rPr>
            </w:pP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2021 and the results of its operations, changes in Stockholders’ Equity for the three months ended July 31, 2021 and 2020, and cash flows for the three months ended July 31, 2021 and 2020. The April 30, 2021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financial statements should be read in conjunction with the annual consolidated financial statements included in the Company’s Annual Report on Form 10-K for the fiscal year ended April 30, 2021, filed on June 30, 2021 with the Securities and Exchange Commission. The results of operations for such interim periods are not necessarily indicative of the operating results for the full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have on the Company’s financial condition, liquidity, and future results of operations. For the three months ended July 31, 2021, the Company was impacted by employee absenteeism related to direct or indirect effects of the COVID-19 pandemic and delays in the receipt of anticipated new contracts from customers due to COVID-19 related administrative delays. Management has taken steps to minimize COVID-19 related impacts to our workforce. Given the changing dynamics of the pandemic, it is not possible for the Company to estimate potential future adverse effects on its operations, financial condition, or liquidity for fiscal year 2022. As of July 30, 2021, the Company has returned to normal operations and will continue to follow CDC and state guidelines with an emphasis on employee safety.</w:t>
      </w:r>
    </w:p>
    <w:p>
      <w:pPr>
        <w:spacing w:after="0" w:line="17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The Company faces various future COVID-19 related risks.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impacted. If so, the Company may be unable to perform fully on its contracts and costs may increase. These cost increases may not be fully recoverable or adequately covered by insurance. In the latter part of fiscal year 2021, the Company did experience some disruption due to the need to vacate certain areas of its facilities for cleaning and disinfecting as a result of employees potentially being exposed to COVID-19 or following positive COVID-19 test results. Also, certain of the Company’s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Reconciliation of the weighted average shares outstanding for basic and diluted loss per share for the three months ended July 31, 2021 and 2020, respectively, were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Basic EPS Shares outstanding (weighted average)</w:t>
      </w:r>
    </w:p>
    <w:p>
      <w:pPr>
        <w:spacing w:after="0" w:line="4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411"/>
        </w:trPr>
        <w:tc>
          <w:tcPr>
            <w:tcW w:w="1500" w:type="dxa"/>
            <w:vAlign w:val="bottom"/>
          </w:tcPr>
          <w:p>
            <w:pPr>
              <w:jc w:val="right"/>
              <w:spacing w:after="0"/>
              <w:rPr>
                <w:sz w:val="20"/>
                <w:szCs w:val="20"/>
                <w:color w:val="auto"/>
              </w:rPr>
            </w:pPr>
            <w:r>
              <w:rPr>
                <w:rFonts w:ascii="Arial" w:cs="Arial" w:eastAsia="Arial" w:hAnsi="Arial"/>
                <w:sz w:val="18"/>
                <w:szCs w:val="18"/>
                <w:color w:val="auto"/>
              </w:rPr>
              <w:t>9,192,571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9,139,130</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9,192,571</w:t>
            </w: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9,139,130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20" w:space="720"/>
            <w:col w:w="4340"/>
          </w:cols>
          <w:pgMar w:left="460" w:top="125" w:right="459" w:bottom="1440" w:gutter="0" w:footer="0" w:header="0"/>
          <w:type w:val="continuous"/>
        </w:sectPr>
      </w:pPr>
    </w:p>
    <w:p>
      <w:pPr>
        <w:spacing w:after="0" w:line="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three-month periods ended July 31, 2021 and 2020 dilutive securities are excluded from the calculation of earnings per share since the inclusion of such shares would be antidilutive due to the net loss for those periods. The anti-dilutive exercisable shares excluded for the three-month periods ended July 31, 2021 and 2020 were 372,000 shares and 676,000 shares, respectively.</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July 31, 2021 and April 30, 2021, billings in excess of costs and estimated earnings and costs and estimated earnings in excess of billings, net, respectively, consisted of the following:</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July 31, 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1"/>
              <w:spacing w:after="0"/>
              <w:rPr>
                <w:sz w:val="20"/>
                <w:szCs w:val="20"/>
                <w:color w:val="auto"/>
              </w:rPr>
            </w:pPr>
            <w:r>
              <w:rPr>
                <w:rFonts w:ascii="Arial" w:cs="Arial" w:eastAsia="Arial" w:hAnsi="Arial"/>
                <w:sz w:val="18"/>
                <w:szCs w:val="18"/>
                <w:color w:val="auto"/>
              </w:rPr>
              <w:t>(12,837)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(10,692)</w:t>
            </w:r>
          </w:p>
        </w:tc>
      </w:tr>
      <w:tr>
        <w:trPr>
          <w:trHeight w:val="20"/>
        </w:trPr>
        <w:tc>
          <w:tcPr>
            <w:tcW w:w="4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asset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spacing w:after="0"/>
              <w:rPr>
                <w:sz w:val="19"/>
                <w:szCs w:val="19"/>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earned. Amounts are billed to customers pursuant to contract terms. In general, the recorded amounts will be billed and collected and revenue recognized within twelve months of the balance sheet date. Revenue on these long-term contracts is accounted for on the percentage of completion (“POC”) basis. During the three months ended July 31, 2021 and 2020, revenue recognized under POC contracts was approximately $12.4 million and $11.7 million, respectively. Anticipated contract losses, if any, are accrued for in the period such determination is made. Contract losses of approximately $16,000 and $611,000 were recorded for the three months ended July 31,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three-month period ended July 31, 2021, the Company made contributions of 13,251 shares of its common stock and common stock held in treasury to the Company’s profit-sharing plan and trust under Section 401(k) of the Internal Revenue Code. Commencing in the second quarter of fiscal year 2021 the Company began issuing newly issued shares to satisfy contributions to the 401(k). Previously the Company issued treasury stock to satisfy these contributions. Such contributions are in accordance with the Company’s discretionary match of employee voluntary contributions to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July 31, 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20,073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19,661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amounts above are net of reserves of $7.0 million and $7.3 million as of July 31, 2021 and April 30,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ROU assets and liabilities recorded on the respective consolidated balance sheets as follows (in thousands):</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ind w:left="780"/>
              <w:spacing w:after="0"/>
              <w:rPr>
                <w:sz w:val="20"/>
                <w:szCs w:val="20"/>
                <w:color w:val="auto"/>
              </w:rPr>
            </w:pPr>
            <w:r>
              <w:rPr>
                <w:rFonts w:ascii="Arial" w:cs="Arial" w:eastAsia="Arial" w:hAnsi="Arial"/>
                <w:sz w:val="18"/>
                <w:szCs w:val="18"/>
                <w:b w:val="1"/>
                <w:bCs w:val="1"/>
                <w:color w:val="auto"/>
              </w:rPr>
              <w:t>Classification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July 31, 2021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2021</w:t>
            </w:r>
          </w:p>
        </w:tc>
        <w:tc>
          <w:tcPr>
            <w:tcW w:w="0" w:type="dxa"/>
            <w:vAlign w:val="bottom"/>
          </w:tcPr>
          <w:p>
            <w:pPr>
              <w:spacing w:after="0"/>
              <w:rPr>
                <w:sz w:val="1"/>
                <w:szCs w:val="1"/>
                <w:color w:val="auto"/>
              </w:rPr>
            </w:pPr>
          </w:p>
        </w:tc>
      </w:tr>
      <w:tr>
        <w:trPr>
          <w:trHeight w:val="228"/>
        </w:trPr>
        <w:tc>
          <w:tcPr>
            <w:tcW w:w="2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Right-of-Use assets - operating</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ROU assets</w:t>
            </w: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leases</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160"/>
              <w:spacing w:after="0" w:line="201" w:lineRule="exact"/>
              <w:rPr>
                <w:sz w:val="20"/>
                <w:szCs w:val="20"/>
                <w:color w:val="auto"/>
              </w:rPr>
            </w:pPr>
            <w:r>
              <w:rPr>
                <w:rFonts w:ascii="Arial" w:cs="Arial" w:eastAsia="Arial" w:hAnsi="Arial"/>
                <w:sz w:val="18"/>
                <w:szCs w:val="18"/>
                <w:color w:val="auto"/>
                <w:w w:val="96"/>
              </w:rPr>
              <w:t>Operating lease liabilities (short-</w:t>
            </w: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term)</w:t>
            </w:r>
          </w:p>
        </w:tc>
        <w:tc>
          <w:tcPr>
            <w:tcW w:w="278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liability</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Operating lease liabilities (long-</w:t>
            </w:r>
          </w:p>
        </w:tc>
        <w:tc>
          <w:tcPr>
            <w:tcW w:w="2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Operating lease liability - non-</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w:t>
            </w:r>
          </w:p>
        </w:tc>
        <w:tc>
          <w:tcPr>
            <w:tcW w:w="2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9,736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Total operating lease expense was $506,000 and $478,000 for the three months ended July 31, 2021 and 2020, respectively, the majority of which is included in cost of revenues and the remaining amount in selling and administrative expenses in the unaudited condensed consolidated statements of operations.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fiscal years and total of the remaining fiscal years to the operating lease liabilities recorded on the unaudited condensed consolidated balance sheet as of July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Ending July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20" w:type="dxa"/>
            <w:vAlign w:val="bottom"/>
          </w:tcPr>
          <w:p>
            <w:pPr>
              <w:spacing w:after="0"/>
              <w:rPr>
                <w:sz w:val="18"/>
                <w:szCs w:val="18"/>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Pr>
          <w:p>
            <w:pPr>
              <w:spacing w:after="0"/>
              <w:rPr>
                <w:sz w:val="18"/>
                <w:szCs w:val="18"/>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2"/>
              </w:rPr>
              <w:t>Present value of future lease payments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w w:val="96"/>
              </w:rPr>
              <w:t>Less current obligations under leases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18"/>
                <w:szCs w:val="18"/>
                <w:color w:val="auto"/>
              </w:rPr>
            </w:pPr>
          </w:p>
        </w:tc>
      </w:tr>
      <w:tr>
        <w:trPr>
          <w:trHeight w:val="250"/>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0" w:type="dxa"/>
            <w:vAlign w:val="bottom"/>
          </w:tcPr>
          <w:p>
            <w:pPr>
              <w:spacing w:after="0"/>
              <w:rPr>
                <w:sz w:val="21"/>
                <w:szCs w:val="2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July 31, 2021, the weighted-average remaining lease term for all operating leases was 7.2 years. The Company does not generally have access to the rate implicit in the leases and therefore utilized the Company’s borrowing rate as the discount rate. The weighted average discount rate for operating leases as of July 31, 2021 was 6.20%.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20" w:hanging="585"/>
        <w:spacing w:after="0" w:line="255"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2" w:lineRule="exact"/>
        <w:rPr>
          <w:rFonts w:ascii="Arial" w:cs="Arial" w:eastAsia="Arial" w:hAnsi="Arial"/>
          <w:sz w:val="18"/>
          <w:szCs w:val="18"/>
          <w:color w:val="auto"/>
        </w:rPr>
      </w:pPr>
    </w:p>
    <w:p>
      <w:pPr>
        <w:ind w:left="1020"/>
        <w:spacing w:after="0" w:line="260"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85" w:lineRule="exact"/>
        <w:rPr>
          <w:rFonts w:ascii="Arial" w:cs="Arial" w:eastAsia="Arial" w:hAnsi="Arial"/>
          <w:sz w:val="18"/>
          <w:szCs w:val="18"/>
          <w:color w:val="auto"/>
        </w:rPr>
      </w:pPr>
    </w:p>
    <w:p>
      <w:pPr>
        <w:jc w:val="both"/>
        <w:ind w:left="1020" w:hanging="585"/>
        <w:spacing w:after="0" w:line="275"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accounting policies of the two segments are the same as those described in the “Summary of Significant Accounting Policies” in the fiscal year-end financial statements included in the Company’s Annual Report on Form 10-K for the fiscal year ended April 30, 2021, filed on June 30, 2021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2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39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Consolidated revenues</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12,955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loss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413"/>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Identifiable assets:</w:t>
            </w:r>
          </w:p>
        </w:tc>
        <w:tc>
          <w:tcPr>
            <w:tcW w:w="164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July 31, 2021</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balances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identifiable assets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Total revenue recognized over time as POC and Passage of Title (“POT”) were approximately $12.4 million and $0.6 million, respectively, of the $13.0 million reported for the three months ended July 31, 2021. The amounts recognized over time as POC and POT were approximately $11.7 million and $1.3 million, respectively, of the $13.0 million reported for the three months ended July 31, 2020. The amounts by segment and product line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July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60"/>
              <w:spacing w:after="0" w:line="191" w:lineRule="exact"/>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40"/>
              <w:spacing w:after="0" w:line="191" w:lineRule="exact"/>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POT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POT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r>
      <w:tr>
        <w:trPr>
          <w:trHeight w:val="209"/>
        </w:trPr>
        <w:tc>
          <w:tcPr>
            <w:tcW w:w="3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jc w:val="center"/>
              <w:ind w:right="30"/>
              <w:spacing w:after="0"/>
              <w:rPr>
                <w:sz w:val="20"/>
                <w:szCs w:val="20"/>
                <w:color w:val="auto"/>
              </w:rPr>
            </w:pPr>
            <w:r>
              <w:rPr>
                <w:rFonts w:ascii="Arial" w:cs="Arial" w:eastAsia="Arial" w:hAnsi="Arial"/>
                <w:sz w:val="18"/>
                <w:szCs w:val="18"/>
                <w:color w:val="auto"/>
                <w:w w:val="95"/>
              </w:rPr>
              <w:t>FEI-Zyfer</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Intersegment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jc w:val="center"/>
              <w:ind w:right="30"/>
              <w:spacing w:after="0"/>
              <w:rPr>
                <w:sz w:val="20"/>
                <w:szCs w:val="20"/>
                <w:color w:val="auto"/>
              </w:rPr>
            </w:pPr>
            <w:r>
              <w:rPr>
                <w:rFonts w:ascii="Arial" w:cs="Arial" w:eastAsia="Arial" w:hAnsi="Arial"/>
                <w:sz w:val="18"/>
                <w:szCs w:val="18"/>
                <w:color w:val="auto"/>
                <w:w w:val="88"/>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12,955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11,651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4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July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6"/>
              </w:rPr>
              <w:t>(in thousands)</w:t>
            </w:r>
          </w:p>
        </w:tc>
        <w:tc>
          <w:tcPr>
            <w:tcW w:w="10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restart"/>
          </w:tcPr>
          <w:p>
            <w:pPr>
              <w:ind w:left="1100"/>
              <w:spacing w:after="0"/>
              <w:rPr>
                <w:sz w:val="20"/>
                <w:szCs w:val="20"/>
                <w:color w:val="auto"/>
              </w:rPr>
            </w:pPr>
            <w:r>
              <w:rPr>
                <w:rFonts w:ascii="Arial" w:cs="Arial" w:eastAsia="Arial" w:hAnsi="Arial"/>
                <w:sz w:val="18"/>
                <w:szCs w:val="18"/>
                <w:color w:val="auto"/>
              </w:rPr>
              <w:t>Revenues by Product Line:</w:t>
            </w:r>
          </w:p>
        </w:tc>
        <w:tc>
          <w:tcPr>
            <w:tcW w:w="19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28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5,490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19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ind w:left="1100"/>
              <w:spacing w:after="0"/>
              <w:rPr>
                <w:sz w:val="20"/>
                <w:szCs w:val="20"/>
                <w:color w:val="auto"/>
              </w:rPr>
            </w:pPr>
            <w:r>
              <w:rPr>
                <w:rFonts w:ascii="Arial" w:cs="Arial" w:eastAsia="Arial" w:hAnsi="Arial"/>
                <w:sz w:val="18"/>
                <w:szCs w:val="18"/>
                <w:color w:val="auto"/>
              </w:rPr>
              <w:t>Consolidated revenues</w:t>
            </w:r>
          </w:p>
        </w:tc>
        <w:tc>
          <w:tcPr>
            <w:tcW w:w="28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12,955</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12,951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20" w:type="dxa"/>
            <w:vAlign w:val="bottom"/>
            <w:vMerge w:val="restart"/>
          </w:tcPr>
          <w:p>
            <w:pPr>
              <w:jc w:val="right"/>
              <w:ind w:right="97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first quarters ended July 31, 2021 and 2020, the Company acquired product from Morion in the aggregate amount of approximately $85,000 and $150,000, respectively. During the first quarter ended July 31, 2020, the Company received dividends from Morion in the amount of approximately $105,000, which is included in other income, net in the consolidated statements of operations as part of the FEI-NY segment.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2021 and April 30, 2021,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 2021</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 2021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10,022</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0"/>
              </w:rPr>
              <w:t>Less than 12 months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4"/>
              </w:rPr>
              <w:t>12 Months or more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1"/>
              </w:rPr>
              <w:t>July 31, 2021</w:t>
            </w:r>
          </w:p>
        </w:tc>
        <w:tc>
          <w:tcPr>
            <w:tcW w:w="12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Losses</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4"/>
        </w:trPr>
        <w:tc>
          <w:tcPr>
            <w:tcW w:w="4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3"/>
        </w:trPr>
        <w:tc>
          <w:tcPr>
            <w:tcW w:w="440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2021</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2021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July 31, 2021, the Company sold or redeemed available-for-sale securities of approximately $1,102,000 realizing gains of approximately $7,000.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fixed income securities classified as available-for-sale at July 31, 2021 were as follows, at cost (in thousands):</w:t>
      </w:r>
    </w:p>
    <w:p>
      <w:pPr>
        <w:spacing w:after="0" w:line="239"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3,758</w:t>
            </w:r>
          </w:p>
        </w:tc>
        <w:tc>
          <w:tcPr>
            <w:tcW w:w="4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4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right="20" w:hanging="796"/>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July 31, 2021, the Company had available credit with UBS Bank USA at variable terms based on its securities holdings under an advisory arrangement. On April 12, 2020, the Company received proceeds from a loan under the Paycheck Protection Program (the “PPP Loan”) in the amount of $4,964,810 from JPMorgan Chase Bank, N.A. as the Lender, pursuant to the Small Business Administration Paycheck Protection Program under the Coronavirus Aid Relief, and Economic Security (“CARES”) Act. The PPP Loan was repaid in full on May 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July 31, 2021, and April 30, 2021,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M – COMMITMENTS AND CONTINGENCIES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January 28, 2020, Martin B. Bloch, the former Chief Scientist of the Company and a former member of the Company’s Board of Directors (the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7"/>
          <w:szCs w:val="17"/>
          <w:i w:val="1"/>
          <w:iCs w:val="1"/>
          <w:color w:val="auto"/>
        </w:rPr>
        <w:t>Bloch v. Frequency Electronics, Inc., et al</w:t>
      </w:r>
      <w:r>
        <w:rPr>
          <w:rFonts w:ascii="Arial" w:cs="Arial" w:eastAsia="Arial" w:hAnsi="Arial"/>
          <w:sz w:val="17"/>
          <w:szCs w:val="17"/>
          <w:color w:val="auto"/>
        </w:rPr>
        <w:t>., Index No. 601369/2020 (N.Y. Sup. Ct. filed Jan. 28, 2020)). Mr. Bloch sought compensatory damages and costs and attorney’s fees, 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sought an order that the Company was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Mr. Bloch sought to initiate two arbitration proceedings under the AAA Rules (</w:t>
      </w:r>
      <w:r>
        <w:rPr>
          <w:rFonts w:ascii="Arial" w:cs="Arial" w:eastAsia="Arial" w:hAnsi="Arial"/>
          <w:sz w:val="18"/>
          <w:szCs w:val="18"/>
          <w:i w:val="1"/>
          <w:iCs w:val="1"/>
          <w:color w:val="auto"/>
        </w:rPr>
        <w:t>Bloch v. Frequency Electronics,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of the Board of Directors of Frequency Electronics, Inc., and the Deferred Compensation Plan Agreement Dated March 7, 2008</w:t>
      </w:r>
      <w:r>
        <w:rPr>
          <w:rFonts w:ascii="Arial" w:cs="Arial" w:eastAsia="Arial" w:hAnsi="Arial"/>
          <w:sz w:val="18"/>
          <w:szCs w:val="18"/>
          <w:color w:val="auto"/>
        </w:rPr>
        <w:t>). One arbitration was brought under a deferred compensation agreement dated March 27, 1980 and the other under a second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agreement, dated March 7, 2008. Bloch submitted his Statements of Claim in both arbitrations on May 4, 2020. In both proceedings, Mr. Bloch claimed that defendants violated ERISA rules by denying him deferred compensation benefits. He sought an award for allegedly past due deferred compensation benefits plus interest, clarification as to his future rights to deferred compensation benefits, and attorneys’ fees and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claimed that Mr. Bloch could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611405/2020). In its order dated February 10, 2021 and entered on February 16, 2021, the Court denied the Company’s petition for a stay of arbitration and ordered the parties to proceed to arbitration. On February 16, 2021, the Company filed a Notice of Appeal of that order.</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Arial" w:cs="Arial" w:eastAsia="Arial" w:hAnsi="Arial"/>
          <w:sz w:val="16"/>
          <w:szCs w:val="16"/>
          <w:i w:val="1"/>
          <w:iCs w:val="1"/>
          <w:color w:val="auto"/>
        </w:rPr>
        <w:t>(Bloch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Frequency Electronics, Inc. et al., </w:t>
      </w:r>
      <w:r>
        <w:rPr>
          <w:rFonts w:ascii="Arial" w:cs="Arial" w:eastAsia="Arial" w:hAnsi="Arial"/>
          <w:sz w:val="16"/>
          <w:szCs w:val="16"/>
          <w:color w:val="auto"/>
        </w:rPr>
        <w:t>Index No. 605380/2020 (N.Y. Sup. Ct. filed June 5, 2020)). On June 22, 2020, Respondents moved to dismiss Mr.</w:t>
      </w:r>
      <w:r>
        <w:rPr>
          <w:rFonts w:ascii="Arial" w:cs="Arial" w:eastAsia="Arial" w:hAnsi="Arial"/>
          <w:sz w:val="16"/>
          <w:szCs w:val="16"/>
          <w:i w:val="1"/>
          <w:iCs w:val="1"/>
          <w:color w:val="auto"/>
        </w:rPr>
        <w:t xml:space="preserve"> </w:t>
      </w:r>
      <w:r>
        <w:rPr>
          <w:rFonts w:ascii="Arial" w:cs="Arial" w:eastAsia="Arial" w:hAnsi="Arial"/>
          <w:sz w:val="16"/>
          <w:szCs w:val="16"/>
          <w:color w:val="auto"/>
        </w:rPr>
        <w:t>Bloch’s petition, 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February 16, 2021, the Company filed a Notice of Appeal of those orders.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arbitration panel in the arbitrations initiated by Mr. Bloch was constituted in March 2021. The same panel served in both arbitrations. On May 6, 2021, Respondents submitted a motion to dismiss the arbitrations on the grounds that Mr. Bloch’s claims are not arbitrable.</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August 25, 2021, the Company settled the aforementioned disputes with Mr. Bloch. Under the Agreement on Material Terms of Settlement (the “Settlement Terms”), dated August 25, 2021, between and among the Company, the Director Defendants, and the Compensation Committee, in its capacity as administrator under the deferred compensation agreements, and Mr. Bloch and certain members of Mr. Bloch’s family, in full and complete settlement of all claims asserted and all sums sought by Mr. Bloch in the litigation and arbitration proceedings, the Company has agreed to pay Mr. Bloch $6 million on or before September 24, 2021.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will eliminate further legal expenses with respect to the dispute between Mr. Bloch and the Company. This net expense for financial statement purposes has been recognized in selling and administrative expenses on the Condensed Consolidated Statements of Operations for the three months ended July 31,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fiscal year ended April 30, 2021, filed on June 30, 2021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included in the Company’s Annual Report on Form 10-K for the fiscal year ended April 30, 2021, filed on June 30, 2021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2021.</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Marketable securities consist of corporate debt securities, certificates-of-deposit, and debt securities of U.S. Government agencies. All marketable securities were held in the custody of one financial institution at July 31, 2021 and April 30, 2021.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 and CARES Act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Company’s priority during the COVID-19 pandemic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face coverings; encouraging, and in some cases, requiring remote work for those employees who can work from home; and disinfecting facilities. In addition, unvaccinated employees are required to be tested weekly and show negative results in order to work in the facility. Visitors, contractors, customers and other personnel are required to show proof of vaccination in order to be admitted.</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July 31, 2021, the Company was aware of fifteen employees that have had confirmed cases of COVID-19 since the pandemic began, with one fatality. Additional employees have been absent or self-quarantined due to possible COVID-19 exposure, although not having tested positive. Since the COVID-19 pandemic began, facilities have remained open except for needing to temporarily vacate certain areas for cleaning and disinfecting following employees either testing positive for COVID-19 or because they had been exposed or possibly exposed to third parties who were positive. Certain Company vendors have been unable to deliver materials on time due to COVID-19 related impacts to their workforces or their supply chains. These delays have impacted the Company’s production schedules and increased costs associated with procurement of materials and services. The Company continues to monitor these and its other vendors and seek alternative sources of supply, which, in some cases, are being established. The Company also believes the pandemic has impacted customers, resulting in delays with respect to anticipated new orders due to COVID-19 related administrative delays.</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changing dynamics of the pandemic, it is not possible for the Company to estimate potential future effects on its operations, financial condition, or liquidity.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PPP Loan in April 2020, which it repaid in full in May 2020. For more detail regarding the Company’s PPP Loan, see Note 8 in Part II, Item 8 of the Annual Report on Form 10-K for the fiscal year ended April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sets forth for the three months ended July 31, 2021 and 2020, respectively, the percentage of consolidated revenues represented by certain items in the Company’s condensed consolidated statements of operations or notes to the condensed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80" w:type="dxa"/>
            <w:vAlign w:val="bottom"/>
            <w:gridSpan w:val="12"/>
          </w:tcPr>
          <w:p>
            <w:pPr>
              <w:ind w:left="40"/>
              <w:spacing w:after="0"/>
              <w:rPr>
                <w:sz w:val="20"/>
                <w:szCs w:val="20"/>
                <w:color w:val="auto"/>
              </w:rPr>
            </w:pPr>
            <w:r>
              <w:rPr>
                <w:rFonts w:ascii="Arial" w:cs="Arial" w:eastAsia="Arial" w:hAnsi="Arial"/>
                <w:sz w:val="18"/>
                <w:szCs w:val="18"/>
                <w:b w:val="1"/>
                <w:bCs w:val="1"/>
                <w:color w:val="auto"/>
              </w:rPr>
              <w:t>Three Months ended July 31,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vMerge w:val="restart"/>
          </w:tcPr>
          <w:p>
            <w:pPr>
              <w:ind w:left="3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9"/>
          </w:tcPr>
          <w:p>
            <w:pPr>
              <w:jc w:val="center"/>
              <w:ind w:right="760"/>
              <w:spacing w:after="0"/>
              <w:rPr>
                <w:sz w:val="20"/>
                <w:szCs w:val="20"/>
                <w:color w:val="auto"/>
              </w:rPr>
            </w:pPr>
            <w:r>
              <w:rPr>
                <w:rFonts w:ascii="Arial" w:cs="Arial" w:eastAsia="Arial" w:hAnsi="Arial"/>
                <w:sz w:val="18"/>
                <w:szCs w:val="18"/>
                <w:b w:val="1"/>
                <w:bCs w:val="1"/>
                <w:color w:val="auto"/>
                <w:w w:val="89"/>
              </w:rPr>
              <w:t>Three months ended July 31,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9"/>
          </w:tcPr>
          <w:p>
            <w:pPr>
              <w:jc w:val="center"/>
              <w:ind w:right="760"/>
              <w:spacing w:after="0"/>
              <w:rPr>
                <w:sz w:val="20"/>
                <w:szCs w:val="20"/>
                <w:color w:val="auto"/>
              </w:rPr>
            </w:pPr>
            <w:r>
              <w:rPr>
                <w:rFonts w:ascii="Arial" w:cs="Arial" w:eastAsia="Arial" w:hAnsi="Arial"/>
                <w:sz w:val="18"/>
                <w:szCs w:val="18"/>
                <w:b w:val="1"/>
                <w:bCs w:val="1"/>
                <w:color w:val="auto"/>
                <w:w w:val="88"/>
              </w:rPr>
              <w:t>(in thousands)</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ind w:left="68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FEI-NY</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12,955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12,951</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 months ended July 31, 2021 revenues from commercial and U.S. Government satellite programs accounted for approximately 52% of consolidated revenues compared to approximately 51% of consolidated revenues during this same period in fiscal year 2020. The change in revenue is related to timing of contract awards. Revenues on these contracts are recognized primarily under the POC method. Revenues from the satellite market are recorded in the FEI-NY segment. Revenues from non-space U.S. Government/Department of Defense customers, which are recorded in both the FEI-NY and FEI-Zyfer segments, accounted for approximately 42% of consolidated revenues for the three months ended July 31, 2021 compared to approximately 41% of consolidated revenues during this same period in fiscal year 2020. Other commercial and industrial revenues for the three months ended July 31, 2021 were $0.7 million and represented approximately 6% of consolidated revenues compared to $1.0 million, or 7% of consolidated revenues, in the same period of the prior fiscal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0"/>
              </w:rPr>
              <w:t>Three Months ended July 31,</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4,062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4,088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30"/>
        </w:trPr>
        <w:tc>
          <w:tcPr>
            <w:tcW w:w="3900" w:type="dxa"/>
            <w:vAlign w:val="bottom"/>
            <w:gridSpan w:val="2"/>
          </w:tcPr>
          <w:p>
            <w:pPr>
              <w:jc w:val="right"/>
              <w:ind w:right="3150"/>
              <w:spacing w:after="0"/>
              <w:rPr>
                <w:sz w:val="20"/>
                <w:szCs w:val="20"/>
                <w:color w:val="auto"/>
              </w:rPr>
            </w:pPr>
            <w:r>
              <w:rPr>
                <w:rFonts w:ascii="Arial" w:cs="Arial" w:eastAsia="Arial" w:hAnsi="Arial"/>
                <w:sz w:val="18"/>
                <w:szCs w:val="18"/>
                <w:color w:val="auto"/>
                <w:w w:val="88"/>
              </w:rPr>
              <w:t>GM Rate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gross margin and the GM rate for the three-month period ended July 31, 2021 and 2020, were fairly consistent on a quarter-to-quarter comparison basis. As is typical, gross margin was affected by variations in engineering costs associated with programs in their development versus production phase development and external issues such as COVID-19 related supply chain impacts.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4,394</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1,166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July 31, 2021 and 2020, selling and administrative (“SG&amp;A”) expenses were approximately 34% and 25%, respectively, of consolidated revenues. The increase in SG&amp;A expenses for the three-month period ended July 31, 2021 was mainly due to increase in professional fees, particularly legal fees associated with ongoing litigation and fluctuation in other expenses. The Company anticipates that SG&amp;A will decrease following settlement of the Bloch litigation issue.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technology and enhance future competitiveness. The R&amp;D rate for the three-month period ended July 31, 2021 was 10% of sales compared to 9% of sales for the same period of the prior fiscal year. The Company’s R&amp;D expense increased year over year as R&amp;D efforts have begun on new product development. The Company plans to continue to invest in R&amp;D to keep its products at the state of the art as well as work on developing new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400.5%</w:t>
            </w: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results for the three-month period ended July 31, 2021 reflect its continued efforts to control costs, however increased professional fees associated with the Bloch litigation significantly contributed to the Company’s operating loss for the period. Other factors that contributed were the continuing effects of the COVID-19 pandemic and additional engineering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 July 31,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7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780" w:type="dxa"/>
            <w:vAlign w:val="bottom"/>
            <w:gridSpan w:val="2"/>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The fluctuation in other income (expenses) was due to less interest expense and higher other income compared to the same period of the prior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r>
      <w:tr>
        <w:trPr>
          <w:trHeight w:val="414"/>
        </w:trPr>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0"/>
              </w:rPr>
              <w:t>July 31,</w:t>
            </w: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220" w:type="dxa"/>
            <w:vAlign w:val="bottom"/>
            <w:gridSpan w:val="8"/>
            <w:shd w:val="clear" w:color="auto" w:fill="CCEEFF"/>
          </w:tcPr>
          <w:p>
            <w:pPr>
              <w:jc w:val="right"/>
              <w:ind w:right="420"/>
              <w:spacing w:after="0"/>
              <w:rPr>
                <w:sz w:val="20"/>
                <w:szCs w:val="20"/>
                <w:color w:val="auto"/>
              </w:rPr>
            </w:pPr>
            <w:r>
              <w:rPr>
                <w:rFonts w:ascii="Arial" w:cs="Arial" w:eastAsia="Arial" w:hAnsi="Arial"/>
                <w:sz w:val="18"/>
                <w:szCs w:val="18"/>
                <w:color w:val="auto"/>
                <w:w w:val="90"/>
              </w:rPr>
              <w:t>Effective tax rate on pre-tax book loss: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2022 is 0.2%.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July 31, 2021, the Company recorded an income tax provision of $1,000, which includes a discrete income tax provision of $2,000. For the three months ended July 31, 2020, the Company recorded an income tax provision of $9,000, which includes a discrete income tax provision of $16,000 primarily related to an accrual of interest for unrecognized tax benefits.</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effective tax rate for the three months ended July 31, 2021 is an income tax provision of (0.1)% on a pretax loss of $1.6 million compared to an income tax provision of (3.6)% on a pretax loss of $253,000 in the comparable prior fiscal year period. The effective tax rate for the three months ended July 31, 2021 differs from the U.S. statutory rate of 21% primarily due to state taxes and domestic losses for which the Company is not recognizing an income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consolidated balance sheet continues to reflect a strong working capital position of $40.1 million at July 31, 2021 and $40.6 million at April 30, 2021. Included in working capital at July 31, 2021 and April 30, 2021 was $18.9 million and $20.1 million, respectively, consisting of cash, cash equivalents, and marketable securities. The Company’s current ratio at July 31, 2021 was 3.6 to 1 compared to 6.0 to 1 as of April 30, 2021.</w:t>
      </w:r>
    </w:p>
    <w:p>
      <w:pPr>
        <w:spacing w:after="0" w:line="18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Net cash used in operating activities for the three months ended July 31, 2021 was $828,000 compared to net cash provided by operating activities of $62,000 in the comparable prior fiscal 2021 period. The decrease in cash flow in the fiscal 2022 period resulted mainly due to an increase in net loss partially offset by a decrease in non-cash adjustments. For the three-month periods ended July 31, 2021 and 2020, the Company incurred approximately $708,000 and $1.2 million, respectively, of non-cash operating expenses including ROU assets and liabilities for leases, loss provision accrual, depreciation and amortization, inventory reserve adjustments, and accruals for employee benefit programs.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used in investing activities for the three months ended July 31, 2021 was $78,000 compared to $514,000 net cash provided by investing activities for the period ended July 31, 2020. During the three months ended July 31, 2021 marketable securities were sold or redeemed in the amount of $1.1 million compared to $725,000 for the same period of fiscal year 2021. During the three months ended July 31, 2021 approximately $676,000 of marketable securities were purchased. There were no purchases for the same period of fiscal year 2021. The Company acquired property, plant and equipment in the amount of approximately $504,000 for the three-month period ended July 31, 2021 compared to $211,000 for the three-month period ended July 31, 2020. The Company may continue to invest in cash equivalents as dictated by its investment strategy.</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was no cash used in financing activities for the three months ended July 31, 2021 compared to approximately $2.0 million of net cash used in financing activities related to the repayment of the PPP Loan and the amounts borrowed against the Company’s line of credit with UBS Bank USA for the three months ended July 31, 2020.</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been authorized by its Board to repurchase up to $5 million worth of shares of its common stock when appropriate opportunities arise. As of July 31, 2021, the Company has repurchased approximately $4 million of its common stock out of the $5 million authorization. For the three months ended July 31, 2021 and 2020 there were no repurchases of shares.</w:t>
      </w:r>
    </w:p>
    <w:p>
      <w:pPr>
        <w:spacing w:after="0" w:line="18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As of July 31, 2021, the Company’s consolidated funded backlog was approximately $37 million compared to $40 million at April 30, 2021, the end of fiscal year 2021. Approximately 82% of this backlog is expected to be realized in the next twelve months. As of July 31, 2021,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September 14, 2022 and the foreseeable future.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2021, the Company’s disclosure controls and procedures were effective at a reasonable assurance level.</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three months ended July 31, 2021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w:t>
      </w:r>
      <w:r>
        <w:rPr>
          <w:rFonts w:ascii="Arial" w:cs="Arial" w:eastAsia="Arial" w:hAnsi="Arial"/>
          <w:sz w:val="16"/>
          <w:szCs w:val="16"/>
          <w:color w:val="auto"/>
        </w:rPr>
        <w:t xml:space="preserve"> </w:t>
      </w:r>
      <w:r>
        <w:rPr>
          <w:rFonts w:ascii="Arial" w:cs="Arial" w:eastAsia="Arial" w:hAnsi="Arial"/>
          <w:sz w:val="16"/>
          <w:szCs w:val="16"/>
          <w:i w:val="1"/>
          <w:iCs w:val="1"/>
          <w:color w:val="auto"/>
        </w:rPr>
        <w:t>Frequency Electronics, Inc., et al</w:t>
      </w:r>
      <w:r>
        <w:rPr>
          <w:rFonts w:ascii="Arial" w:cs="Arial" w:eastAsia="Arial" w:hAnsi="Arial"/>
          <w:sz w:val="16"/>
          <w:szCs w:val="16"/>
          <w:color w:val="auto"/>
        </w:rPr>
        <w:t>., Index No. 601369/2020 (N.Y. Sup. Ct. filed Jan. 28, 2020)). Mr. Bloch sought compensatory damages and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attorney’s fees, 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sought an order that the Company was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In addition, Mr. Bloch sought to initiate two arbitration proceedings under the AAA Rules (</w:t>
      </w:r>
      <w:r>
        <w:rPr>
          <w:rFonts w:ascii="Arial" w:cs="Arial" w:eastAsia="Arial" w:hAnsi="Arial"/>
          <w:sz w:val="18"/>
          <w:szCs w:val="18"/>
          <w:i w:val="1"/>
          <w:iCs w:val="1"/>
          <w:color w:val="auto"/>
        </w:rPr>
        <w:t>Bloch v. Frequency Electronics,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of the Board of Directors of Frequency Electronics, Inc., and the Deferred Compensation Plan Agreement Dated March 7, 2008</w:t>
      </w:r>
      <w:r>
        <w:rPr>
          <w:rFonts w:ascii="Arial" w:cs="Arial" w:eastAsia="Arial" w:hAnsi="Arial"/>
          <w:sz w:val="18"/>
          <w:szCs w:val="18"/>
          <w:color w:val="auto"/>
        </w:rPr>
        <w:t>). One arbitration was brought under a deferred compensation agreement dated March 27, 1980 and the other under a second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agreement, dated March 7, 2008. Bloch submitted his Statements of Claim in both arbitrations on May 4, 2020. In both proceedings, Mr. Bloch claimed that defendants violated ERISA rules by denying him deferred compensation benefits. He sought an award for allegedly past due deferred compensation benefits plus interest, clarification as to his future rights to deferred compensation benefits, and attorneys’ fees and costs.</w:t>
      </w:r>
    </w:p>
    <w:p>
      <w:pPr>
        <w:spacing w:after="0" w:line="195"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claimed that Mr. Bloch could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xml:space="preserve"> Index No. 611405/2020). In its order dated February 10, 2021 and entered on February 16, 2021, Court denied the Company’s petition for a stay of arbitration and ordered the parties to proceed to arbitration. On February 16, 2021, the Company filed a Notice of Appeal of that order.</w:t>
      </w:r>
    </w:p>
    <w:p>
      <w:pPr>
        <w:spacing w:after="0" w:line="18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Arial" w:cs="Arial" w:eastAsia="Arial" w:hAnsi="Arial"/>
          <w:sz w:val="16"/>
          <w:szCs w:val="16"/>
          <w:i w:val="1"/>
          <w:iCs w:val="1"/>
          <w:color w:val="auto"/>
        </w:rPr>
        <w:t>(Bloch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Frequency Electronics, Inc. et al., </w:t>
      </w:r>
      <w:r>
        <w:rPr>
          <w:rFonts w:ascii="Arial" w:cs="Arial" w:eastAsia="Arial" w:hAnsi="Arial"/>
          <w:sz w:val="16"/>
          <w:szCs w:val="16"/>
          <w:color w:val="auto"/>
        </w:rPr>
        <w:t>Index No. 605380/2020 (N.Y. Sup. Ct. filed June 5, 2020)). On June 22, 2020, Respondents moved to dismiss Mr.</w:t>
      </w:r>
      <w:r>
        <w:rPr>
          <w:rFonts w:ascii="Arial" w:cs="Arial" w:eastAsia="Arial" w:hAnsi="Arial"/>
          <w:sz w:val="16"/>
          <w:szCs w:val="16"/>
          <w:i w:val="1"/>
          <w:iCs w:val="1"/>
          <w:color w:val="auto"/>
        </w:rPr>
        <w:t xml:space="preserve"> </w:t>
      </w:r>
      <w:r>
        <w:rPr>
          <w:rFonts w:ascii="Arial" w:cs="Arial" w:eastAsia="Arial" w:hAnsi="Arial"/>
          <w:sz w:val="16"/>
          <w:szCs w:val="16"/>
          <w:color w:val="auto"/>
        </w:rPr>
        <w:t>Bloch’s petition, 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February 16, 2021, the Company filed a Notice of Appeal of those orders.</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arbitration panel in the arbitrations initiated by Mr. Bloch was constituted in March 2021. The same panel serves in both arbitrations. On May 6, 2021, Respondents submitted a motion to dismiss the arbitrations on the grounds that Mr. Bloch’s claims are not arbitrable.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25, 2021, the Company settled the aforementioned disputes with Mr. Bloch. Under the Agreement on Material Terms of Settlement (the “Settlement Terms”), dated August 25, 2021, between and among the Company, the Director Defendants, and the Compensation Committee, in its capacity as administrator under the deferred compensation agreements, and Mr. Bloch and certain members of Mr. Bloch’s family, in full and complete settlement of all claims asserted and all sums sought by Mr. Bloch in the litigation and arbitration proceedings, the Company has agreed to pay Mr. Bloch $6 million on or before September 24, 2021.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will eliminate further legal expenses with respect to the dispute between Mr. Bloch and the Company. This net expense for financial statement purposes has been recognized in selling and administrative expenses on the Condensed Consolidated Statements of Operations for the three months ended July 31, 2021. Additionally, the Settlement Terms include general releases between and among parties to the agreement. As reflected in the Settlement Terms, the settlement is not an admission of any wrongdoing by the Company.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Settlement Terms are binding on the parties thereto, although it is the parties’ intention to enter into a more formal written settlement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jc w:val="both"/>
        <w:ind w:left="1660" w:hanging="998"/>
        <w:spacing w:after="0" w:line="277" w:lineRule="auto"/>
        <w:tabs>
          <w:tab w:leader="none" w:pos="16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6">
        <w:r>
          <w:rPr>
            <w:rFonts w:ascii="Arial" w:cs="Arial" w:eastAsia="Arial" w:hAnsi="Arial"/>
            <w:sz w:val="18"/>
            <w:szCs w:val="18"/>
            <w:u w:val="single" w:color="auto"/>
            <w:color w:val="0000EE"/>
          </w:rPr>
          <w:t>Certification by the Chief Executive Officer pursuant to Rule 13a-14(a) or 15d-14(a) under the Securities Exchange Act of 1934,</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as adopted pursuant to Section 302 of the Sarbanes-Oxley Act of 2002.</w:t>
        </w:r>
      </w:hyperlink>
    </w:p>
    <w:p>
      <w:pPr>
        <w:spacing w:after="0" w:line="170" w:lineRule="exact"/>
        <w:rPr>
          <w:sz w:val="20"/>
          <w:szCs w:val="20"/>
          <w:color w:val="auto"/>
        </w:rPr>
      </w:pPr>
    </w:p>
    <w:p>
      <w:pPr>
        <w:jc w:val="both"/>
        <w:ind w:left="1660" w:hanging="998"/>
        <w:spacing w:after="0" w:line="277" w:lineRule="auto"/>
        <w:tabs>
          <w:tab w:leader="none" w:pos="16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7">
        <w:r>
          <w:rPr>
            <w:rFonts w:ascii="Arial" w:cs="Arial" w:eastAsia="Arial" w:hAnsi="Arial"/>
            <w:sz w:val="18"/>
            <w:szCs w:val="18"/>
            <w:u w:val="single" w:color="auto"/>
            <w:color w:val="0000EE"/>
          </w:rPr>
          <w:t>Certification by the Chief Financial Officer pursuant to Rule 13a-14(a) or 15d-14(a) under the Securities Exchange Act of 1934,</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as adopted pursuant to Section 302 of the Sarbanes-Oxley Act of 2002.</w:t>
        </w:r>
      </w:hyperlink>
    </w:p>
    <w:p>
      <w:pPr>
        <w:spacing w:after="0" w:line="170" w:lineRule="exact"/>
        <w:rPr>
          <w:sz w:val="20"/>
          <w:szCs w:val="20"/>
          <w:color w:val="auto"/>
        </w:rPr>
      </w:pPr>
    </w:p>
    <w:p>
      <w:pPr>
        <w:jc w:val="both"/>
        <w:ind w:left="1660" w:hanging="998"/>
        <w:spacing w:after="0" w:line="277" w:lineRule="auto"/>
        <w:tabs>
          <w:tab w:leader="none" w:pos="164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w:anchor="page28">
        <w:r>
          <w:rPr>
            <w:rFonts w:ascii="Arial" w:cs="Arial" w:eastAsia="Arial" w:hAnsi="Arial"/>
            <w:sz w:val="18"/>
            <w:szCs w:val="18"/>
            <w:u w:val="single" w:color="auto"/>
            <w:color w:val="0000EE"/>
          </w:rPr>
          <w:t>Certifications by the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pursuant to Section 906 of the Sarbanes-Oxley Act of 2002.</w:t>
        </w:r>
      </w:hyperlink>
    </w:p>
    <w:p>
      <w:pPr>
        <w:spacing w:after="0" w:line="170" w:lineRule="exact"/>
        <w:rPr>
          <w:sz w:val="20"/>
          <w:szCs w:val="20"/>
          <w:color w:val="auto"/>
        </w:rPr>
      </w:pPr>
    </w:p>
    <w:p>
      <w:pPr>
        <w:jc w:val="both"/>
        <w:ind w:left="1660" w:hanging="998"/>
        <w:spacing w:after="0" w:line="255" w:lineRule="auto"/>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July 31, 2021 formatted in eXtensible Business Reporting Language (XBRL): (i) Cover Page, (ii) Condensed Consolidated Balance Sheets, (iii) Condensed Consolidated Statements of Operations and Comprehensive Loss, (iv) Condensed Consolidated Statements of Cash Flows, (v) Condensed Consolidated Statements of Changes in Stockholders’ Equity and (vi) Notes to Condensed Consolidated Financial Statements. The instance document does not appear in the Interactive Data File because its XBRL tags are embedded within Inline XBRL document.</w:t>
      </w:r>
    </w:p>
    <w:p>
      <w:pPr>
        <w:spacing w:after="0" w:line="19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Interaction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6340" w:type="dxa"/>
            <w:vAlign w:val="bottom"/>
            <w:gridSpan w:val="3"/>
          </w:tcPr>
          <w:p>
            <w:pPr>
              <w:ind w:left="140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3280" w:type="dxa"/>
            <w:vAlign w:val="bottom"/>
          </w:tcPr>
          <w:p>
            <w:pPr>
              <w:spacing w:after="0"/>
              <w:rPr>
                <w:sz w:val="20"/>
                <w:szCs w:val="20"/>
                <w:color w:val="auto"/>
              </w:rPr>
            </w:pPr>
          </w:p>
        </w:tc>
        <w:tc>
          <w:tcPr>
            <w:tcW w:w="6340" w:type="dxa"/>
            <w:vAlign w:val="bottom"/>
            <w:gridSpan w:val="3"/>
          </w:tcPr>
          <w:p>
            <w:pPr>
              <w:ind w:left="1400"/>
              <w:spacing w:after="0"/>
              <w:rPr>
                <w:sz w:val="20"/>
                <w:szCs w:val="20"/>
                <w:color w:val="auto"/>
              </w:rPr>
            </w:pPr>
            <w:r>
              <w:rPr>
                <w:rFonts w:ascii="Arial" w:cs="Arial" w:eastAsia="Arial" w:hAnsi="Arial"/>
                <w:sz w:val="18"/>
                <w:szCs w:val="18"/>
                <w:color w:val="auto"/>
              </w:rPr>
              <w:t>(Registrant)</w:t>
            </w:r>
          </w:p>
        </w:tc>
      </w:tr>
      <w:tr>
        <w:trPr>
          <w:trHeight w:val="391"/>
        </w:trPr>
        <w:tc>
          <w:tcPr>
            <w:tcW w:w="3280" w:type="dxa"/>
            <w:vAlign w:val="bottom"/>
          </w:tcPr>
          <w:p>
            <w:pPr>
              <w:spacing w:after="0"/>
              <w:rPr>
                <w:sz w:val="20"/>
                <w:szCs w:val="20"/>
                <w:color w:val="auto"/>
              </w:rPr>
            </w:pPr>
            <w:r>
              <w:rPr>
                <w:rFonts w:ascii="Arial" w:cs="Arial" w:eastAsia="Arial" w:hAnsi="Arial"/>
                <w:sz w:val="18"/>
                <w:szCs w:val="18"/>
                <w:color w:val="auto"/>
              </w:rPr>
              <w:t>Date: September 14, 2021</w:t>
            </w:r>
          </w:p>
        </w:tc>
        <w:tc>
          <w:tcPr>
            <w:tcW w:w="6340" w:type="dxa"/>
            <w:vAlign w:val="bottom"/>
            <w:gridSpan w:val="3"/>
          </w:tcPr>
          <w:p>
            <w:pPr>
              <w:ind w:left="1480"/>
              <w:spacing w:after="0"/>
              <w:rPr>
                <w:sz w:val="20"/>
                <w:szCs w:val="20"/>
                <w:color w:val="auto"/>
              </w:rPr>
            </w:pPr>
            <w:r>
              <w:rPr>
                <w:rFonts w:ascii="Arial" w:cs="Arial" w:eastAsia="Arial" w:hAnsi="Arial"/>
                <w:sz w:val="18"/>
                <w:szCs w:val="18"/>
                <w:color w:val="auto"/>
              </w:rPr>
              <w:t>By:  /s/  Steven L. Bernstein</w:t>
            </w:r>
          </w:p>
        </w:tc>
      </w:tr>
      <w:tr>
        <w:trPr>
          <w:trHeight w:val="20"/>
        </w:trPr>
        <w:tc>
          <w:tcPr>
            <w:tcW w:w="3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3280" w:type="dxa"/>
            <w:vAlign w:val="bottom"/>
          </w:tcPr>
          <w:p>
            <w:pPr>
              <w:spacing w:after="0"/>
              <w:rPr>
                <w:sz w:val="19"/>
                <w:szCs w:val="19"/>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rPr>
              <w:t>Steven L. Bernstein</w:t>
            </w:r>
          </w:p>
        </w:tc>
      </w:tr>
      <w:tr>
        <w:trPr>
          <w:trHeight w:val="216"/>
        </w:trPr>
        <w:tc>
          <w:tcPr>
            <w:tcW w:w="3280" w:type="dxa"/>
            <w:vAlign w:val="bottom"/>
          </w:tcPr>
          <w:p>
            <w:pPr>
              <w:spacing w:after="0"/>
              <w:rPr>
                <w:sz w:val="18"/>
                <w:szCs w:val="18"/>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280" w:type="dxa"/>
            <w:vAlign w:val="bottom"/>
          </w:tcPr>
          <w:p>
            <w:pPr>
              <w:spacing w:after="0"/>
              <w:rPr>
                <w:sz w:val="20"/>
                <w:szCs w:val="20"/>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125" w:right="4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Stanton Sloane</w:t>
            </w:r>
          </w:p>
        </w:tc>
        <w:tc>
          <w:tcPr>
            <w:tcW w:w="4060" w:type="dxa"/>
            <w:vAlign w:val="bottom"/>
          </w:tcPr>
          <w:p>
            <w:pPr>
              <w:ind w:left="2620"/>
              <w:spacing w:after="0"/>
              <w:rPr>
                <w:sz w:val="20"/>
                <w:szCs w:val="20"/>
                <w:color w:val="auto"/>
              </w:rPr>
            </w:pPr>
            <w:r>
              <w:rPr>
                <w:rFonts w:ascii="Arial" w:cs="Arial" w:eastAsia="Arial" w:hAnsi="Arial"/>
                <w:sz w:val="18"/>
                <w:szCs w:val="18"/>
                <w:color w:val="auto"/>
                <w:w w:val="87"/>
              </w:rPr>
              <w:t>September 14, 2021</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Stanton Sloane</w:t>
            </w:r>
          </w:p>
        </w:tc>
        <w:tc>
          <w:tcPr>
            <w:tcW w:w="4060" w:type="dxa"/>
            <w:vAlign w:val="bottom"/>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w w:val="96"/>
              </w:rPr>
              <w:t>President and Chief Executive Officer</w:t>
            </w:r>
          </w:p>
        </w:tc>
        <w:tc>
          <w:tcPr>
            <w:tcW w:w="406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3280" w:type="dxa"/>
            <w:vAlign w:val="bottom"/>
          </w:tcPr>
          <w:p>
            <w:pPr>
              <w:ind w:left="1840"/>
              <w:spacing w:after="0"/>
              <w:rPr>
                <w:sz w:val="20"/>
                <w:szCs w:val="20"/>
                <w:color w:val="auto"/>
              </w:rPr>
            </w:pPr>
            <w:r>
              <w:rPr>
                <w:rFonts w:ascii="Arial" w:cs="Arial" w:eastAsia="Arial" w:hAnsi="Arial"/>
                <w:sz w:val="18"/>
                <w:szCs w:val="18"/>
                <w:color w:val="auto"/>
                <w:w w:val="87"/>
              </w:rPr>
              <w:t>September 14, 2021</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Steven L. Bernstein</w:t>
            </w:r>
          </w:p>
        </w:tc>
        <w:tc>
          <w:tcPr>
            <w:tcW w:w="328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2"/>
              </w:rPr>
              <w:t>Chief Financial Officer, Secretary and Treasurer</w:t>
            </w:r>
          </w:p>
        </w:tc>
        <w:tc>
          <w:tcPr>
            <w:tcW w:w="3280" w:type="dxa"/>
            <w:vAlign w:val="bottom"/>
          </w:tcPr>
          <w:p>
            <w:pPr>
              <w:spacing w:after="0"/>
              <w:rPr>
                <w:sz w:val="20"/>
                <w:szCs w:val="20"/>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2021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60" w:hanging="30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3"/>
          </w:tcPr>
          <w:p>
            <w:pPr>
              <w:ind w:left="640"/>
              <w:spacing w:after="0"/>
              <w:rPr>
                <w:sz w:val="20"/>
                <w:szCs w:val="20"/>
                <w:color w:val="auto"/>
              </w:rPr>
            </w:pPr>
            <w:r>
              <w:rPr>
                <w:rFonts w:ascii="Arial" w:cs="Arial" w:eastAsia="Arial" w:hAnsi="Arial"/>
                <w:sz w:val="18"/>
                <w:szCs w:val="18"/>
                <w:color w:val="auto"/>
              </w:rPr>
              <w:t>/s/  Stanton Sloane</w:t>
            </w:r>
          </w:p>
        </w:tc>
        <w:tc>
          <w:tcPr>
            <w:tcW w:w="4100" w:type="dxa"/>
            <w:vAlign w:val="bottom"/>
          </w:tcPr>
          <w:p>
            <w:pPr>
              <w:jc w:val="right"/>
              <w:spacing w:after="0"/>
              <w:rPr>
                <w:sz w:val="20"/>
                <w:szCs w:val="20"/>
                <w:color w:val="auto"/>
              </w:rPr>
            </w:pPr>
            <w:r>
              <w:rPr>
                <w:rFonts w:ascii="Arial" w:cs="Arial" w:eastAsia="Arial" w:hAnsi="Arial"/>
                <w:sz w:val="18"/>
                <w:szCs w:val="18"/>
                <w:color w:val="auto"/>
              </w:rPr>
              <w:t>September 14, 2021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Stanton Sloane</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w w:val="97"/>
              </w:rPr>
              <w:t>President and Chief Executive Officer</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410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600" w:type="dxa"/>
            <w:vAlign w:val="bottom"/>
            <w:gridSpan w:val="3"/>
            <w:vMerge w:val="continue"/>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July 31, 2021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60" w:hanging="304"/>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580" w:type="dxa"/>
            <w:vAlign w:val="bottom"/>
          </w:tcPr>
          <w:p>
            <w:pPr>
              <w:spacing w:after="0"/>
              <w:rPr>
                <w:sz w:val="18"/>
                <w:szCs w:val="18"/>
                <w:color w:val="auto"/>
              </w:rPr>
            </w:pPr>
          </w:p>
        </w:tc>
        <w:tc>
          <w:tcPr>
            <w:tcW w:w="2480" w:type="dxa"/>
            <w:vAlign w:val="bottom"/>
          </w:tcPr>
          <w:p>
            <w:pPr>
              <w:ind w:left="1040"/>
              <w:spacing w:after="0"/>
              <w:rPr>
                <w:sz w:val="20"/>
                <w:szCs w:val="20"/>
                <w:color w:val="auto"/>
              </w:rPr>
            </w:pPr>
            <w:r>
              <w:rPr>
                <w:rFonts w:ascii="Arial" w:cs="Arial" w:eastAsia="Arial" w:hAnsi="Arial"/>
                <w:sz w:val="18"/>
                <w:szCs w:val="18"/>
                <w:color w:val="auto"/>
                <w:w w:val="87"/>
              </w:rPr>
              <w:t>September 14, 2021</w:t>
            </w:r>
          </w:p>
        </w:tc>
      </w:tr>
      <w:tr>
        <w:trPr>
          <w:trHeight w:val="222"/>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Steven L. Bernstein</w:t>
            </w:r>
          </w:p>
        </w:tc>
        <w:tc>
          <w:tcPr>
            <w:tcW w:w="2480" w:type="dxa"/>
            <w:vAlign w:val="bottom"/>
          </w:tcPr>
          <w:p>
            <w:pPr>
              <w:spacing w:after="0"/>
              <w:rPr>
                <w:sz w:val="19"/>
                <w:szCs w:val="19"/>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Secretary and Treasurer</w:t>
            </w:r>
          </w:p>
        </w:tc>
        <w:tc>
          <w:tcPr>
            <w:tcW w:w="248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2021-09-14T09:59:26Z</dcterms:created>
  <dcterms:modified xsi:type="dcterms:W3CDTF">2021-09-14T09:59:26Z</dcterms:modified>
</cp:coreProperties>
</file>