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160020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4160" w:right="1960" w:hanging="3734"/>
        <w:spacing w:after="0" w:line="498"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April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3520" w:right="1640" w:hanging="3094"/>
        <w:spacing w:after="0" w:line="500" w:lineRule="auto"/>
        <w:tabs>
          <w:tab w:leader="none" w:pos="100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58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2"/>
          </w:tcPr>
          <w:p>
            <w:pPr>
              <w:spacing w:after="0"/>
              <w:rPr>
                <w:sz w:val="17"/>
                <w:szCs w:val="17"/>
                <w:color w:val="auto"/>
              </w:rPr>
            </w:pPr>
          </w:p>
        </w:tc>
        <w:tc>
          <w:tcPr>
            <w:tcW w:w="35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5740" w:type="dxa"/>
            <w:vAlign w:val="bottom"/>
            <w:gridSpan w:val="4"/>
          </w:tcPr>
          <w:p>
            <w:pPr>
              <w:jc w:val="center"/>
              <w:ind w:right="960"/>
              <w:spacing w:after="0"/>
              <w:rPr>
                <w:sz w:val="20"/>
                <w:szCs w:val="20"/>
                <w:color w:val="auto"/>
              </w:rPr>
            </w:pPr>
            <w:r>
              <w:rPr>
                <w:rFonts w:ascii="Arial" w:cs="Arial" w:eastAsia="Arial" w:hAnsi="Arial"/>
                <w:sz w:val="18"/>
                <w:szCs w:val="18"/>
                <w:color w:val="auto"/>
                <w:w w:val="93"/>
              </w:rPr>
              <w:t>(State or other jurisdiction of</w:t>
            </w:r>
          </w:p>
        </w:tc>
        <w:tc>
          <w:tcPr>
            <w:tcW w:w="3580" w:type="dxa"/>
            <w:vAlign w:val="bottom"/>
            <w:gridSpan w:val="5"/>
          </w:tcPr>
          <w:p>
            <w:pPr>
              <w:jc w:val="center"/>
              <w:ind w:left="8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0" w:type="dxa"/>
            <w:vAlign w:val="bottom"/>
          </w:tcPr>
          <w:p>
            <w:pPr>
              <w:spacing w:after="0"/>
              <w:rPr>
                <w:sz w:val="20"/>
                <w:szCs w:val="20"/>
                <w:color w:val="auto"/>
              </w:rPr>
            </w:pPr>
          </w:p>
        </w:tc>
        <w:tc>
          <w:tcPr>
            <w:tcW w:w="5740" w:type="dxa"/>
            <w:vAlign w:val="bottom"/>
            <w:gridSpan w:val="4"/>
          </w:tcPr>
          <w:p>
            <w:pPr>
              <w:jc w:val="center"/>
              <w:ind w:right="960"/>
              <w:spacing w:after="0"/>
              <w:rPr>
                <w:sz w:val="20"/>
                <w:szCs w:val="20"/>
                <w:color w:val="auto"/>
              </w:rPr>
            </w:pPr>
            <w:r>
              <w:rPr>
                <w:rFonts w:ascii="Arial" w:cs="Arial" w:eastAsia="Arial" w:hAnsi="Arial"/>
                <w:sz w:val="18"/>
                <w:szCs w:val="18"/>
                <w:color w:val="auto"/>
                <w:w w:val="93"/>
              </w:rPr>
              <w:t>incorporation or organization)</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61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rPr>
              <w:t>55 CHARLES LINDBERGH BLVD., MITCHEL FIELD, N.Y.</w:t>
            </w:r>
          </w:p>
        </w:tc>
        <w:tc>
          <w:tcPr>
            <w:tcW w:w="27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80" w:type="dxa"/>
            <w:vAlign w:val="bottom"/>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7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432"/>
        </w:trPr>
        <w:tc>
          <w:tcPr>
            <w:tcW w:w="61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62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6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Name of each exchange on</w:t>
            </w:r>
          </w:p>
        </w:tc>
      </w:tr>
      <w:tr>
        <w:trPr>
          <w:trHeight w:val="190"/>
        </w:trPr>
        <w:tc>
          <w:tcPr>
            <w:tcW w:w="980" w:type="dxa"/>
            <w:vAlign w:val="bottom"/>
          </w:tcPr>
          <w:p>
            <w:pPr>
              <w:spacing w:after="0"/>
              <w:rPr>
                <w:sz w:val="16"/>
                <w:szCs w:val="16"/>
                <w:color w:val="auto"/>
              </w:rPr>
            </w:pPr>
          </w:p>
        </w:tc>
        <w:tc>
          <w:tcPr>
            <w:tcW w:w="2880" w:type="dxa"/>
            <w:vAlign w:val="bottom"/>
            <w:gridSpan w:val="2"/>
          </w:tcPr>
          <w:p>
            <w:pPr>
              <w:jc w:val="center"/>
              <w:ind w:right="1580"/>
              <w:spacing w:after="0" w:line="190" w:lineRule="exact"/>
              <w:rPr>
                <w:sz w:val="20"/>
                <w:szCs w:val="20"/>
                <w:color w:val="auto"/>
              </w:rPr>
            </w:pPr>
            <w:r>
              <w:rPr>
                <w:rFonts w:ascii="Arial" w:cs="Arial" w:eastAsia="Arial" w:hAnsi="Arial"/>
                <w:sz w:val="18"/>
                <w:szCs w:val="18"/>
                <w:color w:val="auto"/>
                <w:w w:val="90"/>
              </w:rPr>
              <w:t>Title of each class</w:t>
            </w:r>
          </w:p>
        </w:tc>
        <w:tc>
          <w:tcPr>
            <w:tcW w:w="264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93"/>
              </w:rPr>
              <w:t>Trading Symbol</w:t>
            </w:r>
          </w:p>
        </w:tc>
        <w:tc>
          <w:tcPr>
            <w:tcW w:w="2860" w:type="dxa"/>
            <w:vAlign w:val="bottom"/>
            <w:gridSpan w:val="3"/>
          </w:tcPr>
          <w:p>
            <w:pPr>
              <w:jc w:val="center"/>
              <w:ind w:left="810"/>
              <w:spacing w:after="0" w:line="190" w:lineRule="exact"/>
              <w:rPr>
                <w:sz w:val="20"/>
                <w:szCs w:val="20"/>
                <w:color w:val="auto"/>
              </w:rPr>
            </w:pPr>
            <w:r>
              <w:rPr>
                <w:rFonts w:ascii="Arial" w:cs="Arial" w:eastAsia="Arial" w:hAnsi="Arial"/>
                <w:sz w:val="18"/>
                <w:szCs w:val="18"/>
                <w:color w:val="auto"/>
                <w:w w:val="91"/>
              </w:rPr>
              <w:t>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38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560" w:type="dxa"/>
            <w:vAlign w:val="bottom"/>
          </w:tcPr>
          <w:p>
            <w:pPr>
              <w:spacing w:after="0"/>
              <w:rPr>
                <w:sz w:val="20"/>
                <w:szCs w:val="20"/>
                <w:color w:val="auto"/>
              </w:rPr>
            </w:pPr>
          </w:p>
        </w:tc>
        <w:tc>
          <w:tcPr>
            <w:tcW w:w="20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FEIM</w:t>
            </w:r>
          </w:p>
        </w:tc>
        <w:tc>
          <w:tcPr>
            <w:tcW w:w="28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4" w:right="339" w:bottom="1440" w:gutter="0" w:footer="0" w:header="0"/>
        </w:sectPr>
      </w:pPr>
    </w:p>
    <w:p>
      <w:pPr>
        <w:spacing w:after="0" w:line="15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584" w:right="339" w:bottom="1440" w:gutter="0" w:footer="0" w:header="0"/>
          <w:type w:val="continuous"/>
        </w:sectPr>
      </w:pPr>
    </w:p>
    <w:p>
      <w:pPr>
        <w:spacing w:after="0" w:line="21"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voting common equity held by non-affiliates of the registrant as of October 31, 2020 – $58,700,000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June 25, 2021 – 9,224,892</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to be filed for the Annual Meeting of Stockholders to be held on or about October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60" w:type="dxa"/>
            <w:vAlign w:val="bottom"/>
            <w:gridSpan w:val="11"/>
          </w:tcPr>
          <w:p>
            <w:pPr>
              <w:jc w:val="center"/>
              <w:ind w:right="156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36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80" w:type="dxa"/>
            <w:vAlign w:val="bottom"/>
            <w:gridSpan w:val="8"/>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6"/>
          </w:tcPr>
          <w:p>
            <w:pPr>
              <w:jc w:val="center"/>
              <w:ind w:right="3840"/>
              <w:spacing w:after="0"/>
              <w:rPr>
                <w:sz w:val="20"/>
                <w:szCs w:val="20"/>
                <w:color w:val="auto"/>
              </w:rPr>
            </w:pPr>
            <w:r>
              <w:rPr>
                <w:rFonts w:ascii="Arial" w:cs="Arial" w:eastAsia="Arial" w:hAnsi="Arial"/>
                <w:sz w:val="18"/>
                <w:szCs w:val="18"/>
                <w:b w:val="1"/>
                <w:bCs w:val="1"/>
                <w:color w:val="auto"/>
                <w:w w:val="98"/>
              </w:rPr>
              <w:t>PART I</w:t>
            </w:r>
          </w:p>
        </w:tc>
        <w:tc>
          <w:tcPr>
            <w:tcW w:w="1360" w:type="dxa"/>
            <w:vAlign w:val="bottom"/>
          </w:tcPr>
          <w:p>
            <w:pPr>
              <w:spacing w:after="0"/>
              <w:rPr>
                <w:sz w:val="24"/>
                <w:szCs w:val="24"/>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360" w:type="dxa"/>
            <w:vAlign w:val="bottom"/>
            <w:gridSpan w:val="1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8100" w:type="dxa"/>
            <w:vAlign w:val="bottom"/>
            <w:gridSpan w:val="1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Unresolved Staff Comments</w:t>
              </w:r>
            </w:hyperlink>
          </w:p>
        </w:tc>
        <w:tc>
          <w:tcPr>
            <w:tcW w:w="6960" w:type="dxa"/>
            <w:vAlign w:val="bottom"/>
            <w:gridSpan w:val="1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00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000" w:type="dxa"/>
            <w:vAlign w:val="bottom"/>
            <w:gridSpan w:val="2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Legal Proceedings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000" w:type="dxa"/>
            <w:vAlign w:val="bottom"/>
            <w:gridSpan w:val="2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Mine Safety Disclosures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453"/>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6"/>
          </w:tcPr>
          <w:p>
            <w:pPr>
              <w:jc w:val="center"/>
              <w:ind w:right="3840"/>
              <w:spacing w:after="0"/>
              <w:rPr>
                <w:sz w:val="20"/>
                <w:szCs w:val="20"/>
                <w:color w:val="auto"/>
              </w:rPr>
            </w:pPr>
            <w:r>
              <w:rPr>
                <w:rFonts w:ascii="Arial" w:cs="Arial" w:eastAsia="Arial" w:hAnsi="Arial"/>
                <w:sz w:val="18"/>
                <w:szCs w:val="18"/>
                <w:b w:val="1"/>
                <w:bCs w:val="1"/>
                <w:color w:val="auto"/>
              </w:rPr>
              <w:t>PART II</w:t>
            </w:r>
          </w:p>
        </w:tc>
        <w:tc>
          <w:tcPr>
            <w:tcW w:w="136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2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Market for Registrant’s Common Equity, Related Stockholder Matters and Issuer Purchases of Equity Securities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9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000" w:type="dxa"/>
            <w:vAlign w:val="bottom"/>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256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66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21-22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00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Changes in and Disagreements with Accountants on Accounting and Financial Disclosure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254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240" w:type="dxa"/>
            <w:vAlign w:val="bottom"/>
            <w:gridSpan w:val="1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453"/>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6"/>
          </w:tcPr>
          <w:p>
            <w:pPr>
              <w:jc w:val="center"/>
              <w:ind w:right="3860"/>
              <w:spacing w:after="0"/>
              <w:rPr>
                <w:sz w:val="20"/>
                <w:szCs w:val="20"/>
                <w:color w:val="auto"/>
              </w:rPr>
            </w:pPr>
            <w:r>
              <w:rPr>
                <w:rFonts w:ascii="Arial" w:cs="Arial" w:eastAsia="Arial" w:hAnsi="Arial"/>
                <w:sz w:val="18"/>
                <w:szCs w:val="18"/>
                <w:b w:val="1"/>
                <w:bCs w:val="1"/>
                <w:color w:val="auto"/>
              </w:rPr>
              <w:t>PART III</w:t>
            </w:r>
          </w:p>
        </w:tc>
        <w:tc>
          <w:tcPr>
            <w:tcW w:w="136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90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Directors, Executive Officers and Corporate Governance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92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00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Security Ownership of Certain Beneficial Owners and Management and Related Stockholder Matters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Certain Relationships and Related Transactions, and Director Independence</w:t>
              </w:r>
            </w:hyperlink>
          </w:p>
        </w:tc>
        <w:tc>
          <w:tcPr>
            <w:tcW w:w="172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Principal Accountant Fees and Services</w:t>
              </w:r>
            </w:hyperlink>
          </w:p>
        </w:tc>
        <w:tc>
          <w:tcPr>
            <w:tcW w:w="3560" w:type="dxa"/>
            <w:vAlign w:val="bottom"/>
            <w:gridSpan w:val="5"/>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453"/>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6"/>
          </w:tcPr>
          <w:p>
            <w:pPr>
              <w:jc w:val="center"/>
              <w:ind w:right="3860"/>
              <w:spacing w:after="0"/>
              <w:rPr>
                <w:sz w:val="20"/>
                <w:szCs w:val="20"/>
                <w:color w:val="auto"/>
              </w:rPr>
            </w:pPr>
            <w:r>
              <w:rPr>
                <w:rFonts w:ascii="Arial" w:cs="Arial" w:eastAsia="Arial" w:hAnsi="Arial"/>
                <w:sz w:val="18"/>
                <w:szCs w:val="18"/>
                <w:b w:val="1"/>
                <w:bCs w:val="1"/>
                <w:color w:val="auto"/>
              </w:rPr>
              <w:t>PART IV</w:t>
            </w:r>
          </w:p>
        </w:tc>
        <w:tc>
          <w:tcPr>
            <w:tcW w:w="136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Exhibits and Financial Statement Schedules</w:t>
              </w:r>
            </w:hyperlink>
          </w:p>
        </w:tc>
        <w:tc>
          <w:tcPr>
            <w:tcW w:w="5840" w:type="dxa"/>
            <w:vAlign w:val="bottom"/>
            <w:gridSpan w:val="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900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Form 10-K Summary</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7460" w:type="dxa"/>
            <w:vAlign w:val="bottom"/>
            <w:gridSpan w:val="1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628"/>
        </w:trPr>
        <w:tc>
          <w:tcPr>
            <w:tcW w:w="988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595"/>
        </w:trPr>
        <w:tc>
          <w:tcPr>
            <w:tcW w:w="8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Frequency Electronics, Inc. (sometimes referred to as “Registrant”, “Frequency Electronics” or the “Company”) is a world leader in precision time and frequency generation technology, which is employed in commercial and Government Satellite Payload systems, Secure Communications, Command, Control, Communication, Computer, Intelligence, Security and Reconnaissance (“C4ISR”), and Electronic Warfare (“EW”) systems. Its technology is used for a wide range of space and non-space applications.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8"/>
          <w:szCs w:val="18"/>
          <w:i w:val="1"/>
          <w:iCs w:val="1"/>
          <w:color w:val="auto"/>
        </w:rPr>
        <w:t>www.frequencyelectronics.com.</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principal end markets are time and frequency generation and distribution systems for use in satellite payloads and terrestrial secure command control and communications systems.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satellite market, the Company has a unique legacy of providing master timing systems, power converters, and frequency generation, synthesis and distribution systems. These products are applicable for both commercial and U.S. Government end-use. Currently, there are approximately 3,400 satellites with varying remaining useful lives operating in Geostationary, Medium and Low Earth Orbits. The U.S. government operates approximately 1,900 of these. The number of operational satellites with emphasis on high-throughput is expected to continue to grow over the next ten years as demand for higher bandwidths and improved anti-jam-anti-spoofing increases. Furthermore, the U.S. Government is expected to contract options for additional GPS III satellites, and the Company is well positioned to compete for the onboard clock ensemble with its high-precision digital Rubidium atomic frequency standard.</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terrestrial secure command control and communications systems market, the Company’s products support multiple C4ISR and EW applications for the U.S. Government on land, sea and air-borne platforms. Recently identified threats to the communication capabilities of U.S. Government facilities through jamming or “spoofing” global positioning systems (“GPS”) signals may be mitigated by the Company’s technologies. In addition, similar types of threats to the public and enterprise networks have been identified by the U.S. Department of Homeland Security. The Company’s high precision, ruggedized clocks combined with specialized software are essential for certain secure communication systems.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address these markets, the Company has several corporate entities which operate under two reportable segments primarily based on the geographic locations of its subsidiaries. The two reportable segments are (1) FEI-NY, which includes the subsidiaries FEI Government Systems, Inc., FEI Communications, Inc., and FEI-Elcom Tech, Inc. (“FEI-Elcom”) and (2) FEI-Zyfer, Inc. (“FEI-Zyfer”).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Frequency Electronics has made a strategic decision to focus on satellite payloads, C4ISR and EW market segments, because these business areas represent significant opportunities for revenue growth.</w:t>
      </w:r>
    </w:p>
    <w:p>
      <w:pPr>
        <w:spacing w:after="0" w:line="166" w:lineRule="exact"/>
        <w:rPr>
          <w:sz w:val="20"/>
          <w:szCs w:val="20"/>
          <w:color w:val="auto"/>
        </w:rPr>
      </w:pPr>
    </w:p>
    <w:p>
      <w:pPr>
        <w:ind w:firstLine="8"/>
        <w:spacing w:after="0" w:line="282" w:lineRule="auto"/>
        <w:tabs>
          <w:tab w:leader="none" w:pos="414"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FEI-NY</w:t>
      </w:r>
      <w:r>
        <w:rPr>
          <w:rFonts w:ascii="Arial" w:cs="Arial" w:eastAsia="Arial" w:hAnsi="Arial"/>
          <w:sz w:val="18"/>
          <w:szCs w:val="18"/>
          <w:b w:val="1"/>
          <w:bCs w:val="1"/>
          <w:color w:val="auto"/>
        </w:rPr>
        <w:t xml:space="preserve"> </w:t>
      </w:r>
      <w:r>
        <w:rPr>
          <w:rFonts w:ascii="Arial" w:cs="Arial" w:eastAsia="Arial" w:hAnsi="Arial"/>
          <w:sz w:val="18"/>
          <w:szCs w:val="18"/>
          <w:color w:val="auto"/>
        </w:rPr>
        <w:t>– U.S. Government and commercial satellite electronics, as well as products for the U.S. military and commercial telecom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and manufactured at the Company’s Long Island, New York headquarters facility.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FEI-Elcom designs and manufactures Radio Frequency (“RF”) microwave modules, devices and subsystems up to 60 GHz including fast switching, ultra-low phase noise synthesizers, up-down converters, receivers, tuners, ceramic resonance oscillators and dielectric resonance oscillators. These instruments and components are mission critical for multiple applications in the EW market,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 The Company began consolidating FEI-Elcom’s manufacturing capabilities into its FEI-NY operations in 2000, in an effort to reduce costs and improve margin. These efforts continue.</w:t>
      </w:r>
    </w:p>
    <w:p>
      <w:pPr>
        <w:spacing w:after="0" w:line="191" w:lineRule="exact"/>
        <w:rPr>
          <w:sz w:val="20"/>
          <w:szCs w:val="20"/>
          <w:color w:val="auto"/>
        </w:rPr>
      </w:pPr>
    </w:p>
    <w:p>
      <w:pPr>
        <w:jc w:val="both"/>
        <w:ind w:firstLine="8"/>
        <w:spacing w:after="0" w:line="261" w:lineRule="auto"/>
        <w:tabs>
          <w:tab w:leader="none" w:pos="387"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FEI-Zyfer</w:t>
      </w:r>
      <w:r>
        <w:rPr>
          <w:rFonts w:ascii="Arial" w:cs="Arial" w:eastAsia="Arial" w:hAnsi="Arial"/>
          <w:sz w:val="18"/>
          <w:szCs w:val="18"/>
          <w:b w:val="1"/>
          <w:bCs w:val="1"/>
          <w:color w:val="auto"/>
        </w:rPr>
        <w:t xml:space="preserve"> </w:t>
      </w:r>
      <w:r>
        <w:rPr>
          <w:rFonts w:ascii="Arial" w:cs="Arial" w:eastAsia="Arial" w:hAnsi="Arial"/>
          <w:sz w:val="18"/>
          <w:szCs w:val="18"/>
          <w:color w:val="auto"/>
        </w:rPr>
        <w:t>- Precision time references for terrestrial secure communications and command and control, and frequency products that incorporate GPS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are manufactured by the Company’s subsidiary, FEI-Zyfer. FEI-Zyfer’s GPS capability complements the Company’s existing technologies and permits the combined entities to provide a broader range of embedded systems for a variety of timing functions and anti-spoofing (“SAASM”) applications.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about these reportable segments, see Item 1. Business – Reportable Segments and Products below.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permits the Company to secure a cost-effective source for high precision quartz resonators and crystal oscillators. The Morion investment is accounted for under the cost method. For more information regarding the Company’s investment in Morion, see Note 10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 AND PRODUCTS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operates under two reportable segments, primarily aligned with the geographical locations of its subsidiaries: (1) FEI-NY and (2)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subsidiary, FEI-Elcom. FEI-Elcom, in addition to its own product line, provides design and technical support for the FEI-NY segment’s business. The products manufactured by the FEI-NY segment are principally marketed to the commercial and U.S. Government satellite markets, to other U.S. Department of Defense (“DOD”) customers and to wireless communications network providers. The FEI-Zyfer segment, which operates out of California, designs and manufactures products which incorporate GPS technologies and high-precision clocks designed and manufactured at FEI-NY. FEI-Zyfer sells its products to both commercial and U.S. Government customers and collaborates with FEI-NY on joint product development activities.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fiscal years 2021 and 2020, approximately 78% and 77%, respectively, of the Company’s consolidated revenues were from products sold by the FEI-NY segment. In fiscal years 2021 and 2020, sales for the FEI-Zyfer segment were 26% of consolidated revenues. (The sum of annual sales percentages exceeds 100% due to intersegment sales.)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revenues include sales to end-users in countries located outside of the U.S., primarily in Europe and China. During fiscal years 2021 and 2020, foreign sales comprised 3% and 4%, respectively, of consolidated revenues. For segment information, see Note 13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FEI-NY 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provides precision time, frequency generation and synchronization products and subsystems that are found on-board satellites, in ground-based communication systems and imbedded in mobile platforms operated by the U.S. military. The Company has made a substantial investment in research and development (“R&amp;D”) to apply its core technologies to satellite payloads, non-space DOD programs and commercial and industrial markets. Revenues from satellite payloads, both for commercial and U.S. Government applications, have become the Company’s largest business area while the portion of network infrastructure sales has declined relatively. The Company expects to continue to generate substantial revenues from deployment of new and replacement satellites and other U.S. Government/DOD applications including sales of ruggedized subsystems for mobile U.S. military platforms.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Satellite Payloads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navigation, communication and intelligence collection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communications, airborne and terrestrial datalinks and geophysical survey positioning systems. Commercial satellite programs which utilize the Company’s space-qualified products include Iridium NEXT Constellation, Intelsat EPIC, O3B, WAAS, MexSat, MSV, ICO, TerreStar, EchoStar, Inmarsat and others. The Company is also pursuing core product opportunities for planned satellite constellations that will operate in low- or mid-earth orbits.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years ahead, the Company expects that the DOD will require more secure communication capabilities, more assets in space and greater bandwidth. The Global Positioning Satellite System, the MILSTAR Satellite System and the AEHF Satellite System are examples of the programs in which the Company has participated or will participate - programs which management believes are important to the success of the U.S. Government’s communication, intelligence and Precision Navigation and Timing (PNT) needs. It is likely that the DOD will move to adopt smaller and less expensive satellites for LEO applications, necessitating adaptation of the Company’s products or development of new products to better suit this type of satellite architecture.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U.S. Government- Non-space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to space-based programs, the Company’s proprietary products have been used in airborne and ground-based guidance, navigation, communications, radar, sonar and electronic countermeasures and timing systems. The Company has developed and patented a low acceleration-sensitive technology which offers an approximate 100 times improvement in performance under shock, vibration and other environmental effects as compared to devices not so designed.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FEI-Elcom addresses RF microwave modules and subsystems up to 60 GHz including fast switching, ultra-low phase noise synthesizers, up-down converters, receivers, tuners, ceramic resonance oscillators and dielectric resonance oscillators. These instruments and components are mission critical for many applications in the EW market, including SATCOM communication, surveillance, intelligence collection (SIGINT, COMINT, MASINT, and ELINT) and threat simulation systems.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sales on U.S. Government programs for both space and non-space applications are generally made under fixed price or cost-plus contracts either directly with U.S. Government agencies or indirectly through subcontracts intended for government end-use. 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or canceled due to variations associated with periodic U.S. Government appropriations cycles and shifting priorities.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Negotiations on U.S. Government contracts are sometimes based in part on Certificates of Current Costs. An inaccuracy in such certificates may entitle the government to an appropriate recovery. The Company’s accounts with respect to these contracts are subject to audit by the Defense Contract Audit Agency (“DCAA”). The Company’s last full incurred cost audit was performed in 2008. The Company is required to submit for subsequent review an incurred cost report by October 31, for each year then ended. All such required reports have been filed with no adverse comments to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FEI has a DCAA audited and approved accounting system, which enables the Company to enter into contracts directly with U.S. Government agencies that require government certified accounting systems.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Government end-use contracts are subject to termination by the purchaser for convenience or default, as well as various other Federal Acquisition Regulations (“FAR”) provisions. In the event of a termination for convenience, the Company is entitled to receive compensation as provided under the specific terms of such contracts. There were no end-use contracts terminated for the year ended April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2"/>
          <w:szCs w:val="12"/>
          <w:b w:val="1"/>
          <w:bCs w:val="1"/>
          <w:color w:val="auto"/>
        </w:rPr>
        <w:t>YFER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FEI-Zyfer designs, develops and manufactures products which provide Precision Navigation and Timing (PNT), primarily incorporating Global Navigation Satellite System(s) technology. FEI-Zyfer’s products make use of both “in-the-clear” civil and “crypto-secured” military signals for GPS. FEI-Zyfer’s products are integrated into radar systems, airborne SIGINT/COMINT platforms, information networks, test equipment, military command and control terminals, and satellite ground stations. FEI-Zyfer’s products are an important extension of FEI’s core product line, specifically in secure PNT for Command, Control, Communications, Computers, Combat Systems, Intelligence, Surveillance, and Reconnaissance (C5ISR). Recently identified threats to the communication capabilities of U.S. Government and to the public and enterprise networks through jamming, multi-path or “spoofing” GPS signals may be mitigated by FEI-Zyfer’s technologies and products. High precision, ruggedized clocks combined with specialized software are essential for the security of government communication and systems. More than 91% of FEI-Zyfer’s revenues are derived from sales where the end user is the U.S. Government.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April 30, 2021, the Company’s consolidated backlog amounted to approximately $40 million compared to approximately $36 million at the end of the prior fiscal year. Approximately 81% of the current backlog is expected to be filled during the Company’s fiscal year ending April 30, 2022. As of April 30, 2021, there were no amounts included in backlog under cost-plus fixed-fee contracts that had not been funded. The Company excludes from backlog those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for various reasons, including possible cancellation of orders, change orders, change in contract terms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markets its products both directly and through independent sales representative organizations located in the U.S., Europe and Asia.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to non-U.S. end-users totaled approximately 3% and 4% of net revenues in fiscal years 2021 and 2020, respectively.</w:t>
      </w:r>
    </w:p>
    <w:p>
      <w:pPr>
        <w:spacing w:after="0" w:line="21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2021 and 2020, approximately 91% and 83%, respectively, of the Company’s sales were made under contracts to the U.S. Government or subcontracts for U.S. Government end-use.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year 2021, Northrop Grumman Company (“Northrop Grumman”) and Lockheed Martin Corporation (“Lockheed Martin”) each accounted for more than 10% of the Company’s consolidated revenues.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year 2020, Lockheed Martin, Northrop Grumman, BAE Systems and L3Harris Technologies, Inc. each accounted for more than 10% of the Company’s consolidated revenues.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loss by the Company of any one of these customers could have a material adverse effect on the Company’s business. The Company believes its relationship with these companies is mutually satisfactory. Additionally, the Company is not aware of any prospect for the cancellation or significant reduction of any of its commercial or existing U.S. Government contracts.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purchases a variety of electrical and other components and materials for use in the manufacture of its products. The Company is not dependent upon any one supplier or source of supply for any of its materials and maintains alternative sources of supply for all of its purchases. The Company has found its suppliers generally reliable and price-competitive.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technological leadership continues to be an essential factor as it pursues future growth in revenues and earnings. The Company has focused its internal R&amp;D efforts on improving the core physics and electronic performance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continues to focus a significant portion of its own resources and efforts on developing hardware for satellite (commercial and U.S. Government) and terrestrial commercial communications systems, including wireless and GPS-related systems. During fiscal years 2021 and 2020, the Company expended $4.7 million and $5.1 million of its own funds, respectively, on such R&amp;D activity. See Item 7, Management’s Discussion and Analysis of Financial Condition and Results of Operations. Additionally, the Company receives customer funding for specific R&amp;D projects and anticipates additional funding from customers for future R&amp;D initiatives. During fiscal years 2021 and 2020, some of the Company’s development resources were applied to the design-stage of fixed-price satellite payload sub-system programs. For fiscal year 2022, the resources to be allocated to R&amp;D will depend on market conditions and identification of new opportunities, as was the case in fiscal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has incorporated into its legacy designs, and which it will incorporate into future designs, to exploit in both legacy and new applications. In 2006, the Company obtained a basic patent for its low g-sensitivity technology which management believes will permit greatly enhanced performance of devices on moving platforms and under externally imposed shock or vibration. The Company’s current patents run through 2026.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experiences competition in all areas of its business. Many of the Company’s competitors are larger, have greater financial resources and have larger R&amp;D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rubidium and cesium-based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principal competition for space products is the in-house capability of its major customers such as the Boeing Company,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Microchip Technology Inc. and Mercury Systems.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previously outsourced certain manufacturing processes to third parties and to Russia-based Morion, in which the Company is a minority shareholder.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Due to the specialized nature of our business, our performance depends on identifying, attracting, developing, motivating, and retaining a highly skilled workforce in multiple areas, including engineering, science, manufacturing, information technology, cybersecurity and business development. The Company develops its workforce using a fair recruiting process to select talented individuals that include competitive compensation and benefits.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currently employs approximately 240 employees worldwide. No employees are represented by labor unions. Relationships with employees are favorable as reflected in high retention rates and increasing average length of service. Due to low turnover of employees, the average age of the workforce is increasing with time. Depending on growth in total employment and the average age of newly hired employees, replacement of key technical staff may be an issue in the future due to increased retirement.</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Employee health and safety is a top priority. The Company has provided all employees with detailed health and safety literature on COVID-19 and had implemented work from home policies at all locations for a period of time at the beginning of the pandemic for positions that were conducive to work from home in order to minimalize the manufacturing staff that remained in the buildings. The Company has since reverted to almost normal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summer holiday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OUR EXECUTIVE OFFICERS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names of all executive officers of the Company and all positions and offices with the Company which they presently hold are as follows:</w:t>
      </w:r>
    </w:p>
    <w:p>
      <w:pPr>
        <w:sectPr>
          <w:pgSz w:w="11900" w:h="16838" w:orient="portrait"/>
          <w:cols w:equalWidth="0" w:num="1">
            <w:col w:w="11240"/>
          </w:cols>
          <w:pgMar w:left="320" w:top="125" w:right="3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Stanton D. Sloane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22" w:lineRule="exact"/>
        <w:rPr>
          <w:sz w:val="20"/>
          <w:szCs w:val="20"/>
          <w:color w:val="auto"/>
        </w:rPr>
      </w:pPr>
    </w:p>
    <w:p>
      <w:pPr>
        <w:sectPr>
          <w:pgSz w:w="11900" w:h="16838" w:orient="portrait"/>
          <w:cols w:equalWidth="0" w:num="3">
            <w:col w:w="1320" w:space="680"/>
            <w:col w:w="60" w:space="180"/>
            <w:col w:w="900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Oleandro Mancini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Business Development</w:t>
      </w:r>
    </w:p>
    <w:p>
      <w:pPr>
        <w:spacing w:after="0" w:line="222" w:lineRule="exact"/>
        <w:rPr>
          <w:sz w:val="20"/>
          <w:szCs w:val="20"/>
          <w:color w:val="auto"/>
        </w:rPr>
      </w:pPr>
    </w:p>
    <w:p>
      <w:pPr>
        <w:sectPr>
          <w:pgSz w:w="11900" w:h="16838" w:orient="portrait"/>
          <w:cols w:equalWidth="0" w:num="3">
            <w:col w:w="1320" w:space="680"/>
            <w:col w:w="60" w:space="180"/>
            <w:col w:w="900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Steven Strang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FEI-Zyfer</w:t>
      </w:r>
    </w:p>
    <w:p>
      <w:pPr>
        <w:spacing w:after="0" w:line="222" w:lineRule="exact"/>
        <w:rPr>
          <w:sz w:val="20"/>
          <w:szCs w:val="20"/>
          <w:color w:val="auto"/>
        </w:rPr>
      </w:pPr>
    </w:p>
    <w:p>
      <w:pPr>
        <w:sectPr>
          <w:pgSz w:w="11900" w:h="16838" w:orient="portrait"/>
          <w:cols w:equalWidth="0" w:num="3">
            <w:col w:w="1280" w:space="720"/>
            <w:col w:w="60" w:space="180"/>
            <w:col w:w="900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Thomas McClelland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Scientist</w:t>
      </w:r>
    </w:p>
    <w:p>
      <w:pPr>
        <w:spacing w:after="0" w:line="222" w:lineRule="exact"/>
        <w:rPr>
          <w:sz w:val="20"/>
          <w:szCs w:val="20"/>
          <w:color w:val="auto"/>
        </w:rPr>
      </w:pPr>
    </w:p>
    <w:p>
      <w:pPr>
        <w:sectPr>
          <w:pgSz w:w="11900" w:h="16838" w:orient="portrait"/>
          <w:cols w:equalWidth="0" w:num="3">
            <w:col w:w="1480" w:space="520"/>
            <w:col w:w="60" w:space="180"/>
            <w:col w:w="900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Adrian Lalicata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RF &amp; Microwave Systems</w:t>
      </w:r>
    </w:p>
    <w:p>
      <w:pPr>
        <w:spacing w:after="0" w:line="222" w:lineRule="exact"/>
        <w:rPr>
          <w:sz w:val="20"/>
          <w:szCs w:val="20"/>
          <w:color w:val="auto"/>
        </w:rPr>
      </w:pPr>
    </w:p>
    <w:p>
      <w:pPr>
        <w:sectPr>
          <w:pgSz w:w="11900" w:h="16838" w:orient="portrait"/>
          <w:cols w:equalWidth="0" w:num="3">
            <w:col w:w="1280" w:space="720"/>
            <w:col w:w="60" w:space="180"/>
            <w:col w:w="900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Steven L. Bernstein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Secretary and Treasurer</w:t>
      </w:r>
    </w:p>
    <w:p>
      <w:pPr>
        <w:spacing w:after="0" w:line="222" w:lineRule="exact"/>
        <w:rPr>
          <w:sz w:val="20"/>
          <w:szCs w:val="20"/>
          <w:color w:val="auto"/>
        </w:rPr>
      </w:pPr>
    </w:p>
    <w:p>
      <w:pPr>
        <w:sectPr>
          <w:pgSz w:w="11900" w:h="16838" w:orient="portrait"/>
          <w:cols w:equalWidth="0" w:num="3">
            <w:col w:w="1440" w:space="560"/>
            <w:col w:w="60" w:space="180"/>
            <w:col w:w="9000"/>
          </w:cols>
          <w:pgMar w:left="320" w:top="125" w:right="339" w:bottom="1440" w:gutter="0" w:footer="0" w:header="0"/>
          <w:type w:val="continuous"/>
        </w:sectPr>
      </w:pPr>
    </w:p>
    <w:p>
      <w:pPr>
        <w:spacing w:after="0" w:line="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Stanton D. Sloane, age 70, has served as a Director of the Company since August 2016. On May 1, 2018, Dr. Sloane was named President and Chief Executive Officer of the Company. Prior to being named President and Chief Executive Officer, Dr. Sloane had served as the Chief Operating Officer of the Company since September 2017. Dr. Sloane was President and Chief Executive Officer of Comtech Telecommunications Corp. (Nasdaq: CMTL) from January 2015 until September 2016 and a director of Comtech from January 2012 until September 2016. Prior to joining Comtech, Dr. Sloane was President and Chief Executive Officer and a Director of Decision Sciences International Corporation, a privately-held advanced security and detection systems company, from August 2011 through January 2015. Prior to that, he served as President and Chief Executive Officer and a Director of SRA International, Inc. (“SRA”), an information solutions company. He served as President and Chief Executive Officer of SRA from April 2007 through July 2011, during which time he helped lead the sale of SRA to a private equity firm. Prior to joining SRA, he was Executive Vice President of Lockheed Martin's Integrated Systems &amp; Solutions from June 2004 until April 2007. He began his business career with General Electric Aerospace in 1984 and progressed through engineering, program management, and business development assignments in a variety of General Electric Aerospace and subsequently Lockheed Martin businesses. He also served as an officer in the U.S. Navy from 1976 until 1981. Dr. Sloane holds a bachelor's degree in Professional Studies (Aeronautics) from Barry University, a master's degree in Human Resources Management from Pepperdine University, and a Doctor of Management degree from the Weatherhead Business School at Case Western Reserve University.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Oleandro Mancini, age 72, joined the Company in August 2000 as Vice President, Business Development and was promoted to Senior Vice President in 2010. Prior to joining the Company, Mr. Mancini served from 1998 to 2000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Steven Strang, age 57, was named President of FEI-Zyfer, Inc., effective May 1, 2005. Previously, Mr. Strang was Executive Vice President of this subsidiary and its predecessor companies where he has served for 21 years in various technical and management positions.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Thomas McClelland, age 66, joined the Company as an engineer in 1984 and was elected Vice President, Commercial Products in March 1999. In fiscal year 2011, Mr. McClelland’s title was modified to Vice President Advanced Development to describe his expanded role in the Company. In January 2020 Mr. McClelland’s title was modified to Senior Vice President and Chief Scientist.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Adrian Lalicata, age 74, joined the Company in 2006 as Vice President, RF &amp; Microwave Systems. Prior to joining the Company, Mr. Lalicata served as Vice President of Engineering at Herley-CTI and Communication Techniques, a Dover Company. Mr. Lalicata has also served as Director of Engineering at Microphase Corp. and Adcomm, Inc. He also held leading engineering positions at Loral Electronic Systems, Cardion Electronics, and Airborne Instruments Laboratories.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Steven L. Bernstein, age 56, joined the Company in April 2010 as its Controller and was appointed to the position of Chief Financial Officer in April 2016. Effective January 1, 2019, Mr. Bernstein was also appointed as Secretary and Treasurer of the Company, in addition to his role as Chief Financial Officer. Prior to joining the Company, Mr. Bernstein worked in the North America accounting group of Arrow Electronics, a Fortune 500 electronics distributor.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80" w:type="dxa"/>
            <w:vAlign w:val="bottom"/>
          </w:tcPr>
          <w:p>
            <w:pPr>
              <w:spacing w:after="0"/>
              <w:rPr>
                <w:sz w:val="20"/>
                <w:szCs w:val="20"/>
                <w:color w:val="auto"/>
              </w:rPr>
            </w:pPr>
          </w:p>
        </w:tc>
        <w:tc>
          <w:tcPr>
            <w:tcW w:w="27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Size (sq. ft.)</w:t>
            </w:r>
          </w:p>
        </w:tc>
        <w:tc>
          <w:tcPr>
            <w:tcW w:w="8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 or Lease</w:t>
            </w:r>
          </w:p>
        </w:tc>
      </w:tr>
      <w:tr>
        <w:trPr>
          <w:trHeight w:val="21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Mitchel Field, NY</w:t>
            </w:r>
          </w:p>
        </w:tc>
        <w:tc>
          <w:tcPr>
            <w:tcW w:w="2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93,000</w:t>
            </w:r>
          </w:p>
        </w:tc>
        <w:tc>
          <w:tcPr>
            <w:tcW w:w="8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700" w:type="dxa"/>
            <w:vAlign w:val="bottom"/>
          </w:tcPr>
          <w:p>
            <w:pPr>
              <w:jc w:val="center"/>
              <w:spacing w:after="0"/>
              <w:rPr>
                <w:sz w:val="20"/>
                <w:szCs w:val="20"/>
                <w:color w:val="auto"/>
              </w:rPr>
            </w:pPr>
            <w:r>
              <w:rPr>
                <w:rFonts w:ascii="Arial" w:cs="Arial" w:eastAsia="Arial" w:hAnsi="Arial"/>
                <w:sz w:val="18"/>
                <w:szCs w:val="18"/>
                <w:color w:val="auto"/>
                <w:w w:val="92"/>
              </w:rPr>
              <w:t>Garden Grove, CA</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27,850</w:t>
            </w:r>
          </w:p>
        </w:tc>
        <w:tc>
          <w:tcPr>
            <w:tcW w:w="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Northvale, NJ</w:t>
            </w:r>
          </w:p>
        </w:tc>
        <w:tc>
          <w:tcPr>
            <w:tcW w:w="2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9,982</w:t>
            </w:r>
          </w:p>
        </w:tc>
        <w:tc>
          <w:tcPr>
            <w:tcW w:w="8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its manufacturing and office space from RA 55 CLB LLC (as successor-in-interest to Reckson). The lease expires on September 30, 2029. Pursuant to the lease agreement, the Company pays a gradually increasing annual rent of $1,046,810 in 2019 to $1,276,056 in 2029. The Company believes the leased space is adequate to meet the Company’s domestic operational needs which encompass the principal operations of the FEI-NY segment and also serves as the Company’s corporate headquarters.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Garden Grove, California facility is leased by the Company’s subsidiary, FEI-Zyfer. The facility consists of a combination office and manufacturing space. The Company has signed a second amendment to the lease, which extended the lease an additional 88 months, beginning October 1, 2017 and expiring January 31, 2025. The average annual rent over the period of the amendment is approximately $312,000. The Company believes the leased space is adequate to meet FEI-Zyfer’s operational needs.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FEI-Elcom entered into a new lease agreement on December 16, 2020 regarding its Northvale, New Jersey facility. The facility consists of a combination office and manufacturing space. The Company has signed a second amendment to the lease, which extended the lease an additional 12 months beginning February 1, 2021 and expiring January 31, 2022. The lease, as amended, requires monthly payments of $10,806. The Company believes the leased space is adequate to meet FEI-Elcom’s operational needs.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January 28, 2020, Martin B. Bloch, the former Chief Scientist of the Company and a former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Electronics, Inc., et al</w:t>
      </w:r>
      <w:r>
        <w:rPr>
          <w:rFonts w:ascii="Arial" w:cs="Arial" w:eastAsia="Arial" w:hAnsi="Arial"/>
          <w:sz w:val="16"/>
          <w:szCs w:val="16"/>
          <w:color w:val="auto"/>
        </w:rPr>
        <w:t>., Index No. 601369/2020 (N.Y. Sup. Ct. filed Jan. 28, 2020)). Mr. Bloch sought compensatory damages and costs and attorney’s fees,</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based on allegations that he was wrongfully terminated “for cause” pursuant to his employment agreement, dated March 17, 2008 and that the Company and the Director Defendants discriminated against him based on his age. Mr. Bloch originally also sought a declaratory judgment and asserted claims for defamation and a derivative claim, purportedly on behalf of the Company alleging that the Director Defendants breached their fiduciary duty in rendering their decision to terminate Mr. Bloch’s employment with the Company. However, Mr. Bloch withdrew these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Mr. Bloch’s motion sought an order that the Company was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 The appeal is currently pending. The Company believes that the Board was justified in its decision to terminate Mr. Bloch “for cause” and that Mr. Bloch’s single surviving claim is entirely without merit. The Company intends to vigorously defend against all of Mr. Bloch’s allegations. At this time, the Company does not have sufficient information to determine whether liability, if any, arising out of these matters is probable or the possible loss, if any, that could result from an unfavorable outcome arising out of these matters.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Mr. Bloch has initiated two arbitration proceedings under the AAA Rules (</w:t>
      </w:r>
      <w:r>
        <w:rPr>
          <w:rFonts w:ascii="Arial" w:cs="Arial" w:eastAsia="Arial" w:hAnsi="Arial"/>
          <w:sz w:val="18"/>
          <w:szCs w:val="18"/>
          <w:i w:val="1"/>
          <w:iCs w:val="1"/>
          <w:color w:val="auto"/>
        </w:rPr>
        <w:t>Bloch v. Frequency Electronics, Inc., the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 of the Board of Directors of Frequency Electronics, Inc., and the Deferred Compensation Plan Agreement Dated March 7, 2008</w:t>
      </w:r>
      <w:r>
        <w:rPr>
          <w:rFonts w:ascii="Arial" w:cs="Arial" w:eastAsia="Arial" w:hAnsi="Arial"/>
          <w:sz w:val="18"/>
          <w:szCs w:val="18"/>
          <w:color w:val="auto"/>
        </w:rPr>
        <w:t>). One</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arbitration purports to be brought under a deferred compensation agreement dated March 27, 1980 and the other under a second amended and restated deferred compensation agreement, dated March 7, 2008. Bloch submitted his Statement of Claim in one arbitration on May 4, 2020, and in the other arbitration on May 6, 2020. In each proceeding, Mr. Bloch claims that defendants violated ERISA rules by denying him deferred compensation benefits. He seeks an award for allegedly past due deferred compensation benefits plus interest, clarification as to his future rights to deferred compensation benefits, and attorneys’ fees and costs.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(Frequency Electronics, Inc. v. Martin B. Bloch, Index No. 611405/2020). In its order dated February 10, 2021 and entered on February 16, 2021, the Court denied the Company’s petition for a stay of arbitration and ordered the parties to proceed to arbitration. The Company appealed the court’s denial of its petition to stay arbitration on May 7, 2021. The appeal is currently pending. At this time, the Company does not have sufficient information to determine the likelihood of success of this appeal.</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On June 5, 2020, Mr. Bloch filed a petition against the Company, the Compensation Committee of the Company’s Board of Directors, and the Deferred Compensation Plan Agreement Dated March 7, 2008, as amended (“Respondents”), for the appointment of an arbitrator in one of the arbitration proceedings that Mr. Bloch initiated. The petition was filed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Electronics, Inc. et al., </w:t>
      </w:r>
      <w:r>
        <w:rPr>
          <w:rFonts w:ascii="Arial" w:cs="Arial" w:eastAsia="Arial" w:hAnsi="Arial"/>
          <w:sz w:val="16"/>
          <w:szCs w:val="16"/>
          <w:color w:val="auto"/>
        </w:rPr>
        <w:t>Index No. 605380/2020 (N.Y. Sup. Ct. filed June 5, 2020)). On June 22, 2020, Respondents moved to dismiss Mr. Bloch’s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he opposed the motion on July 2, 2020. In its orders dated February 10, 2021 and entered on February 16, 2021, the Court granted Mr. Bloch’s petition for the appointment of an arbitrator, denied the Company’s motion to dismiss that petition, and denied a motion previously filed by the Company for an interim stay of arbitration. On May 11, 2021, Respondents appealed the Court’s decision granting Mr. Bloch’s petition for the appointment of an arbitrator and denying Respondents’ motion to dismiss that petition. The appeal is currently pending. Respondents dispute all of Bloch’s claims and intend to continue to vigorously defend the Company in the appeal. The likelihood of any outcome of this appeal cannot be determined at this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arbitration panel in the arbitrations initiated by Mr. Bloch was constituted in March 2021. The same panel serves in both arbitrations. On May 6, 2021, Respondents submitted a motion to dismiss the arbitrations on the grounds that Mr. Bloch’s claims are not arbitrable. The motion is fully briefed. The Panel heard oral argument on the motion on June 22, 2021, but has not yet ruled on it. Respondents dispute Mr. Bloch’s claims and intend to defend the arbitrations vigorously. The likelihood of any outcome of these arbitration proceedings cannot be determined at this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w:t>
      </w:r>
      <w:r>
        <w:rPr>
          <w:rFonts w:ascii="Arial" w:cs="Arial" w:eastAsia="Arial" w:hAnsi="Arial"/>
          <w:sz w:val="18"/>
          <w:szCs w:val="18"/>
          <w:color w:val="auto"/>
        </w:rPr>
        <w:t>’</w:t>
      </w:r>
      <w:r>
        <w:rPr>
          <w:rFonts w:ascii="Arial" w:cs="Arial" w:eastAsia="Arial" w:hAnsi="Arial"/>
          <w:sz w:val="18"/>
          <w:szCs w:val="18"/>
          <w:u w:val="single" w:color="auto"/>
          <w:color w:val="auto"/>
        </w:rPr>
        <w:t>s Common Equity, Related Stockholder Matters and Issuer Purchases of Equity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As of June 23, 2021, the approximate number of holders of record of common stock was 460.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dividends were declared or paid during fiscal years 2021 and 2020. The Company currently intends to retain any future earnings for use in the business. Any future determinations as to the declaration of dividends on our common stock will be made at the discretion of the Board of Directors and will depend on our earnings, operating and financial conditions, capital requirements and other factors deemed relevant by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The Company has acquired approximately $4 million of its common stock out of the total authorization of $5 million. The Company did not make any purchases of stock for the treasury during fiscal years 2021 or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w:t>
      </w:r>
      <w:r>
        <w:rPr>
          <w:rFonts w:ascii="Arial" w:cs="Arial" w:eastAsia="Arial" w:hAnsi="Arial"/>
          <w:sz w:val="18"/>
          <w:szCs w:val="18"/>
          <w:color w:val="auto"/>
        </w:rPr>
        <w:t>’</w:t>
      </w:r>
      <w:r>
        <w:rPr>
          <w:rFonts w:ascii="Arial" w:cs="Arial" w:eastAsia="Arial" w:hAnsi="Arial"/>
          <w:sz w:val="18"/>
          <w:szCs w:val="18"/>
          <w:u w:val="single" w:color="auto"/>
          <w:color w:val="auto"/>
        </w:rPr>
        <w:t>s Discussion and Analysis of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w:t>
      </w:r>
      <w:r>
        <w:rPr>
          <w:rFonts w:ascii="Arial" w:cs="Arial" w:eastAsia="Arial" w:hAnsi="Arial"/>
          <w:sz w:val="18"/>
          <w:szCs w:val="18"/>
          <w:color w:val="auto"/>
        </w:rPr>
        <w:t>”</w:t>
      </w:r>
      <w:r>
        <w:rPr>
          <w:rFonts w:ascii="Arial" w:cs="Arial" w:eastAsia="Arial" w:hAnsi="Arial"/>
          <w:sz w:val="18"/>
          <w:szCs w:val="18"/>
          <w:b w:val="1"/>
          <w:bCs w:val="1"/>
          <w:color w:val="auto"/>
        </w:rPr>
        <w:t xml:space="preserve"> Statement under the Private Securities Litigation Reform Act of 1995:</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including litigation involving the Company’s former Chief Scientist and member of the Board of Directors.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the government, government prime contractors and commercial companies by units sold with specific contractual performance requirements, in many cases unique to the specific customer and/or application.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Contract costs include all direct material, direct labor costs, manufacturing overhead and other direct costs related to contract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income tax expense, deferred tax asset and liabilities, and liabilities for unrecognized tax benefits reflect management’s best estimate of current and future taxes to be paid. Significant judgments and estimates are required in the determination of the consolidated income tax expense.</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As of April 30, 2021 and 2020, we have a full valuation allowance against our U.S. net deferred tax assets.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 Interest and penalties recognized on income taxes are recorded as income tax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originating in Wuhan, China (the “COVID-19 pandemic”) and the risks to the international community as the virus spread globally beyond its point of origin. In March 2020, the WHO classified the COVID-19 pandemic as a pandemic, based on the rapid increase in exposure globally.</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priority during the COVID-19 pandemic has been to protect the health and safety of its employees while remaining operational.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facilities; mandating handwashing and use of hand sanitizer; requiring social distancing and, requiring face coverings; encouraging, and in some cases, requiring remote work for those employees who can work from home; and disinfecting facilities.</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June 30, 2021, the Company was aware of fifteen employees that have had confirmed cases of COVID-19 since the COVID-19 pandemic began, with one fatality. Additional employees have been absent or self-quarantined due to possible COVID exposure, although not having tested positive. Since the COVID-19 pandemic began, facilities have remained open except for needing to temporarily vacate certain areas for cleaning and disinfecting following employees either testing positive for COVID or because they had been exposed or possibly exposed to third parties who were positive. Certain Company vendors have been unable to deliver materials on time due to COVID-19 related impacts to their workforces or their supply chains. These delays have impacted the Company’s production schedules, and increased costs associated with procurement of materials and services. The Company continues to monitor these and its other vendors and, if necessary, seek alternative suppliers. The Company also believes the pandemic has impacted customers, resulting in delays with respect to anticipated new orders.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full impact of the COVID-19 pandemic continues to evolve as of the date of this report. As such, it is uncertain as to the full magnitude that the pandemic may ultimately have on the Company’s financial condition, liquidity, and future financial results. Management is actively monitoring the impact of the global situation on its financial condition, liquidity, operations, suppliers, industry, and workforce. Given the changing dynamics of the pandemic and the global responses to curb its spread, including the progress on vaccine distribution, the Company is not able to estimate any future effects of the COVID-19 pandemic on its future results of operations, financial condition, or liquidity.</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pandemic. The Company received a loan under the Paycheck Protection Program in April 2020, which it repaid in full in May 2020. For more detail regarding the Company’s PPP Loan, see Note 8 in Part II, Item VIII of this Annual Report on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sets forth for the fiscal years ended April 30, 2021 and 2020, the percentage of consolidated net sales represented by certain items in the Company’s consolidated statements of operations: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40" w:type="dxa"/>
            <w:vAlign w:val="bottom"/>
            <w:gridSpan w:val="9"/>
          </w:tcPr>
          <w:p>
            <w:pPr>
              <w:jc w:val="right"/>
              <w:ind w:right="740"/>
              <w:spacing w:after="0"/>
              <w:rPr>
                <w:sz w:val="20"/>
                <w:szCs w:val="20"/>
                <w:color w:val="auto"/>
              </w:rPr>
            </w:pPr>
            <w:r>
              <w:rPr>
                <w:rFonts w:ascii="Arial" w:cs="Arial" w:eastAsia="Arial" w:hAnsi="Arial"/>
                <w:sz w:val="18"/>
                <w:szCs w:val="18"/>
                <w:b w:val="1"/>
                <w:bCs w:val="1"/>
                <w:color w:val="auto"/>
                <w:w w:val="90"/>
              </w:rPr>
              <w:t>Fiscal Years Ended April 30,</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320" w:type="dxa"/>
            <w:vAlign w:val="bottom"/>
            <w:gridSpan w:val="3"/>
            <w:vMerge w:val="restart"/>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2021</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32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FEI-NY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FEI-Zyfer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intersegment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w w:val="88"/>
              </w:rPr>
              <w:t>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Other income (loss), net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3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9"/>
            <w:vMerge w:val="restart"/>
          </w:tcPr>
          <w:p>
            <w:pPr>
              <w:ind w:left="60"/>
              <w:spacing w:after="0"/>
              <w:rPr>
                <w:sz w:val="20"/>
                <w:szCs w:val="20"/>
                <w:color w:val="auto"/>
              </w:rPr>
            </w:pPr>
            <w:r>
              <w:rPr>
                <w:rFonts w:ascii="Arial" w:cs="Arial" w:eastAsia="Arial" w:hAnsi="Arial"/>
                <w:sz w:val="18"/>
                <w:szCs w:val="18"/>
                <w:b w:val="1"/>
                <w:bCs w:val="1"/>
                <w:color w:val="auto"/>
              </w:rPr>
              <w:t>Fiscal Years Ended April 30,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9"/>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3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vMerge w:val="restart"/>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24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0"/>
              </w:rPr>
              <w:t>Change</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FEI-NY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31,751</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10,649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6"/>
              </w:rPr>
              <w:t>33.5%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FEI-Zyfer</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2,921</w:t>
            </w:r>
          </w:p>
        </w:tc>
        <w:tc>
          <w:tcPr>
            <w:tcW w:w="24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c>
          <w:tcPr>
            <w:tcW w:w="4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54,254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41,507</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12,747</w:t>
            </w:r>
          </w:p>
        </w:tc>
        <w:tc>
          <w:tcPr>
            <w:tcW w:w="24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w w:val="86"/>
              </w:rPr>
              <w:t>30.7%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Fiscal 2021 revenues from satellite programs, one of the Company’s largest business areas, increased by $6.6 million, or 32%, compared to the prior fiscal year. Satellite program revenues for government end-use were 42% and 41% of total revenues for fiscal years 2021 and 2020, respectively. Satellite program revenues for commercial end-use were 7% and 9% of total revenue for Fiscal 2021 and Fiscal 2020, respectively. Revenues on satellite program contracts are recorded in the FEI-NY segment and are recognized primarily under the Percentage-of-Completion (“POC”) method. Revenues from non-space U.S. Government/DOD customers increased by approximately $7.8 million, or 46%, in Fiscal 2021 compared to Fiscal 2020. These revenues are recorded in both the FEI-NY and FEI-Zyfer segments and accounted for approximately 46% and 41% of consolidated revenues for fiscal years 2021 and 2020, respectively. For the year ended April 30, 2021, other commercial and industrial sales accounted for approximately 5% of total revenues compared to approximately 10% for fiscal year 2020. Sales in this business area were $2.5 million for the year ended April 30, 2021 compared to $4.2 million for the preceding year.</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4"/>
          </w:tcPr>
          <w:p>
            <w:pPr>
              <w:jc w:val="center"/>
              <w:ind w:right="910"/>
              <w:spacing w:after="0"/>
              <w:rPr>
                <w:sz w:val="20"/>
                <w:szCs w:val="20"/>
                <w:color w:val="auto"/>
              </w:rPr>
            </w:pPr>
            <w:r>
              <w:rPr>
                <w:rFonts w:ascii="Arial" w:cs="Arial" w:eastAsia="Arial" w:hAnsi="Arial"/>
                <w:sz w:val="18"/>
                <w:szCs w:val="18"/>
                <w:b w:val="1"/>
                <w:bCs w:val="1"/>
                <w:color w:val="auto"/>
                <w:w w:val="91"/>
              </w:rPr>
              <w:t>Fiscal Years Ended April 30,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8"/>
              </w:rPr>
              <w:t>(in thousands)</w:t>
            </w:r>
          </w:p>
        </w:tc>
        <w:tc>
          <w:tcPr>
            <w:tcW w:w="1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5,748</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11,173</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r>
      <w:tr>
        <w:trPr>
          <w:trHeight w:val="230"/>
        </w:trPr>
        <w:tc>
          <w:tcPr>
            <w:tcW w:w="3540" w:type="dxa"/>
            <w:vAlign w:val="bottom"/>
            <w:gridSpan w:val="2"/>
          </w:tcPr>
          <w:p>
            <w:pPr>
              <w:jc w:val="right"/>
              <w:ind w:right="1820"/>
              <w:spacing w:after="0"/>
              <w:rPr>
                <w:sz w:val="20"/>
                <w:szCs w:val="20"/>
                <w:color w:val="auto"/>
              </w:rPr>
            </w:pPr>
            <w:r>
              <w:rPr>
                <w:rFonts w:ascii="Arial" w:cs="Arial" w:eastAsia="Arial" w:hAnsi="Arial"/>
                <w:sz w:val="18"/>
                <w:szCs w:val="18"/>
                <w:color w:val="auto"/>
                <w:w w:val="88"/>
              </w:rPr>
              <w:t>Gross Profit Percentage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fiscal year ended April 30, 2021, the gross profit and gross profit percentage both increased compared to the prior fiscal year. The higher gross profit and gross profit percentage increased significantly as compared to the same periods in fiscal year 2020. The increase in gross profit and gross profit percentage was due to several programs identified in prior periods that incurred higher engineering costs associated with solving technical issues while the programs were in their development phase, prior to manufacturing and which have now been completed or are near completion.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13,189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11,593</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23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1,596</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fiscal years ended April 30, 2021 and 2020, selling and administrative expenses (“SG&amp;A”) were 24% and 28%, respectively, of consolidated revenues. Stock compensation expenses, which are included in total SG&amp;A, were $160,000 and $144,000 in Fiscal 2021 and Fiscal 2020, respectively. The increase in SG&amp;A expenses was mainly due to increase in professional fees (relating to litigation for which the Company has received insurance reimbursement for a portion of such legal fees), deferred compensation and insurance expense.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13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5,077</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(387)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percentage of consolidated revenue, R&amp;D expense for the years ended April 30, 2021 and 2020 was approximately 9% and 12%, respectively. The approximately $0.4 million decrease in R&amp;D expense year over year was due to the fact that previous R&amp;D efforts have ended and turned into production; however, the Company plans to continue to invest in R&amp;D to keep its products at the state of the art.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funds received in connection with customer funded R&amp;D appears in revenues and the associated expenses are included in cost of revenues and are not included in the table above. Although funding is obtained from customers, the Company retains the rights to any products developed. The Company believes that internally generated cash and cash reserves are adequate to fund its R&amp;D activity.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1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Change</w:t>
            </w: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(958)</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(10,922)</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232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9,964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fiscal year ended April 30, 2021, the Company recorded an operating loss of $1.0 million compared to an operating loss of $10.9 million in the prior year. The decrease in the operating loss in the fiscal year ended April 30, 2021 reflects improvement in revenues, gross profit and gross profit percentage.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 net</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34"/>
        </w:trPr>
        <w:tc>
          <w:tcPr>
            <w:tcW w:w="5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6"/>
          </w:tcPr>
          <w:p>
            <w:pPr>
              <w:ind w:left="60"/>
              <w:spacing w:after="0"/>
              <w:rPr>
                <w:sz w:val="20"/>
                <w:szCs w:val="20"/>
                <w:color w:val="auto"/>
              </w:rPr>
            </w:pPr>
            <w:r>
              <w:rPr>
                <w:rFonts w:ascii="Arial" w:cs="Arial" w:eastAsia="Arial" w:hAnsi="Arial"/>
                <w:sz w:val="18"/>
                <w:szCs w:val="18"/>
                <w:b w:val="1"/>
                <w:bCs w:val="1"/>
                <w:color w:val="auto"/>
              </w:rPr>
              <w:t>Fiscal Years Ended April 30,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2,171</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11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1,434</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2,280</w:t>
            </w:r>
          </w:p>
        </w:tc>
        <w:tc>
          <w:tcPr>
            <w:tcW w:w="5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11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income is derived primarily from the Company’s holdings of marketable securities, which primarily consist of fixed income securities. Earnings on securities may vary based on fluctuating interest rates, dividend payout levels, and the timing of purchases, sales, redemptions or maturities of securities. Included in other income (expenses) for the fiscal year ended April 30, 2021 was the collection of the $1 million note that was due relating to the sale of Gilliam to a European entity on April 26, 2018. For the fiscal year ended April 30, 2020 a provision related to the note receivable arising from the sale of Gillam was included in other income (expenses), which was due Fiscal 2021.</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 (Benefit)</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1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(1,742)</w:t>
            </w:r>
          </w:p>
        </w:tc>
        <w:tc>
          <w:tcPr>
            <w:tcW w:w="1060" w:type="dxa"/>
            <w:vAlign w:val="bottom"/>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1,538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r>
      <w:tr>
        <w:trPr>
          <w:trHeight w:val="630"/>
        </w:trPr>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Fiscal Years Ended April 30,</w:t>
            </w:r>
          </w:p>
        </w:tc>
      </w:tr>
      <w:tr>
        <w:trPr>
          <w:trHeight w:val="234"/>
        </w:trPr>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6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7"/>
              </w:rPr>
              <w:t>(in thousands)</w:t>
            </w: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3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3"/>
              </w:rPr>
              <w:t>Effective tax rate on pre-tax book income (loss):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27, 2020, the Coronavirus Aid, Relief, and Economic Security (“CARES”) Act was enacted. Intended to provide economic relief to those impacted by the COVID-19 pandemic, the CARES Act includes provisions, among others, allowing for the carryback of net operating losses generated in tax years 2018, 2019 and 2020, refunds of alternative minimum tax credits, temporary modifications to the limitations placed on the tax deductibility of net interest expense, and technical corrections so that qualified improvement property can be immediately expensed under Internal Revenue Code (“IRC”) Section 168(k) and net operating losses arising in tax years beginning in 2017 and ending in 2018 can be carried back two years and forward twenty years.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fiscal year ended April 30, 2021, the Company recorded an income tax benefit of $(204,000) primarily due to a reduction in the uncertain tax position liability in connection with the expiration of the statute of limitations. The Company recorded an income tax benefit of $(1,742,000) in the fiscal year ended April 30, 2020 primarily due to the enactment of the CARES Act, which allows for the carryback of net operating losses to prior tax years in which the Company was subject to U.S. federal income tax.</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Company’s effective tax rate of (42.7)% for Fiscal 2021 differs from the U.S. federal statutory rate of 21% primarily due to the tax effects related to (i) recognition of previously unrecognized tax benefits, (ii) state and local taxes, (iii) and a change in the valuation allowance. (See Note 12 to the Consolidated Financial Statements for a reconciliation of the actual tax benefit to the expected tax provision at the federal statutory rate.)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April 30, 2021, the Company has U.S. federal net operating losses of $24.3 million of which $16.4 million begins to expire in Fiscal 2026 through Fiscal 2038, including $3.4 million which is subject to annual limitation under IRC Section 382. The remaining U.S. federal net operating losses of $7.9 million have an indefinite carry-forward period. The U.S. federal capital loss carry-forward of $10.0 million expires in Fiscal 2023. U.S. federal R&amp;D credits of $0.7 million begin to expire in Fiscal 2036 through Fiscal 2040. The Company also has state net operating loss carryforwards, and state tax credits that expire in various years and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operations was $12.2 million in fiscal year 2021 compared to cash used in operations of $1.4 million in fiscal year 2020. The Company’s balance sheet continues to reflect a highly liquid position with working capital of $40.6 million at April 30, 2021 as compared to $37.5 million at April 30, 2020. Included in working capital at April 30, 2021 was $20.1 million consisting of cash, cash equivalents and short-term investments. The Company’s current ratio at April 30, 2021 was 6.0 to 1 compared to 3.7 to 1 at the end of the prior fiscal year.</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fiscal years 2021 and 2020, the Company incurred $4.7 million and $6.4 million, respectively, in non-cash charges to earnings, including adjustments relating to net assets and liabilities for operating leases, loss provision accrual, provision for a note receivable, depreciation and amortization expense, inventory adjustments, warranty and accounts receivable reserves and certain employee benefit plan expenses, including accounting for stock-based compensation. During fiscal year 2021, operating cash was increased by decreases in costs and estimated earnings in excess of billings and inventory. During fiscal year 2020, operating cash was decreased by increases in costs and estimated earnings in excess of billings, offset by decreases in accounts receivable, prepaids, and inventory.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cash used in investing activities for the fiscal year ended April 30, 2021 was $1.2 million compared to $3.4 million used in investing activities for the fiscal year ended April 30, 2020. In fiscal year 2021, investing activities included the proceeds related to sales of marketable securities net of the purchases of marketable securities of $46,000 and purchases of capital expenditures of $1.2 million. In fiscal year 2020, investing activities included the purchase of marketable securities net of proceeds related to sales of marketable securities of $1.9 million and purchases of capital expenditures of $1.5 million. The Company may continue to invest cash equivalents as dictated by its investment and acquisition strategies.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financing activities for the fiscal year ended April 30, 2021 was $5.0 million related to the repayment in full of a loan acquired from JPMorgan Chase Bank, N.A. as the lender, pursuant to the Small Business Administration Paycheck Protection Program under the CARES Act. Cash provided by financing activities for the fiscal year ended April 30, 2020 was $5.0 million related to the loan acquired from JPMorgan Chase Bank, N.A. As of April 30, 2021, the Company had available credit at variable terms based on its securities holdings under an advisory arrangement, under which no borrowings have been made.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continue to expend resources to develop, improve and acquire products for space and other applications, which management believes will result in future growth and profitability. During fiscal year 2021, the Company secured partial customer funding for a portion of its R&amp;D efforts. The customer funds received in connection therewith appear in revenues and are not included in R&amp;D expenses. For fiscal year 2022, the Company anticipates securing additional customer funding for a portion of its R&amp;D activities and will allocate internal funds depending on market conditions and identification of new opportunities as in fiscal 2021.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April 30, 2021, the Company had an accumulated deficit of $11.5 million. The Company believes that its cash and cash equivalents, as well as marketable securities as of April 30, 2021 and cash flows from operations will provide sufficient liquidity to meet its operating needs in the normal course of business through the next twelve months from the date of issuance of these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(“FASB”) issued ASU No.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 (Topic 350):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the Test for Goodwill Impairment </w:t>
      </w:r>
      <w:r>
        <w:rPr>
          <w:rFonts w:ascii="Arial" w:cs="Arial" w:eastAsia="Arial" w:hAnsi="Arial"/>
          <w:sz w:val="17"/>
          <w:szCs w:val="17"/>
          <w:color w:val="auto"/>
        </w:rPr>
        <w:t>(“ASU 2017-04”), which simplifies how an entity is required to test goodwill for impairment by eliminating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U.S. GAAP with a methodology that reflects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information reported herein is not necessarily indicative of future operating results or of the future financial condition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Morion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investment consists of 4.6% of Morion’s outstanding shares, accordingly, the Company accounts for its investment in Morion on the cost basis. This investment of approximately $800,000 is included in other assets in the accompanying consolidated balance sheets. During the fiscal years ended April 30, 2021 and 2020, the Company acquired product from Morion in the aggregate amount of approximately $710,000 and $888,000, respectively. During the fiscal years ended April 30, 2021 and 2020, the Company sold product and training services to Morion in the aggregate amount of approximately $94,000 and $85,000, respectively, included in revenues in the consolidated statements of operations as part of the FEI-NY segment. During the fiscal years ended April 30, 2021 and 2020, the Company received dividends from Morion in the amount of approximately $105,000 and $250,000, respectively, which is included in other income, net in the consolidated statements of operations as part of the FEI-NY segment.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fiscal year 2021, as in fiscal year 2020, the impact of inflation on the Company’s business was not materially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 about Market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Frequency Electronics, Inc. and Subsidiaries (the “Company”) as of April 30, 2021 and 2020, the related consolidated statements of operations and comprehensive income (loss),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April 30, 2021 and 2020,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that arose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Recognized Over Time Using Percentage-of-Completion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1 to the consolidated financial statements, the Company generates the majority of its revenue from contracts with customers by units sold with specific specifications and frequencies that are used by a specific customer and contracts where the end user is the United States Government. Control over these performance obligations passes to the customer over time and therefore these revenues are reported in operating results over time using the cost-to-cost method. Under this method, the Company measures progress towards completion and records revenue based on the ratio of costs incurred to date to the estimated total costs.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revenue recognized over time using the percentage-of-completion cost-to cost method as a critical audit matter. Given the judgment necessary to make estimates regarding the revenue and total costs associated with such contracts, specifically, the estimation of costs required to complete such contracts, auditing these estimates required extensive audit effort due to the complexity of the underlying programs and a high degree of auditor judgment when performing audit procedures and evaluating the results of those procedures.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procedures we performed to address this critical audit matter included selecting a sample of contracts for testing and performing the following procedures:</w:t>
      </w:r>
    </w:p>
    <w:p>
      <w:pPr>
        <w:spacing w:after="0" w:line="170" w:lineRule="exact"/>
        <w:rPr>
          <w:sz w:val="20"/>
          <w:szCs w:val="20"/>
          <w:color w:val="auto"/>
        </w:rPr>
      </w:pPr>
    </w:p>
    <w:p>
      <w:pPr>
        <w:ind w:left="1300" w:right="300" w:hanging="320"/>
        <w:spacing w:after="0" w:line="25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Agreeing the key terms to contract documentation and testing costs incurred to date and comparing costs incurred to date to the costs estimated to be incurred to date as of the prior year-end.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Testing the mathematical accuracy of management’s calculation of revenue recognized during the year for the performance obligation.</w:t>
      </w:r>
    </w:p>
    <w:p>
      <w:pPr>
        <w:spacing w:after="0" w:line="32" w:lineRule="exact"/>
        <w:rPr>
          <w:rFonts w:ascii="Arial" w:cs="Arial" w:eastAsia="Arial" w:hAnsi="Arial"/>
          <w:sz w:val="16"/>
          <w:szCs w:val="16"/>
          <w:color w:val="auto"/>
        </w:rPr>
      </w:pPr>
    </w:p>
    <w:p>
      <w:pPr>
        <w:ind w:left="1300" w:right="400" w:hanging="320"/>
        <w:spacing w:after="0" w:line="28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Testing the accuracy and reasonableness of the Company’s estimated costs to complete the selected contract by performing a retrospective review to identify changes in contract gross margin and assess the reasonableness of the explanation for such changes.</w:t>
      </w:r>
    </w:p>
    <w:p>
      <w:pPr>
        <w:spacing w:after="0" w:line="1" w:lineRule="exact"/>
        <w:rPr>
          <w:rFonts w:ascii="Arial" w:cs="Arial" w:eastAsia="Arial" w:hAnsi="Arial"/>
          <w:sz w:val="16"/>
          <w:szCs w:val="16"/>
          <w:color w:val="auto"/>
        </w:rPr>
      </w:pPr>
    </w:p>
    <w:p>
      <w:pPr>
        <w:jc w:val="both"/>
        <w:ind w:left="1300" w:right="20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Testing the accuracy and reasonableness of the Company’s estimated costs to complete the selected contract by evaluating subsequent events activity for changes in conditions that may result in significant changes to estimated costs to complete the contracts selected for testing.</w:t>
      </w:r>
    </w:p>
    <w:p>
      <w:pPr>
        <w:spacing w:after="0" w:line="1" w:lineRule="exact"/>
        <w:rPr>
          <w:rFonts w:ascii="Arial" w:cs="Arial" w:eastAsia="Arial" w:hAnsi="Arial"/>
          <w:sz w:val="18"/>
          <w:szCs w:val="18"/>
          <w:color w:val="auto"/>
        </w:rPr>
      </w:pPr>
    </w:p>
    <w:p>
      <w:pPr>
        <w:jc w:val="both"/>
        <w:ind w:left="1300" w:right="380" w:hanging="320"/>
        <w:spacing w:after="0" w:line="323"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for certain contracts evaluated management’s ability to prepare and estimate the remaining costs to complete projects in process as of the balance sheet date by performing corroborating inquiries with the Company’s program and business management.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April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11"/>
        </w:trPr>
        <w:tc>
          <w:tcPr>
            <w:tcW w:w="8000" w:type="dxa"/>
            <w:vAlign w:val="bottom"/>
          </w:tcPr>
          <w:p>
            <w:pPr>
              <w:ind w:left="35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10,570</w:t>
            </w:r>
          </w:p>
        </w:tc>
      </w:tr>
      <w:tr>
        <w:trPr>
          <w:trHeight w:val="202"/>
        </w:trPr>
        <w:tc>
          <w:tcPr>
            <w:tcW w:w="8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$111 at April 30, 2021 and $183 at April</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30, 2020</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6,953</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22,958</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51,235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 operating leases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86,016</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91,276</w:t>
            </w:r>
          </w:p>
        </w:tc>
      </w:tr>
      <w:tr>
        <w:trPr>
          <w:trHeight w:val="20"/>
        </w:trPr>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96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Loss provision accrual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Current debt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13,554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liability – non-current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9,444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37,040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360"/>
              <w:spacing w:after="0" w:line="201" w:lineRule="exact"/>
              <w:rPr>
                <w:sz w:val="20"/>
                <w:szCs w:val="20"/>
                <w:color w:val="auto"/>
              </w:rPr>
            </w:pPr>
            <w:r>
              <w:rPr>
                <w:rFonts w:ascii="Arial" w:cs="Arial" w:eastAsia="Arial" w:hAnsi="Arial"/>
                <w:sz w:val="18"/>
                <w:szCs w:val="18"/>
                <w:color w:val="auto"/>
                <w:w w:val="96"/>
              </w:rPr>
              <w:t>Common stock - $1.00 par value; authorized 20,000 shares, 9,226 shares issued and 9,225 shares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outstanding at April 30, 2021; 9,164 shares issued and 9,121 shares outstanding at April 30, 2020</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56,914</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(11,457)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(12,137)</w:t>
            </w:r>
          </w:p>
        </w:tc>
      </w:tr>
      <w:tr>
        <w:trPr>
          <w:trHeight w:val="202"/>
        </w:trPr>
        <w:tc>
          <w:tcPr>
            <w:tcW w:w="8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cost (1 share at April 30, 2021 and 43 shares at April 30, 2020)</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86,016</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91,276</w:t>
            </w:r>
          </w:p>
        </w:tc>
      </w:tr>
      <w:tr>
        <w:trPr>
          <w:trHeight w:val="20"/>
        </w:trPr>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Years Ended April 30,</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54,254</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16,921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13,189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(10,922)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Income (loss) before benefit from income taxes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(11,768)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income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Basic and diluted earnings (loss)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9,178</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9,248</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9,074</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Consolidated Statements of Comprehensive Income (Loss)</w:t>
            </w:r>
          </w:p>
        </w:tc>
        <w:tc>
          <w:tcPr>
            <w:tcW w:w="2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7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gain on marketable securities:</w:t>
            </w:r>
          </w:p>
        </w:tc>
        <w:tc>
          <w:tcPr>
            <w:tcW w:w="2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2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reclassification, net of tax</w:t>
            </w:r>
          </w:p>
        </w:tc>
        <w:tc>
          <w:tcPr>
            <w:tcW w:w="2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2"/>
        </w:trPr>
        <w:tc>
          <w:tcPr>
            <w:tcW w:w="52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2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net of tax</w:t>
            </w:r>
          </w:p>
        </w:tc>
        <w:tc>
          <w:tcPr>
            <w:tcW w:w="2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tcPr>
          <w:p>
            <w:pPr>
              <w:ind w:left="340"/>
              <w:spacing w:after="0"/>
              <w:rPr>
                <w:sz w:val="20"/>
                <w:szCs w:val="20"/>
                <w:color w:val="auto"/>
              </w:rPr>
            </w:pPr>
            <w:r>
              <w:rPr>
                <w:rFonts w:ascii="Arial" w:cs="Arial" w:eastAsia="Arial" w:hAnsi="Arial"/>
                <w:sz w:val="18"/>
                <w:szCs w:val="18"/>
                <w:color w:val="auto"/>
                <w:w w:val="96"/>
              </w:rPr>
              <w:t>Total unrealized (loss) gain on marketable securities, net of tax</w:t>
            </w:r>
          </w:p>
        </w:tc>
        <w:tc>
          <w:tcPr>
            <w:tcW w:w="2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Comprehensive income (loss)</w:t>
            </w:r>
          </w:p>
        </w:tc>
        <w:tc>
          <w:tcPr>
            <w:tcW w:w="2800" w:type="dxa"/>
            <w:vAlign w:val="bottom"/>
          </w:tcPr>
          <w:p>
            <w:pPr>
              <w:spacing w:after="0"/>
              <w:rPr>
                <w:sz w:val="17"/>
                <w:szCs w:val="17"/>
                <w:color w:val="auto"/>
              </w:rPr>
            </w:pPr>
          </w:p>
        </w:tc>
        <w:tc>
          <w:tcPr>
            <w:tcW w:w="96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60" w:type="dxa"/>
            <w:vAlign w:val="bottom"/>
            <w:gridSpan w:val="4"/>
          </w:tcPr>
          <w:p>
            <w:pPr>
              <w:jc w:val="center"/>
              <w:ind w:left="219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jc w:val="right"/>
              <w:ind w:right="2190"/>
              <w:spacing w:after="0"/>
              <w:rPr>
                <w:sz w:val="20"/>
                <w:szCs w:val="20"/>
                <w:color w:val="auto"/>
              </w:rPr>
            </w:pPr>
            <w:r>
              <w:rPr>
                <w:rFonts w:ascii="Arial" w:cs="Arial" w:eastAsia="Arial" w:hAnsi="Arial"/>
                <w:sz w:val="18"/>
                <w:szCs w:val="18"/>
                <w:color w:val="auto"/>
              </w:rPr>
              <w:t>24</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Years Ended April 30,</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Adjustments to reconcile net income (loss) to net cash provided by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losses on accounts receivable, inventories, other assets and warranty reserve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(Gain) loss on marketable securities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fixed and other assets, net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Employee benefit plans expense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Costs and estimated earnings in excess of billings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Prepaid expenses and other</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Accounts payable - trade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Loss provision accrual</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 refundable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Purchase of marketable securities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or redemption of marketable securities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(Repayment of) Proceeds from PPP loan</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at end of year</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8940" w:type="dxa"/>
            <w:vAlign w:val="bottom"/>
            <w:gridSpan w:val="2"/>
          </w:tcPr>
          <w:p>
            <w:pPr>
              <w:ind w:left="2500"/>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540"/>
              <w:spacing w:after="0"/>
              <w:rPr>
                <w:sz w:val="20"/>
                <w:szCs w:val="20"/>
                <w:color w:val="auto"/>
              </w:rPr>
            </w:pPr>
            <w:r>
              <w:rPr>
                <w:rFonts w:ascii="Arial" w:cs="Arial" w:eastAsia="Arial" w:hAnsi="Arial"/>
                <w:sz w:val="18"/>
                <w:szCs w:val="18"/>
                <w:color w:val="auto"/>
              </w:rPr>
              <w:t>25</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400"/>
              <w:spacing w:after="0"/>
              <w:rPr>
                <w:sz w:val="20"/>
                <w:szCs w:val="20"/>
                <w:color w:val="auto"/>
              </w:rPr>
            </w:pPr>
            <w:r>
              <w:rPr>
                <w:rFonts w:ascii="Arial" w:cs="Arial" w:eastAsia="Arial" w:hAnsi="Arial"/>
                <w:sz w:val="18"/>
                <w:szCs w:val="18"/>
                <w:b w:val="1"/>
                <w:bCs w:val="1"/>
                <w:color w:val="auto"/>
              </w:rPr>
              <w:t>Years Ended April 30,</w:t>
            </w:r>
          </w:p>
        </w:tc>
        <w:tc>
          <w:tcPr>
            <w:tcW w:w="0" w:type="dxa"/>
            <w:vAlign w:val="bottom"/>
          </w:tcPr>
          <w:p>
            <w:pPr>
              <w:spacing w:after="0"/>
              <w:rPr>
                <w:sz w:val="1"/>
                <w:szCs w:val="1"/>
                <w:color w:val="auto"/>
              </w:rPr>
            </w:pPr>
          </w:p>
        </w:tc>
      </w:tr>
      <w:tr>
        <w:trPr>
          <w:trHeight w:val="210"/>
        </w:trPr>
        <w:tc>
          <w:tcPr>
            <w:tcW w:w="80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Cash paid during the year for:</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ind w:left="360"/>
              <w:spacing w:after="0" w:line="196" w:lineRule="exact"/>
              <w:rPr>
                <w:sz w:val="20"/>
                <w:szCs w:val="20"/>
                <w:color w:val="auto"/>
              </w:rPr>
            </w:pPr>
            <w:r>
              <w:rPr>
                <w:rFonts w:ascii="Arial" w:cs="Arial" w:eastAsia="Arial" w:hAnsi="Arial"/>
                <w:sz w:val="18"/>
                <w:szCs w:val="18"/>
                <w:color w:val="auto"/>
              </w:rPr>
              <w:t>Cash refund during the year for:</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tcPr>
          <w:p>
            <w:pPr>
              <w:jc w:val="right"/>
              <w:ind w:right="23"/>
              <w:spacing w:after="0"/>
              <w:rPr>
                <w:sz w:val="20"/>
                <w:szCs w:val="20"/>
                <w:color w:val="auto"/>
              </w:rPr>
            </w:pPr>
            <w:r>
              <w:rPr>
                <w:rFonts w:ascii="Arial" w:cs="Arial" w:eastAsia="Arial" w:hAnsi="Arial"/>
                <w:sz w:val="16"/>
                <w:szCs w:val="16"/>
                <w:b w:val="1"/>
                <w:bCs w:val="1"/>
                <w:color w:val="auto"/>
              </w:rPr>
              <w:t>Treasury stock</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40" w:type="dxa"/>
            <w:vAlign w:val="bottom"/>
          </w:tcPr>
          <w:p>
            <w:pPr>
              <w:spacing w:after="0"/>
              <w:rPr>
                <w:sz w:val="18"/>
                <w:szCs w:val="18"/>
                <w:color w:val="auto"/>
              </w:rPr>
            </w:pPr>
          </w:p>
        </w:tc>
        <w:tc>
          <w:tcPr>
            <w:tcW w:w="20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paid in</w:t>
            </w:r>
          </w:p>
        </w:tc>
        <w:tc>
          <w:tcPr>
            <w:tcW w:w="120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62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6"/>
                <w:szCs w:val="16"/>
                <w:b w:val="1"/>
                <w:bCs w:val="1"/>
                <w:color w:val="auto"/>
              </w:rPr>
              <w:t>(at cost)</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rPr>
              <w:t>comprehensive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340" w:type="dxa"/>
            <w:vAlign w:val="bottom"/>
          </w:tcPr>
          <w:p>
            <w:pPr>
              <w:spacing w:after="0"/>
              <w:rPr>
                <w:sz w:val="17"/>
                <w:szCs w:val="17"/>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Income (loss)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2019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9,163,940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56,831</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183,661</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(841)</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63,089</w:t>
            </w: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Contribution of stock to 401(k)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rPr>
              <w:t>plan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(39,403)</w:t>
            </w: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181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417</w:t>
            </w:r>
          </w:p>
        </w:tc>
      </w:tr>
      <w:tr>
        <w:trPr>
          <w:trHeight w:val="196"/>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312</w:t>
            </w: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Exercise of stock options and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stock appreciation rights - net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w w:val="95"/>
              </w:rPr>
              <w:t>shares tendered for exercise price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(99,712)</w:t>
            </w: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457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w w:val="96"/>
              </w:rPr>
              <w:t>Other comprehensive income, net</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of tax</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444</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(10,026)</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(10,026)</w:t>
            </w:r>
          </w:p>
        </w:tc>
      </w:tr>
      <w:tr>
        <w:trPr>
          <w:trHeight w:val="20"/>
        </w:trPr>
        <w:tc>
          <w:tcPr>
            <w:tcW w:w="2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9,163,940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56,914</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(12,137)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42,696</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54,236</w:t>
            </w: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Contribution of stock to 401(k)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rPr>
              <w:t>plan</w:t>
            </w:r>
          </w:p>
        </w:tc>
        <w:tc>
          <w:tcPr>
            <w:tcW w:w="900" w:type="dxa"/>
            <w:vAlign w:val="bottom"/>
          </w:tcPr>
          <w:p>
            <w:pPr>
              <w:jc w:val="right"/>
              <w:spacing w:after="0"/>
              <w:rPr>
                <w:sz w:val="20"/>
                <w:szCs w:val="20"/>
                <w:color w:val="auto"/>
              </w:rPr>
            </w:pPr>
            <w:r>
              <w:rPr>
                <w:rFonts w:ascii="Arial" w:cs="Arial" w:eastAsia="Arial" w:hAnsi="Arial"/>
                <w:sz w:val="16"/>
                <w:szCs w:val="16"/>
                <w:color w:val="auto"/>
              </w:rPr>
              <w:t>26,192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(14,926)</w:t>
            </w: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419</w:t>
            </w:r>
          </w:p>
        </w:tc>
      </w:tr>
      <w:tr>
        <w:trPr>
          <w:trHeight w:val="196"/>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w:t>
            </w: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Exercise of stock options and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stock appreciation rights - net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w w:val="95"/>
              </w:rPr>
              <w:t>shares tendered for exercise price</w:t>
            </w:r>
          </w:p>
        </w:tc>
        <w:tc>
          <w:tcPr>
            <w:tcW w:w="900" w:type="dxa"/>
            <w:vAlign w:val="bottom"/>
          </w:tcPr>
          <w:p>
            <w:pPr>
              <w:jc w:val="right"/>
              <w:spacing w:after="0"/>
              <w:rPr>
                <w:sz w:val="20"/>
                <w:szCs w:val="20"/>
                <w:color w:val="auto"/>
              </w:rPr>
            </w:pPr>
            <w:r>
              <w:rPr>
                <w:rFonts w:ascii="Arial" w:cs="Arial" w:eastAsia="Arial" w:hAnsi="Arial"/>
                <w:sz w:val="16"/>
                <w:szCs w:val="16"/>
                <w:color w:val="auto"/>
              </w:rPr>
              <w:t>31,936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(26,395)</w:t>
            </w:r>
          </w:p>
        </w:tc>
        <w:tc>
          <w:tcPr>
            <w:tcW w:w="5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w w:val="98"/>
              </w:rPr>
              <w:t>Other comprehensive loss, net of</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tax</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(199)</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Net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680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680</w:t>
            </w:r>
          </w:p>
        </w:tc>
      </w:tr>
      <w:tr>
        <w:trPr>
          <w:trHeight w:val="20"/>
        </w:trPr>
        <w:tc>
          <w:tcPr>
            <w:tcW w:w="2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9,226,268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57,355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(11,457)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1,375</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55,409</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13 for information regarding the Company’s business segments: (1) FEI-NY (which includes the subsidiaries FEI Government Systems, Inc., FEI Communications, Inc., and FEI-Elcom Tech, Inc. (“FEI-Elcom”)), and (2) FEI-Zyfer, Inc. (“FEI-Zyfer”). Intercompany accounts and transactions are eliminated in consolidation.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consolidated financial statements have been prepared in conformity with United States generally accepted accounting principles (“U.S. GAAP”) and require management to make estimates and assumptions that affect amounts reported and disclosed in the consolidated financial statements and related notes. Actual results could differ from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the CARES Act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(“COVID-19”) and the risks to the international community as the virus spread globally beyond its point of origin. In March 2020, the WHO classified COVID-19 as a pandemic, based on the rapid increase in exposure globally.</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full impact of the COVID-19 pandemic continues to evolve as of the date of this report. As such, it is uncertain as to the full magnitude that the pandemic may ultimately have on the Company’s financial condition, liquidity, and future financial results. For the fiscal year ended April 30, 2021, the Company had been impacted by employee absenteeism related to direct or indirect effects of the COVID pandemic, delays in the receipt of anticipated new contracts from customers administratively affected by the pandemic and limited availability or delivery delays of parts and materials from vendors affected by the pandemic. FEI-Zyfer’s operations were particularly affected as evidenced by decreases in sales and gross margin during the fiscal year. Management is actively monitoring the impact of the global situation on its financial condition, liquidity, operations, suppliers, industry, and workforce. Given the changing dynamics of the pandemic the Company is not able to estimate the potential adverse effects on its operations, financial condition, or liquidity for fiscal year 2022. As of April 30, 2021, the Company has begun a return to normal operations and will continue to follow CDC and state guidelines with an emphasis on employee safety.</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faces various future COVID-19 related risks.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impacted. If so, the Company may be unable to perform fully on its contracts and costs may increase. These cost increases may not be fully recoverable or adequately covered by insurance. In the latter part of FY2021, the Company did experience some operational disruptions due to the need to vacate certain areas of the facilities for cleaning and disinfecting resulting from employees being potentially exposed to COVID-19 or following positive COVID-19 test results. Also, certain Company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27, 2020, President Trump signed into law the “Coronavirus Aid, Relief, and Economic Security (“CARES”) Act.” The CARES Act, among other things, included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pandemic. The Company received a loan under the Paycheck Protection Program (“PPP”) in April 2020, which it repaid in full in May 2020. For more detail regarding the Company’s PPP Loan, see Notes 8 and 12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(“SIPC”) insurance limits. No losses have been experienced on such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Marketable securities consist of corporate debt securities, certificates-of-deposit, and debt securities of U.S. Government agencies. All marketable securities were held in the custody of one financial institution at April 30, 2021 and 2020. Investments in debt securities are categorized as available-for-sale and are carried at fair value, with unrealized gains and losses excluded from income and recorded directly to stockholders’ equity. The Company recognizes gains or losses when securities are sold using the specific identification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Property, plant and equipment is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No impairment losses have been recognized in the years ended April 30,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and net realizable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of property, plant and equipment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records goodwill as the excess of purchase price over the fair value of identifiable net assets acquired. Goodwill is tested for impairment, on a reporting unit level qualitatively, on at least an annual basis at year end to determine whether it is more likely than not that the reporting unit’s fair value is less than its carrying amount. If it is determined that the carrying value of goodwill may not be recoverable, the Company will write down the goodwill to an amount to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 Management has determined that goodwill is not impaired as of April 30, 2021 and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United States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percentage-of completion (“POC”)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passage-of-title (“POT”)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Contract costs include all direct material, direct labor costs, manufacturing overhead and other direct costs related to contract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expenses sales commissions as sales and marketing expenses in the period they are incurred if the expected amortization period is one year or less.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revenue recognized over time as POC method was approximately $50.2 million and $38.0 million of the $54.3 million and $41.5 million reported for the years ended April 30, 2021 and 2020, respectively. The amounts by segment and product line were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270"/>
              <w:spacing w:after="0"/>
              <w:rPr>
                <w:sz w:val="20"/>
                <w:szCs w:val="20"/>
                <w:color w:val="auto"/>
              </w:rPr>
            </w:pPr>
            <w:r>
              <w:rPr>
                <w:rFonts w:ascii="Arial" w:cs="Arial" w:eastAsia="Arial" w:hAnsi="Arial"/>
                <w:sz w:val="18"/>
                <w:szCs w:val="18"/>
                <w:b w:val="1"/>
                <w:bCs w:val="1"/>
                <w:color w:val="auto"/>
                <w:w w:val="92"/>
              </w:rPr>
              <w:t>Year Ended April 30, 2021</w:t>
            </w: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60"/>
              <w:spacing w:after="0" w:line="191" w:lineRule="exact"/>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020" w:type="dxa"/>
            <w:vAlign w:val="bottom"/>
          </w:tcPr>
          <w:p>
            <w:pPr>
              <w:jc w:val="center"/>
              <w:ind w:left="470"/>
              <w:spacing w:after="0"/>
              <w:rPr>
                <w:sz w:val="20"/>
                <w:szCs w:val="20"/>
                <w:color w:val="auto"/>
              </w:rPr>
            </w:pPr>
            <w:r>
              <w:rPr>
                <w:rFonts w:ascii="Arial" w:cs="Arial" w:eastAsia="Arial" w:hAnsi="Arial"/>
                <w:sz w:val="18"/>
                <w:szCs w:val="18"/>
                <w:b w:val="1"/>
                <w:bCs w:val="1"/>
                <w:color w:val="auto"/>
                <w:w w:val="97"/>
              </w:rPr>
              <w:t>POC</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POT Revenue</w:t>
            </w:r>
          </w:p>
        </w:tc>
        <w:tc>
          <w:tcPr>
            <w:tcW w:w="16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Total Revenue</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5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FEI-NY</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39,225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42,400</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FEI-Zyfer</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10,993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w:t>
            </w: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50,208</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4,046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54,254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270"/>
              <w:spacing w:after="0"/>
              <w:rPr>
                <w:sz w:val="20"/>
                <w:szCs w:val="20"/>
                <w:color w:val="auto"/>
              </w:rPr>
            </w:pPr>
            <w:r>
              <w:rPr>
                <w:rFonts w:ascii="Arial" w:cs="Arial" w:eastAsia="Arial" w:hAnsi="Arial"/>
                <w:sz w:val="18"/>
                <w:szCs w:val="18"/>
                <w:b w:val="1"/>
                <w:bCs w:val="1"/>
                <w:color w:val="auto"/>
                <w:w w:val="92"/>
              </w:rPr>
              <w:t>Year Ended April 30, 2020</w:t>
            </w: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60"/>
              <w:spacing w:after="0" w:line="191" w:lineRule="exact"/>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020" w:type="dxa"/>
            <w:vAlign w:val="bottom"/>
          </w:tcPr>
          <w:p>
            <w:pPr>
              <w:jc w:val="center"/>
              <w:ind w:left="470"/>
              <w:spacing w:after="0"/>
              <w:rPr>
                <w:sz w:val="20"/>
                <w:szCs w:val="20"/>
                <w:color w:val="auto"/>
              </w:rPr>
            </w:pPr>
            <w:r>
              <w:rPr>
                <w:rFonts w:ascii="Arial" w:cs="Arial" w:eastAsia="Arial" w:hAnsi="Arial"/>
                <w:sz w:val="18"/>
                <w:szCs w:val="18"/>
                <w:b w:val="1"/>
                <w:bCs w:val="1"/>
                <w:color w:val="auto"/>
                <w:w w:val="97"/>
              </w:rPr>
              <w:t>POC</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POT Revenue</w:t>
            </w:r>
          </w:p>
        </w:tc>
        <w:tc>
          <w:tcPr>
            <w:tcW w:w="16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Total Revenue</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5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FEI-NY</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28,720</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31,751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FEI-Zyfer</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w:t>
            </w:r>
          </w:p>
        </w:tc>
        <w:tc>
          <w:tcPr>
            <w:tcW w:w="10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37,842</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3,665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41,507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Years Ended April 30,</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vMerge w:val="restart"/>
          </w:tcPr>
          <w:p>
            <w:pPr>
              <w:ind w:left="20"/>
              <w:spacing w:after="0"/>
              <w:rPr>
                <w:sz w:val="20"/>
                <w:szCs w:val="20"/>
                <w:color w:val="auto"/>
              </w:rPr>
            </w:pPr>
            <w:r>
              <w:rPr>
                <w:rFonts w:ascii="Arial" w:cs="Arial" w:eastAsia="Arial" w:hAnsi="Arial"/>
                <w:sz w:val="18"/>
                <w:szCs w:val="18"/>
                <w:color w:val="auto"/>
              </w:rPr>
              <w:t>Revenues by Product Line:</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Satellite Revenue</w:t>
            </w:r>
          </w:p>
        </w:tc>
        <w:tc>
          <w:tcPr>
            <w:tcW w:w="10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Government Non-Space Revenue</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16,939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Commercial &amp; Industrial Revenue</w:t>
            </w:r>
          </w:p>
        </w:tc>
        <w:tc>
          <w:tcPr>
            <w:tcW w:w="10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Consolidated revenues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54,254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41,507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Comprehensive income (loss) consists of net income or loss and other comprehensive income/loss. Other comprehensive income/loss includes changes in unrealized gains or losses, net of tax, on securities (for Fiscal 2021 and Fiscal 2020, debt securities) available for sale during the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engages in R&amp;D activities to identify new applications for its core technologies, to improve existing products and to improve manufacturing processes to achieve cost reductions and manufacturing efficiencies. R&amp;D costs include direct labor, manufacturing overhead, direct materials and contracted services. Such costs are expensed as incurred. The Company also engages in customer-funded R&amp;D activity. The customer funds received in connection therewith appear in revenues and the associated expenses are included in cost of revenues and are not included in R&amp;D expenses.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Interest and penalties recognized on income taxes are recorded as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earnings/loss per share are computed by dividing net earnings/loss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 (“SARs”). Diluted earnings per share are not computed where the if-converted effect of such items would be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and cash equivalents, marketable securities, short-term credit obligations and debt and cash surrender value of life insurance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The Company is unable to reasonably estimate a fair value for this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cost of employee services received in exchange for awards of equity instruments are based on the grant-date fair value of the award. We recognize the fair value of the award as compensation expense over the period during which an employee is required to provide service in exchange for the award.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cash and cash equivalents and trade receivables. The Company maintains cash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U.S. The Company routinely addresses the financial strength of its customers and, as a consequence, believes that its receivable credit risk exposure is limited. The Company does not require customers to post collateral.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U.S. GAAP with a methodology that reflects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2023.</w:t>
      </w:r>
    </w:p>
    <w:p>
      <w:pPr>
        <w:spacing w:after="0" w:line="188"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Reconciliations of the weighted average shares outstanding for basic and diluted income (loss) per share for the years ended April 30, 2021 and 2020, respectively, were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Basic EPS Shares outstanding (weighted average)</w:t>
      </w:r>
    </w:p>
    <w:p>
      <w:pPr>
        <w:spacing w:after="0" w:line="4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17145</wp:posOffset>
            </wp:positionV>
            <wp:extent cx="20485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7"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14605</wp:posOffset>
            </wp:positionV>
            <wp:extent cx="20485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18" w:lineRule="exact"/>
        <w:rPr>
          <w:sz w:val="20"/>
          <w:szCs w:val="20"/>
          <w:color w:val="auto"/>
        </w:rPr>
      </w:pPr>
    </w:p>
    <w:p>
      <w:pPr>
        <w:jc w:val="both"/>
        <w:ind w:left="360"/>
        <w:spacing w:after="0"/>
        <w:tabs>
          <w:tab w:leader="none" w:pos="2020" w:val="left"/>
        </w:tabs>
        <w:rPr>
          <w:sz w:val="20"/>
          <w:szCs w:val="20"/>
          <w:color w:val="auto"/>
        </w:rPr>
      </w:pPr>
      <w:r>
        <w:rPr>
          <w:rFonts w:ascii="Arial" w:cs="Arial" w:eastAsia="Arial" w:hAnsi="Arial"/>
          <w:sz w:val="18"/>
          <w:szCs w:val="18"/>
          <w:color w:val="auto"/>
        </w:rPr>
        <w:t>9,177,537</w:t>
      </w:r>
      <w:r>
        <w:rPr>
          <w:sz w:val="20"/>
          <w:szCs w:val="20"/>
          <w:color w:val="auto"/>
        </w:rPr>
        <w:tab/>
      </w:r>
      <w:r>
        <w:rPr>
          <w:rFonts w:ascii="Arial" w:cs="Arial" w:eastAsia="Arial" w:hAnsi="Arial"/>
          <w:sz w:val="18"/>
          <w:szCs w:val="18"/>
          <w:color w:val="auto"/>
        </w:rPr>
        <w:t>9,073,609</w:t>
      </w:r>
    </w:p>
    <w:p>
      <w:pPr>
        <w:spacing w:after="0" w:line="23" w:lineRule="exact"/>
        <w:rPr>
          <w:sz w:val="20"/>
          <w:szCs w:val="20"/>
          <w:color w:val="auto"/>
        </w:rPr>
      </w:pPr>
    </w:p>
    <w:p>
      <w:pPr>
        <w:jc w:val="both"/>
        <w:ind w:left="580"/>
        <w:spacing w:after="0"/>
        <w:tabs>
          <w:tab w:leader="none" w:pos="2160" w:val="left"/>
        </w:tabs>
        <w:rPr>
          <w:sz w:val="20"/>
          <w:szCs w:val="20"/>
          <w:color w:val="auto"/>
        </w:rPr>
      </w:pPr>
      <w:r>
        <w:rPr>
          <w:rFonts w:ascii="Arial" w:cs="Arial" w:eastAsia="Arial" w:hAnsi="Arial"/>
          <w:sz w:val="18"/>
          <w:szCs w:val="18"/>
          <w:color w:val="auto"/>
        </w:rPr>
        <w:t>70,888</w:t>
      </w:r>
      <w:r>
        <w:rPr>
          <w:sz w:val="20"/>
          <w:szCs w:val="20"/>
          <w:color w:val="auto"/>
        </w:rPr>
        <w:tab/>
      </w:r>
      <w:r>
        <w:rPr>
          <w:rFonts w:ascii="Arial" w:cs="Arial" w:eastAsia="Arial" w:hAnsi="Arial"/>
          <w:sz w:val="18"/>
          <w:szCs w:val="18"/>
          <w:color w:val="auto"/>
        </w:rPr>
        <w:t>251,878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5715</wp:posOffset>
            </wp:positionV>
            <wp:extent cx="20485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jc w:val="both"/>
        <w:ind w:left="360"/>
        <w:spacing w:after="0"/>
        <w:tabs>
          <w:tab w:leader="none" w:pos="2020" w:val="left"/>
        </w:tabs>
        <w:rPr>
          <w:sz w:val="20"/>
          <w:szCs w:val="20"/>
          <w:color w:val="auto"/>
        </w:rPr>
      </w:pPr>
      <w:r>
        <w:rPr>
          <w:rFonts w:ascii="Arial" w:cs="Arial" w:eastAsia="Arial" w:hAnsi="Arial"/>
          <w:sz w:val="18"/>
          <w:szCs w:val="18"/>
          <w:color w:val="auto"/>
        </w:rPr>
        <w:t>9,248,425</w:t>
      </w:r>
      <w:r>
        <w:rPr>
          <w:sz w:val="20"/>
          <w:szCs w:val="20"/>
          <w:color w:val="auto"/>
        </w:rPr>
        <w:tab/>
      </w:r>
      <w:r>
        <w:rPr>
          <w:rFonts w:ascii="Arial" w:cs="Arial" w:eastAsia="Arial" w:hAnsi="Arial"/>
          <w:sz w:val="18"/>
          <w:szCs w:val="18"/>
          <w:color w:val="auto"/>
        </w:rPr>
        <w:t>9,325,487</w:t>
      </w:r>
    </w:p>
    <w:p>
      <w:pPr>
        <w:spacing w:after="0" w:line="239" w:lineRule="exact"/>
        <w:rPr>
          <w:sz w:val="20"/>
          <w:szCs w:val="20"/>
          <w:color w:val="auto"/>
        </w:rPr>
      </w:pPr>
    </w:p>
    <w:p>
      <w:pPr>
        <w:sectPr>
          <w:pgSz w:w="11900" w:h="16838" w:orient="portrait"/>
          <w:cols w:equalWidth="0" w:num="2">
            <w:col w:w="6540" w:space="720"/>
            <w:col w:w="3980"/>
          </w:cols>
          <w:pgMar w:left="320" w:top="125" w:right="339" w:bottom="1440" w:gutter="0" w:footer="0" w:header="0"/>
          <w:type w:val="continuous"/>
        </w:sectPr>
      </w:pPr>
    </w:p>
    <w:p>
      <w:pPr>
        <w:spacing w:after="0" w:line="2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April 30, 2020, dilutive securities noted in the above table are excluded from the calculation of earnings per share since the inclusion of such shares would be antidilutive due to the net loss for the period. Additionally, there are anti-dilutive shares excluded in the above table for fiscal years ended April 30, 2021 and 2020 of 345,800 and 896,375, respectively.</w:t>
      </w:r>
    </w:p>
    <w:p>
      <w:pPr>
        <w:spacing w:after="0" w:line="18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Costs and Estimated Earnings in Excess of Billings, Net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At April 30, 2021 and 2020, costs and estimated earnings in excess of billings, net, consisted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2020</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10,460</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(10,692)</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(3,507)</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6,953</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Such amounts represent revenue recognized on long-term contracts that have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dates. Revenue on these long-term contracts is accounted for on the POC basis. During the years ended April 30, 2021 and 2020, revenue recognized under POC contracts was approximately $50.2 million and $38.0 million, respectively. If contract losses are anticipated, costs and estimated earnings in excess of billings are reduced for the full amount of such losses when they are determinable. Total contract losses for the fiscal years ended April 30, 2021 and 2020 were approximately $1.0 million and $2.4 million, respectively.</w:t>
      </w:r>
    </w:p>
    <w:p>
      <w:pPr>
        <w:spacing w:after="0" w:line="164"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Inventories, Net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net at April 30, 2021 and 2020, respectively,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2020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Component Parts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6,259</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6,104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19,661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22,958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140" w:type="dxa"/>
            <w:vAlign w:val="bottom"/>
            <w:vMerge w:val="restart"/>
          </w:tcPr>
          <w:p>
            <w:pPr>
              <w:jc w:val="right"/>
              <w:ind w:right="990"/>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reserves included in inventory were $7.3 and $6.6 million for the fiscal years ended April 30, 2021 and 2020, respectively.</w:t>
      </w:r>
    </w:p>
    <w:p>
      <w:pPr>
        <w:spacing w:after="0" w:line="22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 Net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Property, plant and equipment, net at April 30, 2021 and 2020, consisted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April 30, 2021</w:t>
            </w:r>
          </w:p>
        </w:tc>
        <w:tc>
          <w:tcPr>
            <w:tcW w:w="1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2020</w:t>
            </w:r>
          </w:p>
        </w:tc>
      </w:tr>
      <w:tr>
        <w:trPr>
          <w:trHeight w:val="210"/>
        </w:trPr>
        <w:tc>
          <w:tcPr>
            <w:tcW w:w="5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Machinery, equipment and furniture</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59,136</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57,916</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61,857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60,608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(52,245)</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(49,341)</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11,267</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expense was $2.9 million and $3.0 million for the fiscal years ended April 30, 2021 and 2020, respectively.</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Maintenance and repairs charged to operations was approximately $827,000 and $706,000 for the fiscal years ended April 30, 2021 and 2020, respectively.</w:t>
      </w:r>
    </w:p>
    <w:p>
      <w:pPr>
        <w:spacing w:after="0" w:line="170"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Right-of-Use Assets and Lease Liabilities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leases primarily represent offices, warehouses, vehicles, manufacturing and R&amp;D facilities which expire at various times through 2029 and are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consolidated balance sheet.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ROU assets and lease liabilities recorded on the consolidated balance sheets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2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2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ROU assets</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leases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Operating lease liabilities (short-term)</w:t>
            </w:r>
          </w:p>
        </w:tc>
        <w:tc>
          <w:tcPr>
            <w:tcW w:w="2260" w:type="dxa"/>
            <w:vAlign w:val="bottom"/>
          </w:tcPr>
          <w:p>
            <w:pPr>
              <w:spacing w:after="0"/>
              <w:rPr>
                <w:sz w:val="20"/>
                <w:szCs w:val="20"/>
                <w:color w:val="auto"/>
              </w:rPr>
            </w:pPr>
            <w:r>
              <w:rPr>
                <w:rFonts w:ascii="Arial" w:cs="Arial" w:eastAsia="Arial" w:hAnsi="Arial"/>
                <w:sz w:val="18"/>
                <w:szCs w:val="18"/>
                <w:color w:val="auto"/>
              </w:rPr>
              <w:t>Lease liability, current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 (long-term)</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Pr>
          <w:p>
            <w:pPr>
              <w:ind w:left="380"/>
              <w:spacing w:after="0"/>
              <w:rPr>
                <w:sz w:val="20"/>
                <w:szCs w:val="20"/>
                <w:color w:val="auto"/>
              </w:rPr>
            </w:pPr>
            <w:r>
              <w:rPr>
                <w:rFonts w:ascii="Arial" w:cs="Arial" w:eastAsia="Arial" w:hAnsi="Arial"/>
                <w:sz w:val="18"/>
                <w:szCs w:val="18"/>
                <w:color w:val="auto"/>
              </w:rPr>
              <w:t>Total lease liabilities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10,081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operating lease expense was approximately $1.6 million for the fiscal years ended April 30, 2021 and 2020, the majority of which is included in cost of revenues and the remaining amount in selling and administrative expenses on the consolidated statements of operations. In addition, we made cash payments of $2.0 million and $1.7 million for operating leases during the fiscal years ended April 30, 2021 and 2020, respectively, which are included in cash flows from operating activities in our consolidated statement of cash flows. As of April 30, 2021, the Company had no operating lease liabilities that had not commenced.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fiscal years and total of the remaining fiscal years to the operating lease liabilities recorded on the consolidated balance sheet as of April 30, 2021:</w:t>
      </w:r>
    </w:p>
    <w:p>
      <w:pPr>
        <w:spacing w:after="0" w:line="166"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4320" w:type="dxa"/>
            <w:vAlign w:val="bottom"/>
          </w:tcPr>
          <w:p>
            <w:pPr>
              <w:ind w:left="1680"/>
              <w:spacing w:after="0"/>
              <w:rPr>
                <w:sz w:val="20"/>
                <w:szCs w:val="20"/>
                <w:color w:val="auto"/>
              </w:rPr>
            </w:pPr>
            <w:r>
              <w:rPr>
                <w:rFonts w:ascii="Arial" w:cs="Arial" w:eastAsia="Arial" w:hAnsi="Arial"/>
                <w:sz w:val="18"/>
                <w:szCs w:val="18"/>
                <w:b w:val="1"/>
                <w:bCs w:val="1"/>
                <w:color w:val="auto"/>
              </w:rPr>
              <w:t>Fiscal Year Ending April 30,</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320" w:type="dxa"/>
            <w:vAlign w:val="bottom"/>
          </w:tcPr>
          <w:p>
            <w:pPr>
              <w:ind w:left="2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w:t>
            </w: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1,802</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8"/>
                <w:szCs w:val="18"/>
                <w:color w:val="auto"/>
              </w:rPr>
            </w:pPr>
          </w:p>
        </w:tc>
      </w:tr>
      <w:tr>
        <w:trPr>
          <w:trHeight w:val="216"/>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Total lease payments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12,667</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(2,586)</w:t>
            </w:r>
          </w:p>
        </w:tc>
      </w:tr>
      <w:tr>
        <w:trPr>
          <w:trHeight w:val="209"/>
        </w:trPr>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future lease payments</w:t>
            </w: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80" w:type="dxa"/>
            <w:vAlign w:val="bottom"/>
            <w:tcBorders>
              <w:top w:val="single" w:sz="8" w:color="CCEEFF"/>
            </w:tcBorders>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obligations under leases</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w:t>
            </w:r>
          </w:p>
        </w:tc>
      </w:tr>
      <w:tr>
        <w:trPr>
          <w:trHeight w:val="210"/>
        </w:trPr>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lease obligations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8,366</w:t>
            </w:r>
          </w:p>
        </w:tc>
        <w:tc>
          <w:tcPr>
            <w:tcW w:w="80" w:type="dxa"/>
            <w:vAlign w:val="bottom"/>
            <w:tcBorders>
              <w:top w:val="single" w:sz="8" w:color="CCEEFF"/>
            </w:tcBorders>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April 30, 2021, the weighted-average remaining lease term for all operating leases was 7.4 years. The Company does not generally have access to the rate implicit in the leases and therefore utilized the Company’s borrowing rate as the discount rate. The weighted average discount rate for operating leases as of April 30, 2021 was 6.19%.</w:t>
      </w:r>
    </w:p>
    <w:p>
      <w:pPr>
        <w:spacing w:after="0" w:line="184"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2021 and 2020,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 2021</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Fair Market Value</w:t>
            </w:r>
          </w:p>
        </w:tc>
        <w:tc>
          <w:tcPr>
            <w:tcW w:w="100" w:type="dxa"/>
            <w:vAlign w:val="bottom"/>
          </w:tcPr>
          <w:p>
            <w:pPr>
              <w:spacing w:after="0"/>
              <w:rPr>
                <w:sz w:val="20"/>
                <w:szCs w:val="20"/>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10,022</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10,313</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9"/>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 2020</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Fair Market Value</w:t>
            </w:r>
          </w:p>
        </w:tc>
        <w:tc>
          <w:tcPr>
            <w:tcW w:w="100" w:type="dxa"/>
            <w:vAlign w:val="bottom"/>
          </w:tcPr>
          <w:p>
            <w:pPr>
              <w:spacing w:after="0"/>
              <w:rPr>
                <w:sz w:val="20"/>
                <w:szCs w:val="20"/>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10,081</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April 30, 2021</w:t>
            </w:r>
          </w:p>
        </w:tc>
        <w:tc>
          <w:tcPr>
            <w:tcW w:w="12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13"/>
        </w:trPr>
        <w:tc>
          <w:tcPr>
            <w:tcW w:w="3160" w:type="dxa"/>
            <w:vAlign w:val="bottom"/>
            <w:tcBorders>
              <w:top w:val="single" w:sz="8" w:color="CCEEFF"/>
              <w:bottom w:val="single" w:sz="8" w:color="auto"/>
            </w:tcBorders>
          </w:tcPr>
          <w:p>
            <w:pPr>
              <w:ind w:left="1040"/>
              <w:spacing w:after="0"/>
              <w:rPr>
                <w:sz w:val="20"/>
                <w:szCs w:val="20"/>
                <w:color w:val="auto"/>
              </w:rPr>
            </w:pPr>
            <w:r>
              <w:rPr>
                <w:rFonts w:ascii="Arial" w:cs="Arial" w:eastAsia="Arial" w:hAnsi="Arial"/>
                <w:sz w:val="18"/>
                <w:szCs w:val="18"/>
                <w:b w:val="1"/>
                <w:bCs w:val="1"/>
                <w:color w:val="auto"/>
              </w:rPr>
              <w:t>April 30, 2020</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3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2021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income (loss) for the years ended April 30, 2021 and 2020, respectively, were as follows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years ended April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3,539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680" w:type="dxa"/>
            <w:vAlign w:val="bottom"/>
          </w:tcPr>
          <w:p>
            <w:pPr>
              <w:ind w:left="20"/>
              <w:spacing w:after="0" w:line="196" w:lineRule="exact"/>
              <w:rPr>
                <w:sz w:val="20"/>
                <w:szCs w:val="20"/>
                <w:color w:val="auto"/>
              </w:rPr>
            </w:pPr>
            <w:r>
              <w:rPr>
                <w:rFonts w:ascii="Arial" w:cs="Arial" w:eastAsia="Arial" w:hAnsi="Arial"/>
                <w:sz w:val="18"/>
                <w:szCs w:val="18"/>
                <w:color w:val="auto"/>
              </w:rPr>
              <w:t>Gross realized gains</w:t>
            </w:r>
          </w:p>
        </w:tc>
        <w:tc>
          <w:tcPr>
            <w:tcW w:w="104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1080" w:type="dxa"/>
            <w:vAlign w:val="bottom"/>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5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realized losses</w:t>
            </w:r>
          </w:p>
        </w:tc>
        <w:tc>
          <w:tcPr>
            <w:tcW w:w="1040" w:type="dxa"/>
            <w:vAlign w:val="bottom"/>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April 30, 2021 were as follows (at cost, in thousands):</w:t>
      </w:r>
    </w:p>
    <w:p>
      <w:pPr>
        <w:spacing w:after="0" w:line="239"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4,498</w:t>
            </w:r>
          </w:p>
        </w:tc>
        <w:tc>
          <w:tcPr>
            <w:tcW w:w="60" w:type="dxa"/>
            <w:vAlign w:val="bottom"/>
          </w:tcPr>
          <w:p>
            <w:pPr>
              <w:spacing w:after="0"/>
              <w:rPr>
                <w:sz w:val="18"/>
                <w:szCs w:val="18"/>
                <w:color w:val="auto"/>
              </w:rPr>
            </w:pPr>
          </w:p>
        </w:tc>
      </w:tr>
      <w:tr>
        <w:trPr>
          <w:trHeight w:val="21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9"/>
        </w:trPr>
        <w:tc>
          <w:tcPr>
            <w:tcW w:w="43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10,022</w:t>
            </w:r>
          </w:p>
        </w:tc>
        <w:tc>
          <w:tcPr>
            <w:tcW w:w="6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040" w:hanging="823"/>
        <w:spacing w:after="0" w:line="277" w:lineRule="auto"/>
        <w:tabs>
          <w:tab w:leader="none" w:pos="10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 Level 2 securities are valued at the closing prices and are consistent with quoted prices of similar assets reported in active markets.</w:t>
      </w:r>
    </w:p>
    <w:p>
      <w:pPr>
        <w:spacing w:after="0" w:line="188"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Debt Obligations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April 30, 2021, the Company had available credit with UBS Bank USA at variable terms based on its securities holdings under an advisory arrangement, under which no borrowings have been made. On April 12, 2020, the Company received proceeds from a loan in the amount of $4,964,810 (the “PPP Loan”) from JPMorgan Chase Bank, N.A. as the lender, pursuant to the Small Business Administration Paycheck Protection Program under the CARES Act. The PPP Loan was repaid in full on May 6,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at April 30, 2021 and 2020, respectively,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Vacation and other compensation</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Incentive compensation</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Payroll taxes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Warranty reserve</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Deferred compensation payable</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5,245</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310"/>
              <w:spacing w:after="0"/>
              <w:rPr>
                <w:sz w:val="20"/>
                <w:szCs w:val="20"/>
                <w:color w:val="auto"/>
              </w:rPr>
            </w:pPr>
            <w:r>
              <w:rPr>
                <w:rFonts w:ascii="Arial" w:cs="Arial" w:eastAsia="Arial" w:hAnsi="Arial"/>
                <w:sz w:val="18"/>
                <w:szCs w:val="18"/>
                <w:color w:val="auto"/>
                <w:w w:val="87"/>
              </w:rPr>
              <w:t>10.</w:t>
            </w:r>
          </w:p>
        </w:tc>
        <w:tc>
          <w:tcPr>
            <w:tcW w:w="1940" w:type="dxa"/>
            <w:vAlign w:val="bottom"/>
            <w:gridSpan w:val="2"/>
            <w:vMerge w:val="restart"/>
          </w:tcPr>
          <w:p>
            <w:pPr>
              <w:spacing w:after="0"/>
              <w:rPr>
                <w:sz w:val="20"/>
                <w:szCs w:val="20"/>
                <w:color w:val="auto"/>
              </w:rPr>
            </w:pPr>
            <w:r>
              <w:rPr>
                <w:rFonts w:ascii="Arial" w:cs="Arial" w:eastAsia="Arial" w:hAnsi="Arial"/>
                <w:sz w:val="18"/>
                <w:szCs w:val="18"/>
                <w:color w:val="auto"/>
                <w:w w:val="93"/>
              </w:rPr>
              <w:t>Investment in Morion, Inc.</w:t>
            </w:r>
          </w:p>
        </w:tc>
        <w:tc>
          <w:tcPr>
            <w:tcW w:w="4220" w:type="dxa"/>
            <w:vAlign w:val="bottom"/>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640" w:type="dxa"/>
            <w:vAlign w:val="bottom"/>
            <w:vMerge w:val="continue"/>
          </w:tcPr>
          <w:p>
            <w:pPr>
              <w:spacing w:after="0"/>
              <w:rPr>
                <w:sz w:val="24"/>
                <w:szCs w:val="24"/>
                <w:color w:val="auto"/>
              </w:rPr>
            </w:pPr>
          </w:p>
        </w:tc>
        <w:tc>
          <w:tcPr>
            <w:tcW w:w="1940" w:type="dxa"/>
            <w:vAlign w:val="bottom"/>
            <w:tcBorders>
              <w:bottom w:val="single" w:sz="8" w:color="auto"/>
            </w:tcBorders>
            <w:gridSpan w:val="2"/>
            <w:vMerge w:val="continue"/>
          </w:tcPr>
          <w:p>
            <w:pPr>
              <w:spacing w:after="0"/>
              <w:rPr>
                <w:sz w:val="24"/>
                <w:szCs w:val="24"/>
                <w:color w:val="auto"/>
              </w:rPr>
            </w:pPr>
          </w:p>
        </w:tc>
        <w:tc>
          <w:tcPr>
            <w:tcW w:w="42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an investment in Morion, a privately-held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investment consists of 4.6% of Morion’s outstanding shares, accordingly, the Company accounts for its investment in Morion on the cost basis. This investment of approximately $800,000 is included in other assets in the accompanying consolidated balance sheets. During the fiscal years ended April 30, 2021 and 2020, the Company acquired product from Morion in the aggregate amount of approximately $710,000 and $888,000, respectively. During the fiscal years ended April 30, 2021 and 2020, the Company sold product and training services to Morion in the aggregate amount of approximately $94,000 and $85,000, respectively, included in revenues in the consolidated statements of operations as part of the FEI-NY segment. During the fiscal years ended April 30, 2021 and 2020, the Company received dividends from Morion in the amount of approximately $105,000 and $250,000, respectively, which is included in other income, net in the consolidated statements of operations as part of the FEI-NY segment.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provides its U.S.-based employees with a profit-sharing plan and trust under § 401(k) of the IRC.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2021 and 2020, the Company contributed 41,118 and 39,403 shares of common stock, respectively. The approximate value of these shares at the date of contribution was $419,000 and $417,000 in fiscal years 2021 and 2020, respectively. Contributed shares are drawn from the Company’s common stock held in treasury, and are removed at the Company’s original cost of acquisition of such shares on a specific identification basis, and from the Company’s common stock. In addition to changes in the treasury stock accounts, during fiscal years 2021 and 2020, such transactions increased additional paid in capital by $325,000 and $236,000, respectively. As of April 30, 2021, the plan held a total of 498,115 shares, which were allocated to the accounts of the individual participants. As of April 30, 2020, the plan held a total of 507,204 shares, which were allocated to the accounts of the individual participants.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the formula is based on consolidated pre-tax profits. The incentive bonus recorded for the fiscal year ended April 30, 2021 was $550,000. There was no incentive bonus recorded for the fiscal year ended April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SAR plans. Under these plans, options or SAR are granted at the discretion of the Stock Option Committee at an exercise price not less than the fair market value of the Company’s common stock on the date of grant.</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Typically, options and SARs vest over a four-year period from the date of grant. The options and SARs generally expire ten years after the date of grant (the most recent SARs awards expire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April 30, 2021, eligible employees and directors had been granted total SARs representing approximately 2,445,000 shares of the Company’s common stock, of which approximately 615,000 shares were outstanding and approximately 538,000 shares with a weighted average exercise price of $10.06 were exercisable. There were no SARs granted during the fiscal year 2021. When the SARs become exercisable, the Company will settle the SARs by issuing to exercising recipients the number of shares of stock from common stock or treasury stock, if available,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year ended April 30, 2021, employees exercised SARs representing 247,500 shares of the Company’s common stock and received 58,331 shares of Company stock. The difference of 189,169 shares was returned to the pool of available shares and may be used for future grants.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and SARs activity for the years ended April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48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Stock Options and Stock Appreciation Rights</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Weighted-Average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Aggregate</w:t>
            </w:r>
          </w:p>
        </w:tc>
      </w:tr>
      <w:tr>
        <w:trPr>
          <w:trHeight w:val="216"/>
        </w:trPr>
        <w:tc>
          <w:tcPr>
            <w:tcW w:w="4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Exercise Price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2019</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1,499,750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 years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6,660,150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(171,250)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1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781,680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Expired or Canceled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(269,000)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1,059,500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 years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5,416,783</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(247,500)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573,418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Expired or Canceled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(197,000)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April 30,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 years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2,141,905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496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17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537,500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10.06</w:t>
            </w: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1.8 years</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1,959,463</w:t>
            </w:r>
          </w:p>
        </w:tc>
      </w:tr>
      <w:tr>
        <w:trPr>
          <w:trHeight w:val="20"/>
        </w:trPr>
        <w:tc>
          <w:tcPr>
            <w:tcW w:w="49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 for future grants</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755,923</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April 30, 2021, total unrecognized compensation cost related to non-vested options and SARs under the plans was approximately $120,000.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 average period of 1.0 years.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April 30, 2021 and 2020, 85,625 and 100,625 shares, respectively, vested, the fair value of which was approximately $274,000 and $339,000,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costs capitalized as part of work in process inventory or included in the cost of sales of programs on which the Company recognizes revenue under the POC method were approximately $103,000 and $110,000 for the years ended April 30, 2021 and 2020, respectively. Selling and administrative expenses included stock-based compensation expense of approximately $160,000 and $144,000 for the years ended April 30, 2021 and 2020,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classifies cash flows resulting from the tax benefits from tax deductions recognized upon the exercise of stock options or SARs (tax benefits) as operating cash flows. The Company did not recognize any tax benefits from the exercise of stock options and SARs for the fiscal years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 and Other Issuances: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therein. As a result of the adoption by the Company’s stockholders of the 2005 Stock Award Plan, the Restricted Stock Plan was discontinued. No additional grants will be made under this plan. As of April 30, 2020, there are no outstanding shares available for purchase.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April 30, 2021 and 2020 the Company issued 950 shares from common stock and 1,850 shares from treasury stock, respectively, to select employees for milestone years of service to the Company. These shares are shares of the Company’s common stock and are fully vested at time of issuance.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fiscal year 2020 the Company elected to issue Restricted Stock Units (“RSUs”) to directors, officers, and other key employees pursuant to the 2005 Stock Award Plan. The fair value of these awards is equivalent to the market value of the Company’s common stock on the grant date. RSUs are not shares of the Company’s common stock and do not have any rights or privileges thereof, including voting or dividend rights. On the applicable vesting date, the holder of an RSU becomes entitled to a share of the Company’s common stock. RSUs are subject to certain restrictions and forfeiture provisions prior to vesting.</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fiscal year 2021 the Company elected to issue Performance Stock Units (“PSUs”) to an officer of the Company. The fair value of these awards is equivalent to the market value of the Company’s common stock on the grant date and requires an assessment of the probability that the specified performance criteria will be achieved, which is updated at each reporting date. PSUs are not shares of the Company’s common stock and do not have any rights or privileges thereof, including voting or dividend rights. On the applicable vesting date, subject to the attainment of the specified performance criteria, the holder of a PSU becomes entitled to a share of the Company’s common stock. PSUs are subject to certain restrictions and forfeiture provisions, in addition to performance vesting conditions, prior to vesting.</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activity for the RSUs and PSUs awards that reduce available capacity under the 2005 Stock Award Plan for the years ended April 30, 2021 and 2020:</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5680" w:type="dxa"/>
            <w:vAlign w:val="bottom"/>
          </w:tcPr>
          <w:p>
            <w:pPr>
              <w:spacing w:after="0"/>
              <w:rPr>
                <w:sz w:val="20"/>
                <w:szCs w:val="20"/>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83"/>
              </w:rPr>
              <w:t>Shares</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Exercise Price</w:t>
            </w:r>
          </w:p>
        </w:tc>
        <w:tc>
          <w:tcPr>
            <w:tcW w:w="80" w:type="dxa"/>
            <w:vAlign w:val="bottom"/>
          </w:tcPr>
          <w:p>
            <w:pPr>
              <w:spacing w:after="0"/>
              <w:rPr>
                <w:sz w:val="20"/>
                <w:szCs w:val="20"/>
                <w:color w:val="auto"/>
              </w:rPr>
            </w:pPr>
          </w:p>
        </w:tc>
      </w:tr>
      <w:tr>
        <w:trPr>
          <w:trHeight w:val="20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 April 30, 2019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11.38</w:t>
            </w:r>
          </w:p>
        </w:tc>
      </w:tr>
      <w:tr>
        <w:trPr>
          <w:trHeight w:val="20"/>
        </w:trPr>
        <w:tc>
          <w:tcPr>
            <w:tcW w:w="5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April 30, 2020</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w:t>
            </w:r>
          </w:p>
        </w:tc>
      </w:tr>
      <w:tr>
        <w:trPr>
          <w:trHeight w:val="216"/>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47,250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10.03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(3,250)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w:t>
            </w:r>
          </w:p>
        </w:tc>
      </w:tr>
      <w:tr>
        <w:trPr>
          <w:trHeight w:val="20"/>
        </w:trPr>
        <w:tc>
          <w:tcPr>
            <w:tcW w:w="56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Balance – April 30, 2021</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r>
      <w:tr>
        <w:trPr>
          <w:trHeight w:val="20"/>
        </w:trPr>
        <w:tc>
          <w:tcPr>
            <w:tcW w:w="5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or her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2021 and 2020 was approximately $1.1 million and $640,000,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61"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27, 2020, the CARES Act was enacted to provide economic relief to those impacted by the COVID-19 pandemic. The CARES Act includes provisions, among others, allowing for the carryback of net operating losses generated in tax years 2018, 2019 and 2020, refunds of alternative minimum tax credits, temporary modifications to the limitations placed on the tax deductibility of net interest expense, and technical corrections so that qualified improvement property can be immediately expensed under IRC § 168(k) and net operating losses arising in tax years beginning in 2017 and ending in 2018 can be carried back two years and forward twenty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w w:val="94"/>
              </w:rPr>
              <w:t>The (benefit) provision for income taxes consisted of the following (in thousands):</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April 30,</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(benefit) provision</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(1,750)</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Deferred:</w:t>
            </w: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(benefit) provision</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(benefit) provision</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(1,742)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reconciles the reported income tax (benefit) provision, recorded primarily due to the (i) recognition of previously unrecognized tax benefits, (ii) state and local taxes, (iii) and a change in the valuation allowance, with the amount computed using the federal statutory income tax rate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April 30,</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29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(2,471)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State and local tax</w:t>
            </w: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Nontaxable life insurance cash value increase</w:t>
            </w: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Taxable life insurance gain</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10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Change in tax rate</w:t>
            </w: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CARES Act</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(benefit) provision</w:t>
            </w:r>
          </w:p>
        </w:tc>
        <w:tc>
          <w:tcPr>
            <w:tcW w:w="18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(1,742)</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jc w:val="right"/>
              <w:ind w:right="990"/>
              <w:spacing w:after="0"/>
              <w:rPr>
                <w:sz w:val="20"/>
                <w:szCs w:val="20"/>
                <w:color w:val="auto"/>
              </w:rPr>
            </w:pPr>
            <w:r>
              <w:rPr>
                <w:rFonts w:ascii="Arial" w:cs="Arial" w:eastAsia="Arial" w:hAnsi="Arial"/>
                <w:sz w:val="18"/>
                <w:szCs w:val="18"/>
                <w:color w:val="auto"/>
              </w:rPr>
              <w:t>41</w:t>
            </w:r>
          </w:p>
        </w:tc>
        <w:tc>
          <w:tcPr>
            <w:tcW w:w="10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The components of deferred taxes are as follows (in thousands):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 Ended April 30,</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4,789</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1,946</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2,027</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2,593</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carry-forward</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2,602</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21,162</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21,095</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(2,514)</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Deferred state income tax</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16,855</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15,846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(16,863)</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(15,854)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(liability) asset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assessing the potential for realization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 As of April 30, 2021 and 2020, we have a full valuation allowance against our U.S. net deferred tax assets. If these estimates and assumptions change in the future, the Company may be required to reduce its existing valuation allowance resulting in less income tax expense.</w:t>
      </w:r>
    </w:p>
    <w:p>
      <w:pPr>
        <w:spacing w:after="0" w:line="19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ended April 30, 2021, the valuation allowance increased by approximately $1.0 million from the prior year primarily due an increase in the net deferred tax asset for which no tax benefit was provided.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 net deferred tax liability related to the tax effect of differences between financial reporting and tax basis of intangible assets that are not expected to reverse within the Company’s net operating loss carryforward periods. The utilization of indefinite lived net operating losses are limited to 80% of taxable income in an annual period.</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April 30, 2021, the Company has U.S. federal net operating losses of $24.3 million of which $16.4 million begins to expire in Fiscal 2026 through 2038, including $3.4 million which is subject to annual limitation under IRC § 382. The remaining U.S. federal net operating losses of $7.9 million have an indefinite carry-forward period. The U.S. federal capital loss carry-forward of $10.0 million expires in Fiscal 2023. U.S. federal R&amp;D credits of $0.7 million begin to expire in Fiscal 2036 through 2040. The Company also has state net operating loss carryforwards, and state tax credits that expire in various years and amounts.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fiscal year</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Additions based on positions taken in the current year</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positions taken in prior years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Decreases based on positions taken in prior years</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in statute of limitations</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(1,235)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0"/>
        </w:trPr>
        <w:tc>
          <w:tcPr>
            <w:tcW w:w="56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Balance at the end of the fiscal year</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1,354</w:t>
            </w:r>
          </w:p>
        </w:tc>
      </w:tr>
      <w:tr>
        <w:trPr>
          <w:trHeight w:val="20"/>
        </w:trPr>
        <w:tc>
          <w:tcPr>
            <w:tcW w:w="5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recognized $1.2 million of unrecognized benefits during the year ended April 30, 2021 in connection with the lapse of the statute of limitations. Approximately $1.1 million of this amount increased the net operating loss carryforwards which attracted a valuation allowance. The entire amount reflected in the above table at April 30, 2021, if recognized, would reduce our effective tax rate. As of April 30, 2021, and 2020, the Company had $0 and $119,000, respectively, accrued for the payment of interest and penalties. For the fiscal years ended April 30, 2021 and 2020, the Company recognized interest (income) and expense of $(119,000) and $60,000, respectively. Although it is difficult to predict or estimate the change in the Company’s unrecognized tax benefits over the next twelve months, the Company believes no additional amounts will be recognized in the next twelve months.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subject to taxation in the U.S. federal, various state and local, and foreign jurisdictions. The Company is no longer subject to examination of its U.S. federal income tax returns by the Internal Revenue Service for fiscal years 2017 and prior. The Company is no longer subject to examination by the taxing authorities in foreign jurisdictions for fiscal years 2017 and prior. Net operating losses and tax attributes generated by domestic and foreign entities in closed years and utilized in open years are subject to adjustment by the tax authorities.</w:t>
      </w:r>
    </w:p>
    <w:p>
      <w:pPr>
        <w:spacing w:after="0" w:line="171"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580" w:hanging="572"/>
        <w:spacing w:after="0" w:line="255"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2" w:lineRule="exact"/>
        <w:rPr>
          <w:rFonts w:ascii="Arial" w:cs="Arial" w:eastAsia="Arial" w:hAnsi="Arial"/>
          <w:sz w:val="18"/>
          <w:szCs w:val="18"/>
          <w:color w:val="auto"/>
        </w:rPr>
      </w:pPr>
    </w:p>
    <w:p>
      <w:pPr>
        <w:ind w:left="580"/>
        <w:spacing w:after="0" w:line="260"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85" w:lineRule="exact"/>
        <w:rPr>
          <w:rFonts w:ascii="Arial" w:cs="Arial" w:eastAsia="Arial" w:hAnsi="Arial"/>
          <w:sz w:val="18"/>
          <w:szCs w:val="18"/>
          <w:color w:val="auto"/>
        </w:rPr>
      </w:pPr>
    </w:p>
    <w:p>
      <w:pPr>
        <w:jc w:val="both"/>
        <w:ind w:left="580" w:hanging="572"/>
        <w:spacing w:after="0" w:line="28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accounting policies of the two segments are the same as those described in Note 1.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presents information about reported segments for each of the years ended April 30, 2021 and 2020, respectively, with reconciliation of segment amounts to consolidated amounts as reported in the consolidated statements of operations or the consolidated balance sheets for each of the years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2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For the Years Ended April 30,</w:t>
            </w:r>
          </w:p>
        </w:tc>
        <w:tc>
          <w:tcPr>
            <w:tcW w:w="0" w:type="dxa"/>
            <w:vAlign w:val="bottom"/>
          </w:tcPr>
          <w:p>
            <w:pPr>
              <w:spacing w:after="0"/>
              <w:rPr>
                <w:sz w:val="1"/>
                <w:szCs w:val="1"/>
                <w:color w:val="auto"/>
              </w:rPr>
            </w:pPr>
          </w:p>
        </w:tc>
      </w:tr>
      <w:tr>
        <w:trPr>
          <w:trHeight w:val="210"/>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FEI-NY</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42,400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31,751</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FEI-Zyfer</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13,835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16"/>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intersegment revenues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
        </w:trPr>
        <w:tc>
          <w:tcPr>
            <w:tcW w:w="570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380"/>
              <w:spacing w:after="0"/>
              <w:rPr>
                <w:sz w:val="20"/>
                <w:szCs w:val="20"/>
                <w:color w:val="auto"/>
              </w:rPr>
            </w:pPr>
            <w:r>
              <w:rPr>
                <w:rFonts w:ascii="Arial" w:cs="Arial" w:eastAsia="Arial" w:hAnsi="Arial"/>
                <w:sz w:val="18"/>
                <w:szCs w:val="18"/>
                <w:color w:val="auto"/>
              </w:rPr>
              <w:t>Consolidated revenues</w:t>
            </w: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54,254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41,507</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Operating (loss) income: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FEI-NY</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(9,910)</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FEI-Zyfer</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intersegment revenues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operating loss</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00" w:type="dxa"/>
            <w:vAlign w:val="bottom"/>
          </w:tcPr>
          <w:p>
            <w:pPr>
              <w:spacing w:after="0"/>
              <w:rPr>
                <w:sz w:val="24"/>
                <w:szCs w:val="24"/>
                <w:color w:val="auto"/>
              </w:rPr>
            </w:pPr>
          </w:p>
        </w:tc>
        <w:tc>
          <w:tcPr>
            <w:tcW w:w="32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For the Years Ended April 30,</w:t>
            </w:r>
          </w:p>
        </w:tc>
        <w:tc>
          <w:tcPr>
            <w:tcW w:w="0" w:type="dxa"/>
            <w:vAlign w:val="bottom"/>
          </w:tcPr>
          <w:p>
            <w:pPr>
              <w:spacing w:after="0"/>
              <w:rPr>
                <w:sz w:val="1"/>
                <w:szCs w:val="1"/>
                <w:color w:val="auto"/>
              </w:rPr>
            </w:pPr>
          </w:p>
        </w:tc>
      </w:tr>
      <w:tr>
        <w:trPr>
          <w:trHeight w:val="209"/>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Identifiable assets: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FEI-NY</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34,869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44,599</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FEI-Zyfer</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12,888</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16"/>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intersegment balances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38,259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41,919</w:t>
            </w:r>
          </w:p>
        </w:tc>
        <w:tc>
          <w:tcPr>
            <w:tcW w:w="0" w:type="dxa"/>
            <w:vAlign w:val="bottom"/>
          </w:tcPr>
          <w:p>
            <w:pPr>
              <w:spacing w:after="0"/>
              <w:rPr>
                <w:sz w:val="1"/>
                <w:szCs w:val="1"/>
                <w:color w:val="auto"/>
              </w:rPr>
            </w:pPr>
          </w:p>
        </w:tc>
      </w:tr>
      <w:tr>
        <w:trPr>
          <w:trHeight w:val="20"/>
        </w:trPr>
        <w:tc>
          <w:tcPr>
            <w:tcW w:w="57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identifiable assets</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86,016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91,276</w:t>
            </w:r>
          </w:p>
        </w:tc>
        <w:tc>
          <w:tcPr>
            <w:tcW w:w="0" w:type="dxa"/>
            <w:vAlign w:val="bottom"/>
          </w:tcPr>
          <w:p>
            <w:pPr>
              <w:spacing w:after="0"/>
              <w:rPr>
                <w:sz w:val="1"/>
                <w:szCs w:val="1"/>
                <w:color w:val="auto"/>
              </w:rPr>
            </w:pPr>
          </w:p>
        </w:tc>
      </w:tr>
      <w:tr>
        <w:trPr>
          <w:trHeight w:val="439"/>
        </w:trPr>
        <w:tc>
          <w:tcPr>
            <w:tcW w:w="5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 (allocated):</w:t>
            </w: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FEI-NY</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FEI-Zyfer</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7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70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380"/>
              <w:spacing w:after="0"/>
              <w:rPr>
                <w:sz w:val="20"/>
                <w:szCs w:val="20"/>
                <w:color w:val="auto"/>
              </w:rPr>
            </w:pPr>
            <w:r>
              <w:rPr>
                <w:rFonts w:ascii="Arial" w:cs="Arial" w:eastAsia="Arial" w:hAnsi="Arial"/>
                <w:sz w:val="18"/>
                <w:szCs w:val="18"/>
                <w:color w:val="auto"/>
              </w:rPr>
              <w:t>Consolidated depreciation and amortization expense</w:t>
            </w: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3,301</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2021 and 2020, approximately 91% and 83%, respectively, of the Company’s sales were made under contracts to the U.S. Government or subcontracts for U.S. Government end-use.</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Fiscal 2021 and 2020, revenues to three and four customers, respectively, of the FEI-NY segment accounted for more than 10% of that segment’s revenues. In Fiscal 2021 and 2020 two and four customers, respectively, also exceeded 10% of the Company’s consolidated revenues. In the FEI-Zyfer segment, three and two customers, respectively, accounted for more than 10% of that segment’s revenues in Fiscal 2021 and 2020.</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customers is mutually satisfactory. Sales to the major customers referenced above can include commercial and governmental end users.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For the years ended April 30, 2021 and 2020, revenues, based on the location of the procurement entity and excluding intersegment sales, were derived from the following countries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Brazil</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China</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Russia</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Taiwan</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1,765</w:t>
            </w: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372"/>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14.</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Product Warranties</w:t>
            </w:r>
          </w:p>
        </w:tc>
        <w:tc>
          <w:tcPr>
            <w:tcW w:w="4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As of April 30, 2021 and 2020, respectively, changes in the carrying amount of accrued product warranty costs, reported in accrued expenses on the consolidated balance sheets,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5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accrual</w:t>
            </w: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44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40" w:type="dxa"/>
            <w:vAlign w:val="bottom"/>
            <w:vMerge w:val="restart"/>
          </w:tcPr>
          <w:p>
            <w:pPr>
              <w:jc w:val="right"/>
              <w:ind w:right="990"/>
              <w:spacing w:after="0"/>
              <w:rPr>
                <w:sz w:val="20"/>
                <w:szCs w:val="20"/>
                <w:color w:val="auto"/>
              </w:rPr>
            </w:pPr>
            <w:r>
              <w:rPr>
                <w:rFonts w:ascii="Arial" w:cs="Arial" w:eastAsia="Arial" w:hAnsi="Arial"/>
                <w:sz w:val="18"/>
                <w:szCs w:val="18"/>
                <w:color w:val="auto"/>
              </w:rPr>
              <w:t>45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Other Comprehensive Income (Loss)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Changes in Accumulated Other Comprehensive Income (Loss) (“AOCI”) by component and reclassifications from AOCI to Other income (expense), net, for the years ended April 30, 2021 and 2020,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4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Change 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4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5"/>
              </w:rPr>
              <w:t>Market Value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4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4"/>
              </w:rPr>
              <w:t>of Marketable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24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5"/>
              </w:rPr>
              <w:t>Securities</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2019, net of taxes</w:t>
            </w:r>
          </w:p>
        </w:tc>
        <w:tc>
          <w:tcPr>
            <w:tcW w:w="246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Items of other comprehensive income (loss) before reclassification, pretax</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Items of other comprehensive income (loss) before reclassification, net of taxes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pretax **</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Tax effect</w:t>
            </w:r>
          </w:p>
        </w:tc>
        <w:tc>
          <w:tcPr>
            <w:tcW w:w="1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taxes</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Balance April 30, 2020, net of taxes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Items of other comprehensive income (loss) before reclassification, pretax</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Tax effect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8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Items of other comprehensive income (loss) before reclassification, net of taxes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Reclassification adjustments, pretax **</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80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other comprehensive income (loss), net of taxes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April 30, 2021, net of taxes</w:t>
            </w:r>
          </w:p>
        </w:tc>
        <w:tc>
          <w:tcPr>
            <w:tcW w:w="1680" w:type="dxa"/>
            <w:vAlign w:val="bottom"/>
            <w:tcBorders>
              <w:bottom w:val="single" w:sz="8" w:color="CCEEFF"/>
            </w:tcBorders>
            <w:gridSpan w:val="2"/>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reclassification adjustments represent net realized gains on the sale or redemption of available-for-sale marketable securities that were reclassified from AOCI to Other income (expense), net.</w:t>
      </w:r>
    </w:p>
    <w:p>
      <w:pPr>
        <w:spacing w:after="0" w:line="170"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January 28, 2020, Martin B. Bloch, the former Chief Scientist of the Company and a former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Electronics, Inc., et al</w:t>
      </w:r>
      <w:r>
        <w:rPr>
          <w:rFonts w:ascii="Arial" w:cs="Arial" w:eastAsia="Arial" w:hAnsi="Arial"/>
          <w:sz w:val="16"/>
          <w:szCs w:val="16"/>
          <w:color w:val="auto"/>
        </w:rPr>
        <w:t>., Index No. 601369/2020 (N.Y. Sup. Ct. filed Jan. 28, 2020)). Mr. Bloch sought compensatory damages and costs and attorney’s fees,</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based on allegations that he was wrongfully terminated “for cause” pursuant to his employment agreement, dated March 17, 2008 and that the Company and the Director Defendants discriminated against him based on his age. Mr. Bloch originally also sought a declaratory judgment and asserted claims for defamation and a derivative claim, purportedly on behalf of the Company alleging that the Director Defendants breached their fiduciary duty in rendering their decision to terminate Mr. Bloch’s employment with the Company. However, Mr. Bloch withdrew these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Mr. Bloch’s motion sought an order that the Company was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 The appeal is currently pending. The Company believes that the Board was justified in its decision to terminate Mr. Bloch “for cause” and that Mr. Bloch’s single surviving claim is entirely without merit. The Company intends to vigorously defend against all of Mr. Bloch’s allegations. At this time, the Company does not have sufficient information to determine whether liability, if any, arising out of these matters is probable or the possible loss, if any, that could result from an unfavorable outcome arising out of these matters.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 and 2020</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Mr. Bloch has initiated two arbitration proceedings under the AAA Rules (</w:t>
      </w:r>
      <w:r>
        <w:rPr>
          <w:rFonts w:ascii="Arial" w:cs="Arial" w:eastAsia="Arial" w:hAnsi="Arial"/>
          <w:sz w:val="18"/>
          <w:szCs w:val="18"/>
          <w:i w:val="1"/>
          <w:iCs w:val="1"/>
          <w:color w:val="auto"/>
        </w:rPr>
        <w:t>Bloch v. Frequency Electronics, Inc., the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 of the Board of Directors of Frequency Electronics, Inc., and the Deferred Compensation Plan Agreement Dated March 7, 2008</w:t>
      </w:r>
      <w:r>
        <w:rPr>
          <w:rFonts w:ascii="Arial" w:cs="Arial" w:eastAsia="Arial" w:hAnsi="Arial"/>
          <w:sz w:val="18"/>
          <w:szCs w:val="18"/>
          <w:color w:val="auto"/>
        </w:rPr>
        <w:t>). One</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arbitration purports to be brought under a deferred compensation agreement dated March 27, 1980 and the other under a second amended and restated deferred compensation agreement, dated March 7, 2008. Bloch submitted his Statement of Claim in one arbitration on May 4, 2020, and in the other arbitration on May 6, 2020. In each proceeding, Mr. Bloch claims that defendants violated ERISA rules by denying him deferred compensation benefits. He seeks an award for allegedly past due deferred compensation benefits plus interest, clarification as to his future rights to deferred compensation benefits, and attorneys’ fees and costs.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(Frequency Electronics, Inc. v. Martin B. Bloch, Index No. 611405/2020). In its order dated February 10, 2021 and entered on February 16, 2021, the Court denied the Company’s petition for a stay of arbitration and ordered the parties to proceed to arbitration. The Company appealed the court’s denial of its petition to stay arbitration on May 7, 2021. The appeal is currently pending. At this time, the Company does not have sufficient information to determine the likelihood of success of this appeal.</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On June 5, 2020, Mr. Bloch filed a petition against the Company, the Compensation Committee of the Company’s Board of Directors, and the Deferred Compensation Plan Agreement Dated March 7, 2008, as amended (“Respondents”), for the appointment of an arbitrator in one of the arbitration proceedings that Mr. Bloch initiated. The petition was filed in the Supreme Court of the State of New York, County of Nassau </w:t>
      </w:r>
      <w:r>
        <w:rPr>
          <w:rFonts w:ascii="Arial" w:cs="Arial" w:eastAsia="Arial" w:hAnsi="Arial"/>
          <w:sz w:val="16"/>
          <w:szCs w:val="16"/>
          <w:i w:val="1"/>
          <w:iCs w:val="1"/>
          <w:color w:val="auto"/>
        </w:rPr>
        <w:t>(Bloch v. 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Electronics, Inc. et al., </w:t>
      </w:r>
      <w:r>
        <w:rPr>
          <w:rFonts w:ascii="Arial" w:cs="Arial" w:eastAsia="Arial" w:hAnsi="Arial"/>
          <w:sz w:val="16"/>
          <w:szCs w:val="16"/>
          <w:color w:val="auto"/>
        </w:rPr>
        <w:t>Index No. 605380/2020 (N.Y. Sup. Ct. filed June 5, 2020)). On June 22, 2020, Respondents moved to dismiss Mr. Bloch’s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he opposed the motion on July 2, 2020. In its orders dated February 10, 2021 and entered on February 16, 2021, the Court granted Mr. Bloch’s petition for the appointment of an arbitrator, denied the Company’s motion to dismiss that petition, and denied a motion previously filed by the Company for an interim stay of arbitration. On May 11, 2021, Respondents appealed the Court’s decision granting Mr. Bloch’s petition for the appointment of an arbitrator and denying Respondents’ motion to dismiss that petition. The appeal is currently pending. Respondents dispute all of Bloch’s claims and intend to continue to vigorously defend the Company in the appeal. The likelihood of any outcome of this appeal cannot be determined at this time.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arbitration panel in the arbitrations initiated by Mr. Bloch was constituted in March 2021. The same panel serves in both arbitrations. On May 6, 2021, Respondents submitted a motion to dismiss the arbitrations on the grounds that Mr. Bloch’s claims are not arbitrable. The motion is fully briefed. The Panel heard oral argument on the motion on June 22, 2021, but has not yet ruled on it. Respondents dispute Mr. Bloch’s claims and intend to defend the arbitrations vigorously. The likelihood of any outcome of these arbitration proceedings cannot be determined at this 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April 30, 2021, the Company’s disclosure controls and procedures were effective at a reasonable assurance level.</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w:t>
      </w:r>
      <w:r>
        <w:rPr>
          <w:rFonts w:ascii="Arial" w:cs="Arial" w:eastAsia="Arial" w:hAnsi="Arial"/>
          <w:sz w:val="18"/>
          <w:szCs w:val="18"/>
          <w:color w:val="auto"/>
        </w:rPr>
        <w:t>’</w:t>
      </w:r>
      <w:r>
        <w:rPr>
          <w:rFonts w:ascii="Arial" w:cs="Arial" w:eastAsia="Arial" w:hAnsi="Arial"/>
          <w:sz w:val="18"/>
          <w:szCs w:val="18"/>
          <w:u w:val="single" w:color="auto"/>
          <w:color w:val="auto"/>
        </w:rPr>
        <w:t>s Annual Report on Internal Control over Financial Reporting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April 30, 2021. In making this assessment, management used the criteria established in Internal Control—Integrated Framework (2013) issued by the Committee of Sponsoring Organizations of the Treadway Commission. Based on this evaluation, management has concluded that the Company’s internal control over financial reporting was effective as of April 30, 2021.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Reporting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result of a provision of the Dodd-Frank Wall Street Reform and Consumer Protection Act of 2010, which, among other things, permanently exempted non-accelerated filers, such as us, from complying with the requirements of Section 404(b) of the Sarbanes-Oxley Act of 2002, which requires an issuer to include an attestation report from an issuer’s independent registered public accounting firm on the issuer’s internal control over financial reporting, this annual report on Form 10-K does not include an attestation report of our registered public accounting firm regarding our internal control over financial reporting.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fiscal quarter ended April 30, 2021 that have materially affected, or are reasonably likely to materially affect,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information required to be furnished pursuant to this item with respect to Directors of the Company, compliance with Section 16(a) of the Exchange Act, the Company’s code of ethics and certain corporate governance matters is incorporated herein by reference from the Company’s definitive proxy statement to be filed no later than 120 days after April 30, 2021, for the annual meeting of stockholders to be held on or about October 6, 2021 (the “2021 Proxy Statement”). See “Election of Directors,” “Delinquent Section 16(a) Reports,” “Corporate Governance Matters – Code of Ethics,” and “Certain Information as to Committees and Meetings of the Board” from the Company’s 2021 Proxy Statement. The information required to be furnished pursuant to this item with respect to Executive Officers is set forth, pursuant to General Instruction G(3) of Form 10-K, under Part I of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2021 Proxy Statement under “Election of Directors” and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2021 Proxy Statement under “Executive Compensation” and “Stock Ownership of Certain Beneficial Owners and Management.”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Arial" w:cs="Arial" w:eastAsia="Arial" w:hAnsi="Arial"/>
                <w:sz w:val="18"/>
                <w:szCs w:val="18"/>
                <w:color w:val="auto"/>
              </w:rPr>
              <w:t>EQUITY COMPENSATION PLAN INFORMATION</w:t>
            </w: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Number of securities</w:t>
            </w: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to be issued upon exercise</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outstanding options,</w:t>
            </w:r>
          </w:p>
        </w:tc>
        <w:tc>
          <w:tcPr>
            <w:tcW w:w="180" w:type="dxa"/>
            <w:vAlign w:val="bottom"/>
          </w:tcPr>
          <w:p>
            <w:pPr>
              <w:spacing w:after="0"/>
              <w:rPr>
                <w:sz w:val="18"/>
                <w:szCs w:val="18"/>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Weighted-average</w:t>
            </w: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future issuance under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warrants and rights</w:t>
            </w:r>
          </w:p>
        </w:tc>
        <w:tc>
          <w:tcPr>
            <w:tcW w:w="180" w:type="dxa"/>
            <w:vAlign w:val="bottom"/>
          </w:tcPr>
          <w:p>
            <w:pPr>
              <w:spacing w:after="0"/>
              <w:rPr>
                <w:sz w:val="18"/>
                <w:szCs w:val="18"/>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exercise price of</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equity compensation plans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and vesting of</w:t>
            </w:r>
          </w:p>
        </w:tc>
        <w:tc>
          <w:tcPr>
            <w:tcW w:w="180" w:type="dxa"/>
            <w:vAlign w:val="bottom"/>
          </w:tcPr>
          <w:p>
            <w:pPr>
              <w:spacing w:after="0"/>
              <w:rPr>
                <w:sz w:val="18"/>
                <w:szCs w:val="18"/>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outstanding options,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3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RSU's and PSU's</w:t>
            </w:r>
          </w:p>
        </w:tc>
        <w:tc>
          <w:tcPr>
            <w:tcW w:w="180" w:type="dxa"/>
            <w:vAlign w:val="bottom"/>
          </w:tcPr>
          <w:p>
            <w:pPr>
              <w:spacing w:after="0"/>
              <w:rPr>
                <w:sz w:val="20"/>
                <w:szCs w:val="20"/>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warrants and rights</w:t>
            </w: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28"/>
        </w:trPr>
        <w:tc>
          <w:tcPr>
            <w:tcW w:w="41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Equity Compensation Plans</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Approved by Security Holders (1)</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672,000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920" w:firstLine="8"/>
        <w:spacing w:after="0" w:line="500" w:lineRule="auto"/>
        <w:tabs>
          <w:tab w:leader="none" w:pos="3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Company’s equity compensation plans are described in Note 11 to the Consolidated Financial Statements. </w:t>
      </w:r>
      <w:r>
        <w:rPr>
          <w:rFonts w:ascii="Arial" w:cs="Arial" w:eastAsia="Arial" w:hAnsi="Arial"/>
          <w:sz w:val="18"/>
          <w:szCs w:val="18"/>
          <w:u w:val="single" w:color="auto"/>
          <w:color w:val="auto"/>
        </w:rPr>
        <w:t>Item 13. Certain Relationships and Related Transactions, and Director Independence</w:t>
      </w:r>
    </w:p>
    <w:p>
      <w:pPr>
        <w:spacing w:after="0" w:line="1" w:lineRule="exact"/>
        <w:rPr>
          <w:rFonts w:ascii="Arial" w:cs="Arial" w:eastAsia="Arial" w:hAnsi="Arial"/>
          <w:sz w:val="18"/>
          <w:szCs w:val="18"/>
          <w:color w:val="auto"/>
        </w:rPr>
      </w:pPr>
    </w:p>
    <w:p>
      <w:pPr>
        <w:ind w:right="1960" w:firstLine="648"/>
        <w:spacing w:after="0" w:line="500" w:lineRule="auto"/>
        <w:rPr>
          <w:rFonts w:ascii="Arial" w:cs="Arial" w:eastAsia="Arial" w:hAnsi="Arial"/>
          <w:sz w:val="18"/>
          <w:szCs w:val="18"/>
          <w:color w:val="auto"/>
        </w:rPr>
      </w:pPr>
      <w:r>
        <w:rPr>
          <w:rFonts w:ascii="Arial" w:cs="Arial" w:eastAsia="Arial" w:hAnsi="Arial"/>
          <w:sz w:val="18"/>
          <w:szCs w:val="18"/>
          <w:color w:val="auto"/>
        </w:rPr>
        <w:t xml:space="preserve">This item is incorporated herein by reference from the Company’s 2021 Proxy Statement under “Election of Directors.” </w:t>
      </w:r>
      <w:r>
        <w:rPr>
          <w:rFonts w:ascii="Arial" w:cs="Arial" w:eastAsia="Arial" w:hAnsi="Arial"/>
          <w:sz w:val="18"/>
          <w:szCs w:val="18"/>
          <w:u w:val="single" w:color="auto"/>
          <w:color w:val="auto"/>
        </w:rPr>
        <w:t>Item 14. Principal Accountant Fees and Services</w:t>
      </w:r>
    </w:p>
    <w:p>
      <w:pPr>
        <w:spacing w:after="0" w:line="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2021 Proxy Statement under “Appointment of Independent Registered Public Accounting Firm” and “Report of the Audit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25"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exhibits are listed below and are filed as part of this report.</w:t>
      </w:r>
    </w:p>
    <w:p>
      <w:pPr>
        <w:spacing w:after="0" w:line="225"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Included in Part II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6"/>
            <w:vMerge w:val="restart"/>
          </w:tcPr>
          <w:p>
            <w:pPr>
              <w:ind w:left="660"/>
              <w:spacing w:after="0"/>
              <w:rPr>
                <w:sz w:val="20"/>
                <w:szCs w:val="20"/>
                <w:color w:val="auto"/>
              </w:rPr>
            </w:pPr>
            <w:r>
              <w:rPr>
                <w:rFonts w:ascii="Arial" w:cs="Arial" w:eastAsia="Arial" w:hAnsi="Arial"/>
                <w:sz w:val="18"/>
                <w:szCs w:val="18"/>
                <w:color w:val="auto"/>
              </w:rPr>
              <w:t>Report of Independent Registered Public Accounting Firm</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Page(s)</w:t>
            </w:r>
          </w:p>
        </w:tc>
        <w:tc>
          <w:tcPr>
            <w:tcW w:w="0" w:type="dxa"/>
            <w:vAlign w:val="bottom"/>
          </w:tcPr>
          <w:p>
            <w:pPr>
              <w:spacing w:after="0"/>
              <w:rPr>
                <w:sz w:val="1"/>
                <w:szCs w:val="1"/>
                <w:color w:val="auto"/>
              </w:rPr>
            </w:pPr>
          </w:p>
        </w:tc>
      </w:tr>
      <w:tr>
        <w:trPr>
          <w:trHeight w:val="224"/>
        </w:trPr>
        <w:tc>
          <w:tcPr>
            <w:tcW w:w="9340" w:type="dxa"/>
            <w:vAlign w:val="bottom"/>
            <w:gridSpan w:val="6"/>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403"/>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Consolidated Balance Sheets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 April 30, 2021 and 2020</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8"/>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Consolidated Statements of Operations and Comprehensive Income (Loss)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 years ended April 30, 2021 and 2020</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Consolidated Statements of Cash Flows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 years ended April 30, 2021 and 2020</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418"/>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Consolidated Statements of Changes in Stockholders’ Equity</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 years ended April 30, 2021 and 2020</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Notes to Consolidated Financial Statements</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432"/>
        </w:trPr>
        <w:tc>
          <w:tcPr>
            <w:tcW w:w="9340" w:type="dxa"/>
            <w:vAlign w:val="bottom"/>
            <w:gridSpan w:val="6"/>
          </w:tcPr>
          <w:p>
            <w:pPr>
              <w:ind w:left="660"/>
              <w:spacing w:after="0"/>
              <w:rPr>
                <w:sz w:val="20"/>
                <w:szCs w:val="20"/>
                <w:color w:val="auto"/>
              </w:rPr>
            </w:pPr>
            <w:r>
              <w:rPr>
                <w:rFonts w:ascii="Arial" w:cs="Arial" w:eastAsia="Arial" w:hAnsi="Arial"/>
                <w:sz w:val="18"/>
                <w:szCs w:val="18"/>
                <w:color w:val="auto"/>
              </w:rPr>
              <w:t>(2) EXHIBITS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20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72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rPr>
              <w:t>Description of Exhibit</w:t>
            </w:r>
          </w:p>
        </w:tc>
        <w:tc>
          <w:tcPr>
            <w:tcW w:w="200" w:type="dxa"/>
            <w:vAlign w:val="bottom"/>
          </w:tcPr>
          <w:p>
            <w:pPr>
              <w:spacing w:after="0"/>
              <w:rPr>
                <w:sz w:val="20"/>
                <w:szCs w:val="20"/>
                <w:color w:val="auto"/>
              </w:rPr>
            </w:pPr>
          </w:p>
        </w:tc>
        <w:tc>
          <w:tcPr>
            <w:tcW w:w="17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NOTE</w:t>
            </w:r>
          </w:p>
        </w:tc>
        <w:tc>
          <w:tcPr>
            <w:tcW w:w="0" w:type="dxa"/>
            <w:vAlign w:val="bottom"/>
          </w:tcPr>
          <w:p>
            <w:pPr>
              <w:spacing w:after="0"/>
              <w:rPr>
                <w:sz w:val="1"/>
                <w:szCs w:val="1"/>
                <w:color w:val="auto"/>
              </w:rPr>
            </w:pPr>
          </w:p>
        </w:tc>
      </w:tr>
      <w:tr>
        <w:trPr>
          <w:trHeight w:val="385"/>
        </w:trPr>
        <w:tc>
          <w:tcPr>
            <w:tcW w:w="1360" w:type="dxa"/>
            <w:vAlign w:val="bottom"/>
          </w:tcPr>
          <w:p>
            <w:pPr>
              <w:ind w:left="5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7780" w:type="dxa"/>
            <w:vAlign w:val="bottom"/>
            <w:tcBorders>
              <w:bottom w:val="single" w:sz="8" w:color="0000EE"/>
            </w:tcBorders>
            <w:gridSpan w:val="4"/>
          </w:tcPr>
          <w:p>
            <w:pPr>
              <w:spacing w:after="0"/>
              <w:rPr>
                <w:rFonts w:ascii="Arial" w:cs="Arial" w:eastAsia="Arial" w:hAnsi="Arial"/>
                <w:sz w:val="18"/>
                <w:szCs w:val="18"/>
                <w:color w:val="0000EE"/>
              </w:rPr>
            </w:pPr>
            <w:hyperlink r:id="rId61">
              <w:r>
                <w:rPr>
                  <w:rFonts w:ascii="Arial" w:cs="Arial" w:eastAsia="Arial" w:hAnsi="Arial"/>
                  <w:sz w:val="18"/>
                  <w:szCs w:val="18"/>
                  <w:color w:val="0000EE"/>
                </w:rPr>
                <w:t>Stock Purchase Agreement, dated as of February 21, 2012, by and among the Registrant, Elcom</w:t>
              </w:r>
            </w:hyperlink>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(11)</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Technologies Inc. and the stockholders of Elcom Technologies Inc. identified on the signature pages thereto</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60" w:type="dxa"/>
            <w:vAlign w:val="bottom"/>
          </w:tcPr>
          <w:p>
            <w:pPr>
              <w:ind w:left="5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Copy of Certificate of Incorporation of the Registrant filed with the Secretary of State of Delaware</w:t>
            </w:r>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w w:val="94"/>
              </w:rPr>
              <w:t>Amendment to Certificate of Incorporation of the Registrant filed with the Secretary of State of Delaware</w:t>
            </w:r>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on March 27, 1981</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w w:val="94"/>
              </w:rPr>
              <w:t>Amendment to Certificate of Incorporation of the Registrant filed with Secretary of State of Delaware on</w:t>
            </w:r>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October 26, 1984</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w w:val="94"/>
              </w:rPr>
              <w:t>Amendment to Certificate of Incorporation of the Registrant filed with the Secretary of State of Delaware</w:t>
            </w:r>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on October 22, 1986</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w w:val="95"/>
              </w:rPr>
              <w:t>Amended and Restated Certificate of Incorporation of the Registrant filed with the Secretary of State of</w:t>
            </w:r>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Delaware on October 26, 1987</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5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w w:val="96"/>
              </w:rPr>
              <w:t>Amended Certificate of Incorporation of the Company filed with the Secretary of State of Delaware on</w:t>
            </w:r>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November 2, 1989</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360" w:type="dxa"/>
            <w:vAlign w:val="bottom"/>
          </w:tcPr>
          <w:p>
            <w:pPr>
              <w:ind w:left="5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4560" w:type="dxa"/>
            <w:vAlign w:val="bottom"/>
            <w:tcBorders>
              <w:bottom w:val="single" w:sz="8" w:color="0000EE"/>
            </w:tcBorders>
            <w:gridSpan w:val="2"/>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Amended and Restated By-Laws of the Registrant, as amended</w:t>
              </w:r>
            </w:hyperlink>
          </w:p>
        </w:tc>
        <w:tc>
          <w:tcPr>
            <w:tcW w:w="3220" w:type="dxa"/>
            <w:vAlign w:val="bottom"/>
            <w:gridSpan w:val="2"/>
          </w:tcPr>
          <w:p>
            <w:pPr>
              <w:spacing w:after="0"/>
              <w:rPr>
                <w:sz w:val="24"/>
                <w:szCs w:val="24"/>
                <w:color w:val="auto"/>
              </w:rPr>
            </w:pPr>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453"/>
        </w:trPr>
        <w:tc>
          <w:tcPr>
            <w:tcW w:w="1360" w:type="dxa"/>
            <w:vAlign w:val="bottom"/>
          </w:tcPr>
          <w:p>
            <w:pPr>
              <w:ind w:left="5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Specimen of Common Stock certificate</w:t>
            </w:r>
          </w:p>
        </w:tc>
        <w:tc>
          <w:tcPr>
            <w:tcW w:w="190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391"/>
        </w:trPr>
        <w:tc>
          <w:tcPr>
            <w:tcW w:w="1360" w:type="dxa"/>
            <w:vAlign w:val="bottom"/>
          </w:tcPr>
          <w:p>
            <w:pPr>
              <w:ind w:left="58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2060" w:type="dxa"/>
            <w:vAlign w:val="bottom"/>
            <w:tcBorders>
              <w:bottom w:val="single" w:sz="8" w:color="0000EE"/>
            </w:tcBorders>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Description of Capital Stock</w:t>
              </w:r>
            </w:hyperlink>
          </w:p>
        </w:tc>
        <w:tc>
          <w:tcPr>
            <w:tcW w:w="572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23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Table of Contents</w:t>
              </w:r>
            </w:hyperlink>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Exhibit No. in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this Form 10-K</w:t>
            </w:r>
          </w:p>
        </w:tc>
        <w:tc>
          <w:tcPr>
            <w:tcW w:w="20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12"/>
          </w:tcPr>
          <w:p>
            <w:pPr>
              <w:ind w:left="660"/>
              <w:spacing w:after="0"/>
              <w:rPr>
                <w:sz w:val="20"/>
                <w:szCs w:val="20"/>
                <w:color w:val="auto"/>
              </w:rPr>
            </w:pPr>
            <w:r>
              <w:rPr>
                <w:rFonts w:ascii="Arial" w:cs="Arial" w:eastAsia="Arial" w:hAnsi="Arial"/>
                <w:sz w:val="18"/>
                <w:szCs w:val="18"/>
                <w:b w:val="1"/>
                <w:bCs w:val="1"/>
                <w:color w:val="auto"/>
              </w:rPr>
              <w:t>Description of Exhibit</w:t>
            </w:r>
          </w:p>
        </w:tc>
        <w:tc>
          <w:tcPr>
            <w:tcW w:w="2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NOTE</w:t>
            </w:r>
          </w:p>
        </w:tc>
      </w:tr>
      <w:tr>
        <w:trPr>
          <w:trHeight w:val="385"/>
        </w:trPr>
        <w:tc>
          <w:tcPr>
            <w:tcW w:w="128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tcBorders>
              <w:bottom w:val="single" w:sz="8" w:color="0000EE"/>
            </w:tcBorders>
            <w:gridSpan w:val="9"/>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Employment agreement, dated as of March 17, 2008, between Registrant and Martin Bloch</w:t>
              </w:r>
            </w:hyperlink>
          </w:p>
        </w:tc>
        <w:tc>
          <w:tcPr>
            <w:tcW w:w="1200" w:type="dxa"/>
            <w:vAlign w:val="bottom"/>
            <w:gridSpan w:val="6"/>
          </w:tcPr>
          <w:p>
            <w:pPr>
              <w:spacing w:after="0"/>
              <w:rPr>
                <w:sz w:val="24"/>
                <w:szCs w:val="24"/>
                <w:color w:val="auto"/>
              </w:rPr>
            </w:pP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(4)</w:t>
            </w: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EE"/>
            </w:tcBorders>
            <w:gridSpan w:val="15"/>
          </w:tcPr>
          <w:p>
            <w:pPr>
              <w:spacing w:after="0"/>
              <w:rPr>
                <w:rFonts w:ascii="Arial" w:cs="Arial" w:eastAsia="Arial" w:hAnsi="Arial"/>
                <w:sz w:val="18"/>
                <w:szCs w:val="18"/>
                <w:color w:val="0000EE"/>
                <w:w w:val="92"/>
              </w:rPr>
            </w:pPr>
            <w:hyperlink r:id="rId65">
              <w:r>
                <w:rPr>
                  <w:rFonts w:ascii="Arial" w:cs="Arial" w:eastAsia="Arial" w:hAnsi="Arial"/>
                  <w:sz w:val="18"/>
                  <w:szCs w:val="18"/>
                  <w:color w:val="0000EE"/>
                  <w:w w:val="92"/>
                </w:rPr>
                <w:t>Settlement Agreement dated as of September 13, 2016, by and among Registrant, Privet Fund LP, Privet</w:t>
              </w:r>
            </w:hyperlink>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(14)</w:t>
            </w: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15"/>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Fund Management LLC, Ryan J. Levenson and General Lance W. Lord</w:t>
              </w:r>
            </w:hyperlink>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Frequency Electronics, Inc. 2005 Stock Plan</w:t>
              </w:r>
            </w:hyperlink>
          </w:p>
        </w:tc>
        <w:tc>
          <w:tcPr>
            <w:tcW w:w="1920" w:type="dxa"/>
            <w:vAlign w:val="bottom"/>
            <w:tcBorders>
              <w:top w:val="single" w:sz="8" w:color="0000EE"/>
            </w:tcBorders>
            <w:gridSpan w:val="3"/>
          </w:tcPr>
          <w:p>
            <w:pPr>
              <w:spacing w:after="0"/>
              <w:rPr>
                <w:sz w:val="24"/>
                <w:szCs w:val="24"/>
                <w:color w:val="auto"/>
              </w:rPr>
            </w:pPr>
          </w:p>
        </w:tc>
        <w:tc>
          <w:tcPr>
            <w:tcW w:w="2640" w:type="dxa"/>
            <w:vAlign w:val="bottom"/>
            <w:gridSpan w:val="7"/>
          </w:tcPr>
          <w:p>
            <w:pPr>
              <w:spacing w:after="0"/>
              <w:rPr>
                <w:sz w:val="24"/>
                <w:szCs w:val="24"/>
                <w:color w:val="auto"/>
              </w:rPr>
            </w:pP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(16)</w:t>
            </w: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8"/>
                <w:szCs w:val="18"/>
                <w:color w:val="0000EE"/>
                <w:w w:val="94"/>
              </w:rPr>
            </w:pPr>
            <w:hyperlink r:id="rId67">
              <w:r>
                <w:rPr>
                  <w:rFonts w:ascii="Arial" w:cs="Arial" w:eastAsia="Arial" w:hAnsi="Arial"/>
                  <w:sz w:val="18"/>
                  <w:szCs w:val="18"/>
                  <w:color w:val="0000EE"/>
                  <w:w w:val="94"/>
                </w:rPr>
                <w:t>Lease Agreement between Registrant and Reckson Operating Partnership, L.P. dated January 6, 1998</w:t>
              </w:r>
            </w:hyperlink>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(15)</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First Amendment to Lease Amendment between Registrant and RA 55 CLB LLC (as successor-in-interest</w:t>
              </w:r>
            </w:hyperlink>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(17)</w:t>
            </w: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to Reckson Operating Partnership, L.P.) dated July 25, 2018</w:t>
              </w:r>
            </w:hyperlink>
          </w:p>
        </w:tc>
        <w:tc>
          <w:tcPr>
            <w:tcW w:w="34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38"/>
        </w:trPr>
        <w:tc>
          <w:tcPr>
            <w:tcW w:w="128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Arial" w:cs="Arial" w:eastAsia="Arial" w:hAnsi="Arial"/>
                <w:sz w:val="18"/>
                <w:szCs w:val="18"/>
                <w:color w:val="auto"/>
                <w:w w:val="95"/>
              </w:rPr>
              <w:t>Registrant’s Cash or Deferral Profit Sharing Plan and Trust under Internal Revenue Code Section 401,</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(6)</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15"/>
          </w:tcPr>
          <w:p>
            <w:pPr>
              <w:spacing w:after="0"/>
              <w:rPr>
                <w:sz w:val="20"/>
                <w:szCs w:val="20"/>
                <w:color w:val="auto"/>
              </w:rPr>
            </w:pPr>
            <w:r>
              <w:rPr>
                <w:rFonts w:ascii="Arial" w:cs="Arial" w:eastAsia="Arial" w:hAnsi="Arial"/>
                <w:sz w:val="18"/>
                <w:szCs w:val="18"/>
                <w:color w:val="auto"/>
              </w:rPr>
              <w:t>dated April 1, 1985</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Arial" w:cs="Arial" w:eastAsia="Arial" w:hAnsi="Arial"/>
                <w:sz w:val="18"/>
                <w:szCs w:val="18"/>
                <w:color w:val="auto"/>
                <w:w w:val="96"/>
              </w:rPr>
              <w:t>Amendment dated Jan. 1, 1988 to Registrant’s Cash or Deferred Profit Sharing Plan and Trust under</w:t>
            </w: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(8)</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80" w:type="dxa"/>
            <w:vAlign w:val="bottom"/>
            <w:gridSpan w:val="15"/>
          </w:tcPr>
          <w:p>
            <w:pPr>
              <w:spacing w:after="0"/>
              <w:rPr>
                <w:sz w:val="20"/>
                <w:szCs w:val="20"/>
                <w:color w:val="auto"/>
              </w:rPr>
            </w:pPr>
            <w:r>
              <w:rPr>
                <w:rFonts w:ascii="Arial" w:cs="Arial" w:eastAsia="Arial" w:hAnsi="Arial"/>
                <w:sz w:val="18"/>
                <w:szCs w:val="18"/>
                <w:color w:val="auto"/>
              </w:rPr>
              <w:t>Section 401 of Internal Revenue Code</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1"/>
        </w:trPr>
        <w:tc>
          <w:tcPr>
            <w:tcW w:w="128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Borders>
              <w:bottom w:val="single" w:sz="8" w:color="0000EE"/>
            </w:tcBorders>
            <w:gridSpan w:val="4"/>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Form of Deferred Compensation Agreement</w:t>
              </w:r>
            </w:hyperlink>
          </w:p>
        </w:tc>
        <w:tc>
          <w:tcPr>
            <w:tcW w:w="4580" w:type="dxa"/>
            <w:vAlign w:val="bottom"/>
            <w:gridSpan w:val="11"/>
          </w:tcPr>
          <w:p>
            <w:pPr>
              <w:spacing w:after="0"/>
              <w:rPr>
                <w:sz w:val="24"/>
                <w:szCs w:val="24"/>
                <w:color w:val="auto"/>
              </w:rPr>
            </w:pP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(18)</w:t>
            </w: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8"/>
                <w:szCs w:val="18"/>
                <w:color w:val="0000EE"/>
              </w:rPr>
            </w:pPr>
            <w:hyperlink r:id="rId70">
              <w:r>
                <w:rPr>
                  <w:rFonts w:ascii="Arial" w:cs="Arial" w:eastAsia="Arial" w:hAnsi="Arial"/>
                  <w:sz w:val="18"/>
                  <w:szCs w:val="18"/>
                  <w:color w:val="0000EE"/>
                </w:rPr>
                <w:t>Form of Stock Appreciation Rights Agreement</w:t>
              </w:r>
            </w:hyperlink>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(19)</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41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8"/>
                <w:szCs w:val="18"/>
                <w:color w:val="0000EE"/>
              </w:rPr>
            </w:pPr>
            <w:hyperlink r:id="rId71">
              <w:r>
                <w:rPr>
                  <w:rFonts w:ascii="Arial" w:cs="Arial" w:eastAsia="Arial" w:hAnsi="Arial"/>
                  <w:sz w:val="18"/>
                  <w:szCs w:val="18"/>
                  <w:color w:val="0000EE"/>
                </w:rPr>
                <w:t>Employment Agreement effective as of May 1, 2018, between Stanton Sloane and the Registrant</w:t>
              </w:r>
            </w:hyperlink>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(21)</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580" w:type="dxa"/>
            <w:vAlign w:val="bottom"/>
            <w:gridSpan w:val="7"/>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80" w:type="dxa"/>
            <w:vAlign w:val="bottom"/>
            <w:tcBorders>
              <w:bottom w:val="single" w:sz="8" w:color="0000EE"/>
            </w:tcBorders>
            <w:gridSpan w:val="11"/>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Promissory Note, dated April 12, 2020, by and between Registrant and JPMorgan Chase Bank, N.A.</w:t>
              </w:r>
            </w:hyperlink>
          </w:p>
        </w:tc>
        <w:tc>
          <w:tcPr>
            <w:tcW w:w="500" w:type="dxa"/>
            <w:vAlign w:val="bottom"/>
            <w:gridSpan w:val="4"/>
          </w:tcPr>
          <w:p>
            <w:pPr>
              <w:spacing w:after="0"/>
              <w:rPr>
                <w:sz w:val="24"/>
                <w:szCs w:val="24"/>
                <w:color w:val="auto"/>
              </w:rPr>
            </w:pPr>
          </w:p>
        </w:tc>
        <w:tc>
          <w:tcPr>
            <w:tcW w:w="19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(23)</w:t>
            </w:r>
          </w:p>
        </w:tc>
      </w:tr>
      <w:tr>
        <w:trPr>
          <w:trHeight w:val="41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List of Subsidiaries of Registrant</w:t>
              </w:r>
            </w:hyperlink>
          </w:p>
        </w:tc>
        <w:tc>
          <w:tcPr>
            <w:tcW w:w="5400" w:type="dxa"/>
            <w:vAlign w:val="bottom"/>
            <w:gridSpan w:val="12"/>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Consent of BDO USA, LLP</w:t>
              </w:r>
            </w:hyperlink>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Certification of the Chief Executive Officer pursuant to Section 302 of the Sarbanes-Oxley Act of 2002</w:t>
              </w:r>
            </w:hyperlink>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of the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1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Certifications of the Chief Executive Officer and Chief Financial Officer pursuant to Section 906 of the</w:t>
              </w:r>
            </w:hyperlink>
          </w:p>
        </w:tc>
        <w:tc>
          <w:tcPr>
            <w:tcW w:w="2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Sarbanes-Oxley Act of 2002</w:t>
              </w:r>
            </w:hyperlink>
          </w:p>
        </w:tc>
        <w:tc>
          <w:tcPr>
            <w:tcW w:w="5720" w:type="dxa"/>
            <w:vAlign w:val="bottom"/>
            <w:gridSpan w:val="13"/>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29" w:lineRule="exact"/>
        <w:rPr>
          <w:sz w:val="20"/>
          <w:szCs w:val="20"/>
          <w:color w:val="auto"/>
        </w:rPr>
      </w:pPr>
    </w:p>
    <w:p>
      <w:pPr>
        <w:jc w:val="both"/>
        <w:ind w:left="1560" w:right="1900" w:hanging="1012"/>
        <w:spacing w:after="0" w:line="257" w:lineRule="auto"/>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the Frequency Electronics, Inc. Annual Report on Form 10-K for the fiscal year ended April 30, 2021 formatted in eXtensible Business Reporting Language (XBRL): (i) Consolidated Balance Sheets, (ii) Consolidated Statements of Operations and Comprehensive Income (loss), (iii) Consolidated Statements of Cash Flows, (iv) Consolidated Statements of Changes in Stockholders’ Equity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Denoted compensatory plans or arrangements or management contracts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NOTES:</w:t>
      </w:r>
    </w:p>
    <w:p>
      <w:pPr>
        <w:spacing w:after="0" w:line="225" w:lineRule="exact"/>
        <w:rPr>
          <w:rFonts w:ascii="Arial" w:cs="Arial" w:eastAsia="Arial" w:hAnsi="Arial"/>
          <w:sz w:val="18"/>
          <w:szCs w:val="18"/>
          <w:color w:val="auto"/>
        </w:rPr>
      </w:pPr>
    </w:p>
    <w:p>
      <w:pPr>
        <w:ind w:left="1520" w:hanging="662"/>
        <w:spacing w:after="0" w:line="258"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spacing w:after="0" w:line="1" w:lineRule="exact"/>
        <w:rPr>
          <w:rFonts w:ascii="Arial" w:cs="Arial" w:eastAsia="Arial" w:hAnsi="Arial"/>
          <w:sz w:val="18"/>
          <w:szCs w:val="18"/>
          <w:color w:val="auto"/>
        </w:rPr>
      </w:pP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3.2 to the registration statement of Registrant on Form S-1, File No. 2-71727, which exhibit is incorporated herein by reference.</w:t>
      </w:r>
    </w:p>
    <w:p>
      <w:pPr>
        <w:ind w:left="1520" w:hanging="662"/>
        <w:spacing w:after="0"/>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20" w:right="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Registrant on Form 8-K, File No. 1-08061, on May 4, 2018,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3.3 to the annual report of Registrant on Form 10-K, File No. 1-8061, for the year ended April 30, 1985,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10.16 to the annual report of Registrant on Form 10-K, File No. 1-8061, for the year ended April 30, 1986,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3.4 to the annual report of Registrant on Form 10-K, File No. 1-8061, for the year ended April 30, 1987,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10.24 to the annual report of Registrant on Form 10-K, File No. 1-8061, for the year ended April 30, 1989,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ind w:left="1520" w:hanging="662"/>
        <w:spacing w:after="0"/>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2.1 to the current report of Registrant on Form 8-K, File No. 1-8061, on February 27, 2012, which exhibit is incorporated herein by reference.</w:t>
      </w:r>
    </w:p>
    <w:p>
      <w:pPr>
        <w:ind w:left="1520" w:hanging="662"/>
        <w:spacing w:after="0"/>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3.1 to a current report of the Registrant on Form 8-K, File No. 1-8061, on June 25, 2020,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the Registrant on Form 8-K, File No. 1-8061, on September 16, 2016,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10.13 to the annual report of Registrant on Form 10-K, File No. 1-8061, for the year ended April 30, 1998,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the Registrant on Form 8-K, File No. 1-8061, on October 4, 2005,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10.13 to the annual report of Registrant on Form 10-K, File No. 1-8061, for the year ended April 30, 2018,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10.17 to Amendment No. 1 on Form 10-K/A to the annual report of Registrant on Form 10-K, File No. 1-8061, for the year ended April 30, 2018,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10.18 to Amendment No. 1 on Form 10-K/A to the annual report of Registrant on Form 10-K, File No. 1-8061, for the year ended April 30, 2018, which exhibit is incorporated herein by reference.</w:t>
      </w:r>
    </w:p>
    <w:p>
      <w:pPr>
        <w:ind w:left="1520" w:hanging="662"/>
        <w:spacing w:after="0"/>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20" w:right="4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10.11 to the annual report of the Registrant on Form 10-K, File No. 1-8061, for the year ended April 30, 2019, which exhibit is incorporated herein by reference.</w:t>
      </w:r>
    </w:p>
    <w:p>
      <w:pPr>
        <w:ind w:left="1520" w:hanging="662"/>
        <w:spacing w:after="0" w:line="25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16.1 to a current report of the Registrant on Form 8-K, File No. 1-8061, on July 30, 2019, which exhibit is incorporated herein by reference.</w:t>
      </w:r>
    </w:p>
    <w:p>
      <w:pPr>
        <w:ind w:left="1520" w:hanging="662"/>
        <w:spacing w:after="0" w:line="260" w:lineRule="auto"/>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Filed with the SEC as Exhibit 10.11 to the annual report of the Registrant on Form 10-K, File No. 1-8061, for the year ended April 30, 2020, which exhibit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FREQUENCY ELECTRONICS, INC.</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 /s/ Stanton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863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Stanton Sloane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863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Steven L. Bernstein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320" w:type="dxa"/>
            <w:vAlign w:val="bottom"/>
          </w:tcPr>
          <w:p>
            <w:pPr>
              <w:spacing w:after="0"/>
              <w:rPr>
                <w:sz w:val="20"/>
                <w:szCs w:val="20"/>
                <w:color w:val="auto"/>
              </w:rPr>
            </w:pPr>
          </w:p>
        </w:tc>
        <w:tc>
          <w:tcPr>
            <w:tcW w:w="542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Title</w:t>
            </w:r>
          </w:p>
        </w:tc>
        <w:tc>
          <w:tcPr>
            <w:tcW w:w="320" w:type="dxa"/>
            <w:vAlign w:val="bottom"/>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642"/>
        </w:trPr>
        <w:tc>
          <w:tcPr>
            <w:tcW w:w="33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Jonathan Brolin</w:t>
            </w:r>
          </w:p>
        </w:tc>
        <w:tc>
          <w:tcPr>
            <w:tcW w:w="32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2120" w:type="dxa"/>
            <w:vAlign w:val="bottom"/>
            <w:gridSpan w:val="2"/>
          </w:tcPr>
          <w:p>
            <w:pPr>
              <w:jc w:val="right"/>
              <w:ind w:right="970"/>
              <w:spacing w:after="0"/>
              <w:rPr>
                <w:sz w:val="20"/>
                <w:szCs w:val="20"/>
                <w:color w:val="auto"/>
              </w:rPr>
            </w:pPr>
            <w:r>
              <w:rPr>
                <w:rFonts w:ascii="Arial" w:cs="Arial" w:eastAsia="Arial" w:hAnsi="Arial"/>
                <w:sz w:val="18"/>
                <w:szCs w:val="18"/>
                <w:color w:val="auto"/>
              </w:rPr>
              <w:t>6/30/2021</w:t>
            </w: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Jonathan Brolin</w:t>
            </w:r>
          </w:p>
        </w:tc>
        <w:tc>
          <w:tcPr>
            <w:tcW w:w="3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Richard Schwartz</w:t>
            </w:r>
          </w:p>
        </w:tc>
        <w:tc>
          <w:tcPr>
            <w:tcW w:w="32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jc w:val="right"/>
              <w:ind w:right="970"/>
              <w:spacing w:after="0"/>
              <w:rPr>
                <w:sz w:val="20"/>
                <w:szCs w:val="20"/>
                <w:color w:val="auto"/>
              </w:rPr>
            </w:pPr>
            <w:r>
              <w:rPr>
                <w:rFonts w:ascii="Arial" w:cs="Arial" w:eastAsia="Arial" w:hAnsi="Arial"/>
                <w:sz w:val="18"/>
                <w:szCs w:val="18"/>
                <w:color w:val="auto"/>
              </w:rPr>
              <w:t>6/30/2021</w:t>
            </w: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Richard Schwartz</w:t>
            </w:r>
          </w:p>
        </w:tc>
        <w:tc>
          <w:tcPr>
            <w:tcW w:w="3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Stanton D. Sloane</w:t>
            </w:r>
          </w:p>
        </w:tc>
        <w:tc>
          <w:tcPr>
            <w:tcW w:w="32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Director, President and CEO</w:t>
            </w:r>
          </w:p>
        </w:tc>
        <w:tc>
          <w:tcPr>
            <w:tcW w:w="2120" w:type="dxa"/>
            <w:vAlign w:val="bottom"/>
            <w:gridSpan w:val="2"/>
          </w:tcPr>
          <w:p>
            <w:pPr>
              <w:jc w:val="right"/>
              <w:ind w:right="970"/>
              <w:spacing w:after="0"/>
              <w:rPr>
                <w:sz w:val="20"/>
                <w:szCs w:val="20"/>
                <w:color w:val="auto"/>
              </w:rPr>
            </w:pPr>
            <w:r>
              <w:rPr>
                <w:rFonts w:ascii="Arial" w:cs="Arial" w:eastAsia="Arial" w:hAnsi="Arial"/>
                <w:sz w:val="18"/>
                <w:szCs w:val="18"/>
                <w:color w:val="auto"/>
              </w:rPr>
              <w:t>6/30/2021</w:t>
            </w: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Stanton D. Sloane</w:t>
            </w:r>
          </w:p>
        </w:tc>
        <w:tc>
          <w:tcPr>
            <w:tcW w:w="3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Russell M. Sarachek</w:t>
            </w:r>
          </w:p>
        </w:tc>
        <w:tc>
          <w:tcPr>
            <w:tcW w:w="32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Chairman of the Board</w:t>
            </w:r>
          </w:p>
        </w:tc>
        <w:tc>
          <w:tcPr>
            <w:tcW w:w="2120" w:type="dxa"/>
            <w:vAlign w:val="bottom"/>
            <w:gridSpan w:val="2"/>
          </w:tcPr>
          <w:p>
            <w:pPr>
              <w:jc w:val="right"/>
              <w:ind w:right="970"/>
              <w:spacing w:after="0"/>
              <w:rPr>
                <w:sz w:val="20"/>
                <w:szCs w:val="20"/>
                <w:color w:val="auto"/>
              </w:rPr>
            </w:pPr>
            <w:r>
              <w:rPr>
                <w:rFonts w:ascii="Arial" w:cs="Arial" w:eastAsia="Arial" w:hAnsi="Arial"/>
                <w:sz w:val="18"/>
                <w:szCs w:val="18"/>
                <w:color w:val="auto"/>
              </w:rPr>
              <w:t>6/30/2021</w:t>
            </w: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Russell M. Sarachek</w:t>
            </w:r>
          </w:p>
        </w:tc>
        <w:tc>
          <w:tcPr>
            <w:tcW w:w="3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GEN Lance W. Lord, USAF, ret</w:t>
            </w:r>
          </w:p>
        </w:tc>
        <w:tc>
          <w:tcPr>
            <w:tcW w:w="32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jc w:val="right"/>
              <w:ind w:right="970"/>
              <w:spacing w:after="0"/>
              <w:rPr>
                <w:sz w:val="20"/>
                <w:szCs w:val="20"/>
                <w:color w:val="auto"/>
              </w:rPr>
            </w:pPr>
            <w:r>
              <w:rPr>
                <w:rFonts w:ascii="Arial" w:cs="Arial" w:eastAsia="Arial" w:hAnsi="Arial"/>
                <w:sz w:val="18"/>
                <w:szCs w:val="18"/>
                <w:color w:val="auto"/>
              </w:rPr>
              <w:t>6/30/2021</w:t>
            </w: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Lance W. Lord</w:t>
            </w:r>
          </w:p>
        </w:tc>
        <w:tc>
          <w:tcPr>
            <w:tcW w:w="3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80" w:type="dxa"/>
            <w:vAlign w:val="bottom"/>
            <w:tcBorders>
              <w:bottom w:val="single" w:sz="8" w:color="auto"/>
            </w:tcBorders>
          </w:tcPr>
          <w:p>
            <w:pPr>
              <w:spacing w:after="0"/>
              <w:rPr>
                <w:sz w:val="17"/>
                <w:szCs w:val="17"/>
                <w:color w:val="auto"/>
              </w:rPr>
            </w:pPr>
          </w:p>
        </w:tc>
        <w:tc>
          <w:tcPr>
            <w:tcW w:w="5740" w:type="dxa"/>
            <w:vAlign w:val="bottom"/>
            <w:gridSpan w:val="2"/>
            <w:vMerge w:val="restart"/>
          </w:tcPr>
          <w:p>
            <w:pPr>
              <w:jc w:val="right"/>
              <w:ind w:right="331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3380" w:type="dxa"/>
            <w:vAlign w:val="bottom"/>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The following is a description of the material terms of the capital stock of Frequency Electronics, Inc. (the “Company”). This description is not complete and is qualified by reference to the Company’s amended and restated certificate of incorporation (the “Certificate of Incorporation”) and its amended and restated bylaws (the “Bylaws”). The Certificate of Incorporation and the Bylaws are filed as exhibits to the Company’s Annual Report on Form 10-K and incorporated by reference herein. Additionally, the following description of certain provisions of Delaware law is not complete and is qualified by reference to the Delaware General Corporation Law (“DGCL”).</w:t>
      </w:r>
    </w:p>
    <w:p>
      <w:pPr>
        <w:spacing w:after="0" w:line="17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Under the Certificate of Incorporation, the Company’s authorized capital stock consists of 20,000,000 shares of common stock, $1.00 par value per share (“Common Stock”), and (b) 600,000 shares of preferred stock, $1.00 par value per share (“Preferred Stock,” and collectively with Common Stock, “Capital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outstanding shares of Common Stock are duly authorized, validly issued, fully-paid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Each holder of Common Stock is entitled to one vote for each share of Common Stock held on all matters submitted to a vote of stockholders, except as otherwise expressly provided in the Certificate of Incorporation or required by applicable law. The Certificate of Incorporation does not provide for cumulative voting for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Holders of Common Stock are entitled to receive dividends as may be declared from time to time by the Company’s board of directors (the “Board”) out of funds legally available therefor and in the sole discretion of the Board, except as otherwise provided by law or the Certificate of Incorporation.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Delaware law, in the event of the liquidation, dissolution, or winding-up of the Company, the remaining assets legally available for distribution to stockholders shall be distributed ratably among the holders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Holders of Common Stock have no preemptive rights and no right to convert their Common Stock into any other securities. The Common Stock is not subject to any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Board may issue shares of Preferred Stock from time to time in series or otherwise without further stockholder action. The Board has the authority to make designations regarding any Preferred Stock it issues, including preferences, voting powers and relative, participating, optional or other special rights and qualifications, limitations or restrictions of such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Certain provisions of the Certificate of Incorporation and the Bylaws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Certificate of Incorporation and the Bylaws contain provisions that could have the effect of delaying or preventing changes in control or changes in the Company’s management without the consent of the Board, including, among other things:</w:t>
      </w:r>
    </w:p>
    <w:p>
      <w:pPr>
        <w:spacing w:after="0" w:line="170" w:lineRule="exact"/>
        <w:rPr>
          <w:sz w:val="20"/>
          <w:szCs w:val="20"/>
          <w:color w:val="auto"/>
        </w:rPr>
      </w:pPr>
    </w:p>
    <w:p>
      <w:pPr>
        <w:ind w:left="1480" w:hanging="406"/>
        <w:spacing w:after="0"/>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236" w:lineRule="exact"/>
        <w:rPr>
          <w:rFonts w:ascii="Arial" w:cs="Arial" w:eastAsia="Arial" w:hAnsi="Arial"/>
          <w:sz w:val="17"/>
          <w:szCs w:val="17"/>
          <w:color w:val="auto"/>
        </w:rPr>
      </w:pPr>
    </w:p>
    <w:p>
      <w:pPr>
        <w:ind w:left="1480" w:right="20" w:hanging="40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of the Board to elect a director to fill a vacancy in the Board, which prevents stockholders from being able to fill vacancies on the Board;</w:t>
      </w:r>
    </w:p>
    <w:p>
      <w:pPr>
        <w:spacing w:after="0" w:line="170" w:lineRule="exact"/>
        <w:rPr>
          <w:rFonts w:ascii="Arial" w:cs="Arial" w:eastAsia="Arial" w:hAnsi="Arial"/>
          <w:sz w:val="18"/>
          <w:szCs w:val="18"/>
          <w:color w:val="auto"/>
        </w:rPr>
      </w:pPr>
    </w:p>
    <w:p>
      <w:pPr>
        <w:ind w:left="1480" w:hanging="40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the Board, the Company’s president or the Board;</w:t>
      </w:r>
    </w:p>
    <w:p>
      <w:pPr>
        <w:spacing w:after="0" w:line="170" w:lineRule="exact"/>
        <w:rPr>
          <w:rFonts w:ascii="Arial" w:cs="Arial" w:eastAsia="Arial" w:hAnsi="Arial"/>
          <w:sz w:val="18"/>
          <w:szCs w:val="18"/>
          <w:color w:val="auto"/>
        </w:rPr>
      </w:pPr>
    </w:p>
    <w:p>
      <w:pPr>
        <w:ind w:left="1480" w:right="360" w:hanging="406"/>
        <w:spacing w:after="0" w:line="308" w:lineRule="auto"/>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the Board, by majority vote, to amend the Bylaws, which may allow the Board to take additional actions to prevent a hostile acquisition and inhibit the ability of an acquirer to amend the Bylaws to facilitate a hostile acquisition;</w:t>
      </w:r>
    </w:p>
    <w:p>
      <w:pPr>
        <w:spacing w:after="0" w:line="146" w:lineRule="exact"/>
        <w:rPr>
          <w:rFonts w:ascii="Arial" w:cs="Arial" w:eastAsia="Arial" w:hAnsi="Arial"/>
          <w:sz w:val="17"/>
          <w:szCs w:val="17"/>
          <w:color w:val="auto"/>
        </w:rPr>
      </w:pPr>
    </w:p>
    <w:p>
      <w:pPr>
        <w:ind w:left="1480" w:right="20" w:hanging="406"/>
        <w:spacing w:after="0" w:line="286" w:lineRule="auto"/>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the Board or to propose matters to be acted upon at a stockholders’ meeting, which may preclude stockholders from bringing matters before a meeting of stockholders or from making nominations for directors at a meeting of stockholders if the proper procedures are not followed; and</w:t>
      </w:r>
    </w:p>
    <w:p>
      <w:pPr>
        <w:spacing w:after="0" w:line="165" w:lineRule="exact"/>
        <w:rPr>
          <w:rFonts w:ascii="Arial" w:cs="Arial" w:eastAsia="Arial" w:hAnsi="Arial"/>
          <w:sz w:val="17"/>
          <w:szCs w:val="17"/>
          <w:color w:val="auto"/>
        </w:rPr>
      </w:pPr>
    </w:p>
    <w:p>
      <w:pPr>
        <w:ind w:left="1480" w:hanging="406"/>
        <w:spacing w:after="0" w:line="25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business combination with any party that beneficially owns 5% or more of the Capital Stock then entitled to vote on the election of directors be approved by the affirmative vote of (i) not less than 75% of the outstanding shares of Capital Stock entitled to vote on the election of directors and (ii) not less than a majority of all outstanding shares of Capital Stock, in each case, excluding all Capital Stock owned by the acquiring party and subject to certain exceptions and qualifications provided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 is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1420" w:right="200" w:hanging="400"/>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1420" w:hanging="400"/>
        <w:spacing w:after="0" w:line="275"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upon the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6" w:lineRule="exact"/>
        <w:rPr>
          <w:rFonts w:ascii="Arial" w:cs="Arial" w:eastAsia="Arial" w:hAnsi="Arial"/>
          <w:sz w:val="17"/>
          <w:szCs w:val="17"/>
          <w:color w:val="auto"/>
        </w:rPr>
      </w:pPr>
    </w:p>
    <w:p>
      <w:pPr>
        <w:ind w:left="1420" w:right="140" w:hanging="400"/>
        <w:spacing w:after="0" w:line="263"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1420" w:hanging="400"/>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420" w:hanging="400"/>
        <w:spacing w:after="0"/>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6" w:lineRule="exact"/>
        <w:rPr>
          <w:rFonts w:ascii="Arial" w:cs="Arial" w:eastAsia="Arial" w:hAnsi="Arial"/>
          <w:sz w:val="17"/>
          <w:szCs w:val="17"/>
          <w:color w:val="auto"/>
        </w:rPr>
      </w:pPr>
    </w:p>
    <w:p>
      <w:pPr>
        <w:ind w:left="1420" w:right="40" w:hanging="400"/>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1420" w:right="200" w:hanging="400"/>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1420" w:right="480" w:hanging="400"/>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the Common Stock is American Stock Transfer &amp; Trust Company, LLC “(AST)”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Stock is listed on the NASDAQ Global Market under the symbol “FEIM.”</w:t>
      </w:r>
    </w:p>
    <w:p>
      <w:pPr>
        <w:sectPr>
          <w:pgSz w:w="11900" w:h="16838" w:orient="portrait"/>
          <w:cols w:equalWidth="0" w:num="1">
            <w:col w:w="11220"/>
          </w:cols>
          <w:pgMar w:left="320" w:top="584"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List of Subsidiaries of Registrant</w:t>
            </w:r>
          </w:p>
        </w:tc>
      </w:tr>
      <w:tr>
        <w:trPr>
          <w:trHeight w:val="414"/>
        </w:trPr>
        <w:tc>
          <w:tcPr>
            <w:tcW w:w="4160" w:type="dxa"/>
            <w:vAlign w:val="bottom"/>
          </w:tcPr>
          <w:p>
            <w:pPr>
              <w:jc w:val="center"/>
              <w:ind w:left="1370"/>
              <w:spacing w:after="0"/>
              <w:rPr>
                <w:sz w:val="20"/>
                <w:szCs w:val="20"/>
                <w:color w:val="auto"/>
              </w:rPr>
            </w:pPr>
            <w:r>
              <w:rPr>
                <w:rFonts w:ascii="Arial" w:cs="Arial" w:eastAsia="Arial" w:hAnsi="Arial"/>
                <w:sz w:val="18"/>
                <w:szCs w:val="18"/>
                <w:b w:val="1"/>
                <w:bCs w:val="1"/>
                <w:color w:val="auto"/>
                <w:w w:val="92"/>
              </w:rPr>
              <w:t>Subsidiary &amp; Name under</w:t>
            </w:r>
          </w:p>
        </w:tc>
        <w:tc>
          <w:tcPr>
            <w:tcW w:w="7080" w:type="dxa"/>
            <w:vAlign w:val="bottom"/>
          </w:tcPr>
          <w:p>
            <w:pPr>
              <w:spacing w:after="0"/>
              <w:rPr>
                <w:sz w:val="24"/>
                <w:szCs w:val="24"/>
                <w:color w:val="auto"/>
              </w:rPr>
            </w:pPr>
          </w:p>
        </w:tc>
      </w:tr>
      <w:tr>
        <w:trPr>
          <w:trHeight w:val="234"/>
        </w:trPr>
        <w:tc>
          <w:tcPr>
            <w:tcW w:w="4160" w:type="dxa"/>
            <w:vAlign w:val="bottom"/>
            <w:tcBorders>
              <w:bottom w:val="single" w:sz="8" w:color="auto"/>
            </w:tcBorders>
          </w:tcPr>
          <w:p>
            <w:pPr>
              <w:jc w:val="center"/>
              <w:ind w:left="1370"/>
              <w:spacing w:after="0"/>
              <w:rPr>
                <w:sz w:val="20"/>
                <w:szCs w:val="20"/>
                <w:color w:val="auto"/>
              </w:rPr>
            </w:pPr>
            <w:r>
              <w:rPr>
                <w:rFonts w:ascii="Arial" w:cs="Arial" w:eastAsia="Arial" w:hAnsi="Arial"/>
                <w:sz w:val="18"/>
                <w:szCs w:val="18"/>
                <w:b w:val="1"/>
                <w:bCs w:val="1"/>
                <w:color w:val="auto"/>
                <w:w w:val="87"/>
              </w:rPr>
              <w:t>which business is performed</w:t>
            </w:r>
          </w:p>
        </w:tc>
        <w:tc>
          <w:tcPr>
            <w:tcW w:w="7080" w:type="dxa"/>
            <w:vAlign w:val="bottom"/>
            <w:tcBorders>
              <w:bottom w:val="single" w:sz="8" w:color="auto"/>
            </w:tcBorders>
          </w:tcPr>
          <w:p>
            <w:pPr>
              <w:jc w:val="center"/>
              <w:ind w:left="139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26"/>
        </w:trPr>
        <w:tc>
          <w:tcPr>
            <w:tcW w:w="4160" w:type="dxa"/>
            <w:vAlign w:val="bottom"/>
          </w:tcPr>
          <w:p>
            <w:pPr>
              <w:spacing w:after="0"/>
              <w:rPr>
                <w:sz w:val="20"/>
                <w:szCs w:val="20"/>
                <w:color w:val="auto"/>
              </w:rPr>
            </w:pPr>
            <w:r>
              <w:rPr>
                <w:rFonts w:ascii="Arial" w:cs="Arial" w:eastAsia="Arial" w:hAnsi="Arial"/>
                <w:sz w:val="18"/>
                <w:szCs w:val="18"/>
                <w:color w:val="auto"/>
              </w:rPr>
              <w:t>FEI Zyfer, Inc.</w:t>
            </w:r>
          </w:p>
        </w:tc>
        <w:tc>
          <w:tcPr>
            <w:tcW w:w="708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FEI-Elcom Tech, Inc.</w:t>
            </w:r>
          </w:p>
        </w:tc>
        <w:tc>
          <w:tcPr>
            <w:tcW w:w="7080" w:type="dxa"/>
            <w:vAlign w:val="bottom"/>
          </w:tcPr>
          <w:p>
            <w:pPr>
              <w:jc w:val="center"/>
              <w:ind w:left="137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333-08901, 333-40506, 333-140938, 333-156600, 333-42233 and 333-188952) of Frequency Electronics, Inc. of our report dated June 30, 2021, relating to the consolidated financial statements which appears in this Annual Report on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firstLine="8"/>
        <w:spacing w:after="0" w:line="308" w:lineRule="auto"/>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3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Stanton Sloane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Stanton Sloane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firstLine="8"/>
        <w:spacing w:after="0" w:line="308"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3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Bernstein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L.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2021 as filed with the Securities and Exchange Commission on the date hereof (the “Report”), I, Stanton Sloane, President and Chief Executive Officer of the Company, certify, pursuant to Section 18 U.S.C. 1350, as adopted pursuant to Section 906 of the Sarbanes-Oxley Act of 2002, that:</w:t>
      </w:r>
    </w:p>
    <w:p>
      <w:pPr>
        <w:spacing w:after="0" w:line="1"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10" w:lineRule="exact"/>
        <w:rPr>
          <w:rFonts w:ascii="Arial" w:cs="Arial" w:eastAsia="Arial" w:hAnsi="Arial"/>
          <w:sz w:val="18"/>
          <w:szCs w:val="18"/>
          <w:color w:val="auto"/>
        </w:rPr>
      </w:pPr>
    </w:p>
    <w:p>
      <w:pPr>
        <w:ind w:left="600" w:hanging="592"/>
        <w:spacing w:after="0"/>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/s/ Stanton Sloane</w:t>
            </w:r>
          </w:p>
        </w:tc>
        <w:tc>
          <w:tcPr>
            <w:tcW w:w="1140" w:type="dxa"/>
            <w:vAlign w:val="bottom"/>
          </w:tcPr>
          <w:p>
            <w:pPr>
              <w:ind w:left="120"/>
              <w:spacing w:after="0"/>
              <w:rPr>
                <w:sz w:val="20"/>
                <w:szCs w:val="20"/>
                <w:color w:val="auto"/>
              </w:rPr>
            </w:pPr>
            <w:r>
              <w:rPr>
                <w:rFonts w:ascii="Arial" w:cs="Arial" w:eastAsia="Arial" w:hAnsi="Arial"/>
                <w:sz w:val="18"/>
                <w:szCs w:val="18"/>
                <w:color w:val="auto"/>
                <w:w w:val="87"/>
              </w:rPr>
              <w:t>June 30, 2021</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2"/>
        </w:trPr>
        <w:tc>
          <w:tcPr>
            <w:tcW w:w="2860" w:type="dxa"/>
            <w:vAlign w:val="bottom"/>
            <w:gridSpan w:val="3"/>
          </w:tcPr>
          <w:p>
            <w:pPr>
              <w:spacing w:after="0"/>
              <w:rPr>
                <w:sz w:val="20"/>
                <w:szCs w:val="20"/>
                <w:color w:val="auto"/>
              </w:rPr>
            </w:pPr>
            <w:r>
              <w:rPr>
                <w:rFonts w:ascii="Arial" w:cs="Arial" w:eastAsia="Arial" w:hAnsi="Arial"/>
                <w:sz w:val="18"/>
                <w:szCs w:val="18"/>
                <w:color w:val="auto"/>
              </w:rPr>
              <w:t>Stanton Sloane</w:t>
            </w:r>
          </w:p>
        </w:tc>
        <w:tc>
          <w:tcPr>
            <w:tcW w:w="1140" w:type="dxa"/>
            <w:vAlign w:val="bottom"/>
          </w:tcPr>
          <w:p>
            <w:pPr>
              <w:spacing w:after="0"/>
              <w:rPr>
                <w:sz w:val="19"/>
                <w:szCs w:val="19"/>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w w:val="94"/>
              </w:rPr>
              <w:t>President and Chief Executive Officer</w:t>
            </w:r>
          </w:p>
        </w:tc>
        <w:tc>
          <w:tcPr>
            <w:tcW w:w="1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2021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1"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10" w:lineRule="exact"/>
        <w:rPr>
          <w:rFonts w:ascii="Arial" w:cs="Arial" w:eastAsia="Arial" w:hAnsi="Arial"/>
          <w:sz w:val="18"/>
          <w:szCs w:val="18"/>
          <w:color w:val="auto"/>
        </w:rPr>
      </w:pPr>
    </w:p>
    <w:p>
      <w:pPr>
        <w:ind w:left="600" w:hanging="592"/>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/s/ Steven L. Bernstein</w:t>
            </w:r>
          </w:p>
        </w:tc>
        <w:tc>
          <w:tcPr>
            <w:tcW w:w="1660" w:type="dxa"/>
            <w:vAlign w:val="bottom"/>
          </w:tcPr>
          <w:p>
            <w:pPr>
              <w:ind w:left="640"/>
              <w:spacing w:after="0"/>
              <w:rPr>
                <w:sz w:val="20"/>
                <w:szCs w:val="20"/>
                <w:color w:val="auto"/>
              </w:rPr>
            </w:pPr>
            <w:r>
              <w:rPr>
                <w:rFonts w:ascii="Arial" w:cs="Arial" w:eastAsia="Arial" w:hAnsi="Arial"/>
                <w:sz w:val="18"/>
                <w:szCs w:val="18"/>
                <w:color w:val="auto"/>
                <w:w w:val="87"/>
              </w:rPr>
              <w:t>June 30, 2021</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2"/>
        </w:trPr>
        <w:tc>
          <w:tcPr>
            <w:tcW w:w="232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1660" w:type="dxa"/>
            <w:vAlign w:val="bottom"/>
          </w:tcPr>
          <w:p>
            <w:pPr>
              <w:spacing w:after="0"/>
              <w:rPr>
                <w:sz w:val="19"/>
                <w:szCs w:val="19"/>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6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4"/>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decimal"/>
      <w:start w:val="8"/>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5"/>
    </w:lvl>
  </w:abstractNum>
  <w:abstractNum w:abstractNumId="19">
    <w:nsid w:val="2901D82"/>
    <w:multiLevelType w:val="hybridMultilevel"/>
    <w:lvl w:ilvl="0">
      <w:lvlJc w:val="left"/>
      <w:lvlText w:val="%1."/>
      <w:numFmt w:val="decimal"/>
      <w:start w:val="16"/>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01"/>
    </w:lvl>
  </w:abstractNum>
  <w:abstractNum w:abstractNumId="24">
    <w:nsid w:val="737B8DDC"/>
    <w:multiLevelType w:val="hybridMultilevel"/>
    <w:lvl w:ilvl="0">
      <w:lvlJc w:val="left"/>
      <w:lvlText w:val="*"/>
      <w:numFmt w:val="bullet"/>
      <w:start w:val="1"/>
    </w:lvl>
    <w:lvl w:ilvl="1">
      <w:lvlJc w:val="left"/>
      <w:lvlText w:val="(%2)"/>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61" Type="http://schemas.openxmlformats.org/officeDocument/2006/relationships/hyperlink" Target="http://www.sec.gov/Archives/edgar/data/39020/000114420412011172/v303671_8k.htm" TargetMode="External"/><Relationship Id="rId62" Type="http://schemas.openxmlformats.org/officeDocument/2006/relationships/hyperlink" Target="http://www.sec.gov/Archives/edgar/data/39020/000118518520000896/ex_191621.htm" TargetMode="External"/><Relationship Id="rId64" Type="http://schemas.openxmlformats.org/officeDocument/2006/relationships/hyperlink" Target="http://www.sec.gov/Archives/edgar/data/39020/000118518518000782/ex10-1.htm" TargetMode="External"/><Relationship Id="rId65" Type="http://schemas.openxmlformats.org/officeDocument/2006/relationships/hyperlink" Target="http://www.sec.gov/Archives/edgar/data/39020/000118518516005440/ex10-1.htm" TargetMode="External"/><Relationship Id="rId66" Type="http://schemas.openxmlformats.org/officeDocument/2006/relationships/hyperlink" Target="http://www.sec.gov/Archives/edgar/data/39020/000003902005000049/stockplan8k.txt" TargetMode="External"/><Relationship Id="rId67" Type="http://schemas.openxmlformats.org/officeDocument/2006/relationships/hyperlink" Target="http://www.sec.gov/Archives/edgar/data/39020/0000039020-98-000011.txt" TargetMode="External"/><Relationship Id="rId68" Type="http://schemas.openxmlformats.org/officeDocument/2006/relationships/hyperlink" Target="http://www.sec.gov/Archives/edgar/data/39020/000118518518001293/ex10-13.htm" TargetMode="External"/><Relationship Id="rId69" Type="http://schemas.openxmlformats.org/officeDocument/2006/relationships/hyperlink" Target="http://www.sec.gov/Archives/edgar/data/39020/000118518518001564/ex_122723.htm" TargetMode="External"/><Relationship Id="rId70" Type="http://schemas.openxmlformats.org/officeDocument/2006/relationships/hyperlink" Target="http://www.sec.gov/Archives/edgar/data/39020/000118518518001564/ex_122724.htm" TargetMode="External"/><Relationship Id="rId71" Type="http://schemas.openxmlformats.org/officeDocument/2006/relationships/hyperlink" Target="http://www.sec.gov/Archives/edgar/data/39020/000118518519001020/ex_151317.htm" TargetMode="External"/><Relationship Id="rId72" Type="http://schemas.openxmlformats.org/officeDocument/2006/relationships/hyperlink" Target="http://www.sec.gov/Archives/edgar/data/39020/000118518520001054/ex_1958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2021-06-30T13:26:57Z</dcterms:created>
  <dcterms:modified xsi:type="dcterms:W3CDTF">2021-06-30T13:26:57Z</dcterms:modified>
</cp:coreProperties>
</file>