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feim8k080526.htm"/>
      <w:bookmarkStart w:id="1" w:name="ksfeim8k080526"/>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7_edei--DocumentType_c20260803__20"/>
      <w:bookmarkEnd w:id="2"/>
      <w:r>
        <w:rPr>
          <w:rFonts w:ascii="Times New Roman;Times;Serif" w:hAnsi="Times New Roman;Times;Serif"/>
          <w:b/>
          <w:i w:val="false"/>
          <w:caps w:val="false"/>
          <w:smallCaps w:val="false"/>
          <w:sz w:val="32"/>
        </w:rPr>
        <w:t>8-K</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Frequency Electronics, Inc.</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2630"/>
        <w:gridCol w:w="60"/>
        <w:gridCol w:w="2615"/>
        <w:gridCol w:w="60"/>
        <w:gridCol w:w="1775"/>
      </w:tblGrid>
      <w:tr>
        <w:trPr/>
        <w:tc>
          <w:tcPr>
            <w:tcW w:w="2630" w:type="dxa"/>
            <w:tcBorders>
              <w:bottom w:val="single" w:sz="8" w:space="0" w:color="000000"/>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4_edei--EntityFileNumber_c20260803"/>
            <w:bookmarkEnd w:id="6"/>
            <w:r>
              <w:rPr>
                <w:b/>
              </w:rPr>
              <w:t>1-8061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F_edei--EntityTaxIdentificationNum"/>
            <w:bookmarkEnd w:id="7"/>
            <w:r>
              <w:rPr>
                <w:b/>
              </w:rPr>
              <w:t>11-1986657</w:t>
            </w:r>
          </w:p>
        </w:tc>
      </w:tr>
      <w:tr>
        <w:trPr/>
        <w:tc>
          <w:tcPr>
            <w:tcW w:w="263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55 Charles Lindbergh Blvd.,</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Mitchel Field, </w:t>
      </w:r>
      <w:bookmarkStart w:id="10" w:name="xdx_902_edei--EntityAddressStateOrProvin"/>
      <w:bookmarkEnd w:id="10"/>
      <w:r>
        <w:rPr>
          <w:rFonts w:ascii="Times New Roman;Times;Serif" w:hAnsi="Times New Roman;Times;Serif"/>
          <w:b/>
          <w:i w:val="false"/>
          <w:caps w:val="false"/>
          <w:smallCaps w:val="false"/>
          <w:sz w:val="20"/>
        </w:rPr>
        <w:t>New York</w:t>
      </w:r>
      <w:r>
        <w:rPr>
          <w:rFonts w:ascii="Times New Roman;Times;Serif" w:hAnsi="Times New Roman;Times;Serif"/>
          <w:b w:val="false"/>
          <w:i w:val="false"/>
          <w:caps w:val="false"/>
          <w:smallCaps w:val="false"/>
          <w:sz w:val="20"/>
        </w:rPr>
        <w:t xml:space="preserve"> </w:t>
      </w:r>
      <w:bookmarkStart w:id="11" w:name="xdx_90B_edei--EntityAddressPostalZipCode"/>
      <w:bookmarkEnd w:id="11"/>
      <w:r>
        <w:rPr>
          <w:rFonts w:ascii="Times New Roman;Times;Serif" w:hAnsi="Times New Roman;Times;Serif"/>
          <w:b/>
          <w:i w:val="false"/>
          <w:caps w:val="false"/>
          <w:smallCaps w:val="false"/>
          <w:sz w:val="20"/>
        </w:rPr>
        <w:t>11553</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803__20"/>
      <w:bookmarkEnd w:id="12"/>
      <w:r>
        <w:rPr>
          <w:rFonts w:ascii="Times New Roman;Times;Serif" w:hAnsi="Times New Roman;Times;Serif"/>
          <w:b/>
          <w:i w:val="false"/>
          <w:caps w:val="false"/>
          <w:smallCaps w:val="false"/>
          <w:sz w:val="20"/>
        </w:rPr>
        <w:t xml:space="preserve">516) </w:t>
      </w:r>
      <w:bookmarkStart w:id="13" w:name="xdx_903_edei--LocalPhoneNumber_c20260803"/>
      <w:bookmarkEnd w:id="13"/>
      <w:r>
        <w:rPr>
          <w:rFonts w:ascii="Times New Roman;Times;Serif" w:hAnsi="Times New Roman;Times;Serif"/>
          <w:b/>
          <w:i w:val="false"/>
          <w:caps w:val="false"/>
          <w:smallCaps w:val="false"/>
          <w:sz w:val="20"/>
        </w:rPr>
        <w:t>794-4500</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4" w:name="xdx_901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5" w:name="xdx_900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6" w:name="xdx_905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7" w:name="xdx_909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84"/>
        <w:gridCol w:w="60"/>
        <w:gridCol w:w="1795"/>
        <w:gridCol w:w="60"/>
        <w:gridCol w:w="4206"/>
      </w:tblGrid>
      <w:tr>
        <w:trPr/>
        <w:tc>
          <w:tcPr>
            <w:tcW w:w="4084"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9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6"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Name of each exchange on which registered</w:t>
            </w:r>
          </w:p>
        </w:tc>
      </w:tr>
      <w:tr>
        <w:trPr/>
        <w:tc>
          <w:tcPr>
            <w:tcW w:w="4084" w:type="dxa"/>
            <w:tcBorders/>
            <w:tcMar>
              <w:bottom w:w="0" w:type="dxa"/>
            </w:tcMar>
            <w:vAlign w:val="center"/>
          </w:tcPr>
          <w:p>
            <w:pPr>
              <w:pStyle w:val="TableContents"/>
              <w:bidi w:val="0"/>
              <w:spacing w:before="0" w:after="283"/>
              <w:jc w:val="center"/>
              <w:rPr/>
            </w:pPr>
            <w:bookmarkStart w:id="18" w:name="xdx_90A_edei--Security12bTitle_c20260803"/>
            <w:bookmarkEnd w:id="18"/>
            <w:r>
              <w:rPr/>
              <w:t>Common Stock (par value $1.00 per share)</w:t>
            </w:r>
          </w:p>
        </w:tc>
        <w:tc>
          <w:tcPr>
            <w:tcW w:w="60" w:type="dxa"/>
            <w:tcBorders/>
            <w:tcMar>
              <w:bottom w:w="0" w:type="dxa"/>
            </w:tcMar>
            <w:vAlign w:val="center"/>
          </w:tcPr>
          <w:p>
            <w:pPr>
              <w:pStyle w:val="TableContents"/>
              <w:bidi w:val="0"/>
              <w:spacing w:before="0" w:after="283"/>
              <w:jc w:val="center"/>
              <w:rPr/>
            </w:pPr>
            <w:r>
              <w:rPr/>
              <w:t> </w:t>
            </w:r>
          </w:p>
        </w:tc>
        <w:tc>
          <w:tcPr>
            <w:tcW w:w="1795" w:type="dxa"/>
            <w:tcBorders/>
            <w:tcMar>
              <w:bottom w:w="0" w:type="dxa"/>
            </w:tcMar>
            <w:vAlign w:val="center"/>
          </w:tcPr>
          <w:p>
            <w:pPr>
              <w:pStyle w:val="TableContents"/>
              <w:bidi w:val="0"/>
              <w:spacing w:before="0" w:after="283"/>
              <w:jc w:val="center"/>
              <w:rPr/>
            </w:pPr>
            <w:bookmarkStart w:id="19" w:name="xdx_902_edei--TradingSymbol_c20260803__2"/>
            <w:bookmarkEnd w:id="19"/>
            <w:r>
              <w:rPr/>
              <w:t>FEIM</w:t>
            </w:r>
          </w:p>
        </w:tc>
        <w:tc>
          <w:tcPr>
            <w:tcW w:w="60" w:type="dxa"/>
            <w:tcBorders/>
            <w:tcMar>
              <w:bottom w:w="0" w:type="dxa"/>
            </w:tcMar>
            <w:vAlign w:val="center"/>
          </w:tcPr>
          <w:p>
            <w:pPr>
              <w:pStyle w:val="TableContents"/>
              <w:bidi w:val="0"/>
              <w:spacing w:before="0" w:after="283"/>
              <w:jc w:val="center"/>
              <w:rPr/>
            </w:pPr>
            <w:r>
              <w:rPr/>
              <w:t> </w:t>
            </w:r>
          </w:p>
        </w:tc>
        <w:tc>
          <w:tcPr>
            <w:tcW w:w="4206" w:type="dxa"/>
            <w:tcBorders/>
            <w:tcMar>
              <w:bottom w:w="0" w:type="dxa"/>
            </w:tcMar>
            <w:vAlign w:val="center"/>
          </w:tcPr>
          <w:p>
            <w:pPr>
              <w:pStyle w:val="TableContents"/>
              <w:bidi w:val="0"/>
              <w:spacing w:before="0" w:after="283"/>
              <w:jc w:val="center"/>
              <w:rPr/>
            </w:pPr>
            <w:bookmarkStart w:id="20" w:name="xdx_900_edei--SecurityExchangeName_c2026"/>
            <w:bookmarkEnd w:id="20"/>
            <w:r>
              <w:rPr/>
              <w:t>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ind w:left="144" w:right="144"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8.01. Other Events.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30, 2026, Frequency Electronics, Inc. (the “Company”) completed an offering (the “Offering”) of 1,739,131 shares of the Company’s common stock, par value $1.00 per share (“Common Stock”), pursuant to an underwriting agreement (the “Underwriting Agreement”) among the Company, Edenbrook Value Fund, LP and Edenbrook Long Only Value Fund, LP, as selling stockholders (the “Selling Stockholders”), and Morgan Stanley &amp; Co. LLC, as representative of the several underwriters named in Schedule II thereto (the “Underwriters”). The Company offered and sold 1,086,957 shares of Common Stock and the Selling Stockholders offered and sold a total of 652,174 shares of Common Stock. In addition, the Company granted the Underwriters an option, exercisable for 30 days following the date of the Underwriting Agreement, to purchase up to 260,869 additional shares of Common Stock from the Company (the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Underwriters exercised their option in full and on August 5, 2026, the Underwriters purchased the Option Shares. The gross proceeds to the Company from the sale of the Option Shares, before deducting the underwriting discounts and commissions and offering expenses, were approximately $14.1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purchase of the Option Shares to fund additional growth opportunities, including for capital expenditures,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and consent of McGuireWoods LLP relating to the validity of the Option Shares is filed herewith as Exhibit 5.1.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Shares have been registered under the Securities Act of 1933, as amended, pursuant to a registration statement on Form S-3 (File No. 333-297549) (the “Registration Statement”). The Company has filed with the U.S. Securities and Exchange Commission a preliminary prospectus supplement dated July 28, 2026 and a final prospectus supplement, dated July 28, 2026, together with an accompanying prospectus dated July 21, 2026, relating to the offer and sale of the Option Shares.</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8200" w:type="dxa"/>
        <w:jc w:val="left"/>
        <w:tblInd w:w="0" w:type="dxa"/>
        <w:tblLayout w:type="fixed"/>
        <w:tblCellMar>
          <w:top w:w="0" w:type="dxa"/>
          <w:left w:w="0" w:type="dxa"/>
          <w:bottom w:w="0" w:type="dxa"/>
          <w:right w:w="0" w:type="dxa"/>
        </w:tblCellMar>
      </w:tblPr>
      <w:tblGrid>
        <w:gridCol w:w="455"/>
        <w:gridCol w:w="60"/>
        <w:gridCol w:w="7685"/>
      </w:tblGrid>
      <w:tr>
        <w:trPr/>
        <w:tc>
          <w:tcPr>
            <w:tcW w:w="455" w:type="dxa"/>
            <w:tcBorders/>
            <w:vAlign w:val="center"/>
          </w:tcPr>
          <w:p>
            <w:pPr>
              <w:pStyle w:val="TableContents"/>
              <w:bidi w:val="0"/>
              <w:spacing w:before="0" w:after="283"/>
              <w:jc w:val="left"/>
              <w:rPr>
                <w:color w:val="212529"/>
              </w:rPr>
            </w:pPr>
            <w:r>
              <w:rPr>
                <w:color w:val="212529"/>
              </w:rPr>
              <w:t>5.1</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feimex5-1.htm">
              <w:r>
                <w:rPr>
                  <w:rStyle w:val="InternetLink"/>
                  <w:color w:val="212529"/>
                </w:rPr>
                <w:t>Opinion of McGuireWoods LLP.</w:t>
              </w:r>
            </w:hyperlink>
          </w:p>
        </w:tc>
      </w:tr>
      <w:tr>
        <w:trPr/>
        <w:tc>
          <w:tcPr>
            <w:tcW w:w="455" w:type="dxa"/>
            <w:tcBorders/>
            <w:vAlign w:val="center"/>
          </w:tcPr>
          <w:p>
            <w:pPr>
              <w:pStyle w:val="TableContents"/>
              <w:bidi w:val="0"/>
              <w:spacing w:before="0" w:after="283"/>
              <w:jc w:val="left"/>
              <w:rPr>
                <w:color w:val="212529"/>
              </w:rPr>
            </w:pPr>
            <w:r>
              <w:rPr>
                <w:color w:val="212529"/>
              </w:rPr>
              <w:t>23.1</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feimex5-1.htm">
              <w:r>
                <w:rPr>
                  <w:rStyle w:val="InternetLink"/>
                  <w:color w:val="212529"/>
                </w:rPr>
                <w:t>Consent of McGuireWoods LLP (included in Exhibit 5.1).</w:t>
              </w:r>
            </w:hyperlink>
          </w:p>
        </w:tc>
      </w:tr>
      <w:tr>
        <w:trPr/>
        <w:tc>
          <w:tcPr>
            <w:tcW w:w="455" w:type="dxa"/>
            <w:tcBorders/>
            <w:vAlign w:val="center"/>
          </w:tcPr>
          <w:p>
            <w:pPr>
              <w:pStyle w:val="TableContents"/>
              <w:bidi w:val="0"/>
              <w:spacing w:before="0" w:after="283"/>
              <w:jc w:val="left"/>
              <w:rPr>
                <w:color w:val="212529"/>
              </w:rPr>
            </w:pPr>
            <w:r>
              <w:rPr>
                <w:color w:val="212529"/>
              </w:rPr>
              <w:t xml:space="preserve">104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color w:val="212529"/>
              </w:rPr>
            </w:pPr>
            <w:r>
              <w:rPr>
                <w:color w:val="212529"/>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1760"/>
        <w:gridCol w:w="320"/>
        <w:gridCol w:w="38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L. Bernstein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feimex5-1.htm"/>
      <w:bookmarkStart w:id="23" w:name="ksfeimex51"/>
      <w:bookmarkEnd w:id="22"/>
      <w:bookmarkEnd w:id="23"/>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9716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32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667" w:right="666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w:t>
      </w:r>
    </w:p>
    <w:p>
      <w:pPr>
        <w:pStyle w:val="TextBody"/>
        <w:bidi w:val="0"/>
        <w:spacing w:before="0" w:after="0"/>
        <w:ind w:left="6667" w:right="666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Charles Lindbergh Blvd.</w:t>
      </w:r>
    </w:p>
    <w:p>
      <w:pPr>
        <w:pStyle w:val="TextBody"/>
        <w:bidi w:val="0"/>
        <w:spacing w:before="0" w:after="0"/>
        <w:ind w:left="6667" w:right="666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New York 11553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Frequency Electronics, Inc.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Frequency Electronics, Inc., a Delaware corporation (the “</w:t>
      </w:r>
      <w:r>
        <w:rPr>
          <w:rFonts w:ascii="Times New Roman;Times;Serif" w:hAnsi="Times New Roman;Times;Serif"/>
          <w:b w:val="false"/>
          <w:i w:val="false"/>
          <w:caps w:val="false"/>
          <w:smallCaps w:val="false"/>
          <w:sz w:val="20"/>
          <w:u w:val="single"/>
        </w:rPr>
        <w:t>Compan</w:t>
      </w:r>
      <w:r>
        <w:rPr>
          <w:rFonts w:ascii="Times New Roman;Times;Serif" w:hAnsi="Times New Roman;Times;Serif"/>
          <w:b w:val="false"/>
          <w:i w:val="false"/>
          <w:caps w:val="false"/>
          <w:smallCaps w:val="false"/>
          <w:sz w:val="20"/>
        </w:rPr>
        <w:t>y”), in connection with (i) the Registration Statement on Form S-3 (File No. 333-297549)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was filed by the Company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connection with the registration under the Securities Act of (a) up to $100,000,000 in aggregate offering price of the Company’s common stock, par value $1.00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certain of its other securities, that may be offered and sold from time to time by the Company and (b) up to 1,000,000 shares of Common Stock that may be offered and sold from time to time by certain selling stockholders, which Registration Statement was declared effective by the SEC on July 21, 2026, and (ii) the issuance and sale by the Company of 1,347,826 shares of Common Stock, including 260,869 shares of Common Stock issued and sold by the Company upon exercise of the option to purchase additional shares granted to the Underwriters (the “</w:t>
      </w:r>
      <w:r>
        <w:rPr>
          <w:rFonts w:ascii="Times New Roman;Times;Serif" w:hAnsi="Times New Roman;Times;Serif"/>
          <w:b w:val="false"/>
          <w:i w:val="false"/>
          <w:caps w:val="false"/>
          <w:smallCaps w:val="false"/>
          <w:sz w:val="20"/>
          <w:u w:val="single"/>
        </w:rPr>
        <w:t>Option Shares</w:t>
      </w:r>
      <w:r>
        <w:rPr>
          <w:rFonts w:ascii="Times New Roman;Times;Serif" w:hAnsi="Times New Roman;Times;Serif"/>
          <w:b w:val="false"/>
          <w:i w:val="false"/>
          <w:caps w:val="false"/>
          <w:smallCaps w:val="false"/>
          <w:sz w:val="20"/>
        </w:rPr>
        <w:t>”), and the sale by the selling stockholders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named in the Prospectus Supplement (as defined below) of 652,174 shares, in each case, pursuant to the Underwriting Agreement, dated as of July 28,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by and among the Company, the Selling Stockholders and Morgan Stanley &amp; Co. LLC, as representative of the several underwriters named in Schedule II thereto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as described in the Company’s prospectus, dated July 21, 2026, included in the Registration Statement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the final prospectus supplement, dated July 28,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This opinion letter is being furnished in accordance with the requirements of Item 16 of Form S-3 and Item 601(b)(5)(i) of Regulation S-K promulgated under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Reviewed</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following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Base Prospectus;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Supplement; and</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McGuireWoods LLP | www.mcguirewoods.com</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Atlanta | Austin | Baltimore | Charlotte | Charlottesville | Chicago | Dallas | Houston | Jacksonville | London | Los Angeles - Century City | New York |</w:t>
      </w:r>
    </w:p>
    <w:p>
      <w:pPr>
        <w:pStyle w:val="TextBody"/>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Norfolk | Pittsburgh | Raleigh | Richmond | San Francisco | Seattle | Tysons | Washington, D.C.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examined and relied upon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certificate from the Secretary of the Company certifying as to (A) true and correct copies of the Company’s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the Amended and Restated By-Laws of the Company (together with the Certificate of Incorporation, the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and (B) the resolutions of the Company’s Board of Directors and pricing committee thereof authorizing, among other things, the filing of the Registration Statement, the offering and sale of the Option Shares and the execution and delivery of the Underwriting Agreement and the performance of its obligations thereunder (the “</w:t>
      </w:r>
      <w:r>
        <w:rPr>
          <w:rFonts w:ascii="Times New Roman;Times;Serif" w:hAnsi="Times New Roman;Times;Serif"/>
          <w:b w:val="false"/>
          <w:i w:val="false"/>
          <w:caps w:val="false"/>
          <w:smallCaps w:val="false"/>
          <w:sz w:val="20"/>
          <w:u w:val="single"/>
        </w:rPr>
        <w:t>Authorizing Resolutions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August 5, 2026, issued by the Secretary of State of the State of Delaware, attesting to the corporate status of the Company in the State of Delaware (the “</w:t>
      </w:r>
      <w:r>
        <w:rPr>
          <w:rFonts w:ascii="Times New Roman;Times;Serif" w:hAnsi="Times New Roman;Times;Serif"/>
          <w:b w:val="false"/>
          <w:i w:val="false"/>
          <w:caps w:val="false"/>
          <w:smallCaps w:val="false"/>
          <w:sz w:val="20"/>
          <w:u w:val="single"/>
        </w:rPr>
        <w:t>Delaware Certificate</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originals, or copies identified to our satisfaction as being true copies, of such other records, documents and instruments as we have deemed necessary for the purposes of this opinion letter.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the Delaware General Corporation Law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Assumptions Underlying Our Opinions</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the opinions expressed herein, we have assumed, without independent investigation,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Factual Matters</w:t>
      </w:r>
      <w:r>
        <w:rPr>
          <w:rFonts w:ascii="Times New Roman;Times;Serif" w:hAnsi="Times New Roman;Times;Serif"/>
          <w:b w:val="false"/>
          <w:i w:val="false"/>
          <w:caps w:val="false"/>
          <w:smallCaps w:val="false"/>
          <w:sz w:val="20"/>
        </w:rPr>
        <w:t>. To the extent that we have reviewed and relied upon (i) certificates of the Company or authorized representatives thereof, (ii) representations of the Company set forth in the Underwriting Agreement and (iii) certificates and assurances from public officials, all of such certificates, representations and assurances are accurate and complete with regard to factual matters and all official records (including filings with public authorities) are properly indexed and filed and are accurate and complete.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Authentic and Conforming Documents</w:t>
      </w:r>
      <w:r>
        <w:rPr>
          <w:rFonts w:ascii="Times New Roman;Times;Serif" w:hAnsi="Times New Roman;Times;Serif"/>
          <w:b w:val="false"/>
          <w:i w:val="false"/>
          <w:caps w:val="false"/>
          <w:smallCaps w:val="false"/>
          <w:sz w:val="20"/>
        </w:rPr>
        <w:t>. All documents submitted to us as originals are authentic, complete and accurate, and all documents submitted to us as copies conform to authentic original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Signatures; Legal Capacity</w:t>
      </w:r>
      <w:r>
        <w:rPr>
          <w:rFonts w:ascii="Times New Roman;Times;Serif" w:hAnsi="Times New Roman;Times;Serif"/>
          <w:b w:val="false"/>
          <w:i w:val="false"/>
          <w:caps w:val="false"/>
          <w:smallCaps w:val="false"/>
          <w:sz w:val="20"/>
        </w:rPr>
        <w:t>. The signatures of individuals who have signed the Underwriting Agreement, or will sign any document required or permitted to be delivered thereunder, are genuine. All individuals who have signed the Underwriting Agreement, or will sign any document required or permitted to be delivered thereunder, have the legal capacity to execute the Underwriting Agreement or such other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Underwriting Agreement Binding</w:t>
      </w:r>
      <w:r>
        <w:rPr>
          <w:rFonts w:ascii="Times New Roman;Times;Serif" w:hAnsi="Times New Roman;Times;Serif"/>
          <w:b w:val="false"/>
          <w:i w:val="false"/>
          <w:caps w:val="false"/>
          <w:smallCaps w:val="false"/>
          <w:sz w:val="20"/>
        </w:rPr>
        <w:t>. The Underwriting Agreement and the documents required or permitted to be delivered thereunder are valid and binding obligations enforceable against the parties thereto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Mutual Mistake, Amendments, etc</w:t>
      </w:r>
      <w:r>
        <w:rPr>
          <w:rFonts w:ascii="Times New Roman;Times;Serif" w:hAnsi="Times New Roman;Times;Serif"/>
          <w:b w:val="false"/>
          <w:i w:val="false"/>
          <w:caps w:val="false"/>
          <w:smallCaps w:val="false"/>
          <w:sz w:val="20"/>
        </w:rPr>
        <w:t>. There has not been any mutual mistake of fact, fraud, duress or undue influence in connection with the offer and sale of the Option Shares contemplated by the Registration Statement and the Prospectus. There are no oral or written statements or agreements that modify, amend or vary, or purport to modify, amend or vary, any of the terms of the Underwriting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Opinions</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the exclusions, qualifications, limitations and other assumptions set forth in this opinion letter, we are of the opinion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Organizational Status</w:t>
      </w:r>
      <w:r>
        <w:rPr>
          <w:rFonts w:ascii="Times New Roman;Times;Serif" w:hAnsi="Times New Roman;Times;Serif"/>
          <w:b w:val="false"/>
          <w:i w:val="false"/>
          <w:caps w:val="false"/>
          <w:smallCaps w:val="false"/>
          <w:sz w:val="20"/>
        </w:rPr>
        <w:t>. The Company is a validly existing corporation under the laws of the State of Delaware and is in good standing under such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Validity of Option Shares</w:t>
      </w:r>
      <w:r>
        <w:rPr>
          <w:rFonts w:ascii="Times New Roman;Times;Serif" w:hAnsi="Times New Roman;Times;Serif"/>
          <w:b w:val="false"/>
          <w:i w:val="false"/>
          <w:caps w:val="false"/>
          <w:smallCaps w:val="false"/>
          <w:sz w:val="20"/>
        </w:rPr>
        <w:t>. The Option Shares are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Qualifications and Limitations Applicable to Our Opinions</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limited to the Applicable Law, and we do not express any opinion concerning any other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being furnished only for the purpose referred to in the first paragraph of this opinion letter. Our opinions are based on statutes, regulations and administrative and judicial interpretations that are subject to change. This opinion letter is given as of the date hereof, and we undertake no responsibility to update or supplement these opinions subsequent to the date hereof. Headings in this opinion letter are intended for convenience of reference only and shall not affect its interpretation. We hereby consent to the filing of this opinion as Exhibit 5.1 to the Company’s Current Report on Form 8-K being filed with the SEC on or about the date hereof, to the incorporation by reference of this opinion of counsel into the Registration Statement and to references to us under the caption “Legal Matters” in the Registration Statement and in the Prospectus Supplement relating to the Option Shares. In giving this consent, we do not admit that we are within the category of persons whose consent is required by Section 7 of the Securities Act or the rules and regulations of the SEC promulgated thereunder.</w:t>
      </w:r>
    </w:p>
    <w:p>
      <w:pPr>
        <w:pStyle w:val="TextBody"/>
        <w:bidi w:val="0"/>
        <w:spacing w:before="0" w:after="0"/>
        <w:jc w:val="center"/>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/s/ McGuireWoods LLP</w:t>
            </w:r>
          </w:p>
        </w:tc>
      </w:tr>
    </w:tbl>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68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1900</Words>
  <Characters>10477</Characters>
  <CharactersWithSpaces>12385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