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10-Q</w:t>
      </w:r>
    </w:p>
    <w:p>
      <w:pPr>
        <w:spacing w:after="0" w:line="24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56" w:lineRule="exact"/>
        <w:rPr>
          <w:sz w:val="24"/>
          <w:szCs w:val="24"/>
          <w:color w:val="auto"/>
        </w:rPr>
      </w:pPr>
    </w:p>
    <w:p>
      <w:pPr>
        <w:ind w:left="3940" w:right="1960" w:hanging="3432"/>
        <w:spacing w:after="0" w:line="530" w:lineRule="auto"/>
        <w:tabs>
          <w:tab w:leader="none" w:pos="827"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REPORT PURSUANT TO SECTION 13 or 15 (d) OF THE SECURITIES EXCHANGE ACT OF 1934 For the Quarterly Period ended October 31, 2009</w:t>
      </w: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2" w:lineRule="exact"/>
        <w:rPr>
          <w:sz w:val="24"/>
          <w:szCs w:val="24"/>
          <w:color w:val="auto"/>
        </w:rPr>
      </w:pPr>
    </w:p>
    <w:p>
      <w:pPr>
        <w:ind w:left="3600" w:right="1960" w:hanging="3106"/>
        <w:spacing w:after="0" w:line="527" w:lineRule="auto"/>
        <w:tabs>
          <w:tab w:leader="none" w:pos="812"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 (d) OF THE SECURITIES EXCHANGE ACT OF 1934 For the transition period from __________ to __________</w:t>
      </w:r>
    </w:p>
    <w:p>
      <w:pPr>
        <w:ind w:left="4660"/>
        <w:spacing w:after="0"/>
        <w:rPr>
          <w:rFonts w:ascii="MS PGothic" w:cs="MS PGothic" w:eastAsia="MS PGothic" w:hAnsi="MS PGothic"/>
          <w:sz w:val="18"/>
          <w:szCs w:val="18"/>
          <w:color w:val="auto"/>
        </w:rPr>
      </w:pPr>
      <w:r>
        <w:rPr>
          <w:rFonts w:ascii="Arial" w:cs="Arial" w:eastAsia="Arial" w:hAnsi="Arial"/>
          <w:sz w:val="18"/>
          <w:szCs w:val="18"/>
          <w:color w:val="auto"/>
        </w:rPr>
        <w:t>Commission File No. 1-8061</w:t>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FREQUENCY ELECTRONICS, INC.</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32"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6320" w:type="dxa"/>
            <w:vAlign w:val="bottom"/>
          </w:tcPr>
          <w:p>
            <w:pPr>
              <w:jc w:val="center"/>
              <w:ind w:left="450"/>
              <w:spacing w:after="0"/>
              <w:rPr>
                <w:sz w:val="20"/>
                <w:szCs w:val="20"/>
                <w:color w:val="auto"/>
              </w:rPr>
            </w:pPr>
            <w:r>
              <w:rPr>
                <w:rFonts w:ascii="Arial" w:cs="Arial" w:eastAsia="Arial" w:hAnsi="Arial"/>
                <w:sz w:val="18"/>
                <w:szCs w:val="18"/>
                <w:b w:val="1"/>
                <w:bCs w:val="1"/>
                <w:color w:val="auto"/>
                <w:w w:val="93"/>
              </w:rPr>
              <w:t>Delaware</w:t>
            </w:r>
          </w:p>
        </w:tc>
        <w:tc>
          <w:tcPr>
            <w:tcW w:w="4120" w:type="dxa"/>
            <w:vAlign w:val="bottom"/>
          </w:tcPr>
          <w:p>
            <w:pPr>
              <w:jc w:val="right"/>
              <w:ind w:right="790"/>
              <w:spacing w:after="0"/>
              <w:rPr>
                <w:sz w:val="20"/>
                <w:szCs w:val="20"/>
                <w:color w:val="auto"/>
              </w:rPr>
            </w:pPr>
            <w:r>
              <w:rPr>
                <w:rFonts w:ascii="Arial" w:cs="Arial" w:eastAsia="Arial" w:hAnsi="Arial"/>
                <w:sz w:val="18"/>
                <w:szCs w:val="18"/>
                <w:b w:val="1"/>
                <w:bCs w:val="1"/>
                <w:color w:val="auto"/>
              </w:rPr>
              <w:t>11-1986657</w:t>
            </w:r>
          </w:p>
        </w:tc>
      </w:tr>
      <w:tr>
        <w:trPr>
          <w:trHeight w:val="216"/>
        </w:trPr>
        <w:tc>
          <w:tcPr>
            <w:tcW w:w="6320" w:type="dxa"/>
            <w:vAlign w:val="bottom"/>
          </w:tcPr>
          <w:p>
            <w:pPr>
              <w:jc w:val="center"/>
              <w:ind w:left="450"/>
              <w:spacing w:after="0"/>
              <w:rPr>
                <w:sz w:val="20"/>
                <w:szCs w:val="20"/>
                <w:color w:val="auto"/>
              </w:rPr>
            </w:pPr>
            <w:r>
              <w:rPr>
                <w:rFonts w:ascii="Arial" w:cs="Arial" w:eastAsia="Arial" w:hAnsi="Arial"/>
                <w:sz w:val="18"/>
                <w:szCs w:val="18"/>
                <w:color w:val="auto"/>
                <w:w w:val="93"/>
              </w:rPr>
              <w:t>(State or other jurisdiction of</w:t>
            </w:r>
          </w:p>
        </w:tc>
        <w:tc>
          <w:tcPr>
            <w:tcW w:w="4120" w:type="dxa"/>
            <w:vAlign w:val="bottom"/>
          </w:tcPr>
          <w:p>
            <w:pPr>
              <w:jc w:val="center"/>
              <w:ind w:left="1430"/>
              <w:spacing w:after="0"/>
              <w:rPr>
                <w:sz w:val="20"/>
                <w:szCs w:val="20"/>
                <w:color w:val="auto"/>
              </w:rPr>
            </w:pPr>
            <w:r>
              <w:rPr>
                <w:rFonts w:ascii="Arial" w:cs="Arial" w:eastAsia="Arial" w:hAnsi="Arial"/>
                <w:sz w:val="18"/>
                <w:szCs w:val="18"/>
                <w:color w:val="auto"/>
                <w:w w:val="93"/>
              </w:rPr>
              <w:t>(I.R.S. Employer Identification No.)</w:t>
            </w:r>
          </w:p>
        </w:tc>
      </w:tr>
      <w:tr>
        <w:trPr>
          <w:trHeight w:val="230"/>
        </w:trPr>
        <w:tc>
          <w:tcPr>
            <w:tcW w:w="6320" w:type="dxa"/>
            <w:vAlign w:val="bottom"/>
          </w:tcPr>
          <w:p>
            <w:pPr>
              <w:jc w:val="center"/>
              <w:ind w:left="450"/>
              <w:spacing w:after="0"/>
              <w:rPr>
                <w:sz w:val="20"/>
                <w:szCs w:val="20"/>
                <w:color w:val="auto"/>
              </w:rPr>
            </w:pPr>
            <w:r>
              <w:rPr>
                <w:rFonts w:ascii="Arial" w:cs="Arial" w:eastAsia="Arial" w:hAnsi="Arial"/>
                <w:sz w:val="18"/>
                <w:szCs w:val="18"/>
                <w:color w:val="auto"/>
                <w:w w:val="93"/>
              </w:rPr>
              <w:t>incorporation or organization)</w:t>
            </w:r>
          </w:p>
        </w:tc>
        <w:tc>
          <w:tcPr>
            <w:tcW w:w="4120" w:type="dxa"/>
            <w:vAlign w:val="bottom"/>
          </w:tcPr>
          <w:p>
            <w:pPr>
              <w:spacing w:after="0"/>
              <w:rPr>
                <w:sz w:val="20"/>
                <w:szCs w:val="20"/>
                <w:color w:val="auto"/>
              </w:rPr>
            </w:pPr>
          </w:p>
        </w:tc>
      </w:tr>
      <w:tr>
        <w:trPr>
          <w:trHeight w:val="445"/>
        </w:trPr>
        <w:tc>
          <w:tcPr>
            <w:tcW w:w="6320" w:type="dxa"/>
            <w:vAlign w:val="bottom"/>
          </w:tcPr>
          <w:p>
            <w:pPr>
              <w:jc w:val="center"/>
              <w:ind w:right="1430"/>
              <w:spacing w:after="0"/>
              <w:rPr>
                <w:sz w:val="20"/>
                <w:szCs w:val="20"/>
                <w:color w:val="auto"/>
              </w:rPr>
            </w:pPr>
            <w:r>
              <w:rPr>
                <w:rFonts w:ascii="Arial" w:cs="Arial" w:eastAsia="Arial" w:hAnsi="Arial"/>
                <w:sz w:val="18"/>
                <w:szCs w:val="18"/>
                <w:b w:val="1"/>
                <w:bCs w:val="1"/>
                <w:color w:val="auto"/>
              </w:rPr>
              <w:t>55 CHARLES LINDBERGH BLVD., MITCHEL FIELD, N.Y.</w:t>
            </w:r>
          </w:p>
        </w:tc>
        <w:tc>
          <w:tcPr>
            <w:tcW w:w="4120" w:type="dxa"/>
            <w:vAlign w:val="bottom"/>
          </w:tcPr>
          <w:p>
            <w:pPr>
              <w:jc w:val="right"/>
              <w:ind w:right="990"/>
              <w:spacing w:after="0"/>
              <w:rPr>
                <w:sz w:val="20"/>
                <w:szCs w:val="20"/>
                <w:color w:val="auto"/>
              </w:rPr>
            </w:pPr>
            <w:r>
              <w:rPr>
                <w:rFonts w:ascii="Arial" w:cs="Arial" w:eastAsia="Arial" w:hAnsi="Arial"/>
                <w:sz w:val="18"/>
                <w:szCs w:val="18"/>
                <w:b w:val="1"/>
                <w:bCs w:val="1"/>
                <w:color w:val="auto"/>
              </w:rPr>
              <w:t>11553</w:t>
            </w:r>
          </w:p>
        </w:tc>
      </w:tr>
      <w:tr>
        <w:trPr>
          <w:trHeight w:val="230"/>
        </w:trPr>
        <w:tc>
          <w:tcPr>
            <w:tcW w:w="6320" w:type="dxa"/>
            <w:vAlign w:val="bottom"/>
          </w:tcPr>
          <w:p>
            <w:pPr>
              <w:jc w:val="center"/>
              <w:ind w:right="1410"/>
              <w:spacing w:after="0"/>
              <w:rPr>
                <w:sz w:val="20"/>
                <w:szCs w:val="20"/>
                <w:color w:val="auto"/>
              </w:rPr>
            </w:pPr>
            <w:r>
              <w:rPr>
                <w:rFonts w:ascii="Arial" w:cs="Arial" w:eastAsia="Arial" w:hAnsi="Arial"/>
                <w:sz w:val="18"/>
                <w:szCs w:val="18"/>
                <w:color w:val="auto"/>
                <w:w w:val="92"/>
              </w:rPr>
              <w:t>(Address of principal executive offices)</w:t>
            </w:r>
          </w:p>
        </w:tc>
        <w:tc>
          <w:tcPr>
            <w:tcW w:w="4120" w:type="dxa"/>
            <w:vAlign w:val="bottom"/>
          </w:tcPr>
          <w:p>
            <w:pPr>
              <w:jc w:val="center"/>
              <w:ind w:left="1430"/>
              <w:spacing w:after="0"/>
              <w:rPr>
                <w:sz w:val="20"/>
                <w:szCs w:val="20"/>
                <w:color w:val="auto"/>
              </w:rPr>
            </w:pPr>
            <w:r>
              <w:rPr>
                <w:rFonts w:ascii="Arial" w:cs="Arial" w:eastAsia="Arial" w:hAnsi="Arial"/>
                <w:sz w:val="18"/>
                <w:szCs w:val="18"/>
                <w:color w:val="auto"/>
                <w:w w:val="94"/>
              </w:rPr>
              <w:t>(Zip Code)</w:t>
            </w:r>
          </w:p>
        </w:tc>
      </w:tr>
      <w:tr>
        <w:trPr>
          <w:trHeight w:val="459"/>
        </w:trPr>
        <w:tc>
          <w:tcPr>
            <w:tcW w:w="6320" w:type="dxa"/>
            <w:vAlign w:val="bottom"/>
          </w:tcPr>
          <w:p>
            <w:pPr>
              <w:jc w:val="center"/>
              <w:ind w:right="1430"/>
              <w:spacing w:after="0"/>
              <w:rPr>
                <w:sz w:val="20"/>
                <w:szCs w:val="20"/>
                <w:color w:val="auto"/>
              </w:rPr>
            </w:pPr>
            <w:r>
              <w:rPr>
                <w:rFonts w:ascii="Arial" w:cs="Arial" w:eastAsia="Arial" w:hAnsi="Arial"/>
                <w:sz w:val="18"/>
                <w:szCs w:val="18"/>
                <w:color w:val="auto"/>
                <w:w w:val="90"/>
              </w:rPr>
              <w:t xml:space="preserve">Registrant's telephone number, including area code: </w:t>
            </w:r>
            <w:r>
              <w:rPr>
                <w:rFonts w:ascii="Arial" w:cs="Arial" w:eastAsia="Arial" w:hAnsi="Arial"/>
                <w:sz w:val="18"/>
                <w:szCs w:val="18"/>
                <w:b w:val="1"/>
                <w:bCs w:val="1"/>
                <w:color w:val="auto"/>
                <w:w w:val="90"/>
              </w:rPr>
              <w:t>516-794-4500</w:t>
            </w:r>
          </w:p>
        </w:tc>
        <w:tc>
          <w:tcPr>
            <w:tcW w:w="4120" w:type="dxa"/>
            <w:vAlign w:val="bottom"/>
          </w:tcPr>
          <w:p>
            <w:pPr>
              <w:spacing w:after="0"/>
              <w:rPr>
                <w:sz w:val="24"/>
                <w:szCs w:val="24"/>
                <w:color w:val="auto"/>
              </w:rPr>
            </w:pPr>
          </w:p>
        </w:tc>
      </w:tr>
    </w:tbl>
    <w:p>
      <w:pPr>
        <w:spacing w:after="0" w:line="22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21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 (the registrant is not yet required to submit Interactive Data)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4700905</wp:posOffset>
            </wp:positionH>
            <wp:positionV relativeFrom="paragraph">
              <wp:posOffset>-36195</wp:posOffset>
            </wp:positionV>
            <wp:extent cx="285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91" w:lineRule="exact"/>
        <w:rPr>
          <w:sz w:val="24"/>
          <w:szCs w:val="24"/>
          <w:color w:val="auto"/>
        </w:rPr>
      </w:pPr>
    </w:p>
    <w:p>
      <w:pPr>
        <w:jc w:val="both"/>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310" w:right="239" w:bottom="1440" w:gutter="0" w:footer="0" w:header="0"/>
        </w:sectPr>
      </w:pPr>
    </w:p>
    <w:p>
      <w:pPr>
        <w:spacing w:after="0" w:line="14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1" w:lineRule="exact"/>
        <w:rPr>
          <w:sz w:val="24"/>
          <w:szCs w:val="24"/>
          <w:color w:val="auto"/>
        </w:rPr>
      </w:pPr>
    </w:p>
    <w:p>
      <w:pPr>
        <w:ind w:right="640" w:firstLine="90"/>
        <w:spacing w:after="0" w:line="239"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 x (do not check if a smaller reporting company)</w:t>
      </w:r>
    </w:p>
    <w:p>
      <w:pPr>
        <w:spacing w:after="0" w:line="200" w:lineRule="exact"/>
        <w:rPr>
          <w:sz w:val="24"/>
          <w:szCs w:val="24"/>
          <w:color w:val="auto"/>
        </w:rPr>
      </w:pPr>
    </w:p>
    <w:p>
      <w:pPr>
        <w:sectPr>
          <w:pgSz w:w="11900" w:h="16838" w:orient="portrait"/>
          <w:cols w:equalWidth="0" w:num="3">
            <w:col w:w="2240" w:space="720"/>
            <w:col w:w="2040" w:space="720"/>
            <w:col w:w="5700"/>
          </w:cols>
          <w:pgMar w:left="240" w:top="310" w:right="239" w:bottom="1440" w:gutter="0" w:footer="0" w:header="0"/>
          <w:type w:val="continuous"/>
        </w:sectPr>
      </w:pPr>
    </w:p>
    <w:p>
      <w:pPr>
        <w:spacing w:after="0" w:line="30"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46" w:lineRule="exact"/>
        <w:rPr>
          <w:sz w:val="24"/>
          <w:szCs w:val="24"/>
          <w:color w:val="auto"/>
        </w:rPr>
      </w:pPr>
    </w:p>
    <w:p>
      <w:pPr>
        <w:ind w:left="340"/>
        <w:spacing w:after="0" w:line="207" w:lineRule="exact"/>
        <w:tabs>
          <w:tab w:leader="none" w:pos="17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No x</w:t>
      </w:r>
    </w:p>
    <w:p>
      <w:pPr>
        <w:sectPr>
          <w:pgSz w:w="11900" w:h="16838" w:orient="portrait"/>
          <w:cols w:equalWidth="0" w:num="1">
            <w:col w:w="11420"/>
          </w:cols>
          <w:pgMar w:left="240" w:top="310" w:right="239" w:bottom="1440" w:gutter="0" w:footer="0" w:header="0"/>
          <w:type w:val="continuous"/>
        </w:sectPr>
      </w:pP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APPLICABLE ONLY TO CORPORATE ISSUERS:</w:t>
      </w:r>
    </w:p>
    <w:p>
      <w:pPr>
        <w:spacing w:after="0" w:line="252"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outstanding of Registrant's Common Stock, par value $1.00 as of December 10, 2009 – 8,183,275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104775</wp:posOffset>
            </wp:positionV>
            <wp:extent cx="7250430" cy="450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464820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10"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6220" w:type="dxa"/>
            <w:vAlign w:val="bottom"/>
          </w:tcPr>
          <w:p>
            <w:pPr>
              <w:jc w:val="center"/>
              <w:ind w:right="5090"/>
              <w:spacing w:after="0"/>
              <w:rPr>
                <w:sz w:val="20"/>
                <w:szCs w:val="20"/>
                <w:color w:val="auto"/>
              </w:rPr>
            </w:pPr>
            <w:r>
              <w:rPr>
                <w:rFonts w:ascii="Arial" w:cs="Arial" w:eastAsia="Arial" w:hAnsi="Arial"/>
                <w:sz w:val="18"/>
                <w:szCs w:val="18"/>
                <w:color w:val="auto"/>
              </w:rPr>
              <w:t>INDEX</w:t>
            </w: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6220" w:type="dxa"/>
            <w:vAlign w:val="bottom"/>
          </w:tcPr>
          <w:p>
            <w:pPr>
              <w:ind w:left="5320"/>
              <w:spacing w:after="0"/>
              <w:rPr>
                <w:sz w:val="20"/>
                <w:szCs w:val="20"/>
                <w:color w:val="auto"/>
              </w:rPr>
            </w:pPr>
            <w:r>
              <w:rPr>
                <w:rFonts w:ascii="Arial" w:cs="Arial" w:eastAsia="Arial" w:hAnsi="Arial"/>
                <w:sz w:val="18"/>
                <w:szCs w:val="18"/>
                <w:color w:val="auto"/>
              </w:rPr>
              <w:t>Page No.</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8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FFCC"/>
          </w:tcPr>
          <w:p>
            <w:pPr>
              <w:spacing w:after="0"/>
              <w:rPr>
                <w:sz w:val="20"/>
                <w:szCs w:val="20"/>
                <w:color w:val="auto"/>
              </w:rPr>
            </w:pPr>
            <w:r>
              <w:rPr>
                <w:rFonts w:ascii="Arial" w:cs="Arial" w:eastAsia="Arial" w:hAnsi="Arial"/>
                <w:sz w:val="18"/>
                <w:szCs w:val="18"/>
                <w:color w:val="auto"/>
              </w:rPr>
              <w:t>Part I. Financial Information:</w:t>
            </w:r>
          </w:p>
        </w:tc>
        <w:tc>
          <w:tcPr>
            <w:tcW w:w="62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Item 1 - Financial Statements:</w:t>
            </w:r>
          </w:p>
        </w:tc>
        <w:tc>
          <w:tcPr>
            <w:tcW w:w="62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FFCC"/>
          </w:tcPr>
          <w:p>
            <w:pPr>
              <w:ind w:left="480"/>
              <w:spacing w:after="0"/>
              <w:rPr>
                <w:sz w:val="20"/>
                <w:szCs w:val="20"/>
                <w:color w:val="auto"/>
              </w:rPr>
            </w:pPr>
            <w:r>
              <w:rPr>
                <w:rFonts w:ascii="Arial" w:cs="Arial" w:eastAsia="Arial" w:hAnsi="Arial"/>
                <w:sz w:val="18"/>
                <w:szCs w:val="18"/>
                <w:color w:val="auto"/>
              </w:rPr>
              <w:t>Condensed Consolidated Balance Sheets -</w:t>
            </w:r>
          </w:p>
        </w:tc>
        <w:tc>
          <w:tcPr>
            <w:tcW w:w="62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FFCC"/>
          </w:tcPr>
          <w:p>
            <w:pPr>
              <w:ind w:left="640"/>
              <w:spacing w:after="0"/>
              <w:rPr>
                <w:sz w:val="20"/>
                <w:szCs w:val="20"/>
                <w:color w:val="auto"/>
              </w:rPr>
            </w:pPr>
            <w:r>
              <w:rPr>
                <w:rFonts w:ascii="Arial" w:cs="Arial" w:eastAsia="Arial" w:hAnsi="Arial"/>
                <w:sz w:val="18"/>
                <w:szCs w:val="18"/>
                <w:color w:val="auto"/>
              </w:rPr>
              <w:t>October 31, 2009 and April 30, 2009</w:t>
            </w:r>
          </w:p>
        </w:tc>
        <w:tc>
          <w:tcPr>
            <w:tcW w:w="6220" w:type="dxa"/>
            <w:vAlign w:val="bottom"/>
            <w:shd w:val="clear" w:color="auto" w:fill="CCFFCC"/>
          </w:tcPr>
          <w:p>
            <w:pPr>
              <w:jc w:val="center"/>
              <w:ind w:left="4990"/>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FFCC"/>
          </w:tcPr>
          <w:p>
            <w:pPr>
              <w:ind w:left="480"/>
              <w:spacing w:after="0"/>
              <w:rPr>
                <w:sz w:val="20"/>
                <w:szCs w:val="20"/>
                <w:color w:val="auto"/>
              </w:rPr>
            </w:pPr>
            <w:r>
              <w:rPr>
                <w:rFonts w:ascii="Arial" w:cs="Arial" w:eastAsia="Arial" w:hAnsi="Arial"/>
                <w:sz w:val="18"/>
                <w:szCs w:val="18"/>
                <w:color w:val="auto"/>
              </w:rPr>
              <w:t>Condensed Consolidated Statements of Operations</w:t>
            </w:r>
          </w:p>
        </w:tc>
        <w:tc>
          <w:tcPr>
            <w:tcW w:w="62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FFCC"/>
          </w:tcPr>
          <w:p>
            <w:pPr>
              <w:ind w:left="640"/>
              <w:spacing w:after="0"/>
              <w:rPr>
                <w:sz w:val="20"/>
                <w:szCs w:val="20"/>
                <w:color w:val="auto"/>
              </w:rPr>
            </w:pPr>
            <w:r>
              <w:rPr>
                <w:rFonts w:ascii="Arial" w:cs="Arial" w:eastAsia="Arial" w:hAnsi="Arial"/>
                <w:sz w:val="18"/>
                <w:szCs w:val="18"/>
                <w:color w:val="auto"/>
              </w:rPr>
              <w:t>Six Months Ended October 31, 2009 and 2008</w:t>
            </w:r>
          </w:p>
        </w:tc>
        <w:tc>
          <w:tcPr>
            <w:tcW w:w="6220" w:type="dxa"/>
            <w:vAlign w:val="bottom"/>
            <w:shd w:val="clear" w:color="auto" w:fill="CCFFCC"/>
          </w:tcPr>
          <w:p>
            <w:pPr>
              <w:jc w:val="center"/>
              <w:ind w:left="4990"/>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FFCC"/>
          </w:tcPr>
          <w:p>
            <w:pPr>
              <w:ind w:left="480"/>
              <w:spacing w:after="0"/>
              <w:rPr>
                <w:sz w:val="20"/>
                <w:szCs w:val="20"/>
                <w:color w:val="auto"/>
              </w:rPr>
            </w:pPr>
            <w:r>
              <w:rPr>
                <w:rFonts w:ascii="Arial" w:cs="Arial" w:eastAsia="Arial" w:hAnsi="Arial"/>
                <w:sz w:val="18"/>
                <w:szCs w:val="18"/>
                <w:color w:val="auto"/>
              </w:rPr>
              <w:t>Condensed Consolidated Statements of Operations</w:t>
            </w:r>
          </w:p>
        </w:tc>
        <w:tc>
          <w:tcPr>
            <w:tcW w:w="62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FFCC"/>
          </w:tcPr>
          <w:p>
            <w:pPr>
              <w:ind w:left="640"/>
              <w:spacing w:after="0"/>
              <w:rPr>
                <w:sz w:val="20"/>
                <w:szCs w:val="20"/>
                <w:color w:val="auto"/>
              </w:rPr>
            </w:pPr>
            <w:r>
              <w:rPr>
                <w:rFonts w:ascii="Arial" w:cs="Arial" w:eastAsia="Arial" w:hAnsi="Arial"/>
                <w:sz w:val="18"/>
                <w:szCs w:val="18"/>
                <w:color w:val="auto"/>
              </w:rPr>
              <w:t>Three Months Ended October 31, 2009 and 2008</w:t>
            </w:r>
          </w:p>
        </w:tc>
        <w:tc>
          <w:tcPr>
            <w:tcW w:w="6220" w:type="dxa"/>
            <w:vAlign w:val="bottom"/>
            <w:shd w:val="clear" w:color="auto" w:fill="CCFFCC"/>
          </w:tcPr>
          <w:p>
            <w:pPr>
              <w:jc w:val="center"/>
              <w:ind w:left="4990"/>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FFCC"/>
          </w:tcPr>
          <w:p>
            <w:pPr>
              <w:ind w:left="480"/>
              <w:spacing w:after="0"/>
              <w:rPr>
                <w:sz w:val="20"/>
                <w:szCs w:val="20"/>
                <w:color w:val="auto"/>
              </w:rPr>
            </w:pPr>
            <w:r>
              <w:rPr>
                <w:rFonts w:ascii="Arial" w:cs="Arial" w:eastAsia="Arial" w:hAnsi="Arial"/>
                <w:sz w:val="18"/>
                <w:szCs w:val="18"/>
                <w:color w:val="auto"/>
              </w:rPr>
              <w:t>Condensed Consolidated Statements of Cash Flows</w:t>
            </w:r>
          </w:p>
        </w:tc>
        <w:tc>
          <w:tcPr>
            <w:tcW w:w="62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FFCC"/>
          </w:tcPr>
          <w:p>
            <w:pPr>
              <w:ind w:left="640"/>
              <w:spacing w:after="0"/>
              <w:rPr>
                <w:sz w:val="20"/>
                <w:szCs w:val="20"/>
                <w:color w:val="auto"/>
              </w:rPr>
            </w:pPr>
            <w:r>
              <w:rPr>
                <w:rFonts w:ascii="Arial" w:cs="Arial" w:eastAsia="Arial" w:hAnsi="Arial"/>
                <w:sz w:val="18"/>
                <w:szCs w:val="18"/>
                <w:color w:val="auto"/>
              </w:rPr>
              <w:t>Six Months Ended October 31, 2009 and 2008</w:t>
            </w:r>
          </w:p>
        </w:tc>
        <w:tc>
          <w:tcPr>
            <w:tcW w:w="6220" w:type="dxa"/>
            <w:vAlign w:val="bottom"/>
            <w:shd w:val="clear" w:color="auto" w:fill="CCFFCC"/>
          </w:tcPr>
          <w:p>
            <w:pPr>
              <w:jc w:val="center"/>
              <w:ind w:left="4990"/>
              <w:spacing w:after="0"/>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FFCC"/>
          </w:tcPr>
          <w:p>
            <w:pPr>
              <w:ind w:left="480"/>
              <w:spacing w:after="0"/>
              <w:rPr>
                <w:sz w:val="20"/>
                <w:szCs w:val="20"/>
                <w:color w:val="auto"/>
              </w:rPr>
            </w:pPr>
            <w:r>
              <w:rPr>
                <w:rFonts w:ascii="Arial" w:cs="Arial" w:eastAsia="Arial" w:hAnsi="Arial"/>
                <w:sz w:val="18"/>
                <w:szCs w:val="18"/>
                <w:color w:val="auto"/>
              </w:rPr>
              <w:t>Notes to Condensed Consolidated Financial Statements</w:t>
            </w:r>
          </w:p>
        </w:tc>
        <w:tc>
          <w:tcPr>
            <w:tcW w:w="6220" w:type="dxa"/>
            <w:vAlign w:val="bottom"/>
            <w:shd w:val="clear" w:color="auto" w:fill="CCFFCC"/>
          </w:tcPr>
          <w:p>
            <w:pPr>
              <w:jc w:val="center"/>
              <w:ind w:left="4990"/>
              <w:spacing w:after="0"/>
              <w:rPr>
                <w:sz w:val="20"/>
                <w:szCs w:val="20"/>
                <w:color w:val="auto"/>
              </w:rPr>
            </w:pPr>
            <w:r>
              <w:rPr>
                <w:rFonts w:ascii="Arial" w:cs="Arial" w:eastAsia="Arial" w:hAnsi="Arial"/>
                <w:sz w:val="18"/>
                <w:szCs w:val="18"/>
                <w:color w:val="auto"/>
                <w:w w:val="94"/>
              </w:rPr>
              <w:t>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Item 2 - Management's Discussion and Analysis of</w:t>
            </w:r>
          </w:p>
        </w:tc>
        <w:tc>
          <w:tcPr>
            <w:tcW w:w="62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FFCC"/>
          </w:tcPr>
          <w:p>
            <w:pPr>
              <w:ind w:left="640"/>
              <w:spacing w:after="0"/>
              <w:rPr>
                <w:sz w:val="20"/>
                <w:szCs w:val="20"/>
                <w:color w:val="auto"/>
              </w:rPr>
            </w:pPr>
            <w:r>
              <w:rPr>
                <w:rFonts w:ascii="Arial" w:cs="Arial" w:eastAsia="Arial" w:hAnsi="Arial"/>
                <w:sz w:val="18"/>
                <w:szCs w:val="18"/>
                <w:color w:val="auto"/>
              </w:rPr>
              <w:t>Financial Condition and Results of Operations</w:t>
            </w:r>
          </w:p>
        </w:tc>
        <w:tc>
          <w:tcPr>
            <w:tcW w:w="6220" w:type="dxa"/>
            <w:vAlign w:val="bottom"/>
            <w:shd w:val="clear" w:color="auto" w:fill="CCFFCC"/>
          </w:tcPr>
          <w:p>
            <w:pPr>
              <w:jc w:val="center"/>
              <w:ind w:left="4990"/>
              <w:spacing w:after="0"/>
              <w:rPr>
                <w:sz w:val="20"/>
                <w:szCs w:val="20"/>
                <w:color w:val="auto"/>
              </w:rPr>
            </w:pPr>
            <w:r>
              <w:rPr>
                <w:rFonts w:ascii="Arial" w:cs="Arial" w:eastAsia="Arial" w:hAnsi="Arial"/>
                <w:sz w:val="18"/>
                <w:szCs w:val="18"/>
                <w:color w:val="auto"/>
                <w:w w:val="91"/>
              </w:rPr>
              <w:t>13-18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Item 4T- Controls and Procedures</w:t>
            </w:r>
          </w:p>
        </w:tc>
        <w:tc>
          <w:tcPr>
            <w:tcW w:w="6220" w:type="dxa"/>
            <w:vAlign w:val="bottom"/>
            <w:shd w:val="clear" w:color="auto" w:fill="CCFFCC"/>
          </w:tcPr>
          <w:p>
            <w:pPr>
              <w:jc w:val="center"/>
              <w:ind w:left="4990"/>
              <w:spacing w:after="0"/>
              <w:rPr>
                <w:sz w:val="20"/>
                <w:szCs w:val="20"/>
                <w:color w:val="auto"/>
              </w:rPr>
            </w:pPr>
            <w:r>
              <w:rPr>
                <w:rFonts w:ascii="Arial" w:cs="Arial" w:eastAsia="Arial" w:hAnsi="Arial"/>
                <w:sz w:val="18"/>
                <w:szCs w:val="18"/>
                <w:color w:val="auto"/>
                <w:w w:val="89"/>
              </w:rPr>
              <w:t>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8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FFCC"/>
          </w:tcPr>
          <w:p>
            <w:pPr>
              <w:spacing w:after="0"/>
              <w:rPr>
                <w:sz w:val="20"/>
                <w:szCs w:val="20"/>
                <w:color w:val="auto"/>
              </w:rPr>
            </w:pPr>
            <w:r>
              <w:rPr>
                <w:rFonts w:ascii="Arial" w:cs="Arial" w:eastAsia="Arial" w:hAnsi="Arial"/>
                <w:sz w:val="18"/>
                <w:szCs w:val="18"/>
                <w:color w:val="auto"/>
              </w:rPr>
              <w:t>Part II. Other Information:</w:t>
            </w:r>
          </w:p>
        </w:tc>
        <w:tc>
          <w:tcPr>
            <w:tcW w:w="62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FFCC"/>
          </w:tcPr>
          <w:p>
            <w:pPr>
              <w:ind w:left="160"/>
              <w:spacing w:after="0"/>
              <w:rPr>
                <w:sz w:val="20"/>
                <w:szCs w:val="20"/>
                <w:color w:val="auto"/>
              </w:rPr>
            </w:pPr>
            <w:r>
              <w:rPr>
                <w:rFonts w:ascii="Arial" w:cs="Arial" w:eastAsia="Arial" w:hAnsi="Arial"/>
                <w:sz w:val="18"/>
                <w:szCs w:val="18"/>
                <w:color w:val="auto"/>
                <w:w w:val="93"/>
              </w:rPr>
              <w:t>Items 1, 1A, 2, 3 and 5 are omitted because they are not applicable</w:t>
            </w:r>
          </w:p>
        </w:tc>
        <w:tc>
          <w:tcPr>
            <w:tcW w:w="62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Item 4 - Submission of Matters to a Vote of Security Holders</w:t>
            </w:r>
          </w:p>
        </w:tc>
        <w:tc>
          <w:tcPr>
            <w:tcW w:w="6220" w:type="dxa"/>
            <w:vAlign w:val="bottom"/>
            <w:shd w:val="clear" w:color="auto" w:fill="CCFFCC"/>
          </w:tcPr>
          <w:p>
            <w:pPr>
              <w:jc w:val="center"/>
              <w:ind w:left="4990"/>
              <w:spacing w:after="0"/>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Item 6 - Exhibits</w:t>
            </w:r>
          </w:p>
        </w:tc>
        <w:tc>
          <w:tcPr>
            <w:tcW w:w="6220" w:type="dxa"/>
            <w:vAlign w:val="bottom"/>
            <w:shd w:val="clear" w:color="auto" w:fill="CCFFCC"/>
          </w:tcPr>
          <w:p>
            <w:pPr>
              <w:jc w:val="center"/>
              <w:ind w:left="4990"/>
              <w:spacing w:after="0"/>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Signatures</w:t>
            </w:r>
          </w:p>
        </w:tc>
        <w:tc>
          <w:tcPr>
            <w:tcW w:w="6220" w:type="dxa"/>
            <w:vAlign w:val="bottom"/>
            <w:shd w:val="clear" w:color="auto" w:fill="CCFFCC"/>
          </w:tcPr>
          <w:p>
            <w:pPr>
              <w:jc w:val="center"/>
              <w:ind w:left="4990"/>
              <w:spacing w:after="0"/>
              <w:rPr>
                <w:sz w:val="20"/>
                <w:szCs w:val="20"/>
                <w:color w:val="auto"/>
              </w:rPr>
            </w:pPr>
            <w:r>
              <w:rPr>
                <w:rFonts w:ascii="Arial" w:cs="Arial" w:eastAsia="Arial" w:hAnsi="Arial"/>
                <w:sz w:val="18"/>
                <w:szCs w:val="18"/>
                <w:color w:val="auto"/>
                <w:w w:val="89"/>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Exhibits</w:t>
            </w:r>
          </w:p>
        </w:tc>
        <w:tc>
          <w:tcPr>
            <w:tcW w:w="622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6220" w:type="dxa"/>
            <w:vAlign w:val="bottom"/>
          </w:tcPr>
          <w:p>
            <w:pPr>
              <w:jc w:val="center"/>
              <w:ind w:right="5110"/>
              <w:spacing w:after="0"/>
              <w:rPr>
                <w:sz w:val="20"/>
                <w:szCs w:val="20"/>
                <w:color w:val="auto"/>
              </w:rPr>
            </w:pPr>
            <w:r>
              <w:rPr>
                <w:rFonts w:ascii="Arial" w:cs="Arial" w:eastAsia="Arial" w:hAnsi="Arial"/>
                <w:sz w:val="18"/>
                <w:szCs w:val="18"/>
                <w:color w:val="auto"/>
                <w:w w:val="90"/>
              </w:rPr>
              <w:t>2 of 21</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180" w:type="dxa"/>
            <w:vAlign w:val="bottom"/>
            <w:tcBorders>
              <w:bottom w:val="single" w:sz="8" w:color="808080"/>
            </w:tcBorders>
          </w:tcPr>
          <w:p>
            <w:pPr>
              <w:spacing w:after="0"/>
              <w:rPr>
                <w:sz w:val="10"/>
                <w:szCs w:val="10"/>
                <w:color w:val="auto"/>
              </w:rPr>
            </w:pPr>
          </w:p>
        </w:tc>
        <w:tc>
          <w:tcPr>
            <w:tcW w:w="62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211455</wp:posOffset>
            </wp:positionV>
            <wp:extent cx="21869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October 31,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April 30,</w:t>
            </w:r>
          </w:p>
        </w:tc>
      </w:tr>
      <w:tr>
        <w:trPr>
          <w:trHeight w:val="237"/>
        </w:trPr>
        <w:tc>
          <w:tcPr>
            <w:tcW w:w="20" w:type="dxa"/>
            <w:vAlign w:val="bottom"/>
          </w:tcPr>
          <w:p>
            <w:pPr>
              <w:spacing w:after="0"/>
              <w:rPr>
                <w:sz w:val="20"/>
                <w:szCs w:val="20"/>
                <w:color w:val="auto"/>
              </w:rPr>
            </w:pPr>
          </w:p>
        </w:tc>
        <w:tc>
          <w:tcPr>
            <w:tcW w:w="8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2009</w:t>
            </w:r>
          </w:p>
        </w:tc>
        <w:tc>
          <w:tcPr>
            <w:tcW w:w="10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8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spacing w:after="0" w:line="201" w:lineRule="exact"/>
              <w:rPr>
                <w:sz w:val="20"/>
                <w:szCs w:val="20"/>
                <w:color w:val="auto"/>
              </w:rPr>
            </w:pPr>
            <w:r>
              <w:rPr>
                <w:rFonts w:ascii="Arial" w:cs="Arial" w:eastAsia="Arial" w:hAnsi="Arial"/>
                <w:sz w:val="18"/>
                <w:szCs w:val="18"/>
                <w:color w:val="auto"/>
                <w:w w:val="99"/>
              </w:rPr>
              <w:t>(UNAUDITED)</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ind w:right="30"/>
              <w:spacing w:after="0" w:line="201" w:lineRule="exact"/>
              <w:rPr>
                <w:sz w:val="20"/>
                <w:szCs w:val="20"/>
                <w:color w:val="auto"/>
              </w:rPr>
            </w:pPr>
            <w:r>
              <w:rPr>
                <w:rFonts w:ascii="Arial" w:cs="Arial" w:eastAsia="Arial" w:hAnsi="Arial"/>
                <w:sz w:val="18"/>
                <w:szCs w:val="18"/>
                <w:color w:val="auto"/>
              </w:rPr>
              <w:t>(AUDITED)</w:t>
            </w: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(NOTE A)</w:t>
            </w:r>
          </w:p>
        </w:tc>
      </w:tr>
      <w:tr>
        <w:trPr>
          <w:trHeight w:val="230"/>
        </w:trPr>
        <w:tc>
          <w:tcPr>
            <w:tcW w:w="20" w:type="dxa"/>
            <w:vAlign w:val="bottom"/>
          </w:tcPr>
          <w:p>
            <w:pPr>
              <w:spacing w:after="0"/>
              <w:rPr>
                <w:sz w:val="20"/>
                <w:szCs w:val="20"/>
                <w:color w:val="auto"/>
              </w:rPr>
            </w:pPr>
          </w:p>
        </w:tc>
        <w:tc>
          <w:tcPr>
            <w:tcW w:w="8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gridSpan w:val="6"/>
          </w:tcPr>
          <w:p>
            <w:pPr>
              <w:jc w:val="right"/>
              <w:ind w:right="220"/>
              <w:spacing w:after="0"/>
              <w:rPr>
                <w:sz w:val="20"/>
                <w:szCs w:val="20"/>
                <w:color w:val="auto"/>
              </w:rPr>
            </w:pPr>
            <w:r>
              <w:rPr>
                <w:rFonts w:ascii="Arial" w:cs="Arial" w:eastAsia="Arial" w:hAnsi="Arial"/>
                <w:sz w:val="18"/>
                <w:szCs w:val="18"/>
                <w:color w:val="auto"/>
                <w:w w:val="87"/>
              </w:rPr>
              <w:t>(In thousands except share data)</w:t>
            </w:r>
          </w:p>
        </w:tc>
      </w:tr>
      <w:tr>
        <w:trPr>
          <w:trHeight w:val="216"/>
        </w:trPr>
        <w:tc>
          <w:tcPr>
            <w:tcW w:w="20" w:type="dxa"/>
            <w:vAlign w:val="bottom"/>
          </w:tcPr>
          <w:p>
            <w:pPr>
              <w:spacing w:after="0"/>
              <w:rPr>
                <w:sz w:val="18"/>
                <w:szCs w:val="18"/>
                <w:color w:val="auto"/>
              </w:rPr>
            </w:pPr>
          </w:p>
        </w:tc>
        <w:tc>
          <w:tcPr>
            <w:tcW w:w="8620" w:type="dxa"/>
            <w:vAlign w:val="bottom"/>
            <w:shd w:val="clear" w:color="auto" w:fill="CCFFCC"/>
          </w:tcPr>
          <w:p>
            <w:pPr>
              <w:ind w:left="320"/>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Cash and cash equivalents</w:t>
            </w:r>
          </w:p>
        </w:tc>
        <w:tc>
          <w:tcPr>
            <w:tcW w:w="240" w:type="dxa"/>
            <w:vAlign w:val="bottom"/>
            <w:gridSpan w:val="2"/>
            <w:shd w:val="clear" w:color="auto" w:fill="CCFFCC"/>
          </w:tcPr>
          <w:p>
            <w:pPr>
              <w:ind w:left="14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5,699</w:t>
            </w:r>
          </w:p>
        </w:tc>
        <w:tc>
          <w:tcPr>
            <w:tcW w:w="1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4,911</w:t>
            </w:r>
          </w:p>
        </w:tc>
      </w:tr>
      <w:tr>
        <w:trPr>
          <w:trHeight w:val="216"/>
        </w:trPr>
        <w:tc>
          <w:tcPr>
            <w:tcW w:w="20" w:type="dxa"/>
            <w:vAlign w:val="bottom"/>
          </w:tcPr>
          <w:p>
            <w:pPr>
              <w:spacing w:after="0"/>
              <w:rPr>
                <w:sz w:val="18"/>
                <w:szCs w:val="18"/>
                <w:color w:val="auto"/>
              </w:rPr>
            </w:pPr>
          </w:p>
        </w:tc>
        <w:tc>
          <w:tcPr>
            <w:tcW w:w="8620" w:type="dxa"/>
            <w:vAlign w:val="bottom"/>
          </w:tcPr>
          <w:p>
            <w:pPr>
              <w:ind w:left="160"/>
              <w:spacing w:after="0"/>
              <w:rPr>
                <w:sz w:val="20"/>
                <w:szCs w:val="20"/>
                <w:color w:val="auto"/>
              </w:rPr>
            </w:pPr>
            <w:r>
              <w:rPr>
                <w:rFonts w:ascii="Arial" w:cs="Arial" w:eastAsia="Arial" w:hAnsi="Arial"/>
                <w:sz w:val="18"/>
                <w:szCs w:val="18"/>
                <w:color w:val="auto"/>
              </w:rPr>
              <w:t>Marketable securities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10,832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9,998</w:t>
            </w:r>
          </w:p>
        </w:tc>
      </w:tr>
      <w:tr>
        <w:trPr>
          <w:trHeight w:val="216"/>
        </w:trPr>
        <w:tc>
          <w:tcPr>
            <w:tcW w:w="20" w:type="dxa"/>
            <w:vAlign w:val="bottom"/>
          </w:tcPr>
          <w:p>
            <w:pPr>
              <w:spacing w:after="0"/>
              <w:rPr>
                <w:sz w:val="18"/>
                <w:szCs w:val="18"/>
                <w:color w:val="auto"/>
              </w:rPr>
            </w:pPr>
          </w:p>
        </w:tc>
        <w:tc>
          <w:tcPr>
            <w:tcW w:w="86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Accounts receivable, net of allowance for doubtful accounts of $285 at October 31 and April 30, 2009</w:t>
            </w: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9,452</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10,775</w:t>
            </w:r>
          </w:p>
        </w:tc>
      </w:tr>
      <w:tr>
        <w:trPr>
          <w:trHeight w:val="216"/>
        </w:trPr>
        <w:tc>
          <w:tcPr>
            <w:tcW w:w="20" w:type="dxa"/>
            <w:vAlign w:val="bottom"/>
          </w:tcPr>
          <w:p>
            <w:pPr>
              <w:spacing w:after="0"/>
              <w:rPr>
                <w:sz w:val="18"/>
                <w:szCs w:val="18"/>
                <w:color w:val="auto"/>
              </w:rPr>
            </w:pPr>
          </w:p>
        </w:tc>
        <w:tc>
          <w:tcPr>
            <w:tcW w:w="8620" w:type="dxa"/>
            <w:vAlign w:val="bottom"/>
          </w:tcPr>
          <w:p>
            <w:pPr>
              <w:ind w:left="160"/>
              <w:spacing w:after="0"/>
              <w:rPr>
                <w:sz w:val="20"/>
                <w:szCs w:val="20"/>
                <w:color w:val="auto"/>
              </w:rPr>
            </w:pPr>
            <w:r>
              <w:rPr>
                <w:rFonts w:ascii="Arial" w:cs="Arial" w:eastAsia="Arial" w:hAnsi="Arial"/>
                <w:sz w:val="18"/>
                <w:szCs w:val="18"/>
                <w:color w:val="auto"/>
              </w:rPr>
              <w:t>Costs and estimated earnings in excess of billings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2,585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2,193</w:t>
            </w:r>
          </w:p>
        </w:tc>
      </w:tr>
      <w:tr>
        <w:trPr>
          <w:trHeight w:val="216"/>
        </w:trPr>
        <w:tc>
          <w:tcPr>
            <w:tcW w:w="20" w:type="dxa"/>
            <w:vAlign w:val="bottom"/>
          </w:tcPr>
          <w:p>
            <w:pPr>
              <w:spacing w:after="0"/>
              <w:rPr>
                <w:sz w:val="18"/>
                <w:szCs w:val="18"/>
                <w:color w:val="auto"/>
              </w:rPr>
            </w:pPr>
          </w:p>
        </w:tc>
        <w:tc>
          <w:tcPr>
            <w:tcW w:w="86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Inventories</w:t>
            </w: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27,263</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26,051</w:t>
            </w:r>
          </w:p>
        </w:tc>
      </w:tr>
      <w:tr>
        <w:trPr>
          <w:trHeight w:val="216"/>
        </w:trPr>
        <w:tc>
          <w:tcPr>
            <w:tcW w:w="20" w:type="dxa"/>
            <w:vAlign w:val="bottom"/>
          </w:tcPr>
          <w:p>
            <w:pPr>
              <w:spacing w:after="0"/>
              <w:rPr>
                <w:sz w:val="18"/>
                <w:szCs w:val="18"/>
                <w:color w:val="auto"/>
              </w:rPr>
            </w:pPr>
          </w:p>
        </w:tc>
        <w:tc>
          <w:tcPr>
            <w:tcW w:w="8620" w:type="dxa"/>
            <w:vAlign w:val="bottom"/>
          </w:tcPr>
          <w:p>
            <w:pPr>
              <w:ind w:left="160"/>
              <w:spacing w:after="0"/>
              <w:rPr>
                <w:sz w:val="20"/>
                <w:szCs w:val="20"/>
                <w:color w:val="auto"/>
              </w:rPr>
            </w:pPr>
            <w:r>
              <w:rPr>
                <w:rFonts w:ascii="Arial" w:cs="Arial" w:eastAsia="Arial" w:hAnsi="Arial"/>
                <w:sz w:val="18"/>
                <w:szCs w:val="18"/>
                <w:color w:val="auto"/>
              </w:rPr>
              <w:t>Income taxes receivable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791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886</w:t>
            </w:r>
          </w:p>
        </w:tc>
      </w:tr>
      <w:tr>
        <w:trPr>
          <w:trHeight w:val="216"/>
        </w:trPr>
        <w:tc>
          <w:tcPr>
            <w:tcW w:w="20" w:type="dxa"/>
            <w:vAlign w:val="bottom"/>
          </w:tcPr>
          <w:p>
            <w:pPr>
              <w:spacing w:after="0"/>
              <w:rPr>
                <w:sz w:val="18"/>
                <w:szCs w:val="18"/>
                <w:color w:val="auto"/>
              </w:rPr>
            </w:pPr>
          </w:p>
        </w:tc>
        <w:tc>
          <w:tcPr>
            <w:tcW w:w="86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Prepaid expenses and other</w:t>
            </w: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1,619</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1,257</w:t>
            </w:r>
          </w:p>
        </w:tc>
      </w:tr>
      <w:tr>
        <w:trPr>
          <w:trHeight w:val="27"/>
        </w:trPr>
        <w:tc>
          <w:tcPr>
            <w:tcW w:w="20" w:type="dxa"/>
            <w:vAlign w:val="bottom"/>
          </w:tcPr>
          <w:p>
            <w:pPr>
              <w:spacing w:after="0"/>
              <w:rPr>
                <w:sz w:val="2"/>
                <w:szCs w:val="2"/>
                <w:color w:val="auto"/>
              </w:rPr>
            </w:pPr>
          </w:p>
        </w:tc>
        <w:tc>
          <w:tcPr>
            <w:tcW w:w="8620" w:type="dxa"/>
            <w:vAlign w:val="bottom"/>
            <w:shd w:val="clear" w:color="auto" w:fill="CCFFCC"/>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480"/>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58,241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56,071</w:t>
            </w:r>
          </w:p>
        </w:tc>
      </w:tr>
      <w:tr>
        <w:trPr>
          <w:trHeight w:val="216"/>
        </w:trPr>
        <w:tc>
          <w:tcPr>
            <w:tcW w:w="20" w:type="dxa"/>
            <w:vAlign w:val="bottom"/>
          </w:tcPr>
          <w:p>
            <w:pPr>
              <w:spacing w:after="0"/>
              <w:rPr>
                <w:sz w:val="18"/>
                <w:szCs w:val="18"/>
                <w:color w:val="auto"/>
              </w:rPr>
            </w:pPr>
          </w:p>
        </w:tc>
        <w:tc>
          <w:tcPr>
            <w:tcW w:w="8620" w:type="dxa"/>
            <w:vAlign w:val="bottom"/>
            <w:shd w:val="clear" w:color="auto" w:fill="CCFFCC"/>
          </w:tcPr>
          <w:p>
            <w:pPr>
              <w:spacing w:after="0"/>
              <w:rPr>
                <w:sz w:val="20"/>
                <w:szCs w:val="20"/>
                <w:color w:val="auto"/>
              </w:rPr>
            </w:pPr>
            <w:r>
              <w:rPr>
                <w:rFonts w:ascii="Arial" w:cs="Arial" w:eastAsia="Arial" w:hAnsi="Arial"/>
                <w:sz w:val="18"/>
                <w:szCs w:val="18"/>
                <w:color w:val="auto"/>
              </w:rPr>
              <w:t>Property, plant and equipment, at cost, less accumulated depreciation and amortization</w:t>
            </w: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7,332</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7,961</w:t>
            </w: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Goodwill and other intangible assets, net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218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218</w:t>
            </w:r>
          </w:p>
        </w:tc>
      </w:tr>
      <w:tr>
        <w:trPr>
          <w:trHeight w:val="216"/>
        </w:trPr>
        <w:tc>
          <w:tcPr>
            <w:tcW w:w="20" w:type="dxa"/>
            <w:vAlign w:val="bottom"/>
          </w:tcPr>
          <w:p>
            <w:pPr>
              <w:spacing w:after="0"/>
              <w:rPr>
                <w:sz w:val="18"/>
                <w:szCs w:val="18"/>
                <w:color w:val="auto"/>
              </w:rPr>
            </w:pPr>
          </w:p>
        </w:tc>
        <w:tc>
          <w:tcPr>
            <w:tcW w:w="8620" w:type="dxa"/>
            <w:vAlign w:val="bottom"/>
            <w:shd w:val="clear" w:color="auto" w:fill="CCFFCC"/>
          </w:tcPr>
          <w:p>
            <w:pPr>
              <w:spacing w:after="0"/>
              <w:rPr>
                <w:sz w:val="20"/>
                <w:szCs w:val="20"/>
                <w:color w:val="auto"/>
              </w:rPr>
            </w:pPr>
            <w:r>
              <w:rPr>
                <w:rFonts w:ascii="Arial" w:cs="Arial" w:eastAsia="Arial" w:hAnsi="Arial"/>
                <w:sz w:val="18"/>
                <w:szCs w:val="18"/>
                <w:color w:val="auto"/>
              </w:rPr>
              <w:t>Cash surrender value of life insurance and cash held in trust</w:t>
            </w: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8,663</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8,423</w:t>
            </w: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Investments in and loans receivable from affiliates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4,043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4,430</w:t>
            </w:r>
          </w:p>
        </w:tc>
      </w:tr>
      <w:tr>
        <w:trPr>
          <w:trHeight w:val="216"/>
        </w:trPr>
        <w:tc>
          <w:tcPr>
            <w:tcW w:w="20" w:type="dxa"/>
            <w:vAlign w:val="bottom"/>
          </w:tcPr>
          <w:p>
            <w:pPr>
              <w:spacing w:after="0"/>
              <w:rPr>
                <w:sz w:val="18"/>
                <w:szCs w:val="18"/>
                <w:color w:val="auto"/>
              </w:rPr>
            </w:pPr>
          </w:p>
        </w:tc>
        <w:tc>
          <w:tcPr>
            <w:tcW w:w="8620" w:type="dxa"/>
            <w:vAlign w:val="bottom"/>
            <w:shd w:val="clear" w:color="auto" w:fill="CCFFCC"/>
          </w:tcPr>
          <w:p>
            <w:pPr>
              <w:spacing w:after="0"/>
              <w:rPr>
                <w:sz w:val="20"/>
                <w:szCs w:val="20"/>
                <w:color w:val="auto"/>
              </w:rPr>
            </w:pPr>
            <w:r>
              <w:rPr>
                <w:rFonts w:ascii="Arial" w:cs="Arial" w:eastAsia="Arial" w:hAnsi="Arial"/>
                <w:sz w:val="18"/>
                <w:szCs w:val="18"/>
                <w:color w:val="auto"/>
              </w:rPr>
              <w:t>Other assets</w:t>
            </w: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817</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817</w:t>
            </w:r>
          </w:p>
        </w:tc>
      </w:tr>
      <w:tr>
        <w:trPr>
          <w:trHeight w:val="27"/>
        </w:trPr>
        <w:tc>
          <w:tcPr>
            <w:tcW w:w="20" w:type="dxa"/>
            <w:vAlign w:val="bottom"/>
          </w:tcPr>
          <w:p>
            <w:pPr>
              <w:spacing w:after="0"/>
              <w:rPr>
                <w:sz w:val="2"/>
                <w:szCs w:val="2"/>
                <w:color w:val="auto"/>
              </w:rPr>
            </w:pPr>
          </w:p>
        </w:tc>
        <w:tc>
          <w:tcPr>
            <w:tcW w:w="8620" w:type="dxa"/>
            <w:vAlign w:val="bottom"/>
            <w:shd w:val="clear" w:color="auto" w:fill="CCFFCC"/>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480"/>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79,314</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77,920</w:t>
            </w:r>
          </w:p>
        </w:tc>
      </w:tr>
      <w:tr>
        <w:trPr>
          <w:trHeight w:val="21"/>
        </w:trPr>
        <w:tc>
          <w:tcPr>
            <w:tcW w:w="2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6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320"/>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FFCC"/>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320"/>
              <w:spacing w:after="0"/>
              <w:rPr>
                <w:sz w:val="20"/>
                <w:szCs w:val="20"/>
                <w:color w:val="auto"/>
              </w:rPr>
            </w:pPr>
            <w:r>
              <w:rPr>
                <w:rFonts w:ascii="Arial" w:cs="Arial" w:eastAsia="Arial" w:hAnsi="Arial"/>
                <w:sz w:val="18"/>
                <w:szCs w:val="18"/>
                <w:color w:val="auto"/>
              </w:rPr>
              <w:t>Short-term credit obligations</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239</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1,327</w:t>
            </w:r>
          </w:p>
        </w:tc>
      </w:tr>
      <w:tr>
        <w:trPr>
          <w:trHeight w:val="216"/>
        </w:trPr>
        <w:tc>
          <w:tcPr>
            <w:tcW w:w="20" w:type="dxa"/>
            <w:vAlign w:val="bottom"/>
          </w:tcPr>
          <w:p>
            <w:pPr>
              <w:spacing w:after="0"/>
              <w:rPr>
                <w:sz w:val="18"/>
                <w:szCs w:val="18"/>
                <w:color w:val="auto"/>
              </w:rPr>
            </w:pPr>
          </w:p>
        </w:tc>
        <w:tc>
          <w:tcPr>
            <w:tcW w:w="8620" w:type="dxa"/>
            <w:vAlign w:val="bottom"/>
            <w:shd w:val="clear" w:color="auto" w:fill="CCFFCC"/>
          </w:tcPr>
          <w:p>
            <w:pPr>
              <w:ind w:left="320"/>
              <w:spacing w:after="0"/>
              <w:rPr>
                <w:sz w:val="20"/>
                <w:szCs w:val="20"/>
                <w:color w:val="auto"/>
              </w:rPr>
            </w:pPr>
            <w:r>
              <w:rPr>
                <w:rFonts w:ascii="Arial" w:cs="Arial" w:eastAsia="Arial" w:hAnsi="Arial"/>
                <w:sz w:val="18"/>
                <w:szCs w:val="18"/>
                <w:color w:val="auto"/>
              </w:rPr>
              <w:t>Accounts payable – trade</w:t>
            </w: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2,669</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2,305</w:t>
            </w:r>
          </w:p>
        </w:tc>
      </w:tr>
      <w:tr>
        <w:trPr>
          <w:trHeight w:val="216"/>
        </w:trPr>
        <w:tc>
          <w:tcPr>
            <w:tcW w:w="20" w:type="dxa"/>
            <w:vAlign w:val="bottom"/>
          </w:tcPr>
          <w:p>
            <w:pPr>
              <w:spacing w:after="0"/>
              <w:rPr>
                <w:sz w:val="18"/>
                <w:szCs w:val="18"/>
                <w:color w:val="auto"/>
              </w:rPr>
            </w:pPr>
          </w:p>
        </w:tc>
        <w:tc>
          <w:tcPr>
            <w:tcW w:w="8620" w:type="dxa"/>
            <w:vAlign w:val="bottom"/>
          </w:tcPr>
          <w:p>
            <w:pPr>
              <w:ind w:left="320"/>
              <w:spacing w:after="0"/>
              <w:rPr>
                <w:sz w:val="20"/>
                <w:szCs w:val="20"/>
                <w:color w:val="auto"/>
              </w:rPr>
            </w:pPr>
            <w:r>
              <w:rPr>
                <w:rFonts w:ascii="Arial" w:cs="Arial" w:eastAsia="Arial" w:hAnsi="Arial"/>
                <w:sz w:val="18"/>
                <w:szCs w:val="18"/>
                <w:color w:val="auto"/>
              </w:rPr>
              <w:t>Accrued liabilities and other</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4,113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4,408</w:t>
            </w:r>
          </w:p>
        </w:tc>
      </w:tr>
      <w:tr>
        <w:trPr>
          <w:trHeight w:val="27"/>
        </w:trPr>
        <w:tc>
          <w:tcPr>
            <w:tcW w:w="20" w:type="dxa"/>
            <w:vAlign w:val="bottom"/>
          </w:tcPr>
          <w:p>
            <w:pPr>
              <w:spacing w:after="0"/>
              <w:rPr>
                <w:sz w:val="2"/>
                <w:szCs w:val="2"/>
                <w:color w:val="auto"/>
              </w:rPr>
            </w:pPr>
          </w:p>
        </w:tc>
        <w:tc>
          <w:tcPr>
            <w:tcW w:w="8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FFCC"/>
          </w:tcPr>
          <w:p>
            <w:pPr>
              <w:ind w:left="48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7,021</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8,040</w:t>
            </w: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Lease obligation – noncurrent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569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684</w:t>
            </w:r>
          </w:p>
        </w:tc>
      </w:tr>
      <w:tr>
        <w:trPr>
          <w:trHeight w:val="216"/>
        </w:trPr>
        <w:tc>
          <w:tcPr>
            <w:tcW w:w="20" w:type="dxa"/>
            <w:vAlign w:val="bottom"/>
          </w:tcPr>
          <w:p>
            <w:pPr>
              <w:spacing w:after="0"/>
              <w:rPr>
                <w:sz w:val="18"/>
                <w:szCs w:val="18"/>
                <w:color w:val="auto"/>
              </w:rPr>
            </w:pPr>
          </w:p>
        </w:tc>
        <w:tc>
          <w:tcPr>
            <w:tcW w:w="8620" w:type="dxa"/>
            <w:vAlign w:val="bottom"/>
            <w:shd w:val="clear" w:color="auto" w:fill="CCFFCC"/>
          </w:tcPr>
          <w:p>
            <w:pPr>
              <w:spacing w:after="0"/>
              <w:rPr>
                <w:sz w:val="20"/>
                <w:szCs w:val="20"/>
                <w:color w:val="auto"/>
              </w:rPr>
            </w:pPr>
            <w:r>
              <w:rPr>
                <w:rFonts w:ascii="Arial" w:cs="Arial" w:eastAsia="Arial" w:hAnsi="Arial"/>
                <w:sz w:val="18"/>
                <w:szCs w:val="18"/>
                <w:color w:val="auto"/>
              </w:rPr>
              <w:t>Deferred compensation</w:t>
            </w: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9,580</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9,546</w:t>
            </w: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Other liabilities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558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484</w:t>
            </w:r>
          </w:p>
        </w:tc>
      </w:tr>
      <w:tr>
        <w:trPr>
          <w:trHeight w:val="27"/>
        </w:trPr>
        <w:tc>
          <w:tcPr>
            <w:tcW w:w="20" w:type="dxa"/>
            <w:vAlign w:val="bottom"/>
          </w:tcPr>
          <w:p>
            <w:pPr>
              <w:spacing w:after="0"/>
              <w:rPr>
                <w:sz w:val="2"/>
                <w:szCs w:val="2"/>
                <w:color w:val="auto"/>
              </w:rPr>
            </w:pPr>
          </w:p>
        </w:tc>
        <w:tc>
          <w:tcPr>
            <w:tcW w:w="8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8620" w:type="dxa"/>
            <w:vAlign w:val="bottom"/>
            <w:shd w:val="clear" w:color="auto" w:fill="CCFFCC"/>
          </w:tcPr>
          <w:p>
            <w:pPr>
              <w:ind w:left="480"/>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17,728</w:t>
            </w:r>
          </w:p>
        </w:tc>
        <w:tc>
          <w:tcPr>
            <w:tcW w:w="8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18,754</w:t>
            </w:r>
          </w:p>
        </w:tc>
      </w:tr>
      <w:tr>
        <w:trPr>
          <w:trHeight w:val="216"/>
        </w:trPr>
        <w:tc>
          <w:tcPr>
            <w:tcW w:w="20" w:type="dxa"/>
            <w:vAlign w:val="bottom"/>
          </w:tcPr>
          <w:p>
            <w:pPr>
              <w:spacing w:after="0"/>
              <w:rPr>
                <w:sz w:val="18"/>
                <w:szCs w:val="18"/>
                <w:color w:val="auto"/>
              </w:rPr>
            </w:pPr>
          </w:p>
        </w:tc>
        <w:tc>
          <w:tcPr>
            <w:tcW w:w="8620" w:type="dxa"/>
            <w:vAlign w:val="bottom"/>
            <w:tcBorders>
              <w:top w:val="single" w:sz="8" w:color="CCFFCC"/>
            </w:tcBorders>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tcBorders>
              <w:top w:val="single" w:sz="8" w:color="CCFFC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Preferred stock - $1.00 par value</w:t>
            </w: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620" w:type="dxa"/>
            <w:vAlign w:val="bottom"/>
          </w:tcPr>
          <w:p>
            <w:pPr>
              <w:ind w:left="160"/>
              <w:spacing w:after="0"/>
              <w:rPr>
                <w:sz w:val="20"/>
                <w:szCs w:val="20"/>
                <w:color w:val="auto"/>
              </w:rPr>
            </w:pPr>
            <w:r>
              <w:rPr>
                <w:rFonts w:ascii="Arial" w:cs="Arial" w:eastAsia="Arial" w:hAnsi="Arial"/>
                <w:sz w:val="18"/>
                <w:szCs w:val="18"/>
                <w:color w:val="auto"/>
              </w:rPr>
              <w:t>Common stock - $1.00 par value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9,164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9,164</w:t>
            </w:r>
          </w:p>
        </w:tc>
      </w:tr>
      <w:tr>
        <w:trPr>
          <w:trHeight w:val="216"/>
        </w:trPr>
        <w:tc>
          <w:tcPr>
            <w:tcW w:w="20" w:type="dxa"/>
            <w:vAlign w:val="bottom"/>
          </w:tcPr>
          <w:p>
            <w:pPr>
              <w:spacing w:after="0"/>
              <w:rPr>
                <w:sz w:val="18"/>
                <w:szCs w:val="18"/>
                <w:color w:val="auto"/>
              </w:rPr>
            </w:pPr>
          </w:p>
        </w:tc>
        <w:tc>
          <w:tcPr>
            <w:tcW w:w="86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49,265</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48,997</w:t>
            </w:r>
          </w:p>
        </w:tc>
      </w:tr>
      <w:tr>
        <w:trPr>
          <w:trHeight w:val="216"/>
        </w:trPr>
        <w:tc>
          <w:tcPr>
            <w:tcW w:w="20" w:type="dxa"/>
            <w:vAlign w:val="bottom"/>
          </w:tcPr>
          <w:p>
            <w:pPr>
              <w:spacing w:after="0"/>
              <w:rPr>
                <w:sz w:val="18"/>
                <w:szCs w:val="18"/>
                <w:color w:val="auto"/>
              </w:rPr>
            </w:pPr>
          </w:p>
        </w:tc>
        <w:tc>
          <w:tcPr>
            <w:tcW w:w="8620" w:type="dxa"/>
            <w:vAlign w:val="bottom"/>
          </w:tcPr>
          <w:p>
            <w:pPr>
              <w:ind w:left="160"/>
              <w:spacing w:after="0"/>
              <w:rPr>
                <w:sz w:val="20"/>
                <w:szCs w:val="20"/>
                <w:color w:val="auto"/>
              </w:rPr>
            </w:pPr>
            <w:r>
              <w:rPr>
                <w:rFonts w:ascii="Arial" w:cs="Arial" w:eastAsia="Arial" w:hAnsi="Arial"/>
                <w:sz w:val="18"/>
                <w:szCs w:val="18"/>
                <w:color w:val="auto"/>
              </w:rPr>
              <w:t>Retained earnings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3,047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2,522</w:t>
            </w:r>
          </w:p>
        </w:tc>
      </w:tr>
      <w:tr>
        <w:trPr>
          <w:trHeight w:val="27"/>
        </w:trPr>
        <w:tc>
          <w:tcPr>
            <w:tcW w:w="20" w:type="dxa"/>
            <w:vAlign w:val="bottom"/>
          </w:tcPr>
          <w:p>
            <w:pPr>
              <w:spacing w:after="0"/>
              <w:rPr>
                <w:sz w:val="2"/>
                <w:szCs w:val="2"/>
                <w:color w:val="auto"/>
              </w:rPr>
            </w:pPr>
          </w:p>
        </w:tc>
        <w:tc>
          <w:tcPr>
            <w:tcW w:w="8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61,476</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60,683</w:t>
            </w:r>
          </w:p>
        </w:tc>
      </w:tr>
      <w:tr>
        <w:trPr>
          <w:trHeight w:val="202"/>
        </w:trPr>
        <w:tc>
          <w:tcPr>
            <w:tcW w:w="20" w:type="dxa"/>
            <w:vAlign w:val="bottom"/>
          </w:tcPr>
          <w:p>
            <w:pPr>
              <w:spacing w:after="0"/>
              <w:rPr>
                <w:sz w:val="17"/>
                <w:szCs w:val="17"/>
                <w:color w:val="auto"/>
              </w:rPr>
            </w:pPr>
          </w:p>
        </w:tc>
        <w:tc>
          <w:tcPr>
            <w:tcW w:w="8620" w:type="dxa"/>
            <w:vAlign w:val="bottom"/>
          </w:tcPr>
          <w:p>
            <w:pPr>
              <w:ind w:left="160"/>
              <w:spacing w:after="0" w:line="201" w:lineRule="exact"/>
              <w:rPr>
                <w:sz w:val="20"/>
                <w:szCs w:val="20"/>
                <w:color w:val="auto"/>
              </w:rPr>
            </w:pPr>
            <w:r>
              <w:rPr>
                <w:rFonts w:ascii="Arial" w:cs="Arial" w:eastAsia="Arial" w:hAnsi="Arial"/>
                <w:sz w:val="18"/>
                <w:szCs w:val="18"/>
                <w:color w:val="auto"/>
                <w:w w:val="90"/>
              </w:rPr>
              <w:t>Common stock reacquired and held in treasury -at cost, 980,725 shares at October 31, 2009 and 1,021,159 shares at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620" w:type="dxa"/>
            <w:vAlign w:val="bottom"/>
          </w:tcPr>
          <w:p>
            <w:pPr>
              <w:ind w:left="320"/>
              <w:spacing w:after="0"/>
              <w:rPr>
                <w:sz w:val="20"/>
                <w:szCs w:val="20"/>
                <w:color w:val="auto"/>
              </w:rPr>
            </w:pPr>
            <w:r>
              <w:rPr>
                <w:rFonts w:ascii="Arial" w:cs="Arial" w:eastAsia="Arial" w:hAnsi="Arial"/>
                <w:sz w:val="18"/>
                <w:szCs w:val="18"/>
                <w:color w:val="auto"/>
              </w:rPr>
              <w:t>April 30, 2009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(4,823)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(4,972)</w:t>
            </w:r>
          </w:p>
        </w:tc>
      </w:tr>
      <w:tr>
        <w:trPr>
          <w:trHeight w:val="216"/>
        </w:trPr>
        <w:tc>
          <w:tcPr>
            <w:tcW w:w="20" w:type="dxa"/>
            <w:vAlign w:val="bottom"/>
          </w:tcPr>
          <w:p>
            <w:pPr>
              <w:spacing w:after="0"/>
              <w:rPr>
                <w:sz w:val="18"/>
                <w:szCs w:val="18"/>
                <w:color w:val="auto"/>
              </w:rPr>
            </w:pPr>
          </w:p>
        </w:tc>
        <w:tc>
          <w:tcPr>
            <w:tcW w:w="86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Accumulated other comprehensive income</w:t>
            </w: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4,933</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3,455</w:t>
            </w:r>
          </w:p>
        </w:tc>
      </w:tr>
      <w:tr>
        <w:trPr>
          <w:trHeight w:val="27"/>
        </w:trPr>
        <w:tc>
          <w:tcPr>
            <w:tcW w:w="20" w:type="dxa"/>
            <w:vAlign w:val="bottom"/>
          </w:tcPr>
          <w:p>
            <w:pPr>
              <w:spacing w:after="0"/>
              <w:rPr>
                <w:sz w:val="2"/>
                <w:szCs w:val="2"/>
                <w:color w:val="auto"/>
              </w:rPr>
            </w:pPr>
          </w:p>
        </w:tc>
        <w:tc>
          <w:tcPr>
            <w:tcW w:w="8620" w:type="dxa"/>
            <w:vAlign w:val="bottom"/>
            <w:shd w:val="clear" w:color="auto" w:fill="CCFFCC"/>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480"/>
              <w:spacing w:after="0"/>
              <w:rPr>
                <w:sz w:val="20"/>
                <w:szCs w:val="20"/>
                <w:color w:val="auto"/>
              </w:rPr>
            </w:pPr>
            <w:r>
              <w:rPr>
                <w:rFonts w:ascii="Arial" w:cs="Arial" w:eastAsia="Arial" w:hAnsi="Arial"/>
                <w:sz w:val="18"/>
                <w:szCs w:val="18"/>
                <w:color w:val="auto"/>
              </w:rPr>
              <w:t>Total stockholders' equity</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61,586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59,166</w:t>
            </w:r>
          </w:p>
        </w:tc>
      </w:tr>
      <w:tr>
        <w:trPr>
          <w:trHeight w:val="27"/>
        </w:trPr>
        <w:tc>
          <w:tcPr>
            <w:tcW w:w="20" w:type="dxa"/>
            <w:vAlign w:val="bottom"/>
          </w:tcPr>
          <w:p>
            <w:pPr>
              <w:spacing w:after="0"/>
              <w:rPr>
                <w:sz w:val="2"/>
                <w:szCs w:val="2"/>
                <w:color w:val="auto"/>
              </w:rPr>
            </w:pPr>
          </w:p>
        </w:tc>
        <w:tc>
          <w:tcPr>
            <w:tcW w:w="8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8620" w:type="dxa"/>
            <w:vAlign w:val="bottom"/>
            <w:shd w:val="clear" w:color="auto" w:fill="CCFFCC"/>
          </w:tcPr>
          <w:p>
            <w:pPr>
              <w:ind w:left="480"/>
              <w:spacing w:after="0"/>
              <w:rPr>
                <w:sz w:val="20"/>
                <w:szCs w:val="20"/>
                <w:color w:val="auto"/>
              </w:rPr>
            </w:pPr>
            <w:r>
              <w:rPr>
                <w:rFonts w:ascii="Arial" w:cs="Arial" w:eastAsia="Arial" w:hAnsi="Arial"/>
                <w:sz w:val="18"/>
                <w:szCs w:val="18"/>
                <w:b w:val="1"/>
                <w:bCs w:val="1"/>
                <w:color w:val="auto"/>
              </w:rPr>
              <w:t>Total liabilities and stockholders' equity</w:t>
            </w:r>
          </w:p>
        </w:tc>
        <w:tc>
          <w:tcPr>
            <w:tcW w:w="14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w w:val="79"/>
              </w:rPr>
              <w:t>$</w:t>
            </w: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79,314</w:t>
            </w:r>
          </w:p>
        </w:tc>
        <w:tc>
          <w:tcPr>
            <w:tcW w:w="1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77,920</w:t>
            </w:r>
          </w:p>
        </w:tc>
      </w:tr>
      <w:tr>
        <w:trPr>
          <w:trHeight w:val="20"/>
        </w:trPr>
        <w:tc>
          <w:tcPr>
            <w:tcW w:w="20" w:type="dxa"/>
            <w:vAlign w:val="bottom"/>
          </w:tcPr>
          <w:p>
            <w:pPr>
              <w:spacing w:after="0" w:line="20" w:lineRule="exact"/>
              <w:rPr>
                <w:sz w:val="1"/>
                <w:szCs w:val="1"/>
                <w:color w:val="auto"/>
              </w:rPr>
            </w:pPr>
          </w:p>
        </w:tc>
        <w:tc>
          <w:tcPr>
            <w:tcW w:w="86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 of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760" w:type="dxa"/>
            <w:vAlign w:val="bottom"/>
          </w:tcPr>
          <w:p>
            <w:pPr>
              <w:jc w:val="center"/>
              <w:ind w:left="1870"/>
              <w:spacing w:after="0"/>
              <w:rPr>
                <w:sz w:val="20"/>
                <w:szCs w:val="20"/>
                <w:color w:val="auto"/>
              </w:rPr>
            </w:pPr>
            <w:r>
              <w:rPr>
                <w:rFonts w:ascii="Arial" w:cs="Arial" w:eastAsia="Arial" w:hAnsi="Arial"/>
                <w:sz w:val="18"/>
                <w:szCs w:val="18"/>
                <w:color w:val="auto"/>
                <w:w w:val="95"/>
              </w:rPr>
              <w:t>FREQUENCY ELECTRONICS, INC. and SUBSIDIARIES</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8760" w:type="dxa"/>
            <w:vAlign w:val="bottom"/>
          </w:tcPr>
          <w:p>
            <w:pPr>
              <w:jc w:val="center"/>
              <w:ind w:left="1890"/>
              <w:spacing w:after="0"/>
              <w:rPr>
                <w:sz w:val="20"/>
                <w:szCs w:val="20"/>
                <w:color w:val="auto"/>
              </w:rPr>
            </w:pPr>
            <w:r>
              <w:rPr>
                <w:rFonts w:ascii="Arial" w:cs="Arial" w:eastAsia="Arial" w:hAnsi="Arial"/>
                <w:sz w:val="18"/>
                <w:szCs w:val="18"/>
                <w:color w:val="auto"/>
                <w:w w:val="88"/>
              </w:rPr>
              <w:t>Condensed Consolidated Statements of Operations</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8760" w:type="dxa"/>
            <w:vAlign w:val="bottom"/>
          </w:tcPr>
          <w:p>
            <w:pPr>
              <w:jc w:val="center"/>
              <w:ind w:left="1890"/>
              <w:spacing w:after="0"/>
              <w:rPr>
                <w:sz w:val="20"/>
                <w:szCs w:val="20"/>
                <w:color w:val="auto"/>
              </w:rPr>
            </w:pPr>
            <w:r>
              <w:rPr>
                <w:rFonts w:ascii="Arial" w:cs="Arial" w:eastAsia="Arial" w:hAnsi="Arial"/>
                <w:sz w:val="18"/>
                <w:szCs w:val="18"/>
                <w:color w:val="auto"/>
                <w:w w:val="90"/>
              </w:rPr>
              <w:t>Six Months Ended October 31,</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60" w:type="dxa"/>
            <w:vAlign w:val="bottom"/>
          </w:tcPr>
          <w:p>
            <w:pPr>
              <w:jc w:val="center"/>
              <w:ind w:left="1890"/>
              <w:spacing w:after="0"/>
              <w:rPr>
                <w:sz w:val="20"/>
                <w:szCs w:val="20"/>
                <w:color w:val="auto"/>
              </w:rPr>
            </w:pPr>
            <w:r>
              <w:rPr>
                <w:rFonts w:ascii="Arial" w:cs="Arial" w:eastAsia="Arial" w:hAnsi="Arial"/>
                <w:sz w:val="18"/>
                <w:szCs w:val="18"/>
                <w:color w:val="auto"/>
                <w:w w:val="91"/>
              </w:rPr>
              <w:t>(Unaudited)</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87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2009</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60" w:type="dxa"/>
            <w:vAlign w:val="bottom"/>
          </w:tcPr>
          <w:p>
            <w:pPr>
              <w:spacing w:after="0"/>
              <w:rPr>
                <w:sz w:val="20"/>
                <w:szCs w:val="20"/>
                <w:color w:val="auto"/>
              </w:rPr>
            </w:pPr>
          </w:p>
        </w:tc>
        <w:tc>
          <w:tcPr>
            <w:tcW w:w="2640" w:type="dxa"/>
            <w:vAlign w:val="bottom"/>
            <w:gridSpan w:val="7"/>
          </w:tcPr>
          <w:p>
            <w:pPr>
              <w:spacing w:after="0"/>
              <w:rPr>
                <w:sz w:val="20"/>
                <w:szCs w:val="20"/>
                <w:color w:val="auto"/>
              </w:rPr>
            </w:pPr>
            <w:r>
              <w:rPr>
                <w:rFonts w:ascii="Arial" w:cs="Arial" w:eastAsia="Arial" w:hAnsi="Arial"/>
                <w:sz w:val="18"/>
                <w:szCs w:val="18"/>
                <w:color w:val="auto"/>
                <w:w w:val="89"/>
              </w:rPr>
              <w:t>(In thousands except per share data)</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8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shd w:val="clear" w:color="auto" w:fill="CCFFCC"/>
          </w:tcPr>
          <w:p>
            <w:pPr>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23,836</w:t>
            </w:r>
          </w:p>
        </w:tc>
        <w:tc>
          <w:tcPr>
            <w:tcW w:w="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27,089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Cost of revenues</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15,141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FFCC"/>
          </w:tcPr>
          <w:p>
            <w:pPr>
              <w:ind w:left="320"/>
              <w:spacing w:after="0"/>
              <w:rPr>
                <w:sz w:val="20"/>
                <w:szCs w:val="20"/>
                <w:color w:val="auto"/>
              </w:rPr>
            </w:pPr>
            <w:r>
              <w:rPr>
                <w:rFonts w:ascii="Arial" w:cs="Arial" w:eastAsia="Arial" w:hAnsi="Arial"/>
                <w:sz w:val="18"/>
                <w:szCs w:val="18"/>
                <w:color w:val="auto"/>
              </w:rPr>
              <w:t>Gross margin</w:t>
            </w: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8,695</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Selling and administrative expenses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5,340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5,951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Research and development expense</w:t>
            </w:r>
          </w:p>
        </w:tc>
        <w:tc>
          <w:tcPr>
            <w:tcW w:w="240" w:type="dxa"/>
            <w:vAlign w:val="bottom"/>
            <w:tcBorders>
              <w:bottom w:val="single" w:sz="8" w:color="auto"/>
            </w:tcBorders>
            <w:shd w:val="clear" w:color="auto" w:fill="CCFFCC"/>
          </w:tcPr>
          <w:p>
            <w:pPr>
              <w:spacing w:after="0"/>
              <w:rPr>
                <w:sz w:val="19"/>
                <w:szCs w:val="19"/>
                <w:color w:val="auto"/>
              </w:rPr>
            </w:pPr>
          </w:p>
        </w:tc>
        <w:tc>
          <w:tcPr>
            <w:tcW w:w="9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2,454</w:t>
            </w:r>
          </w:p>
        </w:tc>
        <w:tc>
          <w:tcPr>
            <w:tcW w:w="140" w:type="dxa"/>
            <w:vAlign w:val="bottom"/>
            <w:tcBorders>
              <w:bottom w:val="single" w:sz="8" w:color="CCFFCC"/>
            </w:tcBorders>
            <w:shd w:val="clear" w:color="auto" w:fill="CCFFCC"/>
          </w:tcPr>
          <w:p>
            <w:pPr>
              <w:spacing w:after="0"/>
              <w:rPr>
                <w:sz w:val="19"/>
                <w:szCs w:val="19"/>
                <w:color w:val="auto"/>
              </w:rPr>
            </w:pPr>
          </w:p>
        </w:tc>
        <w:tc>
          <w:tcPr>
            <w:tcW w:w="80" w:type="dxa"/>
            <w:vAlign w:val="bottom"/>
            <w:tcBorders>
              <w:bottom w:val="single" w:sz="8" w:color="CCFFCC"/>
            </w:tcBorders>
            <w:shd w:val="clear" w:color="auto" w:fill="CCFFCC"/>
          </w:tcPr>
          <w:p>
            <w:pPr>
              <w:spacing w:after="0"/>
              <w:rPr>
                <w:sz w:val="19"/>
                <w:szCs w:val="19"/>
                <w:color w:val="auto"/>
              </w:rPr>
            </w:pPr>
          </w:p>
        </w:tc>
        <w:tc>
          <w:tcPr>
            <w:tcW w:w="240" w:type="dxa"/>
            <w:vAlign w:val="bottom"/>
            <w:tcBorders>
              <w:bottom w:val="single" w:sz="8" w:color="auto"/>
            </w:tcBorders>
            <w:shd w:val="clear" w:color="auto" w:fill="CCFFCC"/>
          </w:tcPr>
          <w:p>
            <w:pPr>
              <w:spacing w:after="0"/>
              <w:rPr>
                <w:sz w:val="19"/>
                <w:szCs w:val="19"/>
                <w:color w:val="auto"/>
              </w:rPr>
            </w:pPr>
          </w:p>
        </w:tc>
        <w:tc>
          <w:tcPr>
            <w:tcW w:w="9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2,239</w:t>
            </w:r>
          </w:p>
        </w:tc>
        <w:tc>
          <w:tcPr>
            <w:tcW w:w="10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320"/>
              <w:spacing w:after="0"/>
              <w:rPr>
                <w:sz w:val="20"/>
                <w:szCs w:val="20"/>
                <w:color w:val="auto"/>
              </w:rPr>
            </w:pPr>
            <w:r>
              <w:rPr>
                <w:rFonts w:ascii="Arial" w:cs="Arial" w:eastAsia="Arial" w:hAnsi="Arial"/>
                <w:sz w:val="18"/>
                <w:szCs w:val="18"/>
                <w:color w:val="auto"/>
              </w:rPr>
              <w:t>Operating profit (loss)</w:t>
            </w: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901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(2,284)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Other income (expense):</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Investment income</w:t>
            </w:r>
          </w:p>
        </w:tc>
        <w:tc>
          <w:tcPr>
            <w:tcW w:w="2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253</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160"/>
              <w:spacing w:after="0"/>
              <w:rPr>
                <w:sz w:val="20"/>
                <w:szCs w:val="20"/>
                <w:color w:val="auto"/>
              </w:rPr>
            </w:pPr>
            <w:r>
              <w:rPr>
                <w:rFonts w:ascii="Arial" w:cs="Arial" w:eastAsia="Arial" w:hAnsi="Arial"/>
                <w:sz w:val="18"/>
                <w:szCs w:val="18"/>
                <w:color w:val="auto"/>
              </w:rPr>
              <w:t>Equity loss</w:t>
            </w: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(195)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Impairment of investment in affiliate</w:t>
            </w:r>
          </w:p>
        </w:tc>
        <w:tc>
          <w:tcPr>
            <w:tcW w:w="2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(200)</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(78)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Other (expense) income, net</w:t>
            </w:r>
          </w:p>
        </w:tc>
        <w:tc>
          <w:tcPr>
            <w:tcW w:w="2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(156)</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6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Income (loss) before benefit for income taxes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FFCC"/>
          </w:tcPr>
          <w:p>
            <w:pPr>
              <w:spacing w:after="0"/>
              <w:rPr>
                <w:sz w:val="20"/>
                <w:szCs w:val="20"/>
                <w:color w:val="auto"/>
              </w:rPr>
            </w:pPr>
            <w:r>
              <w:rPr>
                <w:rFonts w:ascii="Arial" w:cs="Arial" w:eastAsia="Arial" w:hAnsi="Arial"/>
                <w:sz w:val="18"/>
                <w:szCs w:val="18"/>
                <w:color w:val="auto"/>
              </w:rPr>
              <w:t>Benefit for income taxes</w:t>
            </w: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6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320"/>
              <w:spacing w:after="0"/>
              <w:rPr>
                <w:sz w:val="20"/>
                <w:szCs w:val="20"/>
                <w:color w:val="auto"/>
              </w:rPr>
            </w:pPr>
            <w:r>
              <w:rPr>
                <w:rFonts w:ascii="Arial" w:cs="Arial" w:eastAsia="Arial" w:hAnsi="Arial"/>
                <w:sz w:val="18"/>
                <w:szCs w:val="18"/>
                <w:color w:val="auto"/>
              </w:rPr>
              <w:t>Net income (loss)</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525</w:t>
            </w:r>
          </w:p>
        </w:tc>
        <w:tc>
          <w:tcPr>
            <w:tcW w:w="14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(1,666)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7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Net income (loss) per common share</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760" w:type="dxa"/>
            <w:vAlign w:val="bottom"/>
            <w:shd w:val="clear" w:color="auto" w:fill="CCFFCC"/>
          </w:tcPr>
          <w:p>
            <w:pPr>
              <w:ind w:left="32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0.06</w:t>
            </w:r>
          </w:p>
        </w:tc>
        <w:tc>
          <w:tcPr>
            <w:tcW w:w="140" w:type="dxa"/>
            <w:vAlign w:val="bottom"/>
            <w:shd w:val="clear" w:color="auto" w:fill="CCFFCC"/>
          </w:tcPr>
          <w:p>
            <w:pPr>
              <w:spacing w:after="0"/>
              <w:rPr>
                <w:sz w:val="20"/>
                <w:szCs w:val="20"/>
                <w:color w:val="auto"/>
              </w:rPr>
            </w:pPr>
          </w:p>
        </w:tc>
        <w:tc>
          <w:tcPr>
            <w:tcW w:w="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760" w:type="dxa"/>
            <w:vAlign w:val="bottom"/>
          </w:tcPr>
          <w:p>
            <w:pPr>
              <w:ind w:left="32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0.06</w:t>
            </w:r>
          </w:p>
        </w:tc>
        <w:tc>
          <w:tcPr>
            <w:tcW w:w="14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7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760" w:type="dxa"/>
            <w:vAlign w:val="bottom"/>
            <w:tcBorders>
              <w:bottom w:val="single" w:sz="8" w:color="CCFFCC"/>
            </w:tcBorders>
            <w:shd w:val="clear" w:color="auto" w:fill="CCFFCC"/>
          </w:tcPr>
          <w:p>
            <w:pPr>
              <w:ind w:left="32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auto"/>
            </w:tcBorders>
            <w:shd w:val="clear" w:color="auto" w:fill="CCFFCC"/>
          </w:tcPr>
          <w:p>
            <w:pPr>
              <w:spacing w:after="0"/>
              <w:rPr>
                <w:sz w:val="22"/>
                <w:szCs w:val="22"/>
                <w:color w:val="auto"/>
              </w:rPr>
            </w:pPr>
          </w:p>
        </w:tc>
        <w:tc>
          <w:tcPr>
            <w:tcW w:w="9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8,172,643</w:t>
            </w:r>
          </w:p>
        </w:tc>
        <w:tc>
          <w:tcPr>
            <w:tcW w:w="140" w:type="dxa"/>
            <w:vAlign w:val="bottom"/>
            <w:tcBorders>
              <w:bottom w:val="single" w:sz="8" w:color="CCFFCC"/>
            </w:tcBorders>
            <w:shd w:val="clear" w:color="auto" w:fill="CCFFCC"/>
          </w:tcPr>
          <w:p>
            <w:pPr>
              <w:spacing w:after="0"/>
              <w:rPr>
                <w:sz w:val="22"/>
                <w:szCs w:val="22"/>
                <w:color w:val="auto"/>
              </w:rPr>
            </w:pPr>
          </w:p>
        </w:tc>
        <w:tc>
          <w:tcPr>
            <w:tcW w:w="80" w:type="dxa"/>
            <w:vAlign w:val="bottom"/>
            <w:tcBorders>
              <w:bottom w:val="single" w:sz="8" w:color="CCFFCC"/>
            </w:tcBorders>
            <w:shd w:val="clear" w:color="auto" w:fill="CCFFCC"/>
          </w:tcPr>
          <w:p>
            <w:pPr>
              <w:spacing w:after="0"/>
              <w:rPr>
                <w:sz w:val="22"/>
                <w:szCs w:val="22"/>
                <w:color w:val="auto"/>
              </w:rPr>
            </w:pPr>
          </w:p>
        </w:tc>
        <w:tc>
          <w:tcPr>
            <w:tcW w:w="240" w:type="dxa"/>
            <w:vAlign w:val="bottom"/>
            <w:tcBorders>
              <w:bottom w:val="single" w:sz="8" w:color="auto"/>
            </w:tcBorders>
            <w:shd w:val="clear" w:color="auto" w:fill="CCFFCC"/>
          </w:tcPr>
          <w:p>
            <w:pPr>
              <w:spacing w:after="0"/>
              <w:rPr>
                <w:sz w:val="22"/>
                <w:szCs w:val="22"/>
                <w:color w:val="auto"/>
              </w:rPr>
            </w:pPr>
          </w:p>
        </w:tc>
        <w:tc>
          <w:tcPr>
            <w:tcW w:w="9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8,523,187</w:t>
            </w:r>
          </w:p>
        </w:tc>
        <w:tc>
          <w:tcPr>
            <w:tcW w:w="100" w:type="dxa"/>
            <w:vAlign w:val="bottom"/>
            <w:tcBorders>
              <w:bottom w:val="single" w:sz="8" w:color="CCFFCC"/>
            </w:tcBorders>
            <w:shd w:val="clear" w:color="auto" w:fill="CCFFCC"/>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60" w:type="dxa"/>
            <w:vAlign w:val="bottom"/>
          </w:tcPr>
          <w:p>
            <w:pPr>
              <w:ind w:left="32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8,184,764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8,523,187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See accompanying notes to consolidated condensed financial statements.</w:t>
      </w:r>
    </w:p>
    <w:p>
      <w:pPr>
        <w:spacing w:after="0" w:line="252"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4 of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5840" w:type="dxa"/>
            <w:vAlign w:val="bottom"/>
            <w:gridSpan w:val="2"/>
          </w:tcPr>
          <w:p>
            <w:pPr>
              <w:jc w:val="center"/>
              <w:ind w:right="690"/>
              <w:spacing w:after="0"/>
              <w:rPr>
                <w:sz w:val="20"/>
                <w:szCs w:val="20"/>
                <w:color w:val="auto"/>
              </w:rPr>
            </w:pPr>
            <w:r>
              <w:rPr>
                <w:rFonts w:ascii="Arial" w:cs="Arial" w:eastAsia="Arial" w:hAnsi="Arial"/>
                <w:sz w:val="18"/>
                <w:szCs w:val="18"/>
                <w:color w:val="auto"/>
                <w:w w:val="94"/>
              </w:rPr>
              <w:t>FREQUENCY ELECTRONICS, INC. and SUBSIDIARIES</w:t>
            </w: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5840" w:type="dxa"/>
            <w:vAlign w:val="bottom"/>
            <w:gridSpan w:val="2"/>
          </w:tcPr>
          <w:p>
            <w:pPr>
              <w:jc w:val="center"/>
              <w:ind w:right="690"/>
              <w:spacing w:after="0"/>
              <w:rPr>
                <w:sz w:val="20"/>
                <w:szCs w:val="20"/>
                <w:color w:val="auto"/>
              </w:rPr>
            </w:pPr>
            <w:r>
              <w:rPr>
                <w:rFonts w:ascii="Arial" w:cs="Arial" w:eastAsia="Arial" w:hAnsi="Arial"/>
                <w:sz w:val="18"/>
                <w:szCs w:val="18"/>
                <w:color w:val="auto"/>
                <w:w w:val="88"/>
              </w:rPr>
              <w:t>Condensed Consolidated Statements of Operations</w:t>
            </w: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5840" w:type="dxa"/>
            <w:vAlign w:val="bottom"/>
            <w:gridSpan w:val="2"/>
          </w:tcPr>
          <w:p>
            <w:pPr>
              <w:jc w:val="center"/>
              <w:ind w:right="690"/>
              <w:spacing w:after="0"/>
              <w:rPr>
                <w:sz w:val="20"/>
                <w:szCs w:val="20"/>
                <w:color w:val="auto"/>
              </w:rPr>
            </w:pPr>
            <w:r>
              <w:rPr>
                <w:rFonts w:ascii="Arial" w:cs="Arial" w:eastAsia="Arial" w:hAnsi="Arial"/>
                <w:sz w:val="18"/>
                <w:szCs w:val="18"/>
                <w:color w:val="auto"/>
                <w:w w:val="90"/>
              </w:rPr>
              <w:t>Three Months Ended October 31,</w:t>
            </w: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5840" w:type="dxa"/>
            <w:vAlign w:val="bottom"/>
            <w:gridSpan w:val="2"/>
          </w:tcPr>
          <w:p>
            <w:pPr>
              <w:jc w:val="center"/>
              <w:ind w:right="690"/>
              <w:spacing w:after="0"/>
              <w:rPr>
                <w:sz w:val="20"/>
                <w:szCs w:val="20"/>
                <w:color w:val="auto"/>
              </w:rPr>
            </w:pPr>
            <w:r>
              <w:rPr>
                <w:rFonts w:ascii="Arial" w:cs="Arial" w:eastAsia="Arial" w:hAnsi="Arial"/>
                <w:sz w:val="18"/>
                <w:szCs w:val="18"/>
                <w:color w:val="auto"/>
                <w:w w:val="91"/>
              </w:rPr>
              <w:t>(Unaudited)</w:t>
            </w: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2009</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2640" w:type="dxa"/>
            <w:vAlign w:val="bottom"/>
            <w:gridSpan w:val="7"/>
          </w:tcPr>
          <w:p>
            <w:pPr>
              <w:spacing w:after="0"/>
              <w:rPr>
                <w:sz w:val="20"/>
                <w:szCs w:val="20"/>
                <w:color w:val="auto"/>
              </w:rPr>
            </w:pPr>
            <w:r>
              <w:rPr>
                <w:rFonts w:ascii="Arial" w:cs="Arial" w:eastAsia="Arial" w:hAnsi="Arial"/>
                <w:sz w:val="18"/>
                <w:szCs w:val="18"/>
                <w:color w:val="auto"/>
                <w:w w:val="89"/>
              </w:rPr>
              <w:t>(In thousands except per share data)</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160" w:type="dxa"/>
            <w:vAlign w:val="bottom"/>
          </w:tcPr>
          <w:p>
            <w:pPr>
              <w:spacing w:after="0"/>
              <w:rPr>
                <w:sz w:val="17"/>
                <w:szCs w:val="17"/>
                <w:color w:val="auto"/>
              </w:rPr>
            </w:pPr>
          </w:p>
        </w:tc>
        <w:tc>
          <w:tcPr>
            <w:tcW w:w="5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shd w:val="clear" w:color="auto" w:fill="CCFFCC"/>
          </w:tcPr>
          <w:p>
            <w:pPr>
              <w:spacing w:after="0"/>
              <w:rPr>
                <w:sz w:val="20"/>
                <w:szCs w:val="20"/>
                <w:color w:val="auto"/>
              </w:rPr>
            </w:pPr>
            <w:r>
              <w:rPr>
                <w:rFonts w:ascii="Arial" w:cs="Arial" w:eastAsia="Arial" w:hAnsi="Arial"/>
                <w:sz w:val="18"/>
                <w:szCs w:val="18"/>
                <w:color w:val="auto"/>
              </w:rPr>
              <w:t>Revenues</w:t>
            </w:r>
          </w:p>
        </w:tc>
        <w:tc>
          <w:tcPr>
            <w:tcW w:w="5840" w:type="dxa"/>
            <w:vAlign w:val="bottom"/>
            <w:gridSpan w:val="2"/>
            <w:shd w:val="clear" w:color="auto" w:fill="CCFFCC"/>
          </w:tcPr>
          <w:p>
            <w:pPr>
              <w:ind w:left="56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11,395</w:t>
            </w:r>
          </w:p>
        </w:tc>
        <w:tc>
          <w:tcPr>
            <w:tcW w:w="140" w:type="dxa"/>
            <w:vAlign w:val="bottom"/>
            <w:shd w:val="clear" w:color="auto" w:fill="CCFFCC"/>
          </w:tcPr>
          <w:p>
            <w:pPr>
              <w:spacing w:after="0"/>
              <w:rPr>
                <w:sz w:val="18"/>
                <w:szCs w:val="18"/>
                <w:color w:val="auto"/>
              </w:rPr>
            </w:pPr>
          </w:p>
        </w:tc>
        <w:tc>
          <w:tcPr>
            <w:tcW w:w="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14,026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Cost of revenues</w:t>
            </w:r>
          </w:p>
        </w:tc>
        <w:tc>
          <w:tcPr>
            <w:tcW w:w="56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FFCC"/>
          </w:tcPr>
          <w:p>
            <w:pPr>
              <w:ind w:left="320"/>
              <w:spacing w:after="0"/>
              <w:rPr>
                <w:sz w:val="20"/>
                <w:szCs w:val="20"/>
                <w:color w:val="auto"/>
              </w:rPr>
            </w:pPr>
            <w:r>
              <w:rPr>
                <w:rFonts w:ascii="Arial" w:cs="Arial" w:eastAsia="Arial" w:hAnsi="Arial"/>
                <w:sz w:val="18"/>
                <w:szCs w:val="18"/>
                <w:color w:val="auto"/>
              </w:rPr>
              <w:t>Gross margin</w:t>
            </w:r>
          </w:p>
        </w:tc>
        <w:tc>
          <w:tcPr>
            <w:tcW w:w="56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4,394</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2,715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6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shd w:val="clear" w:color="auto" w:fill="CCFFCC"/>
          </w:tcPr>
          <w:p>
            <w:pPr>
              <w:spacing w:after="0"/>
              <w:rPr>
                <w:sz w:val="20"/>
                <w:szCs w:val="20"/>
                <w:color w:val="auto"/>
              </w:rPr>
            </w:pPr>
            <w:r>
              <w:rPr>
                <w:rFonts w:ascii="Arial" w:cs="Arial" w:eastAsia="Arial" w:hAnsi="Arial"/>
                <w:sz w:val="18"/>
                <w:szCs w:val="18"/>
                <w:color w:val="auto"/>
              </w:rPr>
              <w:t>Selling and administrative expenses</w:t>
            </w:r>
          </w:p>
        </w:tc>
        <w:tc>
          <w:tcPr>
            <w:tcW w:w="56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2,773</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2,835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Research and development expense</w:t>
            </w:r>
          </w:p>
        </w:tc>
        <w:tc>
          <w:tcPr>
            <w:tcW w:w="56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FFCC"/>
          </w:tcPr>
          <w:p>
            <w:pPr>
              <w:ind w:left="320"/>
              <w:spacing w:after="0"/>
              <w:rPr>
                <w:sz w:val="20"/>
                <w:szCs w:val="20"/>
                <w:color w:val="auto"/>
              </w:rPr>
            </w:pPr>
            <w:r>
              <w:rPr>
                <w:rFonts w:ascii="Arial" w:cs="Arial" w:eastAsia="Arial" w:hAnsi="Arial"/>
                <w:sz w:val="18"/>
                <w:szCs w:val="18"/>
                <w:color w:val="auto"/>
              </w:rPr>
              <w:t>Operating profit (loss)</w:t>
            </w:r>
          </w:p>
        </w:tc>
        <w:tc>
          <w:tcPr>
            <w:tcW w:w="56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242</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Other income (expense):</w:t>
            </w:r>
          </w:p>
        </w:tc>
        <w:tc>
          <w:tcPr>
            <w:tcW w:w="5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Investment income</w:t>
            </w:r>
          </w:p>
        </w:tc>
        <w:tc>
          <w:tcPr>
            <w:tcW w:w="56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125</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ind w:left="160"/>
              <w:spacing w:after="0"/>
              <w:rPr>
                <w:sz w:val="20"/>
                <w:szCs w:val="20"/>
                <w:color w:val="auto"/>
              </w:rPr>
            </w:pPr>
            <w:r>
              <w:rPr>
                <w:rFonts w:ascii="Arial" w:cs="Arial" w:eastAsia="Arial" w:hAnsi="Arial"/>
                <w:sz w:val="18"/>
                <w:szCs w:val="18"/>
                <w:color w:val="auto"/>
              </w:rPr>
              <w:t>Equity loss</w:t>
            </w:r>
          </w:p>
        </w:tc>
        <w:tc>
          <w:tcPr>
            <w:tcW w:w="5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(145)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Impairment of investment in affiliate</w:t>
            </w:r>
          </w:p>
        </w:tc>
        <w:tc>
          <w:tcPr>
            <w:tcW w:w="56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(200)</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5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Other expense, net</w:t>
            </w:r>
          </w:p>
        </w:tc>
        <w:tc>
          <w:tcPr>
            <w:tcW w:w="56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(117)</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60" w:type="dxa"/>
            <w:vAlign w:val="bottom"/>
            <w:shd w:val="clear" w:color="auto" w:fill="CCFFCC"/>
          </w:tcPr>
          <w:p>
            <w:pPr>
              <w:spacing w:after="0"/>
              <w:rPr>
                <w:sz w:val="2"/>
                <w:szCs w:val="2"/>
                <w:color w:val="auto"/>
              </w:rPr>
            </w:pPr>
          </w:p>
        </w:tc>
        <w:tc>
          <w:tcPr>
            <w:tcW w:w="560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Loss before benefit for income taxes</w:t>
            </w:r>
          </w:p>
        </w:tc>
        <w:tc>
          <w:tcPr>
            <w:tcW w:w="5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(129)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FFCC"/>
          </w:tcPr>
          <w:p>
            <w:pPr>
              <w:spacing w:after="0"/>
              <w:rPr>
                <w:sz w:val="20"/>
                <w:szCs w:val="20"/>
                <w:color w:val="auto"/>
              </w:rPr>
            </w:pPr>
            <w:r>
              <w:rPr>
                <w:rFonts w:ascii="Arial" w:cs="Arial" w:eastAsia="Arial" w:hAnsi="Arial"/>
                <w:sz w:val="18"/>
                <w:szCs w:val="18"/>
                <w:color w:val="auto"/>
              </w:rPr>
              <w:t>Benefit for income taxes</w:t>
            </w:r>
          </w:p>
        </w:tc>
        <w:tc>
          <w:tcPr>
            <w:tcW w:w="56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60" w:type="dxa"/>
            <w:vAlign w:val="bottom"/>
            <w:shd w:val="clear" w:color="auto" w:fill="CCFFCC"/>
          </w:tcPr>
          <w:p>
            <w:pPr>
              <w:spacing w:after="0"/>
              <w:rPr>
                <w:sz w:val="2"/>
                <w:szCs w:val="2"/>
                <w:color w:val="auto"/>
              </w:rPr>
            </w:pPr>
          </w:p>
        </w:tc>
        <w:tc>
          <w:tcPr>
            <w:tcW w:w="560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ind w:left="320"/>
              <w:spacing w:after="0"/>
              <w:rPr>
                <w:sz w:val="20"/>
                <w:szCs w:val="20"/>
                <w:color w:val="auto"/>
              </w:rPr>
            </w:pPr>
            <w:r>
              <w:rPr>
                <w:rFonts w:ascii="Arial" w:cs="Arial" w:eastAsia="Arial" w:hAnsi="Arial"/>
                <w:sz w:val="18"/>
                <w:szCs w:val="18"/>
                <w:color w:val="auto"/>
              </w:rPr>
              <w:t>Net loss</w:t>
            </w:r>
          </w:p>
        </w:tc>
        <w:tc>
          <w:tcPr>
            <w:tcW w:w="5840" w:type="dxa"/>
            <w:vAlign w:val="bottom"/>
            <w:gridSpan w:val="2"/>
          </w:tcPr>
          <w:p>
            <w:pPr>
              <w:ind w:left="56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(129)</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(894)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60" w:type="dxa"/>
            <w:vAlign w:val="bottom"/>
            <w:shd w:val="clear" w:color="auto" w:fill="CCFFCC"/>
          </w:tcPr>
          <w:p>
            <w:pPr>
              <w:spacing w:after="0"/>
              <w:rPr>
                <w:sz w:val="18"/>
                <w:szCs w:val="18"/>
                <w:color w:val="auto"/>
              </w:rPr>
            </w:pPr>
          </w:p>
        </w:tc>
        <w:tc>
          <w:tcPr>
            <w:tcW w:w="56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Net loss per common share</w:t>
            </w:r>
          </w:p>
        </w:tc>
        <w:tc>
          <w:tcPr>
            <w:tcW w:w="5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160" w:type="dxa"/>
            <w:vAlign w:val="bottom"/>
            <w:shd w:val="clear" w:color="auto" w:fill="CCFFCC"/>
          </w:tcPr>
          <w:p>
            <w:pPr>
              <w:ind w:left="320"/>
              <w:spacing w:after="0"/>
              <w:rPr>
                <w:sz w:val="20"/>
                <w:szCs w:val="20"/>
                <w:color w:val="auto"/>
              </w:rPr>
            </w:pPr>
            <w:r>
              <w:rPr>
                <w:rFonts w:ascii="Arial" w:cs="Arial" w:eastAsia="Arial" w:hAnsi="Arial"/>
                <w:sz w:val="18"/>
                <w:szCs w:val="18"/>
                <w:color w:val="auto"/>
              </w:rPr>
              <w:t>Basic</w:t>
            </w:r>
          </w:p>
        </w:tc>
        <w:tc>
          <w:tcPr>
            <w:tcW w:w="5840" w:type="dxa"/>
            <w:vAlign w:val="bottom"/>
            <w:gridSpan w:val="2"/>
            <w:shd w:val="clear" w:color="auto" w:fill="CCFFCC"/>
          </w:tcPr>
          <w:p>
            <w:pPr>
              <w:ind w:left="56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(0.02)</w:t>
            </w:r>
          </w:p>
        </w:tc>
        <w:tc>
          <w:tcPr>
            <w:tcW w:w="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Borders>
              <w:top w:val="single" w:sz="8" w:color="CCFFCC"/>
            </w:tcBorders>
            <w:shd w:val="clear" w:color="auto" w:fill="CCFFCC"/>
          </w:tcPr>
          <w:p>
            <w:pPr>
              <w:spacing w:after="0" w:line="20" w:lineRule="exact"/>
              <w:rPr>
                <w:sz w:val="1"/>
                <w:szCs w:val="1"/>
                <w:color w:val="auto"/>
              </w:rPr>
            </w:pPr>
          </w:p>
        </w:tc>
        <w:tc>
          <w:tcPr>
            <w:tcW w:w="560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tcPr>
          <w:p>
            <w:pPr>
              <w:ind w:left="320"/>
              <w:spacing w:after="0"/>
              <w:rPr>
                <w:sz w:val="20"/>
                <w:szCs w:val="20"/>
                <w:color w:val="auto"/>
              </w:rPr>
            </w:pPr>
            <w:r>
              <w:rPr>
                <w:rFonts w:ascii="Arial" w:cs="Arial" w:eastAsia="Arial" w:hAnsi="Arial"/>
                <w:sz w:val="18"/>
                <w:szCs w:val="18"/>
                <w:color w:val="auto"/>
              </w:rPr>
              <w:t>Diluted</w:t>
            </w:r>
          </w:p>
        </w:tc>
        <w:tc>
          <w:tcPr>
            <w:tcW w:w="5840" w:type="dxa"/>
            <w:vAlign w:val="bottom"/>
            <w:gridSpan w:val="2"/>
          </w:tcPr>
          <w:p>
            <w:pPr>
              <w:ind w:left="56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(0.02)</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( 0.11)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60" w:type="dxa"/>
            <w:vAlign w:val="bottom"/>
            <w:shd w:val="clear" w:color="auto" w:fill="CCFFCC"/>
          </w:tcPr>
          <w:p>
            <w:pPr>
              <w:spacing w:after="0"/>
              <w:rPr>
                <w:sz w:val="18"/>
                <w:szCs w:val="18"/>
                <w:color w:val="auto"/>
              </w:rPr>
            </w:pPr>
          </w:p>
        </w:tc>
        <w:tc>
          <w:tcPr>
            <w:tcW w:w="56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5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160" w:type="dxa"/>
            <w:vAlign w:val="bottom"/>
            <w:tcBorders>
              <w:bottom w:val="single" w:sz="8" w:color="CCFFCC"/>
            </w:tcBorders>
            <w:shd w:val="clear" w:color="auto" w:fill="CCFFCC"/>
          </w:tcPr>
          <w:p>
            <w:pPr>
              <w:ind w:left="320"/>
              <w:spacing w:after="0"/>
              <w:rPr>
                <w:sz w:val="20"/>
                <w:szCs w:val="20"/>
                <w:color w:val="auto"/>
              </w:rPr>
            </w:pPr>
            <w:r>
              <w:rPr>
                <w:rFonts w:ascii="Arial" w:cs="Arial" w:eastAsia="Arial" w:hAnsi="Arial"/>
                <w:sz w:val="18"/>
                <w:szCs w:val="18"/>
                <w:color w:val="auto"/>
              </w:rPr>
              <w:t>Basic</w:t>
            </w:r>
          </w:p>
        </w:tc>
        <w:tc>
          <w:tcPr>
            <w:tcW w:w="5600" w:type="dxa"/>
            <w:vAlign w:val="bottom"/>
            <w:tcBorders>
              <w:bottom w:val="single" w:sz="8" w:color="CCFFCC"/>
            </w:tcBorders>
            <w:shd w:val="clear" w:color="auto" w:fill="CCFFCC"/>
          </w:tcPr>
          <w:p>
            <w:pPr>
              <w:spacing w:after="0"/>
              <w:rPr>
                <w:sz w:val="22"/>
                <w:szCs w:val="22"/>
                <w:color w:val="auto"/>
              </w:rPr>
            </w:pPr>
          </w:p>
        </w:tc>
        <w:tc>
          <w:tcPr>
            <w:tcW w:w="240" w:type="dxa"/>
            <w:vAlign w:val="bottom"/>
            <w:tcBorders>
              <w:bottom w:val="single" w:sz="8" w:color="auto"/>
            </w:tcBorders>
            <w:shd w:val="clear" w:color="auto" w:fill="CCFFCC"/>
          </w:tcPr>
          <w:p>
            <w:pPr>
              <w:spacing w:after="0"/>
              <w:rPr>
                <w:sz w:val="22"/>
                <w:szCs w:val="22"/>
                <w:color w:val="auto"/>
              </w:rPr>
            </w:pPr>
          </w:p>
        </w:tc>
        <w:tc>
          <w:tcPr>
            <w:tcW w:w="9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8,180,659</w:t>
            </w:r>
          </w:p>
        </w:tc>
        <w:tc>
          <w:tcPr>
            <w:tcW w:w="140" w:type="dxa"/>
            <w:vAlign w:val="bottom"/>
            <w:tcBorders>
              <w:bottom w:val="single" w:sz="8" w:color="CCFFCC"/>
            </w:tcBorders>
            <w:shd w:val="clear" w:color="auto" w:fill="CCFFCC"/>
          </w:tcPr>
          <w:p>
            <w:pPr>
              <w:spacing w:after="0"/>
              <w:rPr>
                <w:sz w:val="22"/>
                <w:szCs w:val="22"/>
                <w:color w:val="auto"/>
              </w:rPr>
            </w:pPr>
          </w:p>
        </w:tc>
        <w:tc>
          <w:tcPr>
            <w:tcW w:w="80" w:type="dxa"/>
            <w:vAlign w:val="bottom"/>
            <w:tcBorders>
              <w:bottom w:val="single" w:sz="8" w:color="CCFFCC"/>
            </w:tcBorders>
            <w:shd w:val="clear" w:color="auto" w:fill="CCFFCC"/>
          </w:tcPr>
          <w:p>
            <w:pPr>
              <w:spacing w:after="0"/>
              <w:rPr>
                <w:sz w:val="22"/>
                <w:szCs w:val="22"/>
                <w:color w:val="auto"/>
              </w:rPr>
            </w:pPr>
          </w:p>
        </w:tc>
        <w:tc>
          <w:tcPr>
            <w:tcW w:w="240" w:type="dxa"/>
            <w:vAlign w:val="bottom"/>
            <w:tcBorders>
              <w:bottom w:val="single" w:sz="8" w:color="auto"/>
            </w:tcBorders>
            <w:shd w:val="clear" w:color="auto" w:fill="CCFFCC"/>
          </w:tcPr>
          <w:p>
            <w:pPr>
              <w:spacing w:after="0"/>
              <w:rPr>
                <w:sz w:val="22"/>
                <w:szCs w:val="22"/>
                <w:color w:val="auto"/>
              </w:rPr>
            </w:pPr>
          </w:p>
        </w:tc>
        <w:tc>
          <w:tcPr>
            <w:tcW w:w="9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8,304,288</w:t>
            </w:r>
          </w:p>
        </w:tc>
        <w:tc>
          <w:tcPr>
            <w:tcW w:w="100" w:type="dxa"/>
            <w:vAlign w:val="bottom"/>
            <w:tcBorders>
              <w:bottom w:val="single" w:sz="8" w:color="CCFFCC"/>
            </w:tcBorders>
            <w:shd w:val="clear" w:color="auto" w:fill="CCFFCC"/>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tcPr>
          <w:p>
            <w:pPr>
              <w:ind w:left="320"/>
              <w:spacing w:after="0"/>
              <w:rPr>
                <w:sz w:val="20"/>
                <w:szCs w:val="20"/>
                <w:color w:val="auto"/>
              </w:rPr>
            </w:pPr>
            <w:r>
              <w:rPr>
                <w:rFonts w:ascii="Arial" w:cs="Arial" w:eastAsia="Arial" w:hAnsi="Arial"/>
                <w:sz w:val="18"/>
                <w:szCs w:val="18"/>
                <w:color w:val="auto"/>
              </w:rPr>
              <w:t>Diluted</w:t>
            </w:r>
          </w:p>
        </w:tc>
        <w:tc>
          <w:tcPr>
            <w:tcW w:w="5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8,180,659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8,304,288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 of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340" w:type="dxa"/>
            <w:vAlign w:val="bottom"/>
          </w:tcPr>
          <w:p>
            <w:pPr>
              <w:jc w:val="center"/>
              <w:ind w:left="2950"/>
              <w:spacing w:after="0"/>
              <w:rPr>
                <w:sz w:val="20"/>
                <w:szCs w:val="20"/>
                <w:color w:val="auto"/>
              </w:rPr>
            </w:pPr>
            <w:r>
              <w:rPr>
                <w:rFonts w:ascii="Arial" w:cs="Arial" w:eastAsia="Arial" w:hAnsi="Arial"/>
                <w:sz w:val="18"/>
                <w:szCs w:val="18"/>
                <w:color w:val="auto"/>
                <w:w w:val="94"/>
              </w:rPr>
              <w:t>FREQUENCY ELECTRONICS, INC. and SUBSIDIARIES</w:t>
            </w: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8340" w:type="dxa"/>
            <w:vAlign w:val="bottom"/>
          </w:tcPr>
          <w:p>
            <w:pPr>
              <w:jc w:val="center"/>
              <w:ind w:left="2970"/>
              <w:spacing w:after="0"/>
              <w:rPr>
                <w:sz w:val="20"/>
                <w:szCs w:val="20"/>
                <w:color w:val="auto"/>
              </w:rPr>
            </w:pPr>
            <w:r>
              <w:rPr>
                <w:rFonts w:ascii="Arial" w:cs="Arial" w:eastAsia="Arial" w:hAnsi="Arial"/>
                <w:sz w:val="18"/>
                <w:szCs w:val="18"/>
                <w:color w:val="auto"/>
                <w:w w:val="89"/>
              </w:rPr>
              <w:t>Condensed Consolidated Statements of Cash Flows</w:t>
            </w: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8340" w:type="dxa"/>
            <w:vAlign w:val="bottom"/>
          </w:tcPr>
          <w:p>
            <w:pPr>
              <w:jc w:val="center"/>
              <w:ind w:left="2970"/>
              <w:spacing w:after="0"/>
              <w:rPr>
                <w:sz w:val="20"/>
                <w:szCs w:val="20"/>
                <w:color w:val="auto"/>
              </w:rPr>
            </w:pPr>
            <w:r>
              <w:rPr>
                <w:rFonts w:ascii="Arial" w:cs="Arial" w:eastAsia="Arial" w:hAnsi="Arial"/>
                <w:sz w:val="18"/>
                <w:szCs w:val="18"/>
                <w:color w:val="auto"/>
                <w:w w:val="91"/>
              </w:rPr>
              <w:t>Six Months Ended October 31,</w:t>
            </w: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40" w:type="dxa"/>
            <w:vAlign w:val="bottom"/>
          </w:tcPr>
          <w:p>
            <w:pPr>
              <w:jc w:val="center"/>
              <w:ind w:left="2950"/>
              <w:spacing w:after="0"/>
              <w:rPr>
                <w:sz w:val="20"/>
                <w:szCs w:val="20"/>
                <w:color w:val="auto"/>
              </w:rPr>
            </w:pPr>
            <w:r>
              <w:rPr>
                <w:rFonts w:ascii="Arial" w:cs="Arial" w:eastAsia="Arial" w:hAnsi="Arial"/>
                <w:sz w:val="18"/>
                <w:szCs w:val="18"/>
                <w:color w:val="auto"/>
                <w:w w:val="91"/>
              </w:rPr>
              <w:t>(Unaudited)</w:t>
            </w: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8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2009</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(In</w:t>
            </w:r>
          </w:p>
        </w:tc>
        <w:tc>
          <w:tcPr>
            <w:tcW w:w="1360" w:type="dxa"/>
            <w:vAlign w:val="bottom"/>
            <w:gridSpan w:val="4"/>
          </w:tcPr>
          <w:p>
            <w:pPr>
              <w:jc w:val="right"/>
              <w:ind w:right="650"/>
              <w:spacing w:after="0"/>
              <w:rPr>
                <w:sz w:val="20"/>
                <w:szCs w:val="20"/>
                <w:color w:val="auto"/>
              </w:rPr>
            </w:pPr>
            <w:r>
              <w:rPr>
                <w:rFonts w:ascii="Arial" w:cs="Arial" w:eastAsia="Arial" w:hAnsi="Arial"/>
                <w:sz w:val="17"/>
                <w:szCs w:val="17"/>
                <w:color w:val="auto"/>
                <w:w w:val="71"/>
              </w:rPr>
              <w:t>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8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Cash flows from operating activities:</w:t>
            </w:r>
          </w:p>
        </w:tc>
        <w:tc>
          <w:tcPr>
            <w:tcW w:w="4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160"/>
              <w:spacing w:after="0"/>
              <w:rPr>
                <w:sz w:val="20"/>
                <w:szCs w:val="20"/>
                <w:color w:val="auto"/>
              </w:rPr>
            </w:pPr>
            <w:r>
              <w:rPr>
                <w:rFonts w:ascii="Arial" w:cs="Arial" w:eastAsia="Arial" w:hAnsi="Arial"/>
                <w:sz w:val="18"/>
                <w:szCs w:val="18"/>
                <w:color w:val="auto"/>
              </w:rPr>
              <w:t>Net income (loss)</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5"/>
              <w:spacing w:after="0"/>
              <w:rPr>
                <w:sz w:val="20"/>
                <w:szCs w:val="20"/>
                <w:color w:val="auto"/>
              </w:rPr>
            </w:pPr>
            <w:r>
              <w:rPr>
                <w:rFonts w:ascii="Arial" w:cs="Arial" w:eastAsia="Arial" w:hAnsi="Arial"/>
                <w:sz w:val="18"/>
                <w:szCs w:val="18"/>
                <w:color w:val="auto"/>
              </w:rPr>
              <w:t>525</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Non-cash charges to earnings, net</w:t>
            </w:r>
          </w:p>
        </w:tc>
        <w:tc>
          <w:tcPr>
            <w:tcW w:w="4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2,541</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2,552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Pr>
          <w:p>
            <w:pPr>
              <w:ind w:left="160"/>
              <w:spacing w:after="0"/>
              <w:rPr>
                <w:sz w:val="20"/>
                <w:szCs w:val="20"/>
                <w:color w:val="auto"/>
              </w:rPr>
            </w:pPr>
            <w:r>
              <w:rPr>
                <w:rFonts w:ascii="Arial" w:cs="Arial" w:eastAsia="Arial" w:hAnsi="Arial"/>
                <w:sz w:val="18"/>
                <w:szCs w:val="18"/>
                <w:color w:val="auto"/>
              </w:rPr>
              <w:t>Net changes in operating assets and liabilities</w:t>
            </w: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(406)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Net cash provided by operating activities</w:t>
            </w:r>
          </w:p>
        </w:tc>
        <w:tc>
          <w:tcPr>
            <w:tcW w:w="460" w:type="dxa"/>
            <w:vAlign w:val="bottom"/>
            <w:tcBorders>
              <w:bottom w:val="single" w:sz="8" w:color="CCFFCC"/>
            </w:tcBorders>
            <w:shd w:val="clear" w:color="auto" w:fill="CCFFCC"/>
          </w:tcPr>
          <w:p>
            <w:pPr>
              <w:spacing w:after="0"/>
              <w:rPr>
                <w:sz w:val="19"/>
                <w:szCs w:val="19"/>
                <w:color w:val="auto"/>
              </w:rPr>
            </w:pPr>
          </w:p>
        </w:tc>
        <w:tc>
          <w:tcPr>
            <w:tcW w:w="240" w:type="dxa"/>
            <w:vAlign w:val="bottom"/>
            <w:tcBorders>
              <w:top w:val="single" w:sz="8" w:color="auto"/>
              <w:bottom w:val="single" w:sz="8" w:color="auto"/>
            </w:tcBorders>
            <w:shd w:val="clear" w:color="auto" w:fill="CCFFCC"/>
          </w:tcPr>
          <w:p>
            <w:pPr>
              <w:spacing w:after="0"/>
              <w:rPr>
                <w:sz w:val="19"/>
                <w:szCs w:val="19"/>
                <w:color w:val="auto"/>
              </w:rPr>
            </w:pPr>
          </w:p>
        </w:tc>
        <w:tc>
          <w:tcPr>
            <w:tcW w:w="9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2,660</w:t>
            </w:r>
          </w:p>
        </w:tc>
        <w:tc>
          <w:tcPr>
            <w:tcW w:w="140" w:type="dxa"/>
            <w:vAlign w:val="bottom"/>
            <w:tcBorders>
              <w:bottom w:val="single" w:sz="8" w:color="CCFFCC"/>
            </w:tcBorders>
            <w:shd w:val="clear" w:color="auto" w:fill="CCFFCC"/>
          </w:tcPr>
          <w:p>
            <w:pPr>
              <w:spacing w:after="0"/>
              <w:rPr>
                <w:sz w:val="19"/>
                <w:szCs w:val="19"/>
                <w:color w:val="auto"/>
              </w:rPr>
            </w:pPr>
          </w:p>
        </w:tc>
        <w:tc>
          <w:tcPr>
            <w:tcW w:w="80" w:type="dxa"/>
            <w:vAlign w:val="bottom"/>
            <w:tcBorders>
              <w:bottom w:val="single" w:sz="8" w:color="CCFFCC"/>
            </w:tcBorders>
            <w:shd w:val="clear" w:color="auto" w:fill="CCFFCC"/>
          </w:tcPr>
          <w:p>
            <w:pPr>
              <w:spacing w:after="0"/>
              <w:rPr>
                <w:sz w:val="19"/>
                <w:szCs w:val="19"/>
                <w:color w:val="auto"/>
              </w:rPr>
            </w:pPr>
          </w:p>
        </w:tc>
        <w:tc>
          <w:tcPr>
            <w:tcW w:w="240" w:type="dxa"/>
            <w:vAlign w:val="bottom"/>
            <w:tcBorders>
              <w:top w:val="single" w:sz="8" w:color="auto"/>
              <w:bottom w:val="single" w:sz="8" w:color="auto"/>
            </w:tcBorders>
            <w:shd w:val="clear" w:color="auto" w:fill="CCFFCC"/>
          </w:tcPr>
          <w:p>
            <w:pPr>
              <w:spacing w:after="0"/>
              <w:rPr>
                <w:sz w:val="19"/>
                <w:szCs w:val="19"/>
                <w:color w:val="auto"/>
              </w:rPr>
            </w:pPr>
          </w:p>
        </w:tc>
        <w:tc>
          <w:tcPr>
            <w:tcW w:w="9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Cash flows from investing activities:</w:t>
            </w:r>
          </w:p>
        </w:tc>
        <w:tc>
          <w:tcPr>
            <w:tcW w:w="4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160"/>
              <w:spacing w:after="0"/>
              <w:rPr>
                <w:sz w:val="20"/>
                <w:szCs w:val="20"/>
                <w:color w:val="auto"/>
              </w:rPr>
            </w:pPr>
            <w:r>
              <w:rPr>
                <w:rFonts w:ascii="Arial" w:cs="Arial" w:eastAsia="Arial" w:hAnsi="Arial"/>
                <w:sz w:val="18"/>
                <w:szCs w:val="18"/>
                <w:color w:val="auto"/>
              </w:rPr>
              <w:t>Proceeds from sale of marketable securities and investments</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Purchase of marketable securities</w:t>
            </w:r>
          </w:p>
        </w:tc>
        <w:tc>
          <w:tcPr>
            <w:tcW w:w="4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160"/>
              <w:spacing w:after="0"/>
              <w:rPr>
                <w:sz w:val="20"/>
                <w:szCs w:val="20"/>
                <w:color w:val="auto"/>
              </w:rPr>
            </w:pPr>
            <w:r>
              <w:rPr>
                <w:rFonts w:ascii="Arial" w:cs="Arial" w:eastAsia="Arial" w:hAnsi="Arial"/>
                <w:sz w:val="18"/>
                <w:szCs w:val="18"/>
                <w:color w:val="auto"/>
              </w:rPr>
              <w:t>Purchase of fixed assets</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(280)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Net cash used in investing activities</w:t>
            </w:r>
          </w:p>
        </w:tc>
        <w:tc>
          <w:tcPr>
            <w:tcW w:w="46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0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(280)</w:t>
            </w:r>
          </w:p>
        </w:tc>
        <w:tc>
          <w:tcPr>
            <w:tcW w:w="8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(5,851)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40" w:type="dxa"/>
            <w:vAlign w:val="bottom"/>
            <w:tcBorders>
              <w:top w:val="single" w:sz="8" w:color="CCFFCC"/>
            </w:tcBorders>
          </w:tcPr>
          <w:p>
            <w:pPr>
              <w:spacing w:after="0"/>
              <w:rPr>
                <w:sz w:val="18"/>
                <w:szCs w:val="18"/>
                <w:color w:val="auto"/>
              </w:rPr>
            </w:pPr>
          </w:p>
        </w:tc>
        <w:tc>
          <w:tcPr>
            <w:tcW w:w="46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Cash flows from financing activities:</w:t>
            </w:r>
          </w:p>
        </w:tc>
        <w:tc>
          <w:tcPr>
            <w:tcW w:w="4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160"/>
              <w:spacing w:after="0"/>
              <w:rPr>
                <w:sz w:val="20"/>
                <w:szCs w:val="20"/>
                <w:color w:val="auto"/>
              </w:rPr>
            </w:pPr>
            <w:r>
              <w:rPr>
                <w:rFonts w:ascii="Arial" w:cs="Arial" w:eastAsia="Arial" w:hAnsi="Arial"/>
                <w:sz w:val="18"/>
                <w:szCs w:val="18"/>
                <w:color w:val="auto"/>
              </w:rPr>
              <w:t>Proceeds from short-term credit obligations</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Payment of short-term credit and lease obligations</w:t>
            </w:r>
          </w:p>
        </w:tc>
        <w:tc>
          <w:tcPr>
            <w:tcW w:w="4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(1,243)</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160"/>
              <w:spacing w:after="0"/>
              <w:rPr>
                <w:sz w:val="20"/>
                <w:szCs w:val="20"/>
                <w:color w:val="auto"/>
              </w:rPr>
            </w:pPr>
            <w:r>
              <w:rPr>
                <w:rFonts w:ascii="Arial" w:cs="Arial" w:eastAsia="Arial" w:hAnsi="Arial"/>
                <w:sz w:val="18"/>
                <w:szCs w:val="18"/>
                <w:color w:val="auto"/>
              </w:rPr>
              <w:t>Purchase of stock for treasury</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(2,974)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Net cash used in financing activities</w:t>
            </w:r>
          </w:p>
        </w:tc>
        <w:tc>
          <w:tcPr>
            <w:tcW w:w="46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0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(1,243)</w:t>
            </w:r>
          </w:p>
        </w:tc>
        <w:tc>
          <w:tcPr>
            <w:tcW w:w="8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(2,580)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40" w:type="dxa"/>
            <w:vAlign w:val="bottom"/>
            <w:tcBorders>
              <w:top w:val="single" w:sz="8" w:color="CCFFCC"/>
            </w:tcBorders>
          </w:tcPr>
          <w:p>
            <w:pPr>
              <w:spacing w:after="0"/>
              <w:rPr>
                <w:sz w:val="18"/>
                <w:szCs w:val="18"/>
                <w:color w:val="auto"/>
              </w:rPr>
            </w:pPr>
          </w:p>
        </w:tc>
        <w:tc>
          <w:tcPr>
            <w:tcW w:w="46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Net increase (decrease) in cash and cash equivalents before effect of exchange rate changes</w:t>
            </w:r>
          </w:p>
        </w:tc>
        <w:tc>
          <w:tcPr>
            <w:tcW w:w="4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1,137</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(7,965)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46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0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(349)</w:t>
            </w:r>
          </w:p>
        </w:tc>
        <w:tc>
          <w:tcPr>
            <w:tcW w:w="8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Borders>
              <w:top w:val="single" w:sz="8" w:color="CCFFCC"/>
            </w:tcBorders>
          </w:tcPr>
          <w:p>
            <w:pPr>
              <w:spacing w:after="0"/>
              <w:rPr>
                <w:sz w:val="18"/>
                <w:szCs w:val="18"/>
                <w:color w:val="auto"/>
              </w:rPr>
            </w:pPr>
          </w:p>
        </w:tc>
        <w:tc>
          <w:tcPr>
            <w:tcW w:w="46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FFCC"/>
          </w:tcPr>
          <w:p>
            <w:pPr>
              <w:ind w:left="320"/>
              <w:spacing w:after="0"/>
              <w:rPr>
                <w:sz w:val="20"/>
                <w:szCs w:val="20"/>
                <w:color w:val="auto"/>
              </w:rPr>
            </w:pPr>
            <w:r>
              <w:rPr>
                <w:rFonts w:ascii="Arial" w:cs="Arial" w:eastAsia="Arial" w:hAnsi="Arial"/>
                <w:sz w:val="18"/>
                <w:szCs w:val="18"/>
                <w:color w:val="auto"/>
              </w:rPr>
              <w:t>Net increase (decrease) in cash and cash equivalents</w:t>
            </w:r>
          </w:p>
        </w:tc>
        <w:tc>
          <w:tcPr>
            <w:tcW w:w="4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55"/>
              <w:spacing w:after="0"/>
              <w:rPr>
                <w:sz w:val="20"/>
                <w:szCs w:val="20"/>
                <w:color w:val="auto"/>
              </w:rPr>
            </w:pPr>
            <w:r>
              <w:rPr>
                <w:rFonts w:ascii="Arial" w:cs="Arial" w:eastAsia="Arial" w:hAnsi="Arial"/>
                <w:sz w:val="18"/>
                <w:szCs w:val="18"/>
                <w:color w:val="auto"/>
              </w:rPr>
              <w:t>788</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shd w:val="clear" w:color="auto" w:fill="CCFFCC"/>
          </w:tcPr>
          <w:p>
            <w:pPr>
              <w:ind w:left="320"/>
              <w:spacing w:after="0"/>
              <w:rPr>
                <w:sz w:val="20"/>
                <w:szCs w:val="20"/>
                <w:color w:val="auto"/>
              </w:rPr>
            </w:pPr>
            <w:r>
              <w:rPr>
                <w:rFonts w:ascii="Arial" w:cs="Arial" w:eastAsia="Arial" w:hAnsi="Arial"/>
                <w:sz w:val="18"/>
                <w:szCs w:val="18"/>
                <w:color w:val="auto"/>
              </w:rPr>
              <w:t>Cash and cash equivalents at beginning of period</w:t>
            </w:r>
          </w:p>
        </w:tc>
        <w:tc>
          <w:tcPr>
            <w:tcW w:w="46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040" w:type="dxa"/>
            <w:vAlign w:val="bottom"/>
            <w:gridSpan w:val="2"/>
            <w:shd w:val="clear" w:color="auto" w:fill="CCFFCC"/>
          </w:tcPr>
          <w:p>
            <w:pPr>
              <w:jc w:val="right"/>
              <w:ind w:right="55"/>
              <w:spacing w:after="0"/>
              <w:rPr>
                <w:sz w:val="20"/>
                <w:szCs w:val="20"/>
                <w:color w:val="auto"/>
              </w:rPr>
            </w:pPr>
            <w:r>
              <w:rPr>
                <w:rFonts w:ascii="Arial" w:cs="Arial" w:eastAsia="Arial" w:hAnsi="Arial"/>
                <w:sz w:val="18"/>
                <w:szCs w:val="18"/>
                <w:color w:val="auto"/>
              </w:rPr>
              <w:t>4,911</w:t>
            </w:r>
          </w:p>
        </w:tc>
        <w:tc>
          <w:tcPr>
            <w:tcW w:w="8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Borders>
              <w:top w:val="single" w:sz="8" w:color="CCFFCC"/>
            </w:tcBorders>
          </w:tcPr>
          <w:p>
            <w:pPr>
              <w:spacing w:after="0"/>
              <w:rPr>
                <w:sz w:val="18"/>
                <w:szCs w:val="18"/>
                <w:color w:val="auto"/>
              </w:rPr>
            </w:pPr>
          </w:p>
        </w:tc>
        <w:tc>
          <w:tcPr>
            <w:tcW w:w="46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340" w:type="dxa"/>
            <w:vAlign w:val="bottom"/>
            <w:shd w:val="clear" w:color="auto" w:fill="CCFFCC"/>
          </w:tcPr>
          <w:p>
            <w:pPr>
              <w:ind w:left="320"/>
              <w:spacing w:after="0"/>
              <w:rPr>
                <w:sz w:val="20"/>
                <w:szCs w:val="20"/>
                <w:color w:val="auto"/>
              </w:rPr>
            </w:pPr>
            <w:r>
              <w:rPr>
                <w:rFonts w:ascii="Arial" w:cs="Arial" w:eastAsia="Arial" w:hAnsi="Arial"/>
                <w:sz w:val="18"/>
                <w:szCs w:val="18"/>
                <w:color w:val="auto"/>
              </w:rPr>
              <w:t>Cash and cash equivalents at end of period</w:t>
            </w:r>
          </w:p>
        </w:tc>
        <w:tc>
          <w:tcPr>
            <w:tcW w:w="7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5,699</w:t>
            </w:r>
          </w:p>
        </w:tc>
        <w:tc>
          <w:tcPr>
            <w:tcW w:w="140" w:type="dxa"/>
            <w:vAlign w:val="bottom"/>
            <w:shd w:val="clear" w:color="auto" w:fill="CCFFCC"/>
          </w:tcPr>
          <w:p>
            <w:pPr>
              <w:spacing w:after="0"/>
              <w:rPr>
                <w:sz w:val="22"/>
                <w:szCs w:val="22"/>
                <w:color w:val="auto"/>
              </w:rPr>
            </w:pPr>
          </w:p>
        </w:tc>
        <w:tc>
          <w:tcPr>
            <w:tcW w:w="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3,886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40" w:type="dxa"/>
            <w:vAlign w:val="bottom"/>
            <w:tcBorders>
              <w:top w:val="single" w:sz="8" w:color="CCFFCC"/>
            </w:tcBorders>
          </w:tcPr>
          <w:p>
            <w:pPr>
              <w:spacing w:after="0"/>
              <w:rPr>
                <w:sz w:val="18"/>
                <w:szCs w:val="18"/>
                <w:color w:val="auto"/>
              </w:rPr>
            </w:pPr>
          </w:p>
        </w:tc>
        <w:tc>
          <w:tcPr>
            <w:tcW w:w="46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Supplemental disclosures of cash flow information:</w:t>
            </w:r>
          </w:p>
        </w:tc>
        <w:tc>
          <w:tcPr>
            <w:tcW w:w="4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320"/>
              <w:spacing w:after="0"/>
              <w:rPr>
                <w:sz w:val="20"/>
                <w:szCs w:val="20"/>
                <w:color w:val="auto"/>
              </w:rPr>
            </w:pPr>
            <w:r>
              <w:rPr>
                <w:rFonts w:ascii="Arial" w:cs="Arial" w:eastAsia="Arial" w:hAnsi="Arial"/>
                <w:sz w:val="18"/>
                <w:szCs w:val="18"/>
                <w:color w:val="auto"/>
              </w:rPr>
              <w:t>Cash paid during the period for:</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340" w:type="dxa"/>
            <w:vAlign w:val="bottom"/>
            <w:shd w:val="clear" w:color="auto" w:fill="CCFFCC"/>
          </w:tcPr>
          <w:p>
            <w:pPr>
              <w:ind w:left="480"/>
              <w:spacing w:after="0"/>
              <w:rPr>
                <w:sz w:val="20"/>
                <w:szCs w:val="20"/>
                <w:color w:val="auto"/>
              </w:rPr>
            </w:pPr>
            <w:r>
              <w:rPr>
                <w:rFonts w:ascii="Arial" w:cs="Arial" w:eastAsia="Arial" w:hAnsi="Arial"/>
                <w:sz w:val="18"/>
                <w:szCs w:val="18"/>
                <w:color w:val="auto"/>
              </w:rPr>
              <w:t>Interest</w:t>
            </w:r>
          </w:p>
        </w:tc>
        <w:tc>
          <w:tcPr>
            <w:tcW w:w="7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40</w:t>
            </w:r>
          </w:p>
        </w:tc>
        <w:tc>
          <w:tcPr>
            <w:tcW w:w="140" w:type="dxa"/>
            <w:vAlign w:val="bottom"/>
            <w:shd w:val="clear" w:color="auto" w:fill="CCFFCC"/>
          </w:tcPr>
          <w:p>
            <w:pPr>
              <w:spacing w:after="0"/>
              <w:rPr>
                <w:sz w:val="22"/>
                <w:szCs w:val="22"/>
                <w:color w:val="auto"/>
              </w:rPr>
            </w:pPr>
          </w:p>
        </w:tc>
        <w:tc>
          <w:tcPr>
            <w:tcW w:w="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tcBorders>
              <w:top w:val="single" w:sz="8" w:color="CCFFCC"/>
            </w:tcBorders>
          </w:tcPr>
          <w:p>
            <w:pPr>
              <w:ind w:left="480"/>
              <w:spacing w:after="0"/>
              <w:rPr>
                <w:sz w:val="20"/>
                <w:szCs w:val="20"/>
                <w:color w:val="auto"/>
              </w:rPr>
            </w:pPr>
            <w:r>
              <w:rPr>
                <w:rFonts w:ascii="Arial" w:cs="Arial" w:eastAsia="Arial" w:hAnsi="Arial"/>
                <w:sz w:val="18"/>
                <w:szCs w:val="18"/>
                <w:color w:val="auto"/>
              </w:rPr>
              <w:t>Income Taxes</w:t>
            </w:r>
          </w:p>
        </w:tc>
        <w:tc>
          <w:tcPr>
            <w:tcW w:w="460" w:type="dxa"/>
            <w:vAlign w:val="bottom"/>
            <w:tcBorders>
              <w:top w:val="single" w:sz="8" w:color="CCFFC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 of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NOTE A - CONSOLIDATED FINANCIAL STATEMENTS</w:t>
      </w:r>
    </w:p>
    <w:p>
      <w:pPr>
        <w:spacing w:after="0" w:line="25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the opinion of management of Frequency Electronics, Inc. (“the Company”), the accompanying unaudited condensed consolidated interim financial statements reflect all adjustments (which include only normal recurring adjustments) necessary to present fairly, in all material respects, the consolidated financial position of the Company as of October 31, 2009 and the results of its operations and cash flows for the six and three months ended October 31, 2009 and 2008. The April 30, 2009 condensed consolidated balance sheet was derived from audited financial statements. Certain information and footnote disclosures normally included in financial statements prepared in accordance with generally accepted accounting principles have been condensed or omitted. It is suggested that these condensed consolidated financial statements be read in conjunction with the financial statements and notes thereto included in the Company's April 30, 2009 Annual Report to Stockholders on Form 10-K. The results of operations for such interim periods are not necessarily indicative of the operating results for the full fiscal year.</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00" w:type="dxa"/>
            <w:vAlign w:val="bottom"/>
            <w:gridSpan w:val="2"/>
          </w:tcPr>
          <w:p>
            <w:pPr>
              <w:spacing w:after="0"/>
              <w:rPr>
                <w:sz w:val="20"/>
                <w:szCs w:val="20"/>
                <w:color w:val="auto"/>
              </w:rPr>
            </w:pPr>
            <w:r>
              <w:rPr>
                <w:rFonts w:ascii="Arial" w:cs="Arial" w:eastAsia="Arial" w:hAnsi="Arial"/>
                <w:sz w:val="18"/>
                <w:szCs w:val="18"/>
                <w:color w:val="auto"/>
              </w:rPr>
              <w:t>NOTE B - EARNINGS PER SHARE</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9280" w:type="dxa"/>
            <w:vAlign w:val="bottom"/>
            <w:gridSpan w:val="9"/>
          </w:tcPr>
          <w:p>
            <w:pPr>
              <w:ind w:left="660"/>
              <w:spacing w:after="0"/>
              <w:rPr>
                <w:sz w:val="20"/>
                <w:szCs w:val="20"/>
                <w:color w:val="auto"/>
              </w:rPr>
            </w:pPr>
            <w:r>
              <w:rPr>
                <w:rFonts w:ascii="Arial" w:cs="Arial" w:eastAsia="Arial" w:hAnsi="Arial"/>
                <w:sz w:val="18"/>
                <w:szCs w:val="18"/>
                <w:color w:val="auto"/>
                <w:w w:val="94"/>
              </w:rPr>
              <w:t>Reconciliation of the weighted average shares outstanding for basic and diluted Earnings Per Share are as follows:</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Borders>
              <w:bottom w:val="single" w:sz="8" w:color="auto"/>
            </w:tcBorders>
            <w:gridSpan w:val="3"/>
          </w:tcPr>
          <w:p>
            <w:pPr>
              <w:jc w:val="right"/>
              <w:ind w:right="570"/>
              <w:spacing w:after="0"/>
              <w:rPr>
                <w:sz w:val="20"/>
                <w:szCs w:val="20"/>
                <w:color w:val="auto"/>
              </w:rPr>
            </w:pPr>
            <w:r>
              <w:rPr>
                <w:rFonts w:ascii="Arial" w:cs="Arial" w:eastAsia="Arial" w:hAnsi="Arial"/>
                <w:sz w:val="18"/>
                <w:szCs w:val="18"/>
                <w:color w:val="auto"/>
              </w:rPr>
              <w:t>Six months</w:t>
            </w:r>
          </w:p>
        </w:tc>
        <w:tc>
          <w:tcPr>
            <w:tcW w:w="200" w:type="dxa"/>
            <w:vAlign w:val="bottom"/>
          </w:tcPr>
          <w:p>
            <w:pPr>
              <w:spacing w:after="0"/>
              <w:rPr>
                <w:sz w:val="20"/>
                <w:szCs w:val="20"/>
                <w:color w:val="auto"/>
              </w:rPr>
            </w:pPr>
          </w:p>
        </w:tc>
        <w:tc>
          <w:tcPr>
            <w:tcW w:w="2100" w:type="dxa"/>
            <w:vAlign w:val="bottom"/>
            <w:tcBorders>
              <w:bottom w:val="single" w:sz="8" w:color="auto"/>
            </w:tcBorders>
            <w:gridSpan w:val="3"/>
          </w:tcPr>
          <w:p>
            <w:pPr>
              <w:jc w:val="right"/>
              <w:ind w:right="470"/>
              <w:spacing w:after="0"/>
              <w:rPr>
                <w:sz w:val="20"/>
                <w:szCs w:val="20"/>
                <w:color w:val="auto"/>
              </w:rPr>
            </w:pPr>
            <w:r>
              <w:rPr>
                <w:rFonts w:ascii="Arial" w:cs="Arial" w:eastAsia="Arial" w:hAnsi="Arial"/>
                <w:sz w:val="18"/>
                <w:szCs w:val="18"/>
                <w:color w:val="auto"/>
              </w:rPr>
              <w:t>Three months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60" w:type="dxa"/>
            <w:vAlign w:val="bottom"/>
          </w:tcPr>
          <w:p>
            <w:pPr>
              <w:spacing w:after="0"/>
              <w:rPr>
                <w:sz w:val="17"/>
                <w:szCs w:val="17"/>
                <w:color w:val="auto"/>
              </w:rPr>
            </w:pPr>
          </w:p>
        </w:tc>
        <w:tc>
          <w:tcPr>
            <w:tcW w:w="5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80" w:type="dxa"/>
            <w:vAlign w:val="bottom"/>
            <w:gridSpan w:val="4"/>
          </w:tcPr>
          <w:p>
            <w:pPr>
              <w:ind w:left="60"/>
              <w:spacing w:after="0" w:line="201" w:lineRule="exact"/>
              <w:rPr>
                <w:sz w:val="20"/>
                <w:szCs w:val="20"/>
                <w:color w:val="auto"/>
              </w:rPr>
            </w:pPr>
            <w:r>
              <w:rPr>
                <w:rFonts w:ascii="Arial" w:cs="Arial" w:eastAsia="Arial" w:hAnsi="Arial"/>
                <w:sz w:val="18"/>
                <w:szCs w:val="18"/>
                <w:color w:val="auto"/>
              </w:rPr>
              <w:t>Periods ended October 31,</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1080" w:type="dxa"/>
            <w:vAlign w:val="bottom"/>
            <w:gridSpan w:val="2"/>
          </w:tcPr>
          <w:p>
            <w:pPr>
              <w:jc w:val="right"/>
              <w:ind w:right="210"/>
              <w:spacing w:after="0"/>
              <w:rPr>
                <w:sz w:val="20"/>
                <w:szCs w:val="20"/>
                <w:color w:val="auto"/>
              </w:rPr>
            </w:pPr>
            <w:r>
              <w:rPr>
                <w:rFonts w:ascii="Arial" w:cs="Arial" w:eastAsia="Arial" w:hAnsi="Arial"/>
                <w:sz w:val="18"/>
                <w:szCs w:val="18"/>
                <w:color w:val="auto"/>
              </w:rPr>
              <w:t>2009</w:t>
            </w:r>
          </w:p>
        </w:tc>
        <w:tc>
          <w:tcPr>
            <w:tcW w:w="220" w:type="dxa"/>
            <w:vAlign w:val="bottom"/>
          </w:tcPr>
          <w:p>
            <w:pPr>
              <w:spacing w:after="0"/>
              <w:rPr>
                <w:sz w:val="20"/>
                <w:szCs w:val="20"/>
                <w:color w:val="auto"/>
              </w:rPr>
            </w:pPr>
          </w:p>
        </w:tc>
        <w:tc>
          <w:tcPr>
            <w:tcW w:w="940" w:type="dxa"/>
            <w:vAlign w:val="bottom"/>
          </w:tcPr>
          <w:p>
            <w:pPr>
              <w:jc w:val="right"/>
              <w:ind w:right="210"/>
              <w:spacing w:after="0"/>
              <w:rPr>
                <w:sz w:val="20"/>
                <w:szCs w:val="20"/>
                <w:color w:val="auto"/>
              </w:rPr>
            </w:pPr>
            <w:r>
              <w:rPr>
                <w:rFonts w:ascii="Arial" w:cs="Arial" w:eastAsia="Arial" w:hAnsi="Arial"/>
                <w:sz w:val="18"/>
                <w:szCs w:val="18"/>
                <w:color w:val="auto"/>
              </w:rPr>
              <w:t>2008</w:t>
            </w:r>
          </w:p>
        </w:tc>
        <w:tc>
          <w:tcPr>
            <w:tcW w:w="200" w:type="dxa"/>
            <w:vAlign w:val="bottom"/>
          </w:tcPr>
          <w:p>
            <w:pPr>
              <w:spacing w:after="0"/>
              <w:rPr>
                <w:sz w:val="20"/>
                <w:szCs w:val="20"/>
                <w:color w:val="auto"/>
              </w:rPr>
            </w:pPr>
          </w:p>
        </w:tc>
        <w:tc>
          <w:tcPr>
            <w:tcW w:w="960" w:type="dxa"/>
            <w:vAlign w:val="bottom"/>
          </w:tcPr>
          <w:p>
            <w:pPr>
              <w:jc w:val="right"/>
              <w:ind w:right="210"/>
              <w:spacing w:after="0"/>
              <w:rPr>
                <w:sz w:val="20"/>
                <w:szCs w:val="20"/>
                <w:color w:val="auto"/>
              </w:rPr>
            </w:pPr>
            <w:r>
              <w:rPr>
                <w:rFonts w:ascii="Arial" w:cs="Arial" w:eastAsia="Arial" w:hAnsi="Arial"/>
                <w:sz w:val="18"/>
                <w:szCs w:val="18"/>
                <w:color w:val="auto"/>
              </w:rPr>
              <w:t>2009</w:t>
            </w:r>
          </w:p>
        </w:tc>
        <w:tc>
          <w:tcPr>
            <w:tcW w:w="180" w:type="dxa"/>
            <w:vAlign w:val="bottom"/>
          </w:tcPr>
          <w:p>
            <w:pPr>
              <w:spacing w:after="0"/>
              <w:rPr>
                <w:sz w:val="20"/>
                <w:szCs w:val="20"/>
                <w:color w:val="auto"/>
              </w:rPr>
            </w:pPr>
          </w:p>
        </w:tc>
        <w:tc>
          <w:tcPr>
            <w:tcW w:w="960" w:type="dxa"/>
            <w:vAlign w:val="bottom"/>
          </w:tcPr>
          <w:p>
            <w:pPr>
              <w:jc w:val="right"/>
              <w:ind w:right="210"/>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040" w:type="dxa"/>
            <w:vAlign w:val="bottom"/>
            <w:shd w:val="clear" w:color="auto" w:fill="CCFFCC"/>
          </w:tcPr>
          <w:p>
            <w:pPr>
              <w:spacing w:after="0"/>
              <w:rPr>
                <w:sz w:val="20"/>
                <w:szCs w:val="20"/>
                <w:color w:val="auto"/>
              </w:rPr>
            </w:pPr>
            <w:r>
              <w:rPr>
                <w:rFonts w:ascii="Arial" w:cs="Arial" w:eastAsia="Arial" w:hAnsi="Arial"/>
                <w:sz w:val="18"/>
                <w:szCs w:val="18"/>
                <w:color w:val="auto"/>
              </w:rPr>
              <w:t>Basic EPS Shares outstanding</w:t>
            </w:r>
          </w:p>
        </w:tc>
        <w:tc>
          <w:tcPr>
            <w:tcW w:w="100" w:type="dxa"/>
            <w:vAlign w:val="bottom"/>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4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6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6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0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(weighted average)</w:t>
            </w: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8,172,643</w:t>
            </w:r>
          </w:p>
        </w:tc>
        <w:tc>
          <w:tcPr>
            <w:tcW w:w="22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8,523,187</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8,180,659</w:t>
            </w:r>
          </w:p>
        </w:tc>
        <w:tc>
          <w:tcPr>
            <w:tcW w:w="18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8,304,288</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1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12,121</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60" w:type="dxa"/>
            <w:vAlign w:val="bottom"/>
            <w:vMerge w:val="restart"/>
          </w:tcPr>
          <w:p>
            <w:pPr>
              <w:spacing w:after="0"/>
              <w:rPr>
                <w:sz w:val="2"/>
                <w:szCs w:val="2"/>
                <w:color w:val="auto"/>
              </w:rPr>
            </w:pPr>
          </w:p>
        </w:tc>
        <w:tc>
          <w:tcPr>
            <w:tcW w:w="5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60" w:type="dxa"/>
            <w:vAlign w:val="bottom"/>
            <w:vMerge w:val="continue"/>
          </w:tcPr>
          <w:p>
            <w:pPr>
              <w:spacing w:after="0"/>
              <w:rPr>
                <w:sz w:val="20"/>
                <w:szCs w:val="20"/>
                <w:color w:val="auto"/>
              </w:rPr>
            </w:pPr>
          </w:p>
        </w:tc>
        <w:tc>
          <w:tcPr>
            <w:tcW w:w="5040" w:type="dxa"/>
            <w:vAlign w:val="bottom"/>
            <w:shd w:val="clear" w:color="auto" w:fill="CCFFCC"/>
          </w:tcPr>
          <w:p>
            <w:pPr>
              <w:spacing w:after="0"/>
              <w:rPr>
                <w:sz w:val="20"/>
                <w:szCs w:val="20"/>
                <w:color w:val="auto"/>
              </w:rPr>
            </w:pPr>
            <w:r>
              <w:rPr>
                <w:rFonts w:ascii="Arial" w:cs="Arial" w:eastAsia="Arial" w:hAnsi="Arial"/>
                <w:sz w:val="18"/>
                <w:szCs w:val="18"/>
                <w:color w:val="auto"/>
              </w:rPr>
              <w:t>Diluted EPS Shares outstanding</w:t>
            </w:r>
          </w:p>
        </w:tc>
        <w:tc>
          <w:tcPr>
            <w:tcW w:w="100" w:type="dxa"/>
            <w:vAlign w:val="bottom"/>
            <w:shd w:val="clear" w:color="auto" w:fill="CCFFCC"/>
          </w:tcPr>
          <w:p>
            <w:pPr>
              <w:spacing w:after="0"/>
              <w:rPr>
                <w:sz w:val="20"/>
                <w:szCs w:val="20"/>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8,184,764</w:t>
            </w:r>
          </w:p>
        </w:tc>
        <w:tc>
          <w:tcPr>
            <w:tcW w:w="220" w:type="dxa"/>
            <w:vAlign w:val="bottom"/>
            <w:shd w:val="clear" w:color="auto" w:fill="CCFFCC"/>
          </w:tcPr>
          <w:p>
            <w:pPr>
              <w:spacing w:after="0"/>
              <w:rPr>
                <w:sz w:val="20"/>
                <w:szCs w:val="20"/>
                <w:color w:val="auto"/>
              </w:rPr>
            </w:pPr>
          </w:p>
        </w:tc>
        <w:tc>
          <w:tcPr>
            <w:tcW w:w="11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8,523,187</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8,180,659</w:t>
            </w:r>
          </w:p>
        </w:tc>
        <w:tc>
          <w:tcPr>
            <w:tcW w:w="180" w:type="dxa"/>
            <w:vAlign w:val="bottom"/>
            <w:shd w:val="clear" w:color="auto" w:fill="CCFFCC"/>
          </w:tcPr>
          <w:p>
            <w:pPr>
              <w:spacing w:after="0"/>
              <w:rPr>
                <w:sz w:val="20"/>
                <w:szCs w:val="20"/>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8,304,288</w:t>
            </w:r>
          </w:p>
        </w:tc>
        <w:tc>
          <w:tcPr>
            <w:tcW w:w="10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50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980" w:hanging="271"/>
        <w:spacing w:after="0" w:line="277" w:lineRule="auto"/>
        <w:rPr>
          <w:sz w:val="20"/>
          <w:szCs w:val="20"/>
          <w:color w:val="auto"/>
        </w:rPr>
      </w:pPr>
      <w:r>
        <w:rPr>
          <w:rFonts w:ascii="Arial" w:cs="Arial" w:eastAsia="Arial" w:hAnsi="Arial"/>
          <w:sz w:val="18"/>
          <w:szCs w:val="18"/>
          <w:color w:val="auto"/>
        </w:rPr>
        <w:t>***Dilutive securities are excluded for the three month period ended October 31, 2009 and for the six and three-month periods ended October 31, 2008 since the inclusion of such shares would be antidilutive due to the net loss for the periods then ended.</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computation of diluted earnings per share excludes those options and stock appreciation rights with an exercise price in excess of the average market price of the Company’s common shares during the periods presented. The inclusion of such options in the computation of earnings per share would have been antidilutive. The number of excluded options were:</w:t>
      </w:r>
    </w:p>
    <w:p>
      <w:pPr>
        <w:spacing w:after="0" w:line="208" w:lineRule="exact"/>
        <w:rPr>
          <w:sz w:val="20"/>
          <w:szCs w:val="20"/>
          <w:color w:val="auto"/>
        </w:rPr>
      </w:pPr>
    </w:p>
    <w:tbl>
      <w:tblPr>
        <w:tblLayout w:type="fixed"/>
        <w:tblInd w:w="66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2140" w:type="dxa"/>
            <w:vAlign w:val="bottom"/>
            <w:tcBorders>
              <w:bottom w:val="single" w:sz="8" w:color="auto"/>
            </w:tcBorders>
            <w:gridSpan w:val="3"/>
          </w:tcPr>
          <w:p>
            <w:pPr>
              <w:jc w:val="right"/>
              <w:ind w:right="570"/>
              <w:spacing w:after="0"/>
              <w:rPr>
                <w:sz w:val="20"/>
                <w:szCs w:val="20"/>
                <w:color w:val="auto"/>
              </w:rPr>
            </w:pPr>
            <w:r>
              <w:rPr>
                <w:rFonts w:ascii="Arial" w:cs="Arial" w:eastAsia="Arial" w:hAnsi="Arial"/>
                <w:sz w:val="18"/>
                <w:szCs w:val="18"/>
                <w:color w:val="auto"/>
              </w:rPr>
              <w:t>Six months</w:t>
            </w:r>
          </w:p>
        </w:tc>
        <w:tc>
          <w:tcPr>
            <w:tcW w:w="200" w:type="dxa"/>
            <w:vAlign w:val="bottom"/>
          </w:tcPr>
          <w:p>
            <w:pPr>
              <w:spacing w:after="0"/>
              <w:rPr>
                <w:sz w:val="20"/>
                <w:szCs w:val="20"/>
                <w:color w:val="auto"/>
              </w:rPr>
            </w:pPr>
          </w:p>
        </w:tc>
        <w:tc>
          <w:tcPr>
            <w:tcW w:w="2100" w:type="dxa"/>
            <w:vAlign w:val="bottom"/>
            <w:tcBorders>
              <w:bottom w:val="single" w:sz="8" w:color="auto"/>
            </w:tcBorders>
            <w:gridSpan w:val="3"/>
          </w:tcPr>
          <w:p>
            <w:pPr>
              <w:jc w:val="right"/>
              <w:ind w:right="470"/>
              <w:spacing w:after="0"/>
              <w:rPr>
                <w:sz w:val="20"/>
                <w:szCs w:val="20"/>
                <w:color w:val="auto"/>
              </w:rPr>
            </w:pPr>
            <w:r>
              <w:rPr>
                <w:rFonts w:ascii="Arial" w:cs="Arial" w:eastAsia="Arial" w:hAnsi="Arial"/>
                <w:sz w:val="18"/>
                <w:szCs w:val="18"/>
                <w:color w:val="auto"/>
              </w:rPr>
              <w:t>Three months</w:t>
            </w:r>
          </w:p>
        </w:tc>
        <w:tc>
          <w:tcPr>
            <w:tcW w:w="10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5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80" w:type="dxa"/>
            <w:vAlign w:val="bottom"/>
            <w:gridSpan w:val="4"/>
          </w:tcPr>
          <w:p>
            <w:pPr>
              <w:ind w:left="60"/>
              <w:spacing w:after="0" w:line="201" w:lineRule="exact"/>
              <w:rPr>
                <w:sz w:val="20"/>
                <w:szCs w:val="20"/>
                <w:color w:val="auto"/>
              </w:rPr>
            </w:pPr>
            <w:r>
              <w:rPr>
                <w:rFonts w:ascii="Arial" w:cs="Arial" w:eastAsia="Arial" w:hAnsi="Arial"/>
                <w:sz w:val="18"/>
                <w:szCs w:val="18"/>
                <w:color w:val="auto"/>
              </w:rPr>
              <w:t>Periods ended October 31,</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9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2009</w:t>
            </w:r>
          </w:p>
        </w:tc>
        <w:tc>
          <w:tcPr>
            <w:tcW w:w="220" w:type="dxa"/>
            <w:vAlign w:val="bottom"/>
          </w:tcPr>
          <w:p>
            <w:pPr>
              <w:spacing w:after="0"/>
              <w:rPr>
                <w:sz w:val="20"/>
                <w:szCs w:val="20"/>
                <w:color w:val="auto"/>
              </w:rPr>
            </w:pPr>
          </w:p>
        </w:tc>
        <w:tc>
          <w:tcPr>
            <w:tcW w:w="9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2008</w:t>
            </w:r>
          </w:p>
        </w:tc>
        <w:tc>
          <w:tcPr>
            <w:tcW w:w="200" w:type="dxa"/>
            <w:vAlign w:val="bottom"/>
          </w:tcPr>
          <w:p>
            <w:pPr>
              <w:spacing w:after="0"/>
              <w:rPr>
                <w:sz w:val="20"/>
                <w:szCs w:val="20"/>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2009</w:t>
            </w:r>
          </w:p>
        </w:tc>
        <w:tc>
          <w:tcPr>
            <w:tcW w:w="180" w:type="dxa"/>
            <w:vAlign w:val="bottom"/>
          </w:tcPr>
          <w:p>
            <w:pPr>
              <w:spacing w:after="0"/>
              <w:rPr>
                <w:sz w:val="20"/>
                <w:szCs w:val="20"/>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FFCC"/>
          </w:tcPr>
          <w:p>
            <w:pPr>
              <w:spacing w:after="0"/>
              <w:rPr>
                <w:sz w:val="20"/>
                <w:szCs w:val="20"/>
                <w:color w:val="auto"/>
              </w:rPr>
            </w:pPr>
            <w:r>
              <w:rPr>
                <w:rFonts w:ascii="Arial" w:cs="Arial" w:eastAsia="Arial" w:hAnsi="Arial"/>
                <w:sz w:val="18"/>
                <w:szCs w:val="18"/>
                <w:color w:val="auto"/>
              </w:rPr>
              <w:t>Outstanding Options excluded</w:t>
            </w:r>
          </w:p>
        </w:tc>
        <w:tc>
          <w:tcPr>
            <w:tcW w:w="12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869,213</w:t>
            </w:r>
          </w:p>
        </w:tc>
        <w:tc>
          <w:tcPr>
            <w:tcW w:w="11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1,155,094</w:t>
            </w:r>
          </w:p>
        </w:tc>
        <w:tc>
          <w:tcPr>
            <w:tcW w:w="11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869,213</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1,155,094</w:t>
            </w:r>
          </w:p>
        </w:tc>
        <w:tc>
          <w:tcPr>
            <w:tcW w:w="100" w:type="dxa"/>
            <w:vAlign w:val="bottom"/>
            <w:shd w:val="clear" w:color="auto" w:fill="CCFFCC"/>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5120" w:type="dxa"/>
            <w:vAlign w:val="bottom"/>
            <w:shd w:val="clear" w:color="auto" w:fill="CCFFCC"/>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 C – COSTS AND ESTIMATED EARNINGS IN EXCESS OF BILLINGS</w:t>
      </w:r>
    </w:p>
    <w:p>
      <w:pPr>
        <w:spacing w:after="0" w:line="25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At October 31, 2009 and April 30, 2009 costs and estimated earnings in excess of billings on uncompleted contracts accounted for on the percentage of completion basis were approximately $2,585,000 and $2,193,000, respectively. Such amounts represent revenue recognized on long-term contracts that had not been billed at the balance sheet dates. Such amounts are billed pursuant to contract terms. During the six and three months ended October 31, 2009, the revenue recognized under percentage of completion contracts was $9.7 million and $5.1 million, respectively. For the same periods of fiscal year 2009, the Company recognized percentage of completion revenue of $9.6 million and $4.8 million, respectively.</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 of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NOTE D - INVENTORIES</w:t>
      </w: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Inventories, which are reported at the lower of cost or market at October 31, 2009 and April 30, 2009, respectively, consist of the following:</w:t>
      </w:r>
    </w:p>
    <w:p>
      <w:pPr>
        <w:spacing w:after="0" w:line="252"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08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auto"/>
                <w:w w:val="87"/>
              </w:rPr>
              <w:t>October 31, 2009</w:t>
            </w:r>
          </w:p>
        </w:tc>
        <w:tc>
          <w:tcPr>
            <w:tcW w:w="180" w:type="dxa"/>
            <w:vAlign w:val="bottom"/>
          </w:tcPr>
          <w:p>
            <w:pPr>
              <w:spacing w:after="0"/>
              <w:rPr>
                <w:sz w:val="20"/>
                <w:szCs w:val="20"/>
                <w:color w:val="auto"/>
              </w:rPr>
            </w:pPr>
          </w:p>
        </w:tc>
        <w:tc>
          <w:tcPr>
            <w:tcW w:w="1140" w:type="dxa"/>
            <w:vAlign w:val="bottom"/>
            <w:gridSpan w:val="3"/>
          </w:tcPr>
          <w:p>
            <w:pPr>
              <w:spacing w:after="0"/>
              <w:rPr>
                <w:sz w:val="20"/>
                <w:szCs w:val="20"/>
                <w:color w:val="auto"/>
              </w:rPr>
            </w:pPr>
            <w:r>
              <w:rPr>
                <w:rFonts w:ascii="Arial" w:cs="Arial" w:eastAsia="Arial" w:hAnsi="Arial"/>
                <w:sz w:val="18"/>
                <w:szCs w:val="18"/>
                <w:color w:val="auto"/>
              </w:rPr>
              <w:t>April 30, 2009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60" w:type="dxa"/>
            <w:vAlign w:val="bottom"/>
            <w:tcBorders>
              <w:right w:val="single" w:sz="8" w:color="auto"/>
            </w:tcBorders>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70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80" w:type="dxa"/>
            <w:vAlign w:val="bottom"/>
            <w:gridSpan w:val="3"/>
          </w:tcPr>
          <w:p>
            <w:pPr>
              <w:ind w:left="320"/>
              <w:spacing w:after="0"/>
              <w:rPr>
                <w:sz w:val="20"/>
                <w:szCs w:val="20"/>
                <w:color w:val="auto"/>
              </w:rPr>
            </w:pPr>
            <w:r>
              <w:rPr>
                <w:rFonts w:ascii="Arial" w:cs="Arial" w:eastAsia="Arial" w:hAnsi="Arial"/>
                <w:sz w:val="18"/>
                <w:szCs w:val="18"/>
                <w:color w:val="auto"/>
                <w:w w:val="99"/>
              </w:rPr>
              <w:t>(In thousands)</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70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shd w:val="clear" w:color="auto" w:fill="CCFFCC"/>
          </w:tcPr>
          <w:p>
            <w:pPr>
              <w:spacing w:after="0"/>
              <w:rPr>
                <w:sz w:val="20"/>
                <w:szCs w:val="20"/>
                <w:color w:val="auto"/>
              </w:rPr>
            </w:pPr>
            <w:r>
              <w:rPr>
                <w:rFonts w:ascii="Arial" w:cs="Arial" w:eastAsia="Arial" w:hAnsi="Arial"/>
                <w:sz w:val="18"/>
                <w:szCs w:val="18"/>
                <w:color w:val="auto"/>
              </w:rPr>
              <w:t>Raw materials and Component parts</w:t>
            </w:r>
          </w:p>
        </w:tc>
        <w:tc>
          <w:tcPr>
            <w:tcW w:w="40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12,094</w:t>
            </w:r>
          </w:p>
        </w:tc>
        <w:tc>
          <w:tcPr>
            <w:tcW w:w="62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Work in progress</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12,789</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10,613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8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Finished Goods</w:t>
            </w:r>
          </w:p>
        </w:tc>
        <w:tc>
          <w:tcPr>
            <w:tcW w:w="400" w:type="dxa"/>
            <w:vAlign w:val="bottom"/>
            <w:tcBorders>
              <w:bottom w:val="single" w:sz="8" w:color="auto"/>
            </w:tcBorders>
            <w:shd w:val="clear" w:color="auto" w:fill="CCFFCC"/>
          </w:tcPr>
          <w:p>
            <w:pPr>
              <w:spacing w:after="0"/>
              <w:rPr>
                <w:sz w:val="19"/>
                <w:szCs w:val="19"/>
                <w:color w:val="auto"/>
              </w:rPr>
            </w:pPr>
          </w:p>
        </w:tc>
        <w:tc>
          <w:tcPr>
            <w:tcW w:w="860" w:type="dxa"/>
            <w:vAlign w:val="bottom"/>
            <w:tcBorders>
              <w:bottom w:val="single" w:sz="8" w:color="auto"/>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2,380</w:t>
            </w:r>
          </w:p>
        </w:tc>
        <w:tc>
          <w:tcPr>
            <w:tcW w:w="180" w:type="dxa"/>
            <w:vAlign w:val="bottom"/>
            <w:tcBorders>
              <w:bottom w:val="single" w:sz="8" w:color="CCFFCC"/>
            </w:tcBorders>
            <w:shd w:val="clear" w:color="auto" w:fill="CCFFCC"/>
          </w:tcPr>
          <w:p>
            <w:pPr>
              <w:spacing w:after="0"/>
              <w:rPr>
                <w:sz w:val="19"/>
                <w:szCs w:val="19"/>
                <w:color w:val="auto"/>
              </w:rPr>
            </w:pPr>
          </w:p>
        </w:tc>
        <w:tc>
          <w:tcPr>
            <w:tcW w:w="440" w:type="dxa"/>
            <w:vAlign w:val="bottom"/>
            <w:tcBorders>
              <w:bottom w:val="single" w:sz="8" w:color="auto"/>
            </w:tcBorders>
            <w:shd w:val="clear" w:color="auto" w:fill="CCFFCC"/>
          </w:tcPr>
          <w:p>
            <w:pPr>
              <w:spacing w:after="0"/>
              <w:rPr>
                <w:sz w:val="19"/>
                <w:szCs w:val="19"/>
                <w:color w:val="auto"/>
              </w:rPr>
            </w:pPr>
          </w:p>
        </w:tc>
        <w:tc>
          <w:tcPr>
            <w:tcW w:w="6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2,896</w:t>
            </w:r>
          </w:p>
        </w:tc>
        <w:tc>
          <w:tcPr>
            <w:tcW w:w="10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27,263</w:t>
            </w: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26,051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As of October 31, 2009 and April 30, 2009, approximately $17.8 million and $18.0 million, respectively, of total inventory is located in the United States, approximately $8.5 million and $6.8 million, respectively, is located in Belgium and $1.0 million and $1.2 million, respectively, is located in China.</w:t>
      </w:r>
    </w:p>
    <w:p>
      <w:pPr>
        <w:spacing w:after="0" w:line="15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reached an agreement with a customer to receive $650,000 representing a portion of the cost of certain unique inventory items that the customer no longer requires. The Company recorded this amount as a reduction to cost of goods sold during the six and three month periods ended October 31, 2009. During the same periods, the Company wrote down inventory, including the unique items, with an aggregate value of $800,000 and $650,000, respectively. All written down inventory remains the property of the Company and may be sold or disposed in the future.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NOTE E – COMPREHENSIVE INCOME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six months ended October 31, 2009 and 2008, comprehensive income (loss) is composed of (in thousands):</w:t>
      </w:r>
    </w:p>
    <w:p>
      <w:pPr>
        <w:spacing w:after="0" w:line="23" w:lineRule="exact"/>
        <w:rPr>
          <w:sz w:val="20"/>
          <w:szCs w:val="20"/>
          <w:color w:val="auto"/>
        </w:rPr>
      </w:pPr>
    </w:p>
    <w:p>
      <w:pPr>
        <w:ind w:left="7860"/>
        <w:spacing w:after="0"/>
        <w:rPr>
          <w:sz w:val="20"/>
          <w:szCs w:val="20"/>
          <w:color w:val="auto"/>
        </w:rPr>
      </w:pPr>
      <w:r>
        <w:rPr>
          <w:rFonts w:ascii="Arial" w:cs="Arial" w:eastAsia="Arial" w:hAnsi="Arial"/>
          <w:sz w:val="18"/>
          <w:szCs w:val="18"/>
          <w:color w:val="auto"/>
        </w:rPr>
        <w:t>Six months ended October 31,</w:t>
      </w:r>
    </w:p>
    <w:p>
      <w:pPr>
        <w:spacing w:after="0" w:line="9"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2009</w:t>
            </w:r>
          </w:p>
        </w:tc>
        <w:tc>
          <w:tcPr>
            <w:tcW w:w="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FFCC"/>
          </w:tcPr>
          <w:p>
            <w:pPr>
              <w:spacing w:after="0"/>
              <w:rPr>
                <w:sz w:val="20"/>
                <w:szCs w:val="20"/>
                <w:color w:val="auto"/>
              </w:rPr>
            </w:pPr>
            <w:r>
              <w:rPr>
                <w:rFonts w:ascii="Arial" w:cs="Arial" w:eastAsia="Arial" w:hAnsi="Arial"/>
                <w:sz w:val="18"/>
                <w:szCs w:val="18"/>
                <w:color w:val="auto"/>
              </w:rPr>
              <w:t>Net income (loss)</w:t>
            </w:r>
          </w:p>
        </w:tc>
        <w:tc>
          <w:tcPr>
            <w:tcW w:w="1400" w:type="dxa"/>
            <w:vAlign w:val="bottom"/>
            <w:gridSpan w:val="2"/>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525</w:t>
            </w:r>
          </w:p>
        </w:tc>
        <w:tc>
          <w:tcPr>
            <w:tcW w:w="300" w:type="dxa"/>
            <w:vAlign w:val="bottom"/>
            <w:gridSpan w:val="2"/>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644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FFCC"/>
          </w:tcPr>
          <w:p>
            <w:pPr>
              <w:spacing w:after="0"/>
              <w:rPr>
                <w:sz w:val="20"/>
                <w:szCs w:val="20"/>
                <w:color w:val="auto"/>
              </w:rPr>
            </w:pPr>
            <w:r>
              <w:rPr>
                <w:rFonts w:ascii="Arial" w:cs="Arial" w:eastAsia="Arial" w:hAnsi="Arial"/>
                <w:sz w:val="18"/>
                <w:szCs w:val="18"/>
                <w:color w:val="auto"/>
              </w:rPr>
              <w:t>Change in value of marketable securities</w:t>
            </w:r>
          </w:p>
        </w:tc>
        <w:tc>
          <w:tcPr>
            <w:tcW w:w="12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834</w:t>
            </w:r>
          </w:p>
        </w:tc>
        <w:tc>
          <w:tcPr>
            <w:tcW w:w="1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Plus deferred tax effect of change in value of marketable securities</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980" w:type="dxa"/>
            <w:vAlign w:val="bottom"/>
            <w:shd w:val="clear" w:color="auto" w:fill="CCFFCC"/>
          </w:tcPr>
          <w:p>
            <w:pPr>
              <w:spacing w:after="0"/>
              <w:rPr>
                <w:sz w:val="20"/>
                <w:szCs w:val="20"/>
                <w:color w:val="auto"/>
              </w:rPr>
            </w:pPr>
            <w:r>
              <w:rPr>
                <w:rFonts w:ascii="Arial" w:cs="Arial" w:eastAsia="Arial" w:hAnsi="Arial"/>
                <w:sz w:val="18"/>
                <w:szCs w:val="18"/>
                <w:color w:val="auto"/>
              </w:rPr>
              <w:t>Comprehensive income (loss)</w:t>
            </w:r>
          </w:p>
        </w:tc>
        <w:tc>
          <w:tcPr>
            <w:tcW w:w="1200" w:type="dxa"/>
            <w:vAlign w:val="bottom"/>
            <w:shd w:val="clear" w:color="auto" w:fill="CCFFCC"/>
          </w:tcPr>
          <w:p>
            <w:pPr>
              <w:spacing w:after="0"/>
              <w:rPr>
                <w:sz w:val="20"/>
                <w:szCs w:val="20"/>
                <w:color w:val="auto"/>
              </w:rPr>
            </w:pPr>
          </w:p>
        </w:tc>
        <w:tc>
          <w:tcPr>
            <w:tcW w:w="2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2,003</w:t>
            </w:r>
          </w:p>
        </w:tc>
        <w:tc>
          <w:tcPr>
            <w:tcW w:w="8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2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(2,142)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Borders>
              <w:top w:val="single" w:sz="8" w:color="CCFFCC"/>
            </w:tcBorders>
            <w:shd w:val="clear" w:color="auto" w:fill="CCFFCC"/>
          </w:tcPr>
          <w:p>
            <w:pPr>
              <w:spacing w:after="0" w:line="20" w:lineRule="exact"/>
              <w:rPr>
                <w:sz w:val="1"/>
                <w:szCs w:val="1"/>
                <w:color w:val="auto"/>
              </w:rPr>
            </w:pPr>
          </w:p>
        </w:tc>
        <w:tc>
          <w:tcPr>
            <w:tcW w:w="120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 F – SEGMENT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Company operates under three reportable segments:</w:t>
      </w:r>
    </w:p>
    <w:p>
      <w:pPr>
        <w:spacing w:after="0" w:line="23" w:lineRule="exact"/>
        <w:rPr>
          <w:sz w:val="20"/>
          <w:szCs w:val="20"/>
          <w:color w:val="auto"/>
        </w:rPr>
      </w:pPr>
    </w:p>
    <w:p>
      <w:pPr>
        <w:jc w:val="both"/>
        <w:ind w:left="660" w:hanging="490"/>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FEI-NY – consists principally of precision time and frequency control products used in three principal markets: communication satellites (both commercial and U.S. Government-funded); terrestrial cellular telephone or other ground-based telecommunication stations and other components and systems for the U.S. military.</w:t>
      </w:r>
    </w:p>
    <w:p>
      <w:pPr>
        <w:spacing w:after="0" w:line="1" w:lineRule="exact"/>
        <w:rPr>
          <w:rFonts w:ascii="Arial" w:cs="Arial" w:eastAsia="Arial" w:hAnsi="Arial"/>
          <w:sz w:val="18"/>
          <w:szCs w:val="18"/>
          <w:color w:val="auto"/>
        </w:rPr>
      </w:pPr>
    </w:p>
    <w:p>
      <w:pPr>
        <w:ind w:left="660" w:hanging="490"/>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Gillam-FEI - the Company’s Belgian subsidiary primarily sells wireline synchronization and network management systems.</w:t>
      </w:r>
    </w:p>
    <w:p>
      <w:pPr>
        <w:spacing w:after="0" w:line="9" w:lineRule="exact"/>
        <w:rPr>
          <w:rFonts w:ascii="Arial" w:cs="Arial" w:eastAsia="Arial" w:hAnsi="Arial"/>
          <w:sz w:val="18"/>
          <w:szCs w:val="18"/>
          <w:color w:val="auto"/>
        </w:rPr>
      </w:pPr>
    </w:p>
    <w:p>
      <w:pPr>
        <w:ind w:left="660" w:hanging="490"/>
        <w:spacing w:after="0" w:line="26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FEI-Zyfer - the products of the Company’s subsidiary incorporate Global Positioning System (GPS) technologies into systems and subsystems for secure communications, both government and commercial, and other locator applications.</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FEI-NY segment also includes the operations of the Company’s wholly-owned subsidiary, FEI-Asia, which functions primarily as a manufacturing facility for the FEI-NY segment.</w:t>
      </w:r>
    </w:p>
    <w:p>
      <w:pPr>
        <w:spacing w:after="0" w:line="19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Company’s Chief Executive Officer measures segment performance based on total revenues and profits generated by each geographic center rather than on the specific types of customers or end-users or types of markets served.</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 of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The table below presents information about reported segments with reconciliation of segment amounts to consolidated amounts as reported in the statement of operations or the balance sheet for each of the periods (in thousands):</w:t>
      </w:r>
    </w:p>
    <w:p>
      <w:pPr>
        <w:spacing w:after="0" w:line="1" w:lineRule="exact"/>
        <w:rPr>
          <w:sz w:val="20"/>
          <w:szCs w:val="20"/>
          <w:color w:val="auto"/>
        </w:rPr>
      </w:pPr>
    </w:p>
    <w:tbl>
      <w:tblPr>
        <w:tblLayout w:type="fixed"/>
        <w:tblInd w:w="180" w:type="dxa"/>
        <w:tblCellMar>
          <w:top w:w="0" w:type="dxa"/>
          <w:left w:w="0" w:type="dxa"/>
          <w:bottom w:w="0" w:type="dxa"/>
          <w:right w:w="0" w:type="dxa"/>
        </w:tblCellMar>
      </w:tblPr>
      <w:tr>
        <w:trPr>
          <w:trHeight w:val="223"/>
        </w:trPr>
        <w:tc>
          <w:tcPr>
            <w:tcW w:w="4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Six months</w:t>
            </w:r>
          </w:p>
        </w:tc>
        <w:tc>
          <w:tcPr>
            <w:tcW w:w="2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w w:val="95"/>
              </w:rPr>
              <w:t>Three months</w:t>
            </w: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2"/>
        </w:trPr>
        <w:tc>
          <w:tcPr>
            <w:tcW w:w="4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60" w:type="dxa"/>
            <w:vAlign w:val="bottom"/>
            <w:gridSpan w:val="10"/>
          </w:tcPr>
          <w:p>
            <w:pPr>
              <w:jc w:val="right"/>
              <w:ind w:right="340"/>
              <w:spacing w:after="0" w:line="201" w:lineRule="exact"/>
              <w:rPr>
                <w:sz w:val="20"/>
                <w:szCs w:val="20"/>
                <w:color w:val="auto"/>
              </w:rPr>
            </w:pPr>
            <w:r>
              <w:rPr>
                <w:rFonts w:ascii="Arial" w:cs="Arial" w:eastAsia="Arial" w:hAnsi="Arial"/>
                <w:sz w:val="18"/>
                <w:szCs w:val="18"/>
                <w:color w:val="auto"/>
                <w:w w:val="97"/>
              </w:rPr>
              <w:t>Periods ended October 31,</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4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color w:val="auto"/>
              </w:rPr>
              <w:t>2009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gridSpan w:val="2"/>
          </w:tcPr>
          <w:p>
            <w:pPr>
              <w:jc w:val="right"/>
              <w:ind w:right="270"/>
              <w:spacing w:after="0"/>
              <w:rPr>
                <w:sz w:val="20"/>
                <w:szCs w:val="20"/>
                <w:color w:val="auto"/>
              </w:rPr>
            </w:pPr>
            <w:r>
              <w:rPr>
                <w:rFonts w:ascii="Arial" w:cs="Arial" w:eastAsia="Arial" w:hAnsi="Arial"/>
                <w:sz w:val="18"/>
                <w:szCs w:val="18"/>
                <w:color w:val="auto"/>
                <w:w w:val="94"/>
              </w:rPr>
              <w:t>2008</w:t>
            </w:r>
          </w:p>
        </w:tc>
        <w:tc>
          <w:tcPr>
            <w:tcW w:w="120" w:type="dxa"/>
            <w:vAlign w:val="bottom"/>
          </w:tcPr>
          <w:p>
            <w:pPr>
              <w:spacing w:after="0"/>
              <w:rPr>
                <w:sz w:val="20"/>
                <w:szCs w:val="20"/>
                <w:color w:val="auto"/>
              </w:rPr>
            </w:pPr>
          </w:p>
        </w:tc>
        <w:tc>
          <w:tcPr>
            <w:tcW w:w="1180" w:type="dxa"/>
            <w:vAlign w:val="bottom"/>
            <w:gridSpan w:val="5"/>
          </w:tcPr>
          <w:p>
            <w:pPr>
              <w:jc w:val="right"/>
              <w:ind w:right="270"/>
              <w:spacing w:after="0"/>
              <w:rPr>
                <w:sz w:val="20"/>
                <w:szCs w:val="20"/>
                <w:color w:val="auto"/>
              </w:rPr>
            </w:pPr>
            <w:r>
              <w:rPr>
                <w:rFonts w:ascii="Arial" w:cs="Arial" w:eastAsia="Arial" w:hAnsi="Arial"/>
                <w:sz w:val="18"/>
                <w:szCs w:val="18"/>
                <w:color w:val="auto"/>
              </w:rPr>
              <w:t>2009</w:t>
            </w:r>
          </w:p>
        </w:tc>
        <w:tc>
          <w:tcPr>
            <w:tcW w:w="80" w:type="dxa"/>
            <w:vAlign w:val="bottom"/>
          </w:tcPr>
          <w:p>
            <w:pPr>
              <w:spacing w:after="0"/>
              <w:rPr>
                <w:sz w:val="20"/>
                <w:szCs w:val="20"/>
                <w:color w:val="auto"/>
              </w:rPr>
            </w:pPr>
          </w:p>
        </w:tc>
        <w:tc>
          <w:tcPr>
            <w:tcW w:w="1160" w:type="dxa"/>
            <w:vAlign w:val="bottom"/>
            <w:gridSpan w:val="4"/>
          </w:tcPr>
          <w:p>
            <w:pPr>
              <w:jc w:val="right"/>
              <w:ind w:right="340"/>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20"/>
                <w:szCs w:val="20"/>
                <w:color w:val="auto"/>
              </w:rPr>
            </w:pPr>
          </w:p>
        </w:tc>
      </w:tr>
      <w:tr>
        <w:trPr>
          <w:trHeight w:val="216"/>
        </w:trPr>
        <w:tc>
          <w:tcPr>
            <w:tcW w:w="4280" w:type="dxa"/>
            <w:vAlign w:val="bottom"/>
            <w:shd w:val="clear" w:color="auto" w:fill="CCFFCC"/>
          </w:tcPr>
          <w:p>
            <w:pPr>
              <w:spacing w:after="0"/>
              <w:rPr>
                <w:sz w:val="20"/>
                <w:szCs w:val="20"/>
                <w:color w:val="auto"/>
              </w:rPr>
            </w:pPr>
            <w:r>
              <w:rPr>
                <w:rFonts w:ascii="Arial" w:cs="Arial" w:eastAsia="Arial" w:hAnsi="Arial"/>
                <w:sz w:val="18"/>
                <w:szCs w:val="18"/>
                <w:color w:val="auto"/>
              </w:rPr>
              <w:t>Revenues:</w:t>
            </w:r>
          </w:p>
        </w:tc>
        <w:tc>
          <w:tcPr>
            <w:tcW w:w="1380" w:type="dxa"/>
            <w:vAlign w:val="bottom"/>
            <w:shd w:val="clear" w:color="auto" w:fill="CCFFCC"/>
          </w:tcPr>
          <w:p>
            <w:pPr>
              <w:spacing w:after="0"/>
              <w:rPr>
                <w:sz w:val="18"/>
                <w:szCs w:val="18"/>
                <w:color w:val="auto"/>
              </w:rPr>
            </w:pPr>
          </w:p>
        </w:tc>
        <w:tc>
          <w:tcPr>
            <w:tcW w:w="220" w:type="dxa"/>
            <w:vAlign w:val="bottom"/>
            <w:tcBorders>
              <w:top w:val="single" w:sz="8" w:color="auto"/>
            </w:tcBorders>
            <w:shd w:val="clear" w:color="auto" w:fill="CCFFCC"/>
          </w:tcPr>
          <w:p>
            <w:pPr>
              <w:spacing w:after="0"/>
              <w:rPr>
                <w:sz w:val="18"/>
                <w:szCs w:val="18"/>
                <w:color w:val="auto"/>
              </w:rPr>
            </w:pPr>
          </w:p>
        </w:tc>
        <w:tc>
          <w:tcPr>
            <w:tcW w:w="860" w:type="dxa"/>
            <w:vAlign w:val="bottom"/>
            <w:tcBorders>
              <w:top w:val="single" w:sz="8" w:color="auto"/>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320" w:type="dxa"/>
            <w:vAlign w:val="bottom"/>
            <w:tcBorders>
              <w:top w:val="single" w:sz="8" w:color="auto"/>
            </w:tcBorders>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520" w:type="dxa"/>
            <w:vAlign w:val="bottom"/>
            <w:tcBorders>
              <w:top w:val="single" w:sz="8" w:color="auto"/>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500" w:type="dxa"/>
            <w:vAlign w:val="bottom"/>
            <w:tcBorders>
              <w:top w:val="single" w:sz="8" w:color="auto"/>
            </w:tcBorders>
            <w:shd w:val="clear" w:color="auto" w:fill="CCFFCC"/>
          </w:tcPr>
          <w:p>
            <w:pPr>
              <w:spacing w:after="0"/>
              <w:rPr>
                <w:sz w:val="18"/>
                <w:szCs w:val="18"/>
                <w:color w:val="auto"/>
              </w:rPr>
            </w:pPr>
          </w:p>
        </w:tc>
        <w:tc>
          <w:tcPr>
            <w:tcW w:w="80" w:type="dxa"/>
            <w:vAlign w:val="bottom"/>
            <w:tcBorders>
              <w:top w:val="single" w:sz="8" w:color="auto"/>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38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500" w:type="dxa"/>
            <w:vAlign w:val="bottom"/>
            <w:tcBorders>
              <w:top w:val="single" w:sz="8" w:color="auto"/>
            </w:tcBorders>
            <w:shd w:val="clear" w:color="auto" w:fill="CCFFCC"/>
          </w:tcPr>
          <w:p>
            <w:pPr>
              <w:spacing w:after="0"/>
              <w:rPr>
                <w:sz w:val="18"/>
                <w:szCs w:val="18"/>
                <w:color w:val="auto"/>
              </w:rPr>
            </w:pPr>
          </w:p>
        </w:tc>
        <w:tc>
          <w:tcPr>
            <w:tcW w:w="80" w:type="dxa"/>
            <w:vAlign w:val="bottom"/>
            <w:tcBorders>
              <w:top w:val="single" w:sz="8" w:color="auto"/>
              <w:left w:val="single" w:sz="8" w:color="CCFFCC"/>
            </w:tcBorders>
            <w:shd w:val="clear" w:color="auto" w:fill="CCFFCC"/>
          </w:tcPr>
          <w:p>
            <w:pPr>
              <w:spacing w:after="0"/>
              <w:rPr>
                <w:sz w:val="18"/>
                <w:szCs w:val="18"/>
                <w:color w:val="auto"/>
              </w:rPr>
            </w:pPr>
          </w:p>
        </w:tc>
        <w:tc>
          <w:tcPr>
            <w:tcW w:w="48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4280" w:type="dxa"/>
            <w:vAlign w:val="bottom"/>
          </w:tcPr>
          <w:p>
            <w:pPr>
              <w:ind w:left="160"/>
              <w:spacing w:after="0"/>
              <w:rPr>
                <w:sz w:val="20"/>
                <w:szCs w:val="20"/>
                <w:color w:val="auto"/>
              </w:rPr>
            </w:pPr>
            <w:r>
              <w:rPr>
                <w:rFonts w:ascii="Arial" w:cs="Arial" w:eastAsia="Arial" w:hAnsi="Arial"/>
                <w:sz w:val="18"/>
                <w:szCs w:val="18"/>
                <w:color w:val="auto"/>
              </w:rPr>
              <w:t>FEI-NY</w:t>
            </w:r>
          </w:p>
        </w:tc>
        <w:tc>
          <w:tcPr>
            <w:tcW w:w="16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14,014</w:t>
            </w:r>
          </w:p>
        </w:tc>
        <w:tc>
          <w:tcPr>
            <w:tcW w:w="4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18,633</w:t>
            </w:r>
          </w:p>
        </w:tc>
        <w:tc>
          <w:tcPr>
            <w:tcW w:w="6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gridSpan w:val="3"/>
          </w:tcPr>
          <w:p>
            <w:pPr>
              <w:jc w:val="right"/>
              <w:ind w:right="80"/>
              <w:spacing w:after="0"/>
              <w:rPr>
                <w:sz w:val="20"/>
                <w:szCs w:val="20"/>
                <w:color w:val="auto"/>
              </w:rPr>
            </w:pPr>
            <w:r>
              <w:rPr>
                <w:rFonts w:ascii="Arial" w:cs="Arial" w:eastAsia="Arial" w:hAnsi="Arial"/>
                <w:sz w:val="18"/>
                <w:szCs w:val="18"/>
                <w:color w:val="auto"/>
              </w:rPr>
              <w:t>6,949</w:t>
            </w:r>
          </w:p>
        </w:tc>
        <w:tc>
          <w:tcPr>
            <w:tcW w:w="6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9,788</w:t>
            </w:r>
          </w:p>
        </w:tc>
        <w:tc>
          <w:tcPr>
            <w:tcW w:w="100" w:type="dxa"/>
            <w:vAlign w:val="bottom"/>
          </w:tcPr>
          <w:p>
            <w:pPr>
              <w:spacing w:after="0"/>
              <w:rPr>
                <w:sz w:val="18"/>
                <w:szCs w:val="18"/>
                <w:color w:val="auto"/>
              </w:rPr>
            </w:pPr>
          </w:p>
        </w:tc>
      </w:tr>
      <w:tr>
        <w:trPr>
          <w:trHeight w:val="216"/>
        </w:trPr>
        <w:tc>
          <w:tcPr>
            <w:tcW w:w="42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Gillam-FEI</w:t>
            </w:r>
          </w:p>
        </w:tc>
        <w:tc>
          <w:tcPr>
            <w:tcW w:w="13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4,975</w:t>
            </w:r>
          </w:p>
        </w:tc>
        <w:tc>
          <w:tcPr>
            <w:tcW w:w="8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7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5,301</w:t>
            </w: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58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2,501</w:t>
            </w:r>
          </w:p>
        </w:tc>
        <w:tc>
          <w:tcPr>
            <w:tcW w:w="10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56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2,683</w:t>
            </w:r>
          </w:p>
        </w:tc>
        <w:tc>
          <w:tcPr>
            <w:tcW w:w="100" w:type="dxa"/>
            <w:vAlign w:val="bottom"/>
            <w:shd w:val="clear" w:color="auto" w:fill="CCFFCC"/>
          </w:tcPr>
          <w:p>
            <w:pPr>
              <w:spacing w:after="0"/>
              <w:rPr>
                <w:sz w:val="18"/>
                <w:szCs w:val="18"/>
                <w:color w:val="auto"/>
              </w:rPr>
            </w:pPr>
          </w:p>
        </w:tc>
      </w:tr>
      <w:tr>
        <w:trPr>
          <w:trHeight w:val="216"/>
        </w:trPr>
        <w:tc>
          <w:tcPr>
            <w:tcW w:w="4280" w:type="dxa"/>
            <w:vAlign w:val="bottom"/>
          </w:tcPr>
          <w:p>
            <w:pPr>
              <w:ind w:left="160"/>
              <w:spacing w:after="0"/>
              <w:rPr>
                <w:sz w:val="20"/>
                <w:szCs w:val="20"/>
                <w:color w:val="auto"/>
              </w:rPr>
            </w:pPr>
            <w:r>
              <w:rPr>
                <w:rFonts w:ascii="Arial" w:cs="Arial" w:eastAsia="Arial" w:hAnsi="Arial"/>
                <w:sz w:val="18"/>
                <w:szCs w:val="18"/>
                <w:color w:val="auto"/>
              </w:rPr>
              <w:t>FEI-Zyfer</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6,828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4,127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3"/>
          </w:tcPr>
          <w:p>
            <w:pPr>
              <w:jc w:val="right"/>
              <w:ind w:right="80"/>
              <w:spacing w:after="0"/>
              <w:rPr>
                <w:sz w:val="20"/>
                <w:szCs w:val="20"/>
                <w:color w:val="auto"/>
              </w:rPr>
            </w:pPr>
            <w:r>
              <w:rPr>
                <w:rFonts w:ascii="Arial" w:cs="Arial" w:eastAsia="Arial" w:hAnsi="Arial"/>
                <w:sz w:val="18"/>
                <w:szCs w:val="18"/>
                <w:color w:val="auto"/>
              </w:rPr>
              <w:t>2,579</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1,824</w:t>
            </w:r>
          </w:p>
        </w:tc>
        <w:tc>
          <w:tcPr>
            <w:tcW w:w="100" w:type="dxa"/>
            <w:vAlign w:val="bottom"/>
          </w:tcPr>
          <w:p>
            <w:pPr>
              <w:spacing w:after="0"/>
              <w:rPr>
                <w:sz w:val="18"/>
                <w:szCs w:val="18"/>
                <w:color w:val="auto"/>
              </w:rPr>
            </w:pPr>
          </w:p>
        </w:tc>
      </w:tr>
      <w:tr>
        <w:trPr>
          <w:trHeight w:val="216"/>
        </w:trPr>
        <w:tc>
          <w:tcPr>
            <w:tcW w:w="42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less intersegment revenues</w:t>
            </w:r>
          </w:p>
        </w:tc>
        <w:tc>
          <w:tcPr>
            <w:tcW w:w="13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(1,981)</w:t>
            </w:r>
          </w:p>
        </w:tc>
        <w:tc>
          <w:tcPr>
            <w:tcW w:w="8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88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(972)</w:t>
            </w:r>
          </w:p>
        </w:tc>
        <w:tc>
          <w:tcPr>
            <w:tcW w:w="10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58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(634)</w:t>
            </w:r>
          </w:p>
        </w:tc>
        <w:tc>
          <w:tcPr>
            <w:tcW w:w="10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660" w:type="dxa"/>
            <w:vAlign w:val="bottom"/>
            <w:tcBorders>
              <w:left w:val="single" w:sz="8" w:color="CCFFCC"/>
            </w:tcBorders>
            <w:gridSpan w:val="3"/>
            <w:shd w:val="clear" w:color="auto" w:fill="CCFFCC"/>
          </w:tcPr>
          <w:p>
            <w:pPr>
              <w:jc w:val="right"/>
              <w:ind w:right="40"/>
              <w:spacing w:after="0"/>
              <w:rPr>
                <w:sz w:val="20"/>
                <w:szCs w:val="20"/>
                <w:color w:val="auto"/>
              </w:rPr>
            </w:pPr>
            <w:r>
              <w:rPr>
                <w:rFonts w:ascii="Arial" w:cs="Arial" w:eastAsia="Arial" w:hAnsi="Arial"/>
                <w:sz w:val="18"/>
                <w:szCs w:val="18"/>
                <w:color w:val="auto"/>
              </w:rPr>
              <w:t>(269)</w:t>
            </w:r>
          </w:p>
        </w:tc>
      </w:tr>
      <w:tr>
        <w:trPr>
          <w:trHeight w:val="27"/>
        </w:trPr>
        <w:tc>
          <w:tcPr>
            <w:tcW w:w="4280" w:type="dxa"/>
            <w:vAlign w:val="bottom"/>
            <w:shd w:val="clear" w:color="auto" w:fill="CCFFCC"/>
          </w:tcPr>
          <w:p>
            <w:pPr>
              <w:spacing w:after="0"/>
              <w:rPr>
                <w:sz w:val="2"/>
                <w:szCs w:val="2"/>
                <w:color w:val="auto"/>
              </w:rPr>
            </w:pPr>
          </w:p>
        </w:tc>
        <w:tc>
          <w:tcPr>
            <w:tcW w:w="1380" w:type="dxa"/>
            <w:vAlign w:val="bottom"/>
            <w:shd w:val="clear" w:color="auto" w:fill="CCFFCC"/>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Borders>
              <w:left w:val="single" w:sz="8" w:color="auto"/>
            </w:tcBorders>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r>
      <w:tr>
        <w:trPr>
          <w:trHeight w:val="216"/>
        </w:trPr>
        <w:tc>
          <w:tcPr>
            <w:tcW w:w="4280" w:type="dxa"/>
            <w:vAlign w:val="bottom"/>
          </w:tcPr>
          <w:p>
            <w:pPr>
              <w:ind w:left="320"/>
              <w:spacing w:after="0"/>
              <w:rPr>
                <w:sz w:val="20"/>
                <w:szCs w:val="20"/>
                <w:color w:val="auto"/>
              </w:rPr>
            </w:pPr>
            <w:r>
              <w:rPr>
                <w:rFonts w:ascii="Arial" w:cs="Arial" w:eastAsia="Arial" w:hAnsi="Arial"/>
                <w:sz w:val="18"/>
                <w:szCs w:val="18"/>
                <w:color w:val="auto"/>
              </w:rPr>
              <w:t>Consolidated revenues</w:t>
            </w:r>
          </w:p>
        </w:tc>
        <w:tc>
          <w:tcPr>
            <w:tcW w:w="13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23,836</w:t>
            </w:r>
          </w:p>
        </w:tc>
        <w:tc>
          <w:tcPr>
            <w:tcW w:w="4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27,089</w:t>
            </w:r>
          </w:p>
        </w:tc>
        <w:tc>
          <w:tcPr>
            <w:tcW w:w="6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gridSpan w:val="3"/>
          </w:tcPr>
          <w:p>
            <w:pPr>
              <w:jc w:val="right"/>
              <w:ind w:right="80"/>
              <w:spacing w:after="0"/>
              <w:rPr>
                <w:sz w:val="20"/>
                <w:szCs w:val="20"/>
                <w:color w:val="auto"/>
              </w:rPr>
            </w:pPr>
            <w:r>
              <w:rPr>
                <w:rFonts w:ascii="Arial" w:cs="Arial" w:eastAsia="Arial" w:hAnsi="Arial"/>
                <w:sz w:val="18"/>
                <w:szCs w:val="18"/>
                <w:color w:val="auto"/>
                <w:w w:val="87"/>
              </w:rPr>
              <w:t>11,395</w:t>
            </w:r>
          </w:p>
        </w:tc>
        <w:tc>
          <w:tcPr>
            <w:tcW w:w="6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660" w:type="dxa"/>
            <w:vAlign w:val="bottom"/>
            <w:gridSpan w:val="3"/>
          </w:tcPr>
          <w:p>
            <w:pPr>
              <w:jc w:val="right"/>
              <w:ind w:right="100"/>
              <w:spacing w:after="0"/>
              <w:rPr>
                <w:sz w:val="20"/>
                <w:szCs w:val="20"/>
                <w:color w:val="auto"/>
              </w:rPr>
            </w:pPr>
            <w:r>
              <w:rPr>
                <w:rFonts w:ascii="Arial" w:cs="Arial" w:eastAsia="Arial" w:hAnsi="Arial"/>
                <w:sz w:val="18"/>
                <w:szCs w:val="18"/>
                <w:color w:val="auto"/>
                <w:w w:val="98"/>
              </w:rPr>
              <w:t>14,026</w:t>
            </w:r>
          </w:p>
        </w:tc>
      </w:tr>
      <w:tr>
        <w:trPr>
          <w:trHeight w:val="21"/>
        </w:trPr>
        <w:tc>
          <w:tcPr>
            <w:tcW w:w="4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28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80" w:type="dxa"/>
            <w:vAlign w:val="bottom"/>
            <w:tcBorders>
              <w:left w:val="single" w:sz="8" w:color="CCFFCC"/>
            </w:tcBorders>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Operating profit (loss):</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FEI-NY</w:t>
            </w:r>
          </w:p>
        </w:tc>
        <w:tc>
          <w:tcPr>
            <w:tcW w:w="160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624</w:t>
            </w:r>
          </w:p>
        </w:tc>
        <w:tc>
          <w:tcPr>
            <w:tcW w:w="400" w:type="dxa"/>
            <w:vAlign w:val="bottom"/>
            <w:gridSpan w:val="2"/>
            <w:shd w:val="clear" w:color="auto" w:fill="CCFFCC"/>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(1,780)</w:t>
            </w:r>
          </w:p>
        </w:tc>
        <w:tc>
          <w:tcPr>
            <w:tcW w:w="600" w:type="dxa"/>
            <w:vAlign w:val="bottom"/>
            <w:gridSpan w:val="2"/>
            <w:shd w:val="clear" w:color="auto" w:fill="CCFFCC"/>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58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538</w:t>
            </w:r>
          </w:p>
        </w:tc>
        <w:tc>
          <w:tcPr>
            <w:tcW w:w="600" w:type="dxa"/>
            <w:vAlign w:val="bottom"/>
            <w:gridSpan w:val="2"/>
            <w:shd w:val="clear" w:color="auto" w:fill="CCFFCC"/>
          </w:tcPr>
          <w:p>
            <w:pPr>
              <w:jc w:val="right"/>
              <w:ind w:right="400"/>
              <w:spacing w:after="0"/>
              <w:rPr>
                <w:sz w:val="20"/>
                <w:szCs w:val="20"/>
                <w:color w:val="auto"/>
              </w:rPr>
            </w:pPr>
            <w:r>
              <w:rPr>
                <w:rFonts w:ascii="Arial" w:cs="Arial" w:eastAsia="Arial" w:hAnsi="Arial"/>
                <w:sz w:val="18"/>
                <w:szCs w:val="18"/>
                <w:color w:val="auto"/>
              </w:rPr>
              <w:t>$</w:t>
            </w:r>
          </w:p>
        </w:tc>
        <w:tc>
          <w:tcPr>
            <w:tcW w:w="660" w:type="dxa"/>
            <w:vAlign w:val="bottom"/>
            <w:tcBorders>
              <w:left w:val="single" w:sz="8" w:color="CCFFCC"/>
            </w:tcBorders>
            <w:gridSpan w:val="3"/>
            <w:shd w:val="clear" w:color="auto" w:fill="CCFFCC"/>
          </w:tcPr>
          <w:p>
            <w:pPr>
              <w:jc w:val="right"/>
              <w:ind w:right="40"/>
              <w:spacing w:after="0"/>
              <w:rPr>
                <w:sz w:val="20"/>
                <w:szCs w:val="20"/>
                <w:color w:val="auto"/>
              </w:rPr>
            </w:pPr>
            <w:r>
              <w:rPr>
                <w:rFonts w:ascii="Arial" w:cs="Arial" w:eastAsia="Arial" w:hAnsi="Arial"/>
                <w:sz w:val="18"/>
                <w:szCs w:val="18"/>
                <w:color w:val="auto"/>
              </w:rPr>
              <w:t>(552)</w:t>
            </w:r>
          </w:p>
        </w:tc>
      </w:tr>
      <w:tr>
        <w:trPr>
          <w:trHeight w:val="216"/>
        </w:trPr>
        <w:tc>
          <w:tcPr>
            <w:tcW w:w="4280" w:type="dxa"/>
            <w:vAlign w:val="bottom"/>
          </w:tcPr>
          <w:p>
            <w:pPr>
              <w:ind w:left="160"/>
              <w:spacing w:after="0"/>
              <w:rPr>
                <w:sz w:val="20"/>
                <w:szCs w:val="20"/>
                <w:color w:val="auto"/>
              </w:rPr>
            </w:pPr>
            <w:r>
              <w:rPr>
                <w:rFonts w:ascii="Arial" w:cs="Arial" w:eastAsia="Arial" w:hAnsi="Arial"/>
                <w:sz w:val="18"/>
                <w:szCs w:val="18"/>
                <w:color w:val="auto"/>
              </w:rPr>
              <w:t>Gillam-FEI</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3"/>
          </w:tcPr>
          <w:p>
            <w:pPr>
              <w:jc w:val="right"/>
              <w:ind w:right="8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r>
      <w:tr>
        <w:trPr>
          <w:trHeight w:val="216"/>
        </w:trPr>
        <w:tc>
          <w:tcPr>
            <w:tcW w:w="42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FEI-Zyfer</w:t>
            </w:r>
          </w:p>
        </w:tc>
        <w:tc>
          <w:tcPr>
            <w:tcW w:w="13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485</w:t>
            </w:r>
          </w:p>
        </w:tc>
        <w:tc>
          <w:tcPr>
            <w:tcW w:w="8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88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(282)</w:t>
            </w:r>
          </w:p>
        </w:tc>
        <w:tc>
          <w:tcPr>
            <w:tcW w:w="10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58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660" w:type="dxa"/>
            <w:vAlign w:val="bottom"/>
            <w:tcBorders>
              <w:left w:val="single" w:sz="8" w:color="CCFFCC"/>
            </w:tcBorders>
            <w:gridSpan w:val="3"/>
            <w:shd w:val="clear" w:color="auto" w:fill="CCFFCC"/>
          </w:tcPr>
          <w:p>
            <w:pPr>
              <w:jc w:val="right"/>
              <w:ind w:right="40"/>
              <w:spacing w:after="0"/>
              <w:rPr>
                <w:sz w:val="20"/>
                <w:szCs w:val="20"/>
                <w:color w:val="auto"/>
              </w:rPr>
            </w:pPr>
            <w:r>
              <w:rPr>
                <w:rFonts w:ascii="Arial" w:cs="Arial" w:eastAsia="Arial" w:hAnsi="Arial"/>
                <w:sz w:val="18"/>
                <w:szCs w:val="18"/>
                <w:color w:val="auto"/>
              </w:rPr>
              <w:t>(356)</w:t>
            </w:r>
          </w:p>
        </w:tc>
      </w:tr>
      <w:tr>
        <w:trPr>
          <w:trHeight w:val="216"/>
        </w:trPr>
        <w:tc>
          <w:tcPr>
            <w:tcW w:w="4280" w:type="dxa"/>
            <w:vAlign w:val="bottom"/>
          </w:tcPr>
          <w:p>
            <w:pPr>
              <w:ind w:left="160"/>
              <w:spacing w:after="0"/>
              <w:rPr>
                <w:sz w:val="20"/>
                <w:szCs w:val="20"/>
                <w:color w:val="auto"/>
              </w:rPr>
            </w:pPr>
            <w:r>
              <w:rPr>
                <w:rFonts w:ascii="Arial" w:cs="Arial" w:eastAsia="Arial" w:hAnsi="Arial"/>
                <w:sz w:val="18"/>
                <w:szCs w:val="18"/>
                <w:color w:val="auto"/>
              </w:rPr>
              <w:t>Corporate</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(203)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(131)</w:t>
            </w:r>
          </w:p>
        </w:tc>
      </w:tr>
      <w:tr>
        <w:trPr>
          <w:trHeight w:val="27"/>
        </w:trPr>
        <w:tc>
          <w:tcPr>
            <w:tcW w:w="4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Borders>
              <w:left w:val="single" w:sz="8" w:color="auto"/>
            </w:tcBorders>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4280" w:type="dxa"/>
            <w:vAlign w:val="bottom"/>
            <w:shd w:val="clear" w:color="auto" w:fill="CCFFCC"/>
          </w:tcPr>
          <w:p>
            <w:pPr>
              <w:ind w:left="320"/>
              <w:spacing w:after="0"/>
              <w:rPr>
                <w:sz w:val="20"/>
                <w:szCs w:val="20"/>
                <w:color w:val="auto"/>
              </w:rPr>
            </w:pPr>
            <w:r>
              <w:rPr>
                <w:rFonts w:ascii="Arial" w:cs="Arial" w:eastAsia="Arial" w:hAnsi="Arial"/>
                <w:sz w:val="18"/>
                <w:szCs w:val="18"/>
                <w:color w:val="auto"/>
              </w:rPr>
              <w:t>Consolidated operating profit (loss)</w:t>
            </w:r>
          </w:p>
        </w:tc>
        <w:tc>
          <w:tcPr>
            <w:tcW w:w="1380" w:type="dxa"/>
            <w:vAlign w:val="bottom"/>
            <w:shd w:val="clear" w:color="auto" w:fill="CCFFCC"/>
          </w:tcPr>
          <w:p>
            <w:pPr>
              <w:spacing w:after="0"/>
              <w:rPr>
                <w:sz w:val="20"/>
                <w:szCs w:val="20"/>
                <w:color w:val="auto"/>
              </w:rPr>
            </w:pPr>
          </w:p>
        </w:tc>
        <w:tc>
          <w:tcPr>
            <w:tcW w:w="2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901</w:t>
            </w:r>
          </w:p>
        </w:tc>
        <w:tc>
          <w:tcPr>
            <w:tcW w:w="400" w:type="dxa"/>
            <w:vAlign w:val="bottom"/>
            <w:gridSpan w:val="2"/>
            <w:shd w:val="clear" w:color="auto" w:fill="CCFFCC"/>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(2,284)</w:t>
            </w:r>
          </w:p>
        </w:tc>
        <w:tc>
          <w:tcPr>
            <w:tcW w:w="600" w:type="dxa"/>
            <w:vAlign w:val="bottom"/>
            <w:gridSpan w:val="2"/>
            <w:shd w:val="clear" w:color="auto" w:fill="CCFFCC"/>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20"/>
                <w:szCs w:val="20"/>
                <w:color w:val="auto"/>
              </w:rPr>
            </w:pPr>
          </w:p>
        </w:tc>
        <w:tc>
          <w:tcPr>
            <w:tcW w:w="58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242</w:t>
            </w:r>
          </w:p>
        </w:tc>
        <w:tc>
          <w:tcPr>
            <w:tcW w:w="600" w:type="dxa"/>
            <w:vAlign w:val="bottom"/>
            <w:gridSpan w:val="2"/>
            <w:shd w:val="clear" w:color="auto" w:fill="CCFFCC"/>
          </w:tcPr>
          <w:p>
            <w:pPr>
              <w:jc w:val="right"/>
              <w:ind w:right="400"/>
              <w:spacing w:after="0"/>
              <w:rPr>
                <w:sz w:val="20"/>
                <w:szCs w:val="20"/>
                <w:color w:val="auto"/>
              </w:rPr>
            </w:pPr>
            <w:r>
              <w:rPr>
                <w:rFonts w:ascii="Arial" w:cs="Arial" w:eastAsia="Arial" w:hAnsi="Arial"/>
                <w:sz w:val="18"/>
                <w:szCs w:val="18"/>
                <w:color w:val="auto"/>
              </w:rPr>
              <w:t>$</w:t>
            </w:r>
          </w:p>
        </w:tc>
        <w:tc>
          <w:tcPr>
            <w:tcW w:w="660" w:type="dxa"/>
            <w:vAlign w:val="bottom"/>
            <w:tcBorders>
              <w:left w:val="single" w:sz="8" w:color="CCFFCC"/>
            </w:tcBorders>
            <w:gridSpan w:val="3"/>
            <w:shd w:val="clear" w:color="auto" w:fill="CCFFCC"/>
          </w:tcPr>
          <w:p>
            <w:pPr>
              <w:jc w:val="right"/>
              <w:ind w:right="40"/>
              <w:spacing w:after="0"/>
              <w:rPr>
                <w:sz w:val="20"/>
                <w:szCs w:val="20"/>
                <w:color w:val="auto"/>
              </w:rPr>
            </w:pPr>
            <w:r>
              <w:rPr>
                <w:rFonts w:ascii="Arial" w:cs="Arial" w:eastAsia="Arial" w:hAnsi="Arial"/>
                <w:sz w:val="18"/>
                <w:szCs w:val="18"/>
                <w:color w:val="auto"/>
              </w:rPr>
              <w:t>(994)</w:t>
            </w:r>
          </w:p>
        </w:tc>
      </w:tr>
      <w:tr>
        <w:trPr>
          <w:trHeight w:val="20"/>
        </w:trPr>
        <w:tc>
          <w:tcPr>
            <w:tcW w:w="4280" w:type="dxa"/>
            <w:vAlign w:val="bottom"/>
            <w:tcBorders>
              <w:top w:val="single" w:sz="8" w:color="CCFFCC"/>
            </w:tcBorders>
            <w:shd w:val="clear" w:color="auto" w:fill="CCFFCC"/>
          </w:tcPr>
          <w:p>
            <w:pPr>
              <w:spacing w:after="0" w:line="20" w:lineRule="exact"/>
              <w:rPr>
                <w:sz w:val="1"/>
                <w:szCs w:val="1"/>
                <w:color w:val="auto"/>
              </w:rPr>
            </w:pPr>
          </w:p>
        </w:tc>
        <w:tc>
          <w:tcPr>
            <w:tcW w:w="138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r>
        <w:trPr>
          <w:trHeight w:val="460"/>
        </w:trPr>
        <w:tc>
          <w:tcPr>
            <w:tcW w:w="4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60" w:type="dxa"/>
            <w:vAlign w:val="bottom"/>
            <w:gridSpan w:val="6"/>
          </w:tcPr>
          <w:p>
            <w:pPr>
              <w:ind w:left="240"/>
              <w:spacing w:after="0"/>
              <w:rPr>
                <w:sz w:val="20"/>
                <w:szCs w:val="20"/>
                <w:color w:val="auto"/>
              </w:rPr>
            </w:pPr>
            <w:r>
              <w:rPr>
                <w:rFonts w:ascii="Arial" w:cs="Arial" w:eastAsia="Arial" w:hAnsi="Arial"/>
                <w:sz w:val="18"/>
                <w:szCs w:val="18"/>
                <w:color w:val="auto"/>
                <w:w w:val="93"/>
              </w:rPr>
              <w:t>October 31, 2009</w:t>
            </w:r>
          </w:p>
        </w:tc>
        <w:tc>
          <w:tcPr>
            <w:tcW w:w="120" w:type="dxa"/>
            <w:vAlign w:val="bottom"/>
          </w:tcPr>
          <w:p>
            <w:pPr>
              <w:spacing w:after="0"/>
              <w:rPr>
                <w:sz w:val="24"/>
                <w:szCs w:val="24"/>
                <w:color w:val="auto"/>
              </w:rPr>
            </w:pPr>
          </w:p>
        </w:tc>
        <w:tc>
          <w:tcPr>
            <w:tcW w:w="1060" w:type="dxa"/>
            <w:vAlign w:val="bottom"/>
            <w:gridSpan w:val="4"/>
          </w:tcPr>
          <w:p>
            <w:pPr>
              <w:spacing w:after="0"/>
              <w:rPr>
                <w:sz w:val="20"/>
                <w:szCs w:val="20"/>
                <w:color w:val="auto"/>
              </w:rPr>
            </w:pPr>
            <w:r>
              <w:rPr>
                <w:rFonts w:ascii="Arial" w:cs="Arial" w:eastAsia="Arial" w:hAnsi="Arial"/>
                <w:sz w:val="18"/>
                <w:szCs w:val="18"/>
                <w:color w:val="auto"/>
                <w:w w:val="91"/>
              </w:rPr>
              <w:t>April 30, 2009</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280" w:type="dxa"/>
            <w:vAlign w:val="bottom"/>
            <w:shd w:val="clear" w:color="auto" w:fill="CCFFCC"/>
          </w:tcPr>
          <w:p>
            <w:pPr>
              <w:spacing w:after="0"/>
              <w:rPr>
                <w:sz w:val="20"/>
                <w:szCs w:val="20"/>
                <w:color w:val="auto"/>
              </w:rPr>
            </w:pPr>
            <w:r>
              <w:rPr>
                <w:rFonts w:ascii="Arial" w:cs="Arial" w:eastAsia="Arial" w:hAnsi="Arial"/>
                <w:sz w:val="18"/>
                <w:szCs w:val="18"/>
                <w:color w:val="auto"/>
              </w:rPr>
              <w:t>Identifiable assets:</w:t>
            </w:r>
          </w:p>
        </w:tc>
        <w:tc>
          <w:tcPr>
            <w:tcW w:w="13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520" w:type="dxa"/>
            <w:vAlign w:val="bottom"/>
            <w:tcBorders>
              <w:top w:val="single" w:sz="8" w:color="auto"/>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50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380" w:type="dxa"/>
            <w:vAlign w:val="bottom"/>
            <w:tcBorders>
              <w:top w:val="single" w:sz="8" w:color="auto"/>
            </w:tcBorders>
            <w:shd w:val="clear" w:color="auto" w:fill="CCFFCC"/>
          </w:tcPr>
          <w:p>
            <w:pPr>
              <w:spacing w:after="0"/>
              <w:rPr>
                <w:sz w:val="18"/>
                <w:szCs w:val="18"/>
                <w:color w:val="auto"/>
              </w:rPr>
            </w:pPr>
          </w:p>
        </w:tc>
        <w:tc>
          <w:tcPr>
            <w:tcW w:w="8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500" w:type="dxa"/>
            <w:vAlign w:val="bottom"/>
            <w:tcBorders>
              <w:top w:val="single" w:sz="8" w:color="auto"/>
            </w:tcBorders>
            <w:shd w:val="clear" w:color="auto" w:fill="CCFFCC"/>
          </w:tcPr>
          <w:p>
            <w:pPr>
              <w:spacing w:after="0"/>
              <w:rPr>
                <w:sz w:val="18"/>
                <w:szCs w:val="18"/>
                <w:color w:val="auto"/>
              </w:rPr>
            </w:pPr>
          </w:p>
        </w:tc>
        <w:tc>
          <w:tcPr>
            <w:tcW w:w="80" w:type="dxa"/>
            <w:vAlign w:val="bottom"/>
            <w:tcBorders>
              <w:left w:val="single" w:sz="8" w:color="CCFFCC"/>
            </w:tcBorders>
            <w:shd w:val="clear" w:color="auto" w:fill="CCFFCC"/>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tcPr>
          <w:p>
            <w:pPr>
              <w:ind w:left="160"/>
              <w:spacing w:after="0"/>
              <w:rPr>
                <w:sz w:val="20"/>
                <w:szCs w:val="20"/>
                <w:color w:val="auto"/>
              </w:rPr>
            </w:pPr>
            <w:r>
              <w:rPr>
                <w:rFonts w:ascii="Arial" w:cs="Arial" w:eastAsia="Arial" w:hAnsi="Arial"/>
                <w:sz w:val="18"/>
                <w:szCs w:val="18"/>
                <w:color w:val="auto"/>
              </w:rPr>
              <w:t>FEI-NY</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8"/>
                <w:szCs w:val="18"/>
                <w:color w:val="auto"/>
              </w:rPr>
              <w:t>40,305</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39,658</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Gillam-FEI</w:t>
            </w:r>
          </w:p>
        </w:tc>
        <w:tc>
          <w:tcPr>
            <w:tcW w:w="13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8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19,637</w:t>
            </w:r>
          </w:p>
        </w:tc>
        <w:tc>
          <w:tcPr>
            <w:tcW w:w="12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6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17,615</w:t>
            </w:r>
          </w:p>
        </w:tc>
        <w:tc>
          <w:tcPr>
            <w:tcW w:w="80" w:type="dxa"/>
            <w:vAlign w:val="bottom"/>
            <w:tcBorders>
              <w:left w:val="single" w:sz="8" w:color="CCFFCC"/>
            </w:tcBorders>
            <w:shd w:val="clear" w:color="auto" w:fill="CCFFCC"/>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tcPr>
          <w:p>
            <w:pPr>
              <w:ind w:left="160"/>
              <w:spacing w:after="0"/>
              <w:rPr>
                <w:sz w:val="20"/>
                <w:szCs w:val="20"/>
                <w:color w:val="auto"/>
              </w:rPr>
            </w:pPr>
            <w:r>
              <w:rPr>
                <w:rFonts w:ascii="Arial" w:cs="Arial" w:eastAsia="Arial" w:hAnsi="Arial"/>
                <w:sz w:val="18"/>
                <w:szCs w:val="18"/>
                <w:color w:val="auto"/>
              </w:rPr>
              <w:t>FEI-Zyfer</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8"/>
                <w:szCs w:val="18"/>
                <w:color w:val="auto"/>
              </w:rPr>
              <w:t>6,098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8,672</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less intercompany balances</w:t>
            </w:r>
          </w:p>
        </w:tc>
        <w:tc>
          <w:tcPr>
            <w:tcW w:w="13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8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w w:val="95"/>
              </w:rPr>
              <w:t>(17,236)</w:t>
            </w:r>
          </w:p>
        </w:tc>
        <w:tc>
          <w:tcPr>
            <w:tcW w:w="12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6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w w:val="95"/>
              </w:rPr>
              <w:t>(17,853)</w:t>
            </w:r>
          </w:p>
        </w:tc>
        <w:tc>
          <w:tcPr>
            <w:tcW w:w="80" w:type="dxa"/>
            <w:vAlign w:val="bottom"/>
            <w:tcBorders>
              <w:left w:val="single" w:sz="8" w:color="CCFFCC"/>
            </w:tcBorders>
            <w:shd w:val="clear" w:color="auto" w:fill="CCFFCC"/>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tcPr>
          <w:p>
            <w:pPr>
              <w:ind w:left="160"/>
              <w:spacing w:after="0"/>
              <w:rPr>
                <w:sz w:val="20"/>
                <w:szCs w:val="20"/>
                <w:color w:val="auto"/>
              </w:rPr>
            </w:pPr>
            <w:r>
              <w:rPr>
                <w:rFonts w:ascii="Arial" w:cs="Arial" w:eastAsia="Arial" w:hAnsi="Arial"/>
                <w:sz w:val="18"/>
                <w:szCs w:val="18"/>
                <w:color w:val="auto"/>
              </w:rPr>
              <w:t>Corporate</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8"/>
                <w:szCs w:val="18"/>
                <w:color w:val="auto"/>
              </w:rPr>
              <w:t>30,510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29,828</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7"/>
        </w:trPr>
        <w:tc>
          <w:tcPr>
            <w:tcW w:w="4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4280" w:type="dxa"/>
            <w:vAlign w:val="bottom"/>
            <w:shd w:val="clear" w:color="auto" w:fill="CCFFCC"/>
          </w:tcPr>
          <w:p>
            <w:pPr>
              <w:ind w:left="320"/>
              <w:spacing w:after="0"/>
              <w:rPr>
                <w:sz w:val="20"/>
                <w:szCs w:val="20"/>
                <w:color w:val="auto"/>
              </w:rPr>
            </w:pPr>
            <w:r>
              <w:rPr>
                <w:rFonts w:ascii="Arial" w:cs="Arial" w:eastAsia="Arial" w:hAnsi="Arial"/>
                <w:sz w:val="18"/>
                <w:szCs w:val="18"/>
                <w:color w:val="auto"/>
              </w:rPr>
              <w:t>Consolidated Identifiable Assets</w:t>
            </w:r>
          </w:p>
        </w:tc>
        <w:tc>
          <w:tcPr>
            <w:tcW w:w="138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86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32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52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20"/>
                <w:szCs w:val="20"/>
                <w:color w:val="auto"/>
              </w:rPr>
            </w:pPr>
          </w:p>
        </w:tc>
        <w:tc>
          <w:tcPr>
            <w:tcW w:w="68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79,314</w:t>
            </w:r>
          </w:p>
        </w:tc>
        <w:tc>
          <w:tcPr>
            <w:tcW w:w="500" w:type="dxa"/>
            <w:vAlign w:val="bottom"/>
            <w:gridSpan w:val="2"/>
            <w:shd w:val="clear" w:color="auto" w:fill="CCFFCC"/>
          </w:tcPr>
          <w:p>
            <w:pPr>
              <w:ind w:lef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20"/>
                <w:szCs w:val="20"/>
                <w:color w:val="auto"/>
              </w:rPr>
            </w:pPr>
          </w:p>
        </w:tc>
        <w:tc>
          <w:tcPr>
            <w:tcW w:w="6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77,920</w:t>
            </w:r>
          </w:p>
        </w:tc>
        <w:tc>
          <w:tcPr>
            <w:tcW w:w="80" w:type="dxa"/>
            <w:vAlign w:val="bottom"/>
            <w:tcBorders>
              <w:left w:val="single" w:sz="8" w:color="CCFFCC"/>
            </w:tcBorders>
            <w:shd w:val="clear" w:color="auto" w:fill="CCFFCC"/>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
        </w:trPr>
        <w:tc>
          <w:tcPr>
            <w:tcW w:w="4280" w:type="dxa"/>
            <w:vAlign w:val="bottom"/>
            <w:tcBorders>
              <w:top w:val="single" w:sz="8" w:color="CCFFCC"/>
            </w:tcBorders>
            <w:shd w:val="clear" w:color="auto" w:fill="CCFFCC"/>
          </w:tcPr>
          <w:p>
            <w:pPr>
              <w:spacing w:after="0" w:line="20" w:lineRule="exact"/>
              <w:rPr>
                <w:sz w:val="1"/>
                <w:szCs w:val="1"/>
                <w:color w:val="auto"/>
              </w:rPr>
            </w:pPr>
          </w:p>
        </w:tc>
        <w:tc>
          <w:tcPr>
            <w:tcW w:w="138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86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 G – RELATED PARTY TRANSACTIONS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has an equity interest in two strategically important companies: Elcom Technologies, Inc. (“Elcom”) and Morion Inc. (“Morion”). During the six and three month periods ended October 31, 2009 and 2008, the Company acquired technical services from Elcom, purchased crystal oscillator products from Morion and sold certain of its products to both companies. The Company also receives interest from Elcom under a convertible note receivable. The table below summarizes these transactions:</w:t>
      </w:r>
    </w:p>
    <w:p>
      <w:pPr>
        <w:spacing w:after="0" w:line="214" w:lineRule="exact"/>
        <w:rPr>
          <w:sz w:val="20"/>
          <w:szCs w:val="20"/>
          <w:color w:val="auto"/>
        </w:rPr>
      </w:pPr>
    </w:p>
    <w:tbl>
      <w:tblPr>
        <w:tblLayout w:type="fixed"/>
        <w:tblInd w:w="500" w:type="dxa"/>
        <w:tblCellMar>
          <w:top w:w="0" w:type="dxa"/>
          <w:left w:w="0" w:type="dxa"/>
          <w:bottom w:w="0" w:type="dxa"/>
          <w:right w:w="0" w:type="dxa"/>
        </w:tblCellMar>
      </w:tblPr>
      <w:tr>
        <w:trPr>
          <w:trHeight w:val="237"/>
        </w:trPr>
        <w:tc>
          <w:tcPr>
            <w:tcW w:w="5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Six months</w:t>
            </w:r>
          </w:p>
        </w:tc>
        <w:tc>
          <w:tcPr>
            <w:tcW w:w="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4"/>
          </w:tcPr>
          <w:p>
            <w:pPr>
              <w:jc w:val="right"/>
              <w:ind w:right="490"/>
              <w:spacing w:after="0"/>
              <w:rPr>
                <w:sz w:val="20"/>
                <w:szCs w:val="20"/>
                <w:color w:val="auto"/>
              </w:rPr>
            </w:pPr>
            <w:r>
              <w:rPr>
                <w:rFonts w:ascii="Arial" w:cs="Arial" w:eastAsia="Arial" w:hAnsi="Arial"/>
                <w:sz w:val="18"/>
                <w:szCs w:val="18"/>
                <w:color w:val="auto"/>
              </w:rPr>
              <w:t>Three months</w:t>
            </w:r>
          </w:p>
        </w:tc>
        <w:tc>
          <w:tcPr>
            <w:tcW w:w="80" w:type="dxa"/>
            <w:vAlign w:val="bottom"/>
          </w:tcPr>
          <w:p>
            <w:pPr>
              <w:spacing w:after="0"/>
              <w:rPr>
                <w:sz w:val="20"/>
                <w:szCs w:val="20"/>
                <w:color w:val="auto"/>
              </w:rPr>
            </w:pPr>
          </w:p>
        </w:tc>
      </w:tr>
      <w:tr>
        <w:trPr>
          <w:trHeight w:val="202"/>
        </w:trPr>
        <w:tc>
          <w:tcPr>
            <w:tcW w:w="5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20" w:type="dxa"/>
            <w:vAlign w:val="bottom"/>
            <w:gridSpan w:val="7"/>
          </w:tcPr>
          <w:p>
            <w:pPr>
              <w:jc w:val="center"/>
              <w:ind w:right="240"/>
              <w:spacing w:after="0" w:line="201" w:lineRule="exact"/>
              <w:rPr>
                <w:sz w:val="20"/>
                <w:szCs w:val="20"/>
                <w:color w:val="auto"/>
              </w:rPr>
            </w:pPr>
            <w:r>
              <w:rPr>
                <w:rFonts w:ascii="Arial" w:cs="Arial" w:eastAsia="Arial" w:hAnsi="Arial"/>
                <w:sz w:val="18"/>
                <w:szCs w:val="18"/>
                <w:color w:val="auto"/>
                <w:w w:val="89"/>
              </w:rPr>
              <w:t>Periods ended October 31,</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7"/>
        </w:trPr>
        <w:tc>
          <w:tcPr>
            <w:tcW w:w="5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84"/>
              </w:rPr>
              <w:t>2008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2009</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2008</w:t>
            </w:r>
          </w:p>
        </w:tc>
        <w:tc>
          <w:tcPr>
            <w:tcW w:w="80" w:type="dxa"/>
            <w:vAlign w:val="bottom"/>
          </w:tcPr>
          <w:p>
            <w:pPr>
              <w:spacing w:after="0"/>
              <w:rPr>
                <w:sz w:val="20"/>
                <w:szCs w:val="20"/>
                <w:color w:val="auto"/>
              </w:rPr>
            </w:pPr>
          </w:p>
        </w:tc>
      </w:tr>
      <w:tr>
        <w:trPr>
          <w:trHeight w:val="216"/>
        </w:trPr>
        <w:tc>
          <w:tcPr>
            <w:tcW w:w="5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20" w:type="dxa"/>
            <w:vAlign w:val="bottom"/>
            <w:gridSpan w:val="6"/>
          </w:tcPr>
          <w:p>
            <w:pPr>
              <w:jc w:val="center"/>
              <w:ind w:right="560"/>
              <w:spacing w:after="0"/>
              <w:rPr>
                <w:sz w:val="20"/>
                <w:szCs w:val="20"/>
                <w:color w:val="auto"/>
              </w:rPr>
            </w:pPr>
            <w:r>
              <w:rPr>
                <w:rFonts w:ascii="Arial" w:cs="Arial" w:eastAsia="Arial" w:hAnsi="Arial"/>
                <w:sz w:val="18"/>
                <w:szCs w:val="18"/>
                <w:color w:val="auto"/>
                <w:w w:val="89"/>
              </w:rPr>
              <w:t>(in thousands)</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220" w:type="dxa"/>
            <w:vAlign w:val="bottom"/>
            <w:shd w:val="clear" w:color="auto" w:fill="CCFFCC"/>
          </w:tcPr>
          <w:p>
            <w:pPr>
              <w:spacing w:after="0"/>
              <w:rPr>
                <w:sz w:val="20"/>
                <w:szCs w:val="20"/>
                <w:color w:val="auto"/>
              </w:rPr>
            </w:pPr>
            <w:r>
              <w:rPr>
                <w:rFonts w:ascii="Arial" w:cs="Arial" w:eastAsia="Arial" w:hAnsi="Arial"/>
                <w:sz w:val="18"/>
                <w:szCs w:val="18"/>
                <w:color w:val="auto"/>
              </w:rPr>
              <w:t>Purchases from:</w:t>
            </w:r>
          </w:p>
        </w:tc>
        <w:tc>
          <w:tcPr>
            <w:tcW w:w="20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6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16"/>
        </w:trPr>
        <w:tc>
          <w:tcPr>
            <w:tcW w:w="5220" w:type="dxa"/>
            <w:vAlign w:val="bottom"/>
          </w:tcPr>
          <w:p>
            <w:pPr>
              <w:ind w:left="160"/>
              <w:spacing w:after="0"/>
              <w:rPr>
                <w:sz w:val="20"/>
                <w:szCs w:val="20"/>
                <w:color w:val="auto"/>
              </w:rPr>
            </w:pPr>
            <w:r>
              <w:rPr>
                <w:rFonts w:ascii="Arial" w:cs="Arial" w:eastAsia="Arial" w:hAnsi="Arial"/>
                <w:sz w:val="18"/>
                <w:szCs w:val="18"/>
                <w:color w:val="auto"/>
              </w:rPr>
              <w:t>Elcom</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113</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38</w:t>
            </w:r>
          </w:p>
        </w:tc>
      </w:tr>
      <w:tr>
        <w:trPr>
          <w:trHeight w:val="216"/>
        </w:trPr>
        <w:tc>
          <w:tcPr>
            <w:tcW w:w="52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Morion</w:t>
            </w:r>
          </w:p>
        </w:tc>
        <w:tc>
          <w:tcPr>
            <w:tcW w:w="20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197</w:t>
            </w:r>
          </w:p>
        </w:tc>
        <w:tc>
          <w:tcPr>
            <w:tcW w:w="1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7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469</w:t>
            </w:r>
          </w:p>
        </w:tc>
        <w:tc>
          <w:tcPr>
            <w:tcW w:w="1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179</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Sales to:</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2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Elcom</w:t>
            </w:r>
          </w:p>
        </w:tc>
        <w:tc>
          <w:tcPr>
            <w:tcW w:w="2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w:t>
            </w:r>
          </w:p>
        </w:tc>
        <w:tc>
          <w:tcPr>
            <w:tcW w:w="420" w:type="dxa"/>
            <w:vAlign w:val="bottom"/>
            <w:gridSpan w:val="2"/>
            <w:shd w:val="clear" w:color="auto" w:fill="CCFFCC"/>
          </w:tcPr>
          <w:p>
            <w:pPr>
              <w:jc w:val="right"/>
              <w:ind w:right="13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25</w:t>
            </w:r>
          </w:p>
        </w:tc>
        <w:tc>
          <w:tcPr>
            <w:tcW w:w="3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FFCC"/>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11</w:t>
            </w:r>
          </w:p>
        </w:tc>
      </w:tr>
      <w:tr>
        <w:trPr>
          <w:trHeight w:val="216"/>
        </w:trPr>
        <w:tc>
          <w:tcPr>
            <w:tcW w:w="5220" w:type="dxa"/>
            <w:vAlign w:val="bottom"/>
          </w:tcPr>
          <w:p>
            <w:pPr>
              <w:ind w:left="160"/>
              <w:spacing w:after="0"/>
              <w:rPr>
                <w:sz w:val="20"/>
                <w:szCs w:val="20"/>
                <w:color w:val="auto"/>
              </w:rPr>
            </w:pPr>
            <w:r>
              <w:rPr>
                <w:rFonts w:ascii="Arial" w:cs="Arial" w:eastAsia="Arial" w:hAnsi="Arial"/>
                <w:sz w:val="18"/>
                <w:szCs w:val="18"/>
                <w:color w:val="auto"/>
              </w:rPr>
              <w:t>Morion</w:t>
            </w: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32</w:t>
            </w:r>
          </w:p>
        </w:tc>
      </w:tr>
      <w:tr>
        <w:trPr>
          <w:trHeight w:val="216"/>
        </w:trPr>
        <w:tc>
          <w:tcPr>
            <w:tcW w:w="5220" w:type="dxa"/>
            <w:vAlign w:val="bottom"/>
            <w:shd w:val="clear" w:color="auto" w:fill="CCFFCC"/>
          </w:tcPr>
          <w:p>
            <w:pPr>
              <w:spacing w:after="0"/>
              <w:rPr>
                <w:sz w:val="20"/>
                <w:szCs w:val="20"/>
                <w:color w:val="auto"/>
              </w:rPr>
            </w:pPr>
            <w:r>
              <w:rPr>
                <w:rFonts w:ascii="Arial" w:cs="Arial" w:eastAsia="Arial" w:hAnsi="Arial"/>
                <w:sz w:val="18"/>
                <w:szCs w:val="18"/>
                <w:color w:val="auto"/>
              </w:rPr>
              <w:t>Interest on Elcom note receivable</w:t>
            </w:r>
          </w:p>
        </w:tc>
        <w:tc>
          <w:tcPr>
            <w:tcW w:w="2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24</w:t>
            </w:r>
          </w:p>
        </w:tc>
        <w:tc>
          <w:tcPr>
            <w:tcW w:w="420" w:type="dxa"/>
            <w:vAlign w:val="bottom"/>
            <w:gridSpan w:val="2"/>
            <w:shd w:val="clear" w:color="auto" w:fill="CCFFCC"/>
          </w:tcPr>
          <w:p>
            <w:pPr>
              <w:jc w:val="right"/>
              <w:ind w:right="13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38</w:t>
            </w:r>
          </w:p>
        </w:tc>
        <w:tc>
          <w:tcPr>
            <w:tcW w:w="3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FFCC"/>
          </w:tcPr>
          <w:p>
            <w:pPr>
              <w:spacing w:after="0"/>
              <w:rPr>
                <w:sz w:val="18"/>
                <w:szCs w:val="18"/>
                <w:color w:val="auto"/>
              </w:rPr>
            </w:pPr>
          </w:p>
        </w:tc>
        <w:tc>
          <w:tcPr>
            <w:tcW w:w="200" w:type="dxa"/>
            <w:vAlign w:val="bottom"/>
            <w:shd w:val="clear" w:color="auto" w:fill="CCFFCC"/>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19</w:t>
            </w:r>
          </w:p>
        </w:tc>
      </w:tr>
    </w:tbl>
    <w:p>
      <w:pPr>
        <w:spacing w:after="0" w:line="229" w:lineRule="exact"/>
        <w:rPr>
          <w:sz w:val="20"/>
          <w:szCs w:val="20"/>
          <w:color w:val="auto"/>
        </w:rPr>
      </w:pPr>
    </w:p>
    <w:p>
      <w:pPr>
        <w:ind w:firstLine="486"/>
        <w:spacing w:after="0" w:line="342" w:lineRule="auto"/>
        <w:rPr>
          <w:sz w:val="20"/>
          <w:szCs w:val="20"/>
          <w:color w:val="auto"/>
        </w:rPr>
      </w:pPr>
      <w:r>
        <w:rPr>
          <w:rFonts w:ascii="Arial" w:cs="Arial" w:eastAsia="Arial" w:hAnsi="Arial"/>
          <w:sz w:val="16"/>
          <w:szCs w:val="16"/>
          <w:color w:val="auto"/>
        </w:rPr>
        <w:t>During the second quarter of fiscal year 2009, the Company repurchased from Elcom 29,651 shares of the Company’s outstanding common stock at an aggregate cost of approximately $150,000. The amount paid was at the market value of the Company’s common stock on the date of purchase.</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 of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NOTE H – FAIR VALUE OF FINANCIAL INSTRUMENTS</w:t>
      </w:r>
    </w:p>
    <w:p>
      <w:pPr>
        <w:spacing w:after="0" w:line="25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cost, gross unrealized gains, gross unrealized losses and fair market value of available-for-sale securities at October 31, 2009 and April 30, 2009 are as follows (in thousands):</w:t>
      </w:r>
    </w:p>
    <w:p>
      <w:pPr>
        <w:spacing w:after="0" w:line="197" w:lineRule="exact"/>
        <w:rPr>
          <w:sz w:val="20"/>
          <w:szCs w:val="20"/>
          <w:color w:val="auto"/>
        </w:rPr>
      </w:pPr>
    </w:p>
    <w:tbl>
      <w:tblPr>
        <w:tblLayout w:type="fixed"/>
        <w:tblInd w:w="50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5"/>
          </w:tcPr>
          <w:p>
            <w:pPr>
              <w:jc w:val="right"/>
              <w:ind w:right="600"/>
              <w:spacing w:after="0"/>
              <w:rPr>
                <w:sz w:val="20"/>
                <w:szCs w:val="20"/>
                <w:color w:val="auto"/>
              </w:rPr>
            </w:pPr>
            <w:r>
              <w:rPr>
                <w:rFonts w:ascii="Arial" w:cs="Arial" w:eastAsia="Arial" w:hAnsi="Arial"/>
                <w:sz w:val="18"/>
                <w:szCs w:val="18"/>
                <w:color w:val="auto"/>
              </w:rPr>
              <w:t>October 31, 2009</w:t>
            </w: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center"/>
              <w:ind w:right="380"/>
              <w:spacing w:after="0" w:line="201" w:lineRule="exact"/>
              <w:rPr>
                <w:sz w:val="20"/>
                <w:szCs w:val="20"/>
                <w:color w:val="auto"/>
              </w:rPr>
            </w:pPr>
            <w:r>
              <w:rPr>
                <w:rFonts w:ascii="Arial" w:cs="Arial" w:eastAsia="Arial" w:hAnsi="Arial"/>
                <w:sz w:val="18"/>
                <w:szCs w:val="18"/>
                <w:color w:val="auto"/>
                <w:w w:val="87"/>
              </w:rPr>
              <w:t>Gross</w:t>
            </w:r>
          </w:p>
        </w:tc>
        <w:tc>
          <w:tcPr>
            <w:tcW w:w="140" w:type="dxa"/>
            <w:vAlign w:val="bottom"/>
          </w:tcPr>
          <w:p>
            <w:pPr>
              <w:spacing w:after="0"/>
              <w:rPr>
                <w:sz w:val="17"/>
                <w:szCs w:val="17"/>
                <w:color w:val="auto"/>
              </w:rPr>
            </w:pPr>
          </w:p>
        </w:tc>
        <w:tc>
          <w:tcPr>
            <w:tcW w:w="940" w:type="dxa"/>
            <w:vAlign w:val="bottom"/>
            <w:gridSpan w:val="2"/>
          </w:tcPr>
          <w:p>
            <w:pPr>
              <w:jc w:val="center"/>
              <w:ind w:right="320"/>
              <w:spacing w:after="0" w:line="201" w:lineRule="exact"/>
              <w:rPr>
                <w:sz w:val="20"/>
                <w:szCs w:val="20"/>
                <w:color w:val="auto"/>
              </w:rPr>
            </w:pPr>
            <w:r>
              <w:rPr>
                <w:rFonts w:ascii="Arial" w:cs="Arial" w:eastAsia="Arial" w:hAnsi="Arial"/>
                <w:sz w:val="18"/>
                <w:szCs w:val="18"/>
                <w:color w:val="auto"/>
                <w:w w:val="87"/>
              </w:rPr>
              <w:t>Gross</w:t>
            </w:r>
          </w:p>
        </w:tc>
        <w:tc>
          <w:tcPr>
            <w:tcW w:w="140" w:type="dxa"/>
            <w:vAlign w:val="bottom"/>
          </w:tcPr>
          <w:p>
            <w:pPr>
              <w:spacing w:after="0"/>
              <w:rPr>
                <w:sz w:val="17"/>
                <w:szCs w:val="17"/>
                <w:color w:val="auto"/>
              </w:rPr>
            </w:pPr>
          </w:p>
        </w:tc>
        <w:tc>
          <w:tcPr>
            <w:tcW w:w="780" w:type="dxa"/>
            <w:vAlign w:val="bottom"/>
          </w:tcPr>
          <w:p>
            <w:pPr>
              <w:jc w:val="center"/>
              <w:ind w:right="70"/>
              <w:spacing w:after="0" w:line="201" w:lineRule="exact"/>
              <w:rPr>
                <w:sz w:val="20"/>
                <w:szCs w:val="20"/>
                <w:color w:val="auto"/>
              </w:rPr>
            </w:pPr>
            <w:r>
              <w:rPr>
                <w:rFonts w:ascii="Arial" w:cs="Arial" w:eastAsia="Arial" w:hAnsi="Arial"/>
                <w:sz w:val="18"/>
                <w:szCs w:val="18"/>
                <w:color w:val="auto"/>
                <w:w w:val="96"/>
              </w:rPr>
              <w:t>Fair</w:t>
            </w:r>
          </w:p>
        </w:tc>
        <w:tc>
          <w:tcPr>
            <w:tcW w:w="8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center"/>
              <w:ind w:right="200"/>
              <w:spacing w:after="0"/>
              <w:rPr>
                <w:sz w:val="20"/>
                <w:szCs w:val="20"/>
                <w:color w:val="auto"/>
              </w:rPr>
            </w:pPr>
            <w:r>
              <w:rPr>
                <w:rFonts w:ascii="Arial" w:cs="Arial" w:eastAsia="Arial" w:hAnsi="Arial"/>
                <w:sz w:val="18"/>
                <w:szCs w:val="18"/>
                <w:color w:val="auto"/>
                <w:w w:val="90"/>
              </w:rPr>
              <w:t>Unrealized</w:t>
            </w:r>
          </w:p>
        </w:tc>
        <w:tc>
          <w:tcPr>
            <w:tcW w:w="1080" w:type="dxa"/>
            <w:vAlign w:val="bottom"/>
            <w:gridSpan w:val="3"/>
          </w:tcPr>
          <w:p>
            <w:pPr>
              <w:jc w:val="center"/>
              <w:ind w:right="180"/>
              <w:spacing w:after="0"/>
              <w:rPr>
                <w:sz w:val="20"/>
                <w:szCs w:val="20"/>
                <w:color w:val="auto"/>
              </w:rPr>
            </w:pPr>
            <w:r>
              <w:rPr>
                <w:rFonts w:ascii="Arial" w:cs="Arial" w:eastAsia="Arial" w:hAnsi="Arial"/>
                <w:sz w:val="18"/>
                <w:szCs w:val="18"/>
                <w:color w:val="auto"/>
                <w:w w:val="90"/>
              </w:rPr>
              <w:t>Unrealized</w:t>
            </w:r>
          </w:p>
        </w:tc>
        <w:tc>
          <w:tcPr>
            <w:tcW w:w="140" w:type="dxa"/>
            <w:vAlign w:val="bottom"/>
          </w:tcPr>
          <w:p>
            <w:pPr>
              <w:spacing w:after="0"/>
              <w:rPr>
                <w:sz w:val="18"/>
                <w:szCs w:val="18"/>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Market</w:t>
            </w:r>
          </w:p>
        </w:tc>
      </w:tr>
      <w:tr>
        <w:trPr>
          <w:trHeight w:val="237"/>
        </w:trPr>
        <w:tc>
          <w:tcPr>
            <w:tcW w:w="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Cost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Gains</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7"/>
              </w:rPr>
              <w:t>Losses</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1"/>
              </w:rPr>
              <w:t>Value</w:t>
            </w: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FFCC"/>
          </w:tcPr>
          <w:p>
            <w:pPr>
              <w:spacing w:after="0"/>
              <w:rPr>
                <w:sz w:val="20"/>
                <w:szCs w:val="20"/>
                <w:color w:val="auto"/>
              </w:rPr>
            </w:pPr>
            <w:r>
              <w:rPr>
                <w:rFonts w:ascii="Arial" w:cs="Arial" w:eastAsia="Arial" w:hAnsi="Arial"/>
                <w:sz w:val="18"/>
                <w:szCs w:val="18"/>
                <w:color w:val="auto"/>
              </w:rPr>
              <w:t>Fixed income securities</w:t>
            </w:r>
          </w:p>
        </w:tc>
        <w:tc>
          <w:tcPr>
            <w:tcW w:w="1800" w:type="dxa"/>
            <w:vAlign w:val="bottom"/>
            <w:gridSpan w:val="2"/>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10,165</w:t>
            </w:r>
          </w:p>
        </w:tc>
        <w:tc>
          <w:tcPr>
            <w:tcW w:w="280" w:type="dxa"/>
            <w:vAlign w:val="bottom"/>
            <w:gridSpan w:val="2"/>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293</w:t>
            </w: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(272)</w:t>
            </w: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10,186</w:t>
            </w: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Equity securities</w:t>
            </w: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196</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646</w:t>
            </w:r>
          </w:p>
        </w:tc>
      </w:tr>
      <w:tr>
        <w:trPr>
          <w:trHeight w:val="27"/>
        </w:trPr>
        <w:tc>
          <w:tcPr>
            <w:tcW w:w="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3300" w:type="dxa"/>
            <w:vAlign w:val="bottom"/>
            <w:shd w:val="clear" w:color="auto" w:fill="CCFFCC"/>
          </w:tcPr>
          <w:p>
            <w:pPr>
              <w:spacing w:after="0"/>
              <w:rPr>
                <w:sz w:val="20"/>
                <w:szCs w:val="20"/>
                <w:color w:val="auto"/>
              </w:rPr>
            </w:pPr>
          </w:p>
        </w:tc>
        <w:tc>
          <w:tcPr>
            <w:tcW w:w="1600" w:type="dxa"/>
            <w:vAlign w:val="bottom"/>
            <w:shd w:val="clear" w:color="auto" w:fill="CCFFCC"/>
          </w:tcPr>
          <w:p>
            <w:pPr>
              <w:spacing w:after="0"/>
              <w:rPr>
                <w:sz w:val="20"/>
                <w:szCs w:val="20"/>
                <w:color w:val="auto"/>
              </w:rPr>
            </w:pPr>
          </w:p>
        </w:tc>
        <w:tc>
          <w:tcPr>
            <w:tcW w:w="2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10,615</w:t>
            </w:r>
          </w:p>
        </w:tc>
        <w:tc>
          <w:tcPr>
            <w:tcW w:w="280" w:type="dxa"/>
            <w:vAlign w:val="bottom"/>
            <w:gridSpan w:val="2"/>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489</w:t>
            </w: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(272)</w:t>
            </w: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10,832</w:t>
            </w:r>
          </w:p>
        </w:tc>
      </w:tr>
      <w:tr>
        <w:trPr>
          <w:trHeight w:val="20"/>
        </w:trPr>
        <w:tc>
          <w:tcPr>
            <w:tcW w:w="20" w:type="dxa"/>
            <w:vAlign w:val="bottom"/>
          </w:tcPr>
          <w:p>
            <w:pPr>
              <w:spacing w:after="0" w:line="20" w:lineRule="exact"/>
              <w:rPr>
                <w:sz w:val="1"/>
                <w:szCs w:val="1"/>
                <w:color w:val="auto"/>
              </w:rPr>
            </w:pPr>
          </w:p>
        </w:tc>
        <w:tc>
          <w:tcPr>
            <w:tcW w:w="3300" w:type="dxa"/>
            <w:vAlign w:val="bottom"/>
            <w:tcBorders>
              <w:top w:val="single" w:sz="8" w:color="CCFFCC"/>
            </w:tcBorders>
            <w:shd w:val="clear" w:color="auto" w:fill="CCFFCC"/>
          </w:tcPr>
          <w:p>
            <w:pPr>
              <w:spacing w:after="0" w:line="20" w:lineRule="exact"/>
              <w:rPr>
                <w:sz w:val="1"/>
                <w:szCs w:val="1"/>
                <w:color w:val="auto"/>
              </w:rPr>
            </w:pPr>
          </w:p>
        </w:tc>
        <w:tc>
          <w:tcPr>
            <w:tcW w:w="160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r>
        <w:trPr>
          <w:trHeight w:val="460"/>
        </w:trPr>
        <w:tc>
          <w:tcPr>
            <w:tcW w:w="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5"/>
          </w:tcPr>
          <w:p>
            <w:pPr>
              <w:jc w:val="right"/>
              <w:ind w:right="700"/>
              <w:spacing w:after="0"/>
              <w:rPr>
                <w:sz w:val="20"/>
                <w:szCs w:val="20"/>
                <w:color w:val="auto"/>
              </w:rPr>
            </w:pPr>
            <w:r>
              <w:rPr>
                <w:rFonts w:ascii="Arial" w:cs="Arial" w:eastAsia="Arial" w:hAnsi="Arial"/>
                <w:sz w:val="18"/>
                <w:szCs w:val="18"/>
                <w:color w:val="auto"/>
              </w:rPr>
              <w:t>April 30, 2009</w:t>
            </w: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02"/>
        </w:trPr>
        <w:tc>
          <w:tcPr>
            <w:tcW w:w="2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center"/>
              <w:ind w:right="380"/>
              <w:spacing w:after="0" w:line="201" w:lineRule="exact"/>
              <w:rPr>
                <w:sz w:val="20"/>
                <w:szCs w:val="20"/>
                <w:color w:val="auto"/>
              </w:rPr>
            </w:pPr>
            <w:r>
              <w:rPr>
                <w:rFonts w:ascii="Arial" w:cs="Arial" w:eastAsia="Arial" w:hAnsi="Arial"/>
                <w:sz w:val="18"/>
                <w:szCs w:val="18"/>
                <w:color w:val="auto"/>
                <w:w w:val="87"/>
              </w:rPr>
              <w:t>Gross</w:t>
            </w:r>
          </w:p>
        </w:tc>
        <w:tc>
          <w:tcPr>
            <w:tcW w:w="140" w:type="dxa"/>
            <w:vAlign w:val="bottom"/>
          </w:tcPr>
          <w:p>
            <w:pPr>
              <w:spacing w:after="0"/>
              <w:rPr>
                <w:sz w:val="17"/>
                <w:szCs w:val="17"/>
                <w:color w:val="auto"/>
              </w:rPr>
            </w:pPr>
          </w:p>
        </w:tc>
        <w:tc>
          <w:tcPr>
            <w:tcW w:w="940" w:type="dxa"/>
            <w:vAlign w:val="bottom"/>
            <w:gridSpan w:val="2"/>
          </w:tcPr>
          <w:p>
            <w:pPr>
              <w:jc w:val="center"/>
              <w:ind w:right="320"/>
              <w:spacing w:after="0" w:line="201" w:lineRule="exact"/>
              <w:rPr>
                <w:sz w:val="20"/>
                <w:szCs w:val="20"/>
                <w:color w:val="auto"/>
              </w:rPr>
            </w:pPr>
            <w:r>
              <w:rPr>
                <w:rFonts w:ascii="Arial" w:cs="Arial" w:eastAsia="Arial" w:hAnsi="Arial"/>
                <w:sz w:val="18"/>
                <w:szCs w:val="18"/>
                <w:color w:val="auto"/>
                <w:w w:val="87"/>
              </w:rPr>
              <w:t>Gross</w:t>
            </w:r>
          </w:p>
        </w:tc>
        <w:tc>
          <w:tcPr>
            <w:tcW w:w="140" w:type="dxa"/>
            <w:vAlign w:val="bottom"/>
          </w:tcPr>
          <w:p>
            <w:pPr>
              <w:spacing w:after="0"/>
              <w:rPr>
                <w:sz w:val="17"/>
                <w:szCs w:val="17"/>
                <w:color w:val="auto"/>
              </w:rPr>
            </w:pPr>
          </w:p>
        </w:tc>
        <w:tc>
          <w:tcPr>
            <w:tcW w:w="780" w:type="dxa"/>
            <w:vAlign w:val="bottom"/>
          </w:tcPr>
          <w:p>
            <w:pPr>
              <w:jc w:val="center"/>
              <w:ind w:right="70"/>
              <w:spacing w:after="0" w:line="201" w:lineRule="exact"/>
              <w:rPr>
                <w:sz w:val="20"/>
                <w:szCs w:val="20"/>
                <w:color w:val="auto"/>
              </w:rPr>
            </w:pPr>
            <w:r>
              <w:rPr>
                <w:rFonts w:ascii="Arial" w:cs="Arial" w:eastAsia="Arial" w:hAnsi="Arial"/>
                <w:sz w:val="18"/>
                <w:szCs w:val="18"/>
                <w:color w:val="auto"/>
                <w:w w:val="96"/>
              </w:rPr>
              <w:t>Fair</w:t>
            </w:r>
          </w:p>
        </w:tc>
        <w:tc>
          <w:tcPr>
            <w:tcW w:w="8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center"/>
              <w:ind w:right="200"/>
              <w:spacing w:after="0"/>
              <w:rPr>
                <w:sz w:val="20"/>
                <w:szCs w:val="20"/>
                <w:color w:val="auto"/>
              </w:rPr>
            </w:pPr>
            <w:r>
              <w:rPr>
                <w:rFonts w:ascii="Arial" w:cs="Arial" w:eastAsia="Arial" w:hAnsi="Arial"/>
                <w:sz w:val="18"/>
                <w:szCs w:val="18"/>
                <w:color w:val="auto"/>
                <w:w w:val="90"/>
              </w:rPr>
              <w:t>Unrealized</w:t>
            </w:r>
          </w:p>
        </w:tc>
        <w:tc>
          <w:tcPr>
            <w:tcW w:w="1080" w:type="dxa"/>
            <w:vAlign w:val="bottom"/>
            <w:gridSpan w:val="3"/>
          </w:tcPr>
          <w:p>
            <w:pPr>
              <w:jc w:val="center"/>
              <w:ind w:right="180"/>
              <w:spacing w:after="0"/>
              <w:rPr>
                <w:sz w:val="20"/>
                <w:szCs w:val="20"/>
                <w:color w:val="auto"/>
              </w:rPr>
            </w:pPr>
            <w:r>
              <w:rPr>
                <w:rFonts w:ascii="Arial" w:cs="Arial" w:eastAsia="Arial" w:hAnsi="Arial"/>
                <w:sz w:val="18"/>
                <w:szCs w:val="18"/>
                <w:color w:val="auto"/>
                <w:w w:val="90"/>
              </w:rPr>
              <w:t>Unrealized</w:t>
            </w:r>
          </w:p>
        </w:tc>
        <w:tc>
          <w:tcPr>
            <w:tcW w:w="140" w:type="dxa"/>
            <w:vAlign w:val="bottom"/>
          </w:tcPr>
          <w:p>
            <w:pPr>
              <w:spacing w:after="0"/>
              <w:rPr>
                <w:sz w:val="18"/>
                <w:szCs w:val="18"/>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Market</w:t>
            </w:r>
          </w:p>
        </w:tc>
      </w:tr>
      <w:tr>
        <w:trPr>
          <w:trHeight w:val="237"/>
        </w:trPr>
        <w:tc>
          <w:tcPr>
            <w:tcW w:w="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Cost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Gains</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7"/>
              </w:rPr>
              <w:t>Losses</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1"/>
              </w:rPr>
              <w:t>Value</w:t>
            </w: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FFCC"/>
          </w:tcPr>
          <w:p>
            <w:pPr>
              <w:spacing w:after="0"/>
              <w:rPr>
                <w:sz w:val="20"/>
                <w:szCs w:val="20"/>
                <w:color w:val="auto"/>
              </w:rPr>
            </w:pPr>
            <w:r>
              <w:rPr>
                <w:rFonts w:ascii="Arial" w:cs="Arial" w:eastAsia="Arial" w:hAnsi="Arial"/>
                <w:sz w:val="18"/>
                <w:szCs w:val="18"/>
                <w:color w:val="auto"/>
              </w:rPr>
              <w:t>Fixed income securities</w:t>
            </w:r>
          </w:p>
        </w:tc>
        <w:tc>
          <w:tcPr>
            <w:tcW w:w="1800" w:type="dxa"/>
            <w:vAlign w:val="bottom"/>
            <w:gridSpan w:val="2"/>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10,165</w:t>
            </w:r>
          </w:p>
        </w:tc>
        <w:tc>
          <w:tcPr>
            <w:tcW w:w="280" w:type="dxa"/>
            <w:vAlign w:val="bottom"/>
            <w:gridSpan w:val="2"/>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278</w:t>
            </w: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(803)</w:t>
            </w: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9,640</w:t>
            </w: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Equity securities</w:t>
            </w: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(92)</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358</w:t>
            </w:r>
          </w:p>
        </w:tc>
      </w:tr>
      <w:tr>
        <w:trPr>
          <w:trHeight w:val="27"/>
        </w:trPr>
        <w:tc>
          <w:tcPr>
            <w:tcW w:w="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3300" w:type="dxa"/>
            <w:vAlign w:val="bottom"/>
            <w:shd w:val="clear" w:color="auto" w:fill="CCFFCC"/>
          </w:tcPr>
          <w:p>
            <w:pPr>
              <w:spacing w:after="0"/>
              <w:rPr>
                <w:sz w:val="20"/>
                <w:szCs w:val="20"/>
                <w:color w:val="auto"/>
              </w:rPr>
            </w:pPr>
          </w:p>
        </w:tc>
        <w:tc>
          <w:tcPr>
            <w:tcW w:w="1600" w:type="dxa"/>
            <w:vAlign w:val="bottom"/>
            <w:shd w:val="clear" w:color="auto" w:fill="CCFFCC"/>
          </w:tcPr>
          <w:p>
            <w:pPr>
              <w:spacing w:after="0"/>
              <w:rPr>
                <w:sz w:val="20"/>
                <w:szCs w:val="20"/>
                <w:color w:val="auto"/>
              </w:rPr>
            </w:pPr>
          </w:p>
        </w:tc>
        <w:tc>
          <w:tcPr>
            <w:tcW w:w="2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10,615</w:t>
            </w:r>
          </w:p>
        </w:tc>
        <w:tc>
          <w:tcPr>
            <w:tcW w:w="280" w:type="dxa"/>
            <w:vAlign w:val="bottom"/>
            <w:gridSpan w:val="2"/>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278</w:t>
            </w: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(895)</w:t>
            </w: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9,998</w:t>
            </w:r>
          </w:p>
        </w:tc>
      </w:tr>
      <w:tr>
        <w:trPr>
          <w:trHeight w:val="20"/>
        </w:trPr>
        <w:tc>
          <w:tcPr>
            <w:tcW w:w="20" w:type="dxa"/>
            <w:vAlign w:val="bottom"/>
          </w:tcPr>
          <w:p>
            <w:pPr>
              <w:spacing w:after="0" w:line="20" w:lineRule="exact"/>
              <w:rPr>
                <w:sz w:val="1"/>
                <w:szCs w:val="1"/>
                <w:color w:val="auto"/>
              </w:rPr>
            </w:pPr>
          </w:p>
        </w:tc>
        <w:tc>
          <w:tcPr>
            <w:tcW w:w="3300" w:type="dxa"/>
            <w:vAlign w:val="bottom"/>
            <w:tcBorders>
              <w:top w:val="single" w:sz="8" w:color="CCFFCC"/>
            </w:tcBorders>
            <w:shd w:val="clear" w:color="auto" w:fill="CCFFCC"/>
          </w:tcPr>
          <w:p>
            <w:pPr>
              <w:spacing w:after="0" w:line="20" w:lineRule="exact"/>
              <w:rPr>
                <w:sz w:val="1"/>
                <w:szCs w:val="1"/>
                <w:color w:val="auto"/>
              </w:rPr>
            </w:pPr>
          </w:p>
        </w:tc>
        <w:tc>
          <w:tcPr>
            <w:tcW w:w="160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bl>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the fair value and unrealized losses, aggregated by investment type and length of time that individual securities have been in a continuous unrealized loss position:</w:t>
      </w:r>
    </w:p>
    <w:p>
      <w:pPr>
        <w:spacing w:after="0" w:line="197" w:lineRule="exact"/>
        <w:rPr>
          <w:sz w:val="20"/>
          <w:szCs w:val="20"/>
          <w:color w:val="auto"/>
        </w:rPr>
      </w:pPr>
    </w:p>
    <w:tbl>
      <w:tblPr>
        <w:tblLayout w:type="fixed"/>
        <w:tblInd w:w="180" w:type="dxa"/>
        <w:tblCellMar>
          <w:top w:w="0" w:type="dxa"/>
          <w:left w:w="0" w:type="dxa"/>
          <w:bottom w:w="0" w:type="dxa"/>
          <w:right w:w="0" w:type="dxa"/>
        </w:tblCellMar>
      </w:tblPr>
      <w:tr>
        <w:trPr>
          <w:trHeight w:val="237"/>
        </w:trPr>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400" w:type="dxa"/>
            <w:vAlign w:val="bottom"/>
            <w:gridSpan w:val="6"/>
          </w:tcPr>
          <w:p>
            <w:pPr>
              <w:jc w:val="right"/>
              <w:ind w:right="520"/>
              <w:spacing w:after="0"/>
              <w:rPr>
                <w:sz w:val="20"/>
                <w:szCs w:val="20"/>
                <w:color w:val="auto"/>
              </w:rPr>
            </w:pPr>
            <w:r>
              <w:rPr>
                <w:rFonts w:ascii="Arial" w:cs="Arial" w:eastAsia="Arial" w:hAnsi="Arial"/>
                <w:sz w:val="18"/>
                <w:szCs w:val="18"/>
                <w:color w:val="auto"/>
              </w:rPr>
              <w:t>Less than 12 months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0" w:type="dxa"/>
            <w:vAlign w:val="bottom"/>
            <w:gridSpan w:val="6"/>
          </w:tcPr>
          <w:p>
            <w:pPr>
              <w:jc w:val="right"/>
              <w:ind w:right="600"/>
              <w:spacing w:after="0"/>
              <w:rPr>
                <w:sz w:val="20"/>
                <w:szCs w:val="20"/>
                <w:color w:val="auto"/>
              </w:rPr>
            </w:pPr>
            <w:r>
              <w:rPr>
                <w:rFonts w:ascii="Arial" w:cs="Arial" w:eastAsia="Arial" w:hAnsi="Arial"/>
                <w:sz w:val="18"/>
                <w:szCs w:val="18"/>
                <w:color w:val="auto"/>
              </w:rPr>
              <w:t>12 Months or more</w:t>
            </w:r>
          </w:p>
        </w:tc>
        <w:tc>
          <w:tcPr>
            <w:tcW w:w="200" w:type="dxa"/>
            <w:vAlign w:val="bottom"/>
          </w:tcPr>
          <w:p>
            <w:pPr>
              <w:spacing w:after="0"/>
              <w:rPr>
                <w:sz w:val="20"/>
                <w:szCs w:val="20"/>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Total</w:t>
            </w: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2"/>
        </w:trPr>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7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Fair</w:t>
            </w:r>
          </w:p>
        </w:tc>
        <w:tc>
          <w:tcPr>
            <w:tcW w:w="2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30"/>
              <w:spacing w:after="0" w:line="201" w:lineRule="exact"/>
              <w:rPr>
                <w:sz w:val="20"/>
                <w:szCs w:val="20"/>
                <w:color w:val="auto"/>
              </w:rPr>
            </w:pPr>
            <w:r>
              <w:rPr>
                <w:rFonts w:ascii="Arial" w:cs="Arial" w:eastAsia="Arial" w:hAnsi="Arial"/>
                <w:sz w:val="18"/>
                <w:szCs w:val="18"/>
                <w:color w:val="auto"/>
                <w:w w:val="90"/>
              </w:rPr>
              <w:t>Unrealized</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gridSpan w:val="2"/>
          </w:tcPr>
          <w:p>
            <w:pPr>
              <w:jc w:val="right"/>
              <w:ind w:right="460"/>
              <w:spacing w:after="0" w:line="201" w:lineRule="exact"/>
              <w:rPr>
                <w:sz w:val="20"/>
                <w:szCs w:val="20"/>
                <w:color w:val="auto"/>
              </w:rPr>
            </w:pPr>
            <w:r>
              <w:rPr>
                <w:rFonts w:ascii="Arial" w:cs="Arial" w:eastAsia="Arial" w:hAnsi="Arial"/>
                <w:sz w:val="18"/>
                <w:szCs w:val="18"/>
                <w:color w:val="auto"/>
              </w:rPr>
              <w:t>Fair</w:t>
            </w: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30"/>
              <w:spacing w:after="0" w:line="201" w:lineRule="exact"/>
              <w:rPr>
                <w:sz w:val="20"/>
                <w:szCs w:val="20"/>
                <w:color w:val="auto"/>
              </w:rPr>
            </w:pPr>
            <w:r>
              <w:rPr>
                <w:rFonts w:ascii="Arial" w:cs="Arial" w:eastAsia="Arial" w:hAnsi="Arial"/>
                <w:sz w:val="18"/>
                <w:szCs w:val="18"/>
                <w:color w:val="auto"/>
                <w:w w:val="88"/>
              </w:rPr>
              <w:t>Unrealized</w:t>
            </w:r>
          </w:p>
        </w:tc>
        <w:tc>
          <w:tcPr>
            <w:tcW w:w="1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gridSpan w:val="2"/>
          </w:tcPr>
          <w:p>
            <w:pPr>
              <w:jc w:val="right"/>
              <w:ind w:right="560"/>
              <w:spacing w:after="0" w:line="201" w:lineRule="exact"/>
              <w:rPr>
                <w:sz w:val="20"/>
                <w:szCs w:val="20"/>
                <w:color w:val="auto"/>
              </w:rPr>
            </w:pPr>
            <w:r>
              <w:rPr>
                <w:rFonts w:ascii="Arial" w:cs="Arial" w:eastAsia="Arial" w:hAnsi="Arial"/>
                <w:sz w:val="18"/>
                <w:szCs w:val="18"/>
                <w:color w:val="auto"/>
              </w:rPr>
              <w:t>Fair</w:t>
            </w:r>
          </w:p>
        </w:tc>
        <w:tc>
          <w:tcPr>
            <w:tcW w:w="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30"/>
              <w:spacing w:after="0" w:line="201" w:lineRule="exact"/>
              <w:rPr>
                <w:sz w:val="20"/>
                <w:szCs w:val="20"/>
                <w:color w:val="auto"/>
              </w:rPr>
            </w:pPr>
            <w:r>
              <w:rPr>
                <w:rFonts w:ascii="Arial" w:cs="Arial" w:eastAsia="Arial" w:hAnsi="Arial"/>
                <w:sz w:val="18"/>
                <w:szCs w:val="18"/>
                <w:color w:val="auto"/>
                <w:w w:val="90"/>
              </w:rPr>
              <w:t>Unrealized</w:t>
            </w:r>
          </w:p>
        </w:tc>
        <w:tc>
          <w:tcPr>
            <w:tcW w:w="80" w:type="dxa"/>
            <w:vAlign w:val="bottom"/>
          </w:tcPr>
          <w:p>
            <w:pPr>
              <w:spacing w:after="0"/>
              <w:rPr>
                <w:sz w:val="17"/>
                <w:szCs w:val="17"/>
                <w:color w:val="auto"/>
              </w:rPr>
            </w:pPr>
          </w:p>
        </w:tc>
      </w:tr>
      <w:tr>
        <w:trPr>
          <w:trHeight w:val="237"/>
        </w:trPr>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Value</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Losses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Value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Losses</w:t>
            </w:r>
          </w:p>
        </w:tc>
        <w:tc>
          <w:tcPr>
            <w:tcW w:w="200" w:type="dxa"/>
            <w:vAlign w:val="bottom"/>
          </w:tcPr>
          <w:p>
            <w:pPr>
              <w:spacing w:after="0"/>
              <w:rPr>
                <w:sz w:val="20"/>
                <w:szCs w:val="20"/>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Value</w:t>
            </w:r>
          </w:p>
        </w:tc>
        <w:tc>
          <w:tcPr>
            <w:tcW w:w="80" w:type="dxa"/>
            <w:vAlign w:val="bottom"/>
          </w:tcPr>
          <w:p>
            <w:pPr>
              <w:spacing w:after="0"/>
              <w:rPr>
                <w:sz w:val="20"/>
                <w:szCs w:val="20"/>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Losses</w:t>
            </w:r>
          </w:p>
        </w:tc>
      </w:tr>
      <w:tr>
        <w:trPr>
          <w:trHeight w:val="176"/>
        </w:trPr>
        <w:tc>
          <w:tcPr>
            <w:tcW w:w="160" w:type="dxa"/>
            <w:vAlign w:val="bottom"/>
            <w:shd w:val="clear" w:color="auto" w:fill="CCFFCC"/>
          </w:tcPr>
          <w:p>
            <w:pPr>
              <w:spacing w:after="0"/>
              <w:rPr>
                <w:sz w:val="15"/>
                <w:szCs w:val="15"/>
                <w:color w:val="auto"/>
              </w:rPr>
            </w:pPr>
          </w:p>
        </w:tc>
        <w:tc>
          <w:tcPr>
            <w:tcW w:w="2780" w:type="dxa"/>
            <w:vAlign w:val="bottom"/>
            <w:gridSpan w:val="3"/>
            <w:shd w:val="clear" w:color="auto" w:fill="CCFFCC"/>
          </w:tcPr>
          <w:p>
            <w:pPr>
              <w:spacing w:after="0" w:line="176" w:lineRule="exact"/>
              <w:rPr>
                <w:sz w:val="20"/>
                <w:szCs w:val="20"/>
                <w:color w:val="auto"/>
              </w:rPr>
            </w:pPr>
            <w:r>
              <w:rPr>
                <w:rFonts w:ascii="Arial" w:cs="Arial" w:eastAsia="Arial" w:hAnsi="Arial"/>
                <w:sz w:val="18"/>
                <w:szCs w:val="18"/>
                <w:color w:val="auto"/>
              </w:rPr>
              <w:t>October 31, 2009</w:t>
            </w:r>
          </w:p>
        </w:tc>
        <w:tc>
          <w:tcPr>
            <w:tcW w:w="740" w:type="dxa"/>
            <w:vAlign w:val="bottom"/>
            <w:tcBorders>
              <w:top w:val="single" w:sz="8" w:color="auto"/>
            </w:tcBorders>
            <w:shd w:val="clear" w:color="auto" w:fill="CCFFCC"/>
          </w:tcPr>
          <w:p>
            <w:pPr>
              <w:spacing w:after="0"/>
              <w:rPr>
                <w:sz w:val="15"/>
                <w:szCs w:val="15"/>
                <w:color w:val="auto"/>
              </w:rPr>
            </w:pPr>
          </w:p>
        </w:tc>
        <w:tc>
          <w:tcPr>
            <w:tcW w:w="280" w:type="dxa"/>
            <w:vAlign w:val="bottom"/>
            <w:tcBorders>
              <w:top w:val="single" w:sz="8" w:color="auto"/>
            </w:tcBorders>
            <w:shd w:val="clear" w:color="auto" w:fill="CCFFCC"/>
          </w:tcPr>
          <w:p>
            <w:pPr>
              <w:spacing w:after="0"/>
              <w:rPr>
                <w:sz w:val="15"/>
                <w:szCs w:val="15"/>
                <w:color w:val="auto"/>
              </w:rPr>
            </w:pPr>
          </w:p>
        </w:tc>
        <w:tc>
          <w:tcPr>
            <w:tcW w:w="220" w:type="dxa"/>
            <w:vAlign w:val="bottom"/>
            <w:shd w:val="clear" w:color="auto" w:fill="CCFFCC"/>
          </w:tcPr>
          <w:p>
            <w:pPr>
              <w:spacing w:after="0"/>
              <w:rPr>
                <w:sz w:val="15"/>
                <w:szCs w:val="15"/>
                <w:color w:val="auto"/>
              </w:rPr>
            </w:pPr>
          </w:p>
        </w:tc>
        <w:tc>
          <w:tcPr>
            <w:tcW w:w="100" w:type="dxa"/>
            <w:vAlign w:val="bottom"/>
            <w:tcBorders>
              <w:top w:val="single" w:sz="8" w:color="auto"/>
            </w:tcBorders>
            <w:shd w:val="clear" w:color="auto" w:fill="CCFFCC"/>
          </w:tcPr>
          <w:p>
            <w:pPr>
              <w:spacing w:after="0"/>
              <w:rPr>
                <w:sz w:val="15"/>
                <w:szCs w:val="15"/>
                <w:color w:val="auto"/>
              </w:rPr>
            </w:pPr>
          </w:p>
        </w:tc>
        <w:tc>
          <w:tcPr>
            <w:tcW w:w="920" w:type="dxa"/>
            <w:vAlign w:val="bottom"/>
            <w:tcBorders>
              <w:top w:val="single" w:sz="8" w:color="auto"/>
            </w:tcBorders>
            <w:shd w:val="clear" w:color="auto" w:fill="CCFFCC"/>
          </w:tcPr>
          <w:p>
            <w:pPr>
              <w:spacing w:after="0"/>
              <w:rPr>
                <w:sz w:val="15"/>
                <w:szCs w:val="15"/>
                <w:color w:val="auto"/>
              </w:rPr>
            </w:pPr>
          </w:p>
        </w:tc>
        <w:tc>
          <w:tcPr>
            <w:tcW w:w="14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200" w:type="dxa"/>
            <w:vAlign w:val="bottom"/>
            <w:tcBorders>
              <w:top w:val="single" w:sz="8" w:color="auto"/>
            </w:tcBorders>
            <w:shd w:val="clear" w:color="auto" w:fill="CCFFCC"/>
          </w:tcPr>
          <w:p>
            <w:pPr>
              <w:spacing w:after="0"/>
              <w:rPr>
                <w:sz w:val="15"/>
                <w:szCs w:val="15"/>
                <w:color w:val="auto"/>
              </w:rPr>
            </w:pPr>
          </w:p>
        </w:tc>
        <w:tc>
          <w:tcPr>
            <w:tcW w:w="820" w:type="dxa"/>
            <w:vAlign w:val="bottom"/>
            <w:tcBorders>
              <w:top w:val="single" w:sz="8" w:color="auto"/>
            </w:tcBorders>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100" w:type="dxa"/>
            <w:vAlign w:val="bottom"/>
            <w:tcBorders>
              <w:top w:val="single" w:sz="8" w:color="auto"/>
            </w:tcBorders>
            <w:shd w:val="clear" w:color="auto" w:fill="CCFFCC"/>
          </w:tcPr>
          <w:p>
            <w:pPr>
              <w:spacing w:after="0"/>
              <w:rPr>
                <w:sz w:val="15"/>
                <w:szCs w:val="15"/>
                <w:color w:val="auto"/>
              </w:rPr>
            </w:pPr>
          </w:p>
        </w:tc>
        <w:tc>
          <w:tcPr>
            <w:tcW w:w="900" w:type="dxa"/>
            <w:vAlign w:val="bottom"/>
            <w:tcBorders>
              <w:top w:val="single" w:sz="8" w:color="auto"/>
            </w:tcBorders>
            <w:shd w:val="clear" w:color="auto" w:fill="CCFFCC"/>
          </w:tcPr>
          <w:p>
            <w:pPr>
              <w:spacing w:after="0"/>
              <w:rPr>
                <w:sz w:val="15"/>
                <w:szCs w:val="15"/>
                <w:color w:val="auto"/>
              </w:rPr>
            </w:pPr>
          </w:p>
        </w:tc>
        <w:tc>
          <w:tcPr>
            <w:tcW w:w="180" w:type="dxa"/>
            <w:vAlign w:val="bottom"/>
            <w:shd w:val="clear" w:color="auto" w:fill="CCFFCC"/>
          </w:tcPr>
          <w:p>
            <w:pPr>
              <w:spacing w:after="0"/>
              <w:rPr>
                <w:sz w:val="15"/>
                <w:szCs w:val="15"/>
                <w:color w:val="auto"/>
              </w:rPr>
            </w:pPr>
          </w:p>
        </w:tc>
        <w:tc>
          <w:tcPr>
            <w:tcW w:w="200" w:type="dxa"/>
            <w:vAlign w:val="bottom"/>
            <w:tcBorders>
              <w:top w:val="single" w:sz="8" w:color="auto"/>
            </w:tcBorders>
            <w:shd w:val="clear" w:color="auto" w:fill="CCFFCC"/>
          </w:tcPr>
          <w:p>
            <w:pPr>
              <w:spacing w:after="0"/>
              <w:rPr>
                <w:sz w:val="15"/>
                <w:szCs w:val="15"/>
                <w:color w:val="auto"/>
              </w:rPr>
            </w:pPr>
          </w:p>
        </w:tc>
        <w:tc>
          <w:tcPr>
            <w:tcW w:w="800" w:type="dxa"/>
            <w:vAlign w:val="bottom"/>
            <w:tcBorders>
              <w:top w:val="single" w:sz="8" w:color="auto"/>
            </w:tcBorders>
            <w:shd w:val="clear" w:color="auto" w:fill="CCFFCC"/>
          </w:tcPr>
          <w:p>
            <w:pPr>
              <w:spacing w:after="0"/>
              <w:rPr>
                <w:sz w:val="15"/>
                <w:szCs w:val="15"/>
                <w:color w:val="auto"/>
              </w:rPr>
            </w:pPr>
          </w:p>
        </w:tc>
        <w:tc>
          <w:tcPr>
            <w:tcW w:w="200" w:type="dxa"/>
            <w:vAlign w:val="bottom"/>
            <w:shd w:val="clear" w:color="auto" w:fill="CCFFCC"/>
          </w:tcPr>
          <w:p>
            <w:pPr>
              <w:spacing w:after="0"/>
              <w:rPr>
                <w:sz w:val="15"/>
                <w:szCs w:val="15"/>
                <w:color w:val="auto"/>
              </w:rPr>
            </w:pPr>
          </w:p>
        </w:tc>
        <w:tc>
          <w:tcPr>
            <w:tcW w:w="80" w:type="dxa"/>
            <w:vAlign w:val="bottom"/>
            <w:tcBorders>
              <w:top w:val="single" w:sz="8" w:color="auto"/>
            </w:tcBorders>
            <w:shd w:val="clear" w:color="auto" w:fill="CCFFCC"/>
          </w:tcPr>
          <w:p>
            <w:pPr>
              <w:spacing w:after="0"/>
              <w:rPr>
                <w:sz w:val="15"/>
                <w:szCs w:val="15"/>
                <w:color w:val="auto"/>
              </w:rPr>
            </w:pPr>
          </w:p>
        </w:tc>
        <w:tc>
          <w:tcPr>
            <w:tcW w:w="920" w:type="dxa"/>
            <w:vAlign w:val="bottom"/>
            <w:tcBorders>
              <w:top w:val="single" w:sz="8" w:color="auto"/>
            </w:tcBorders>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r>
      <w:tr>
        <w:trPr>
          <w:trHeight w:val="21"/>
        </w:trPr>
        <w:tc>
          <w:tcPr>
            <w:tcW w:w="160" w:type="dxa"/>
            <w:vAlign w:val="bottom"/>
            <w:tcBorders>
              <w:top w:val="single" w:sz="8" w:color="CCFFCC"/>
            </w:tcBorders>
            <w:shd w:val="clear" w:color="auto" w:fill="CCFFCC"/>
          </w:tcPr>
          <w:p>
            <w:pPr>
              <w:spacing w:after="0" w:line="20" w:lineRule="exact"/>
              <w:rPr>
                <w:sz w:val="1"/>
                <w:szCs w:val="1"/>
                <w:color w:val="auto"/>
              </w:rPr>
            </w:pPr>
          </w:p>
        </w:tc>
        <w:tc>
          <w:tcPr>
            <w:tcW w:w="1040" w:type="dxa"/>
            <w:vAlign w:val="bottom"/>
            <w:tcBorders>
              <w:top w:val="single" w:sz="8" w:color="auto"/>
            </w:tcBorders>
            <w:shd w:val="clear" w:color="auto" w:fill="CCFFCC"/>
          </w:tcPr>
          <w:p>
            <w:pPr>
              <w:spacing w:after="0" w:line="20" w:lineRule="exact"/>
              <w:rPr>
                <w:sz w:val="1"/>
                <w:szCs w:val="1"/>
                <w:color w:val="auto"/>
              </w:rPr>
            </w:pPr>
          </w:p>
        </w:tc>
        <w:tc>
          <w:tcPr>
            <w:tcW w:w="200" w:type="dxa"/>
            <w:vAlign w:val="bottom"/>
            <w:tcBorders>
              <w:top w:val="single" w:sz="8" w:color="auto"/>
            </w:tcBorders>
            <w:shd w:val="clear" w:color="auto" w:fill="CCFFCC"/>
          </w:tcPr>
          <w:p>
            <w:pPr>
              <w:spacing w:after="0" w:line="20" w:lineRule="exact"/>
              <w:rPr>
                <w:sz w:val="1"/>
                <w:szCs w:val="1"/>
                <w:color w:val="auto"/>
              </w:rPr>
            </w:pPr>
          </w:p>
        </w:tc>
        <w:tc>
          <w:tcPr>
            <w:tcW w:w="1540" w:type="dxa"/>
            <w:vAlign w:val="bottom"/>
            <w:tcBorders>
              <w:top w:val="single" w:sz="8" w:color="CCFFCC"/>
            </w:tcBorders>
            <w:shd w:val="clear" w:color="auto" w:fill="CCFFCC"/>
          </w:tcPr>
          <w:p>
            <w:pPr>
              <w:spacing w:after="0" w:line="20" w:lineRule="exact"/>
              <w:rPr>
                <w:sz w:val="1"/>
                <w:szCs w:val="1"/>
                <w:color w:val="auto"/>
              </w:rPr>
            </w:pPr>
          </w:p>
        </w:tc>
        <w:tc>
          <w:tcPr>
            <w:tcW w:w="740" w:type="dxa"/>
            <w:vAlign w:val="bottom"/>
            <w:tcBorders>
              <w:top w:val="single" w:sz="8" w:color="CCFFCC"/>
            </w:tcBorders>
            <w:shd w:val="clear" w:color="auto" w:fill="CCFFCC"/>
          </w:tcPr>
          <w:p>
            <w:pPr>
              <w:spacing w:after="0" w:line="20" w:lineRule="exact"/>
              <w:rPr>
                <w:sz w:val="1"/>
                <w:szCs w:val="1"/>
                <w:color w:val="auto"/>
              </w:rPr>
            </w:pPr>
          </w:p>
        </w:tc>
        <w:tc>
          <w:tcPr>
            <w:tcW w:w="28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90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r>
        <w:trPr>
          <w:trHeight w:val="216"/>
        </w:trPr>
        <w:tc>
          <w:tcPr>
            <w:tcW w:w="2940" w:type="dxa"/>
            <w:vAlign w:val="bottom"/>
            <w:gridSpan w:val="4"/>
          </w:tcPr>
          <w:p>
            <w:pPr>
              <w:spacing w:after="0"/>
              <w:rPr>
                <w:sz w:val="20"/>
                <w:szCs w:val="20"/>
                <w:color w:val="auto"/>
              </w:rPr>
            </w:pPr>
            <w:r>
              <w:rPr>
                <w:rFonts w:ascii="Arial" w:cs="Arial" w:eastAsia="Arial" w:hAnsi="Arial"/>
                <w:sz w:val="18"/>
                <w:szCs w:val="18"/>
                <w:color w:val="auto"/>
              </w:rPr>
              <w:t>Fixed Income Securities</w:t>
            </w:r>
          </w:p>
        </w:tc>
        <w:tc>
          <w:tcPr>
            <w:tcW w:w="740" w:type="dxa"/>
            <w:vAlign w:val="bottom"/>
          </w:tcPr>
          <w:p>
            <w:pPr>
              <w:jc w:val="right"/>
              <w:ind w:right="579"/>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504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1,783</w:t>
            </w:r>
          </w:p>
        </w:tc>
        <w:tc>
          <w:tcPr>
            <w:tcW w:w="10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(269)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2,287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(272)</w:t>
            </w:r>
          </w:p>
        </w:tc>
      </w:tr>
      <w:tr>
        <w:trPr>
          <w:trHeight w:val="216"/>
        </w:trPr>
        <w:tc>
          <w:tcPr>
            <w:tcW w:w="2940" w:type="dxa"/>
            <w:vAlign w:val="bottom"/>
            <w:gridSpan w:val="4"/>
            <w:shd w:val="clear" w:color="auto" w:fill="CCFFCC"/>
          </w:tcPr>
          <w:p>
            <w:pPr>
              <w:spacing w:after="0"/>
              <w:rPr>
                <w:sz w:val="20"/>
                <w:szCs w:val="20"/>
                <w:color w:val="auto"/>
              </w:rPr>
            </w:pPr>
            <w:r>
              <w:rPr>
                <w:rFonts w:ascii="Arial" w:cs="Arial" w:eastAsia="Arial" w:hAnsi="Arial"/>
                <w:sz w:val="18"/>
                <w:szCs w:val="18"/>
                <w:color w:val="auto"/>
              </w:rPr>
              <w:t>Equity Securities</w:t>
            </w:r>
          </w:p>
        </w:tc>
        <w:tc>
          <w:tcPr>
            <w:tcW w:w="740" w:type="dxa"/>
            <w:vAlign w:val="bottom"/>
            <w:shd w:val="clear" w:color="auto" w:fill="CCFFCC"/>
          </w:tcPr>
          <w:p>
            <w:pPr>
              <w:spacing w:after="0"/>
              <w:rPr>
                <w:sz w:val="18"/>
                <w:szCs w:val="18"/>
                <w:color w:val="auto"/>
              </w:rPr>
            </w:pPr>
          </w:p>
        </w:tc>
        <w:tc>
          <w:tcPr>
            <w:tcW w:w="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r>
      <w:tr>
        <w:trPr>
          <w:trHeight w:val="27"/>
        </w:trPr>
        <w:tc>
          <w:tcPr>
            <w:tcW w:w="160" w:type="dxa"/>
            <w:vAlign w:val="bottom"/>
            <w:shd w:val="clear" w:color="auto" w:fill="CCFFCC"/>
          </w:tcPr>
          <w:p>
            <w:pPr>
              <w:spacing w:after="0"/>
              <w:rPr>
                <w:sz w:val="2"/>
                <w:szCs w:val="2"/>
                <w:color w:val="auto"/>
              </w:rPr>
            </w:pPr>
          </w:p>
        </w:tc>
        <w:tc>
          <w:tcPr>
            <w:tcW w:w="1040" w:type="dxa"/>
            <w:vAlign w:val="bottom"/>
            <w:shd w:val="clear" w:color="auto" w:fill="CCFFCC"/>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1540" w:type="dxa"/>
            <w:vAlign w:val="bottom"/>
            <w:shd w:val="clear" w:color="auto" w:fill="CCFFCC"/>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0" w:type="dxa"/>
            <w:vAlign w:val="bottom"/>
            <w:shd w:val="clear" w:color="auto" w:fill="CCFFCC"/>
          </w:tcPr>
          <w:p>
            <w:pPr>
              <w:spacing w:after="0"/>
              <w:rPr>
                <w:sz w:val="2"/>
                <w:szCs w:val="2"/>
                <w:color w:val="auto"/>
              </w:rPr>
            </w:pPr>
          </w:p>
        </w:tc>
      </w:tr>
      <w:tr>
        <w:trPr>
          <w:trHeight w:val="216"/>
        </w:trPr>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40" w:type="dxa"/>
            <w:vAlign w:val="bottom"/>
          </w:tcPr>
          <w:p>
            <w:pPr>
              <w:jc w:val="right"/>
              <w:ind w:right="579"/>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504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1,783</w:t>
            </w:r>
          </w:p>
        </w:tc>
        <w:tc>
          <w:tcPr>
            <w:tcW w:w="10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(269)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2,287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(272)</w:t>
            </w:r>
          </w:p>
        </w:tc>
      </w:tr>
      <w:tr>
        <w:trPr>
          <w:trHeight w:val="21"/>
        </w:trPr>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9"/>
        </w:trPr>
        <w:tc>
          <w:tcPr>
            <w:tcW w:w="160" w:type="dxa"/>
            <w:vAlign w:val="bottom"/>
            <w:shd w:val="clear" w:color="auto" w:fill="CCFFCC"/>
          </w:tcPr>
          <w:p>
            <w:pPr>
              <w:spacing w:after="0"/>
              <w:rPr>
                <w:sz w:val="14"/>
                <w:szCs w:val="14"/>
                <w:color w:val="auto"/>
              </w:rPr>
            </w:pPr>
          </w:p>
        </w:tc>
        <w:tc>
          <w:tcPr>
            <w:tcW w:w="2780" w:type="dxa"/>
            <w:vAlign w:val="bottom"/>
            <w:gridSpan w:val="3"/>
            <w:shd w:val="clear" w:color="auto" w:fill="CCFFCC"/>
          </w:tcPr>
          <w:p>
            <w:pPr>
              <w:spacing w:after="0" w:line="170" w:lineRule="exact"/>
              <w:rPr>
                <w:sz w:val="20"/>
                <w:szCs w:val="20"/>
                <w:color w:val="auto"/>
              </w:rPr>
            </w:pPr>
            <w:r>
              <w:rPr>
                <w:rFonts w:ascii="Arial" w:cs="Arial" w:eastAsia="Arial" w:hAnsi="Arial"/>
                <w:sz w:val="18"/>
                <w:szCs w:val="18"/>
                <w:color w:val="auto"/>
              </w:rPr>
              <w:t>April 30, 2009</w:t>
            </w:r>
          </w:p>
        </w:tc>
        <w:tc>
          <w:tcPr>
            <w:tcW w:w="740" w:type="dxa"/>
            <w:vAlign w:val="bottom"/>
            <w:shd w:val="clear" w:color="auto" w:fill="CCFFCC"/>
          </w:tcPr>
          <w:p>
            <w:pPr>
              <w:spacing w:after="0"/>
              <w:rPr>
                <w:sz w:val="14"/>
                <w:szCs w:val="14"/>
                <w:color w:val="auto"/>
              </w:rPr>
            </w:pPr>
          </w:p>
        </w:tc>
        <w:tc>
          <w:tcPr>
            <w:tcW w:w="28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92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90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92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r>
      <w:tr>
        <w:trPr>
          <w:trHeight w:val="21"/>
        </w:trPr>
        <w:tc>
          <w:tcPr>
            <w:tcW w:w="160" w:type="dxa"/>
            <w:vAlign w:val="bottom"/>
            <w:tcBorders>
              <w:top w:val="single" w:sz="8" w:color="CCFFCC"/>
            </w:tcBorders>
            <w:shd w:val="clear" w:color="auto" w:fill="CCFFCC"/>
          </w:tcPr>
          <w:p>
            <w:pPr>
              <w:spacing w:after="0" w:line="20" w:lineRule="exact"/>
              <w:rPr>
                <w:sz w:val="1"/>
                <w:szCs w:val="1"/>
                <w:color w:val="auto"/>
              </w:rPr>
            </w:pPr>
          </w:p>
        </w:tc>
        <w:tc>
          <w:tcPr>
            <w:tcW w:w="1040" w:type="dxa"/>
            <w:vAlign w:val="bottom"/>
            <w:tcBorders>
              <w:top w:val="single" w:sz="8" w:color="auto"/>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540" w:type="dxa"/>
            <w:vAlign w:val="bottom"/>
            <w:tcBorders>
              <w:top w:val="single" w:sz="8" w:color="CCFFCC"/>
            </w:tcBorders>
            <w:shd w:val="clear" w:color="auto" w:fill="CCFFCC"/>
          </w:tcPr>
          <w:p>
            <w:pPr>
              <w:spacing w:after="0" w:line="20" w:lineRule="exact"/>
              <w:rPr>
                <w:sz w:val="1"/>
                <w:szCs w:val="1"/>
                <w:color w:val="auto"/>
              </w:rPr>
            </w:pPr>
          </w:p>
        </w:tc>
        <w:tc>
          <w:tcPr>
            <w:tcW w:w="740" w:type="dxa"/>
            <w:vAlign w:val="bottom"/>
            <w:tcBorders>
              <w:top w:val="single" w:sz="8" w:color="CCFFCC"/>
            </w:tcBorders>
            <w:shd w:val="clear" w:color="auto" w:fill="CCFFCC"/>
          </w:tcPr>
          <w:p>
            <w:pPr>
              <w:spacing w:after="0" w:line="20" w:lineRule="exact"/>
              <w:rPr>
                <w:sz w:val="1"/>
                <w:szCs w:val="1"/>
                <w:color w:val="auto"/>
              </w:rPr>
            </w:pPr>
          </w:p>
        </w:tc>
        <w:tc>
          <w:tcPr>
            <w:tcW w:w="28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90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r>
        <w:trPr>
          <w:trHeight w:val="216"/>
        </w:trPr>
        <w:tc>
          <w:tcPr>
            <w:tcW w:w="2940" w:type="dxa"/>
            <w:vAlign w:val="bottom"/>
            <w:gridSpan w:val="4"/>
          </w:tcPr>
          <w:p>
            <w:pPr>
              <w:spacing w:after="0"/>
              <w:rPr>
                <w:sz w:val="20"/>
                <w:szCs w:val="20"/>
                <w:color w:val="auto"/>
              </w:rPr>
            </w:pPr>
            <w:r>
              <w:rPr>
                <w:rFonts w:ascii="Arial" w:cs="Arial" w:eastAsia="Arial" w:hAnsi="Arial"/>
                <w:sz w:val="18"/>
                <w:szCs w:val="18"/>
                <w:color w:val="auto"/>
              </w:rPr>
              <w:t>Fixed Income Securities</w:t>
            </w:r>
          </w:p>
        </w:tc>
        <w:tc>
          <w:tcPr>
            <w:tcW w:w="740" w:type="dxa"/>
            <w:vAlign w:val="bottom"/>
          </w:tcPr>
          <w:p>
            <w:pPr>
              <w:jc w:val="right"/>
              <w:ind w:right="579"/>
              <w:spacing w:after="0"/>
              <w:rPr>
                <w:sz w:val="20"/>
                <w:szCs w:val="20"/>
                <w:color w:val="auto"/>
              </w:rPr>
            </w:pPr>
            <w:r>
              <w:rPr>
                <w:rFonts w:ascii="Arial" w:cs="Arial" w:eastAsia="Arial" w:hAnsi="Arial"/>
                <w:sz w:val="15"/>
                <w:szCs w:val="15"/>
                <w:color w:val="auto"/>
                <w:w w:val="71"/>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2,268</w:t>
            </w:r>
          </w:p>
        </w:tc>
        <w:tc>
          <w:tcPr>
            <w:tcW w:w="10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(803)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2,268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(803)</w:t>
            </w:r>
          </w:p>
        </w:tc>
      </w:tr>
      <w:tr>
        <w:trPr>
          <w:trHeight w:val="216"/>
        </w:trPr>
        <w:tc>
          <w:tcPr>
            <w:tcW w:w="2940" w:type="dxa"/>
            <w:vAlign w:val="bottom"/>
            <w:gridSpan w:val="4"/>
            <w:shd w:val="clear" w:color="auto" w:fill="CCFFCC"/>
          </w:tcPr>
          <w:p>
            <w:pPr>
              <w:spacing w:after="0"/>
              <w:rPr>
                <w:sz w:val="20"/>
                <w:szCs w:val="20"/>
                <w:color w:val="auto"/>
              </w:rPr>
            </w:pPr>
            <w:r>
              <w:rPr>
                <w:rFonts w:ascii="Arial" w:cs="Arial" w:eastAsia="Arial" w:hAnsi="Arial"/>
                <w:sz w:val="18"/>
                <w:szCs w:val="18"/>
                <w:color w:val="auto"/>
              </w:rPr>
              <w:t>Equity Securities</w:t>
            </w:r>
          </w:p>
        </w:tc>
        <w:tc>
          <w:tcPr>
            <w:tcW w:w="740" w:type="dxa"/>
            <w:vAlign w:val="bottom"/>
            <w:shd w:val="clear" w:color="auto" w:fill="CCFFCC"/>
          </w:tcPr>
          <w:p>
            <w:pPr>
              <w:spacing w:after="0"/>
              <w:rPr>
                <w:sz w:val="18"/>
                <w:szCs w:val="18"/>
                <w:color w:val="auto"/>
              </w:rPr>
            </w:pPr>
          </w:p>
        </w:tc>
        <w:tc>
          <w:tcPr>
            <w:tcW w:w="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358</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(92)</w:t>
            </w:r>
          </w:p>
        </w:tc>
        <w:tc>
          <w:tcPr>
            <w:tcW w:w="20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358</w:t>
            </w:r>
          </w:p>
        </w:tc>
        <w:tc>
          <w:tcPr>
            <w:tcW w:w="8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(92)</w:t>
            </w:r>
          </w:p>
        </w:tc>
      </w:tr>
      <w:tr>
        <w:trPr>
          <w:trHeight w:val="27"/>
        </w:trPr>
        <w:tc>
          <w:tcPr>
            <w:tcW w:w="160" w:type="dxa"/>
            <w:vAlign w:val="bottom"/>
            <w:shd w:val="clear" w:color="auto" w:fill="CCFFCC"/>
          </w:tcPr>
          <w:p>
            <w:pPr>
              <w:spacing w:after="0"/>
              <w:rPr>
                <w:sz w:val="2"/>
                <w:szCs w:val="2"/>
                <w:color w:val="auto"/>
              </w:rPr>
            </w:pPr>
          </w:p>
        </w:tc>
        <w:tc>
          <w:tcPr>
            <w:tcW w:w="1040" w:type="dxa"/>
            <w:vAlign w:val="bottom"/>
            <w:shd w:val="clear" w:color="auto" w:fill="CCFFCC"/>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1540" w:type="dxa"/>
            <w:vAlign w:val="bottom"/>
            <w:shd w:val="clear" w:color="auto" w:fill="CCFFCC"/>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0" w:type="dxa"/>
            <w:vAlign w:val="bottom"/>
            <w:shd w:val="clear" w:color="auto" w:fill="CCFFCC"/>
          </w:tcPr>
          <w:p>
            <w:pPr>
              <w:spacing w:after="0"/>
              <w:rPr>
                <w:sz w:val="2"/>
                <w:szCs w:val="2"/>
                <w:color w:val="auto"/>
              </w:rPr>
            </w:pPr>
          </w:p>
        </w:tc>
      </w:tr>
      <w:tr>
        <w:trPr>
          <w:trHeight w:val="216"/>
        </w:trPr>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40" w:type="dxa"/>
            <w:vAlign w:val="bottom"/>
          </w:tcPr>
          <w:p>
            <w:pPr>
              <w:jc w:val="right"/>
              <w:ind w:right="579"/>
              <w:spacing w:after="0"/>
              <w:rPr>
                <w:sz w:val="20"/>
                <w:szCs w:val="20"/>
                <w:color w:val="auto"/>
              </w:rPr>
            </w:pPr>
            <w:r>
              <w:rPr>
                <w:rFonts w:ascii="Arial" w:cs="Arial" w:eastAsia="Arial" w:hAnsi="Arial"/>
                <w:sz w:val="15"/>
                <w:szCs w:val="15"/>
                <w:color w:val="auto"/>
                <w:w w:val="71"/>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2,626</w:t>
            </w:r>
          </w:p>
        </w:tc>
        <w:tc>
          <w:tcPr>
            <w:tcW w:w="10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(895)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2,626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(895)</w:t>
            </w:r>
          </w:p>
        </w:tc>
      </w:tr>
      <w:tr>
        <w:trPr>
          <w:trHeight w:val="21"/>
        </w:trPr>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regularly reviews its investment portfolio to identify and evaluate investments that have indications of possible impairment. The Company does not believe that its investments in marketable securities with unrealized losses at October 31, 2009 are other-than-temporary due to market volatility of the security’s fair value, analysts’ expectations and the Company’s ability to hold the securities for a period of time sufficient to allow for any anticipated recoveries in market value.</w:t>
      </w:r>
    </w:p>
    <w:p>
      <w:pPr>
        <w:spacing w:after="0" w:line="214"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During the six and three month periods ended October 31, 2009, the Company did not sell or redeem any available-for-sale securities. Accordingly, there were no realized gains or losses included in the determination of net income (loss) for those periods. During the six and three month periods ended October 31, 2008, the Company sold available-for-sale securities with a market value of $1,036,000 and realized a gain of approximately $22,000 in those periods.</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Maturities of fixed income securities classified as available-for-sale at October 31, 2009 are as follows, at cost (in thousands):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20" w:type="dxa"/>
            <w:vAlign w:val="bottom"/>
          </w:tcPr>
          <w:p>
            <w:pPr>
              <w:spacing w:after="0"/>
              <w:rPr>
                <w:sz w:val="18"/>
                <w:szCs w:val="18"/>
                <w:color w:val="auto"/>
              </w:rPr>
            </w:pPr>
          </w:p>
        </w:tc>
        <w:tc>
          <w:tcPr>
            <w:tcW w:w="3200" w:type="dxa"/>
            <w:vAlign w:val="bottom"/>
            <w:shd w:val="clear" w:color="auto" w:fill="CCFFCC"/>
          </w:tcPr>
          <w:p>
            <w:pPr>
              <w:spacing w:after="0"/>
              <w:rPr>
                <w:sz w:val="20"/>
                <w:szCs w:val="20"/>
                <w:color w:val="auto"/>
              </w:rPr>
            </w:pPr>
            <w:r>
              <w:rPr>
                <w:rFonts w:ascii="Arial" w:cs="Arial" w:eastAsia="Arial" w:hAnsi="Arial"/>
                <w:sz w:val="18"/>
                <w:szCs w:val="18"/>
                <w:color w:val="auto"/>
              </w:rPr>
              <w:t>Current</w:t>
            </w:r>
          </w:p>
        </w:tc>
        <w:tc>
          <w:tcPr>
            <w:tcW w:w="4100" w:type="dxa"/>
            <w:vAlign w:val="bottom"/>
            <w:gridSpan w:val="2"/>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Due after one year through five years</w:t>
            </w:r>
          </w:p>
        </w:tc>
        <w:tc>
          <w:tcPr>
            <w:tcW w:w="3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8,136</w:t>
            </w:r>
          </w:p>
        </w:tc>
        <w:tc>
          <w:tcPr>
            <w:tcW w:w="1720" w:type="dxa"/>
            <w:vAlign w:val="bottom"/>
          </w:tcPr>
          <w:p>
            <w:pPr>
              <w:spacing w:after="0"/>
              <w:rPr>
                <w:sz w:val="18"/>
                <w:szCs w:val="18"/>
                <w:color w:val="auto"/>
              </w:rPr>
            </w:pPr>
          </w:p>
        </w:tc>
      </w:tr>
      <w:tr>
        <w:trPr>
          <w:trHeight w:val="223"/>
        </w:trPr>
        <w:tc>
          <w:tcPr>
            <w:tcW w:w="1720" w:type="dxa"/>
            <w:vAlign w:val="bottom"/>
          </w:tcPr>
          <w:p>
            <w:pPr>
              <w:spacing w:after="0"/>
              <w:rPr>
                <w:sz w:val="19"/>
                <w:szCs w:val="19"/>
                <w:color w:val="auto"/>
              </w:rPr>
            </w:pPr>
          </w:p>
        </w:tc>
        <w:tc>
          <w:tcPr>
            <w:tcW w:w="32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Due after five years through ten years</w:t>
            </w:r>
          </w:p>
        </w:tc>
        <w:tc>
          <w:tcPr>
            <w:tcW w:w="3900" w:type="dxa"/>
            <w:vAlign w:val="bottom"/>
            <w:tcBorders>
              <w:bottom w:val="single" w:sz="8" w:color="CCFFCC"/>
            </w:tcBorders>
            <w:shd w:val="clear" w:color="auto" w:fill="CCFFCC"/>
          </w:tcPr>
          <w:p>
            <w:pPr>
              <w:spacing w:after="0"/>
              <w:rPr>
                <w:sz w:val="19"/>
                <w:szCs w:val="19"/>
                <w:color w:val="auto"/>
              </w:rPr>
            </w:pPr>
          </w:p>
        </w:tc>
        <w:tc>
          <w:tcPr>
            <w:tcW w:w="200" w:type="dxa"/>
            <w:vAlign w:val="bottom"/>
            <w:tcBorders>
              <w:bottom w:val="single" w:sz="8" w:color="auto"/>
            </w:tcBorders>
            <w:shd w:val="clear" w:color="auto" w:fill="CCFFCC"/>
          </w:tcPr>
          <w:p>
            <w:pPr>
              <w:spacing w:after="0"/>
              <w:rPr>
                <w:sz w:val="19"/>
                <w:szCs w:val="19"/>
                <w:color w:val="auto"/>
              </w:rPr>
            </w:pPr>
          </w:p>
        </w:tc>
        <w:tc>
          <w:tcPr>
            <w:tcW w:w="680" w:type="dxa"/>
            <w:vAlign w:val="bottom"/>
            <w:tcBorders>
              <w:bottom w:val="single" w:sz="8" w:color="auto"/>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2,029</w:t>
            </w:r>
          </w:p>
        </w:tc>
        <w:tc>
          <w:tcPr>
            <w:tcW w:w="1720" w:type="dxa"/>
            <w:vAlign w:val="bottom"/>
          </w:tcPr>
          <w:p>
            <w:pPr>
              <w:spacing w:after="0"/>
              <w:rPr>
                <w:sz w:val="19"/>
                <w:szCs w:val="19"/>
                <w:color w:val="auto"/>
              </w:rPr>
            </w:pPr>
          </w:p>
        </w:tc>
      </w:tr>
      <w:tr>
        <w:trPr>
          <w:trHeight w:val="216"/>
        </w:trPr>
        <w:tc>
          <w:tcPr>
            <w:tcW w:w="17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10,165</w:t>
            </w:r>
          </w:p>
        </w:tc>
        <w:tc>
          <w:tcPr>
            <w:tcW w:w="1720" w:type="dxa"/>
            <w:vAlign w:val="bottom"/>
          </w:tcPr>
          <w:p>
            <w:pPr>
              <w:spacing w:after="0"/>
              <w:rPr>
                <w:sz w:val="18"/>
                <w:szCs w:val="18"/>
                <w:color w:val="auto"/>
              </w:rPr>
            </w:pPr>
          </w:p>
        </w:tc>
      </w:tr>
      <w:tr>
        <w:trPr>
          <w:trHeight w:val="21"/>
        </w:trPr>
        <w:tc>
          <w:tcPr>
            <w:tcW w:w="17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601"/>
        </w:trPr>
        <w:tc>
          <w:tcPr>
            <w:tcW w:w="17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4100" w:type="dxa"/>
            <w:vAlign w:val="bottom"/>
            <w:gridSpan w:val="2"/>
          </w:tcPr>
          <w:p>
            <w:pPr>
              <w:jc w:val="right"/>
              <w:ind w:right="2910"/>
              <w:spacing w:after="0"/>
              <w:rPr>
                <w:sz w:val="20"/>
                <w:szCs w:val="20"/>
                <w:color w:val="auto"/>
              </w:rPr>
            </w:pPr>
            <w:r>
              <w:rPr>
                <w:rFonts w:ascii="Arial" w:cs="Arial" w:eastAsia="Arial" w:hAnsi="Arial"/>
                <w:sz w:val="18"/>
                <w:szCs w:val="18"/>
                <w:color w:val="auto"/>
              </w:rPr>
              <w:t>10 of 21</w:t>
            </w:r>
          </w:p>
        </w:tc>
        <w:tc>
          <w:tcPr>
            <w:tcW w:w="68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18"/>
        </w:trPr>
        <w:tc>
          <w:tcPr>
            <w:tcW w:w="1720" w:type="dxa"/>
            <w:vAlign w:val="bottom"/>
            <w:tcBorders>
              <w:bottom w:val="single" w:sz="8" w:color="808080"/>
            </w:tcBorders>
          </w:tcPr>
          <w:p>
            <w:pPr>
              <w:spacing w:after="0"/>
              <w:rPr>
                <w:sz w:val="10"/>
                <w:szCs w:val="10"/>
                <w:color w:val="auto"/>
              </w:rPr>
            </w:pPr>
          </w:p>
        </w:tc>
        <w:tc>
          <w:tcPr>
            <w:tcW w:w="3200" w:type="dxa"/>
            <w:vAlign w:val="bottom"/>
            <w:tcBorders>
              <w:bottom w:val="single" w:sz="8" w:color="808080"/>
            </w:tcBorders>
          </w:tcPr>
          <w:p>
            <w:pPr>
              <w:spacing w:after="0"/>
              <w:rPr>
                <w:sz w:val="10"/>
                <w:szCs w:val="10"/>
                <w:color w:val="auto"/>
              </w:rPr>
            </w:pPr>
          </w:p>
        </w:tc>
        <w:tc>
          <w:tcPr>
            <w:tcW w:w="39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7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The fair value accounting framework provides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are described below:</w:t>
      </w:r>
    </w:p>
    <w:p>
      <w:pPr>
        <w:spacing w:after="0" w:line="193" w:lineRule="exact"/>
        <w:rPr>
          <w:sz w:val="20"/>
          <w:szCs w:val="20"/>
          <w:color w:val="auto"/>
        </w:rPr>
      </w:pPr>
    </w:p>
    <w:p>
      <w:pPr>
        <w:ind w:left="1140" w:right="120" w:hanging="647"/>
        <w:spacing w:after="0" w:line="277" w:lineRule="auto"/>
        <w:rPr>
          <w:sz w:val="20"/>
          <w:szCs w:val="20"/>
          <w:color w:val="auto"/>
        </w:rPr>
      </w:pPr>
      <w:r>
        <w:rPr>
          <w:rFonts w:ascii="Arial" w:cs="Arial" w:eastAsia="Arial" w:hAnsi="Arial"/>
          <w:sz w:val="18"/>
          <w:szCs w:val="18"/>
          <w:color w:val="auto"/>
        </w:rPr>
        <w:t>Level 1 Inputs to the valuation methodology are unadjusted quoted prices for identical assets or liabilities in active markets that the Company has the ability to access.</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Level 2 Inputs to the valuation methodology include:</w:t>
      </w:r>
    </w:p>
    <w:p>
      <w:pPr>
        <w:spacing w:after="0" w:line="23" w:lineRule="exact"/>
        <w:rPr>
          <w:sz w:val="20"/>
          <w:szCs w:val="20"/>
          <w:color w:val="auto"/>
        </w:rPr>
      </w:pPr>
    </w:p>
    <w:p>
      <w:pPr>
        <w:ind w:left="1460" w:hanging="155"/>
        <w:spacing w:after="0"/>
        <w:tabs>
          <w:tab w:leader="none" w:pos="1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Quoted prices for similar assets or liabilities in active markets;</w:t>
      </w:r>
    </w:p>
    <w:p>
      <w:pPr>
        <w:spacing w:after="0" w:line="9" w:lineRule="exact"/>
        <w:rPr>
          <w:rFonts w:ascii="Arial" w:cs="Arial" w:eastAsia="Arial" w:hAnsi="Arial"/>
          <w:sz w:val="18"/>
          <w:szCs w:val="18"/>
          <w:color w:val="auto"/>
        </w:rPr>
      </w:pPr>
    </w:p>
    <w:p>
      <w:pPr>
        <w:ind w:left="1460" w:hanging="155"/>
        <w:spacing w:after="0"/>
        <w:tabs>
          <w:tab w:leader="none" w:pos="1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inactive markets</w:t>
      </w:r>
    </w:p>
    <w:p>
      <w:pPr>
        <w:spacing w:after="0" w:line="9" w:lineRule="exact"/>
        <w:rPr>
          <w:rFonts w:ascii="Arial" w:cs="Arial" w:eastAsia="Arial" w:hAnsi="Arial"/>
          <w:sz w:val="18"/>
          <w:szCs w:val="18"/>
          <w:color w:val="auto"/>
        </w:rPr>
      </w:pPr>
    </w:p>
    <w:p>
      <w:pPr>
        <w:ind w:left="1460" w:hanging="155"/>
        <w:spacing w:after="0"/>
        <w:tabs>
          <w:tab w:leader="none" w:pos="1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Inputs other than quoted prices that are observable for the asset or liability;</w:t>
      </w:r>
    </w:p>
    <w:p>
      <w:pPr>
        <w:spacing w:after="0" w:line="21" w:lineRule="exact"/>
        <w:rPr>
          <w:rFonts w:ascii="Arial" w:cs="Arial" w:eastAsia="Arial" w:hAnsi="Arial"/>
          <w:sz w:val="18"/>
          <w:szCs w:val="18"/>
          <w:color w:val="auto"/>
        </w:rPr>
      </w:pPr>
    </w:p>
    <w:p>
      <w:pPr>
        <w:ind w:left="1480" w:hanging="175"/>
        <w:spacing w:after="0"/>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Inputs that are derived principally from or corroborated by observable market data by correlation or other means.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Level 3 Inputs to the valuation methodology are unobservable and significant to the fair value measurement.</w:t>
      </w:r>
    </w:p>
    <w:p>
      <w:pPr>
        <w:spacing w:after="0" w:line="279"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asset’s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 All of the Company’s investments in marketable securities are Level 1 assets.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NOTE I - RECENTLY ISSUED ACCOUNTING PRONOUNCEMENTS</w:t>
      </w:r>
    </w:p>
    <w:p>
      <w:pPr>
        <w:spacing w:after="0" w:line="252"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In October 2009, the FASB issued authoritative guidance on revenue recognition that will become effective for the Company beginning May 1, 2010, with earlier adoption permitted. Under the new guidance on arrangements that include software elements, tangible products that have software components that are essential to the functionality of the tangible product will no longer be within the scope of the software revenue recognition guidance, and software-enabled products will now be subject to other relevant revenue recognition guidance. Additionally, the FASB issued authoritative guidance on revenue arrangements with multiple deliverables that are outside the scope of the software revenue recognition guidance. Under the new guidance, when vendor specific objective evidence or third party evidence for deliverables in an arrangement cannot be determined, a best estimate of the selling price is required to separate deliverables and allocate arrangement consideration using the relative selling price method. The new guidance includes new disclosure requirements on how the application of the relative selling price method affects the timing and amount of revenue recognition. In the event that early adoption is elected, the Company would be required to determine the relative selling price for all deliverables in a multiple element arrangement based on the hierarchy identified in the new standard. The Company would also be required to apply the standard retrospectively to the beginning of the year and to the comparable prior period for disclosure purposes. The Company is currently evaluating the impact this new guidance may have on its condensed consolidated financial statements. Early adoption of the standard is unlikely.</w:t>
      </w:r>
    </w:p>
    <w:p>
      <w:pPr>
        <w:spacing w:after="0" w:line="207"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In June 2009, the FASB issued authoritative guidance codifying a single source of authoritative nongovernmental U.S. GAAP. This guidance does not change current U.S. GAAP, but is intended to simplify user access to all authoritative U.S. GAAP by providing all authoritative literature related to a particular topic in one place. All existing accounting standard documents will be superseded and all other accounting literature not included in the FASB Codification will be considered non-authoritative. These provisions were effective for interim and annual periods ending after September 15, 2009 and, accordingly, are effective for the Company in the current fiscal reporting period. The adoption of this pronouncement did not have an impact on the Company’s condensed consolidated financial statements, but will impact its financial reporting process by eliminating all references to pre-codification standards. On the effective date, the Codification superseded all then-existing non-SEC accounting and reporting standards, and all other non-grandfathered non-SEC accounting literature not included in the Codification became non-authoritative.</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 of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jc w:val="both"/>
        <w:ind w:firstLine="486"/>
        <w:spacing w:after="0" w:line="312" w:lineRule="auto"/>
        <w:rPr>
          <w:sz w:val="20"/>
          <w:szCs w:val="20"/>
          <w:color w:val="auto"/>
        </w:rPr>
      </w:pPr>
      <w:r>
        <w:rPr>
          <w:rFonts w:ascii="Arial" w:cs="Arial" w:eastAsia="Arial" w:hAnsi="Arial"/>
          <w:sz w:val="16"/>
          <w:szCs w:val="16"/>
          <w:color w:val="auto"/>
        </w:rPr>
        <w:t>In May 2009, the FASB issued guidelines on subsequent event accounting which establishes general standards of accounting for, and requires disclosure of, events that occur after the balance sheet date but before financial statements are issued or are available to be issued. The Company adopted these amendments effective May 1, 2009 and has evaluated subsequent events through the date these financial statements were filed on December 15, 2009.</w:t>
      </w:r>
    </w:p>
    <w:p>
      <w:pPr>
        <w:spacing w:after="0" w:line="174" w:lineRule="exact"/>
        <w:rPr>
          <w:sz w:val="20"/>
          <w:szCs w:val="20"/>
          <w:color w:val="auto"/>
        </w:rPr>
      </w:pPr>
    </w:p>
    <w:p>
      <w:pPr>
        <w:jc w:val="both"/>
        <w:ind w:firstLine="486"/>
        <w:spacing w:after="0" w:line="312" w:lineRule="auto"/>
        <w:rPr>
          <w:sz w:val="20"/>
          <w:szCs w:val="20"/>
          <w:color w:val="auto"/>
        </w:rPr>
      </w:pPr>
      <w:r>
        <w:rPr>
          <w:rFonts w:ascii="Arial" w:cs="Arial" w:eastAsia="Arial" w:hAnsi="Arial"/>
          <w:sz w:val="16"/>
          <w:szCs w:val="16"/>
          <w:color w:val="auto"/>
        </w:rPr>
        <w:t>In April 2009, the FASB issued new guidance on the recognition of other-than-temporary impairments of investments in debt securities and provides new presentation and disclosure requirements for other-than-temporary impairments of investments in debt and equity securities. The Company adopted these provisions during the first quarter of fiscal year 2010. The adoption did not have a material effect on its consolidated financial statements.</w:t>
      </w:r>
    </w:p>
    <w:p>
      <w:pPr>
        <w:spacing w:after="0" w:line="174"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In April 2009, the FASB issued guidance which requires disclosures about fair value of financial instruments in interim and annual financial statements. The new requirements were effective for interim periods ending after June 15, 2009 and the Company adopted these requirements in the first quarter of fiscal year 2010. The adoption did not have a material effect on its consolidated financial statements.</w:t>
      </w:r>
    </w:p>
    <w:p>
      <w:pPr>
        <w:spacing w:after="0" w:line="208"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In September 2006, the FASB issued guidance which defines fair value, establishes a framework for measuring fair value and expands disclosures about fair value measurements. This guidance is contained in ASC Topic 820, “Fair Value Measurements and Disclosures” (“ASC Topic 820”). In February 2008, the FASB deferred the effective date to January 1, 2009 for all nonfinancial assets and liabilities, except for those that are recognized or disclosed at fair value on a recurring basis (that is, at least annually). The Company adopted the provisions of ASC Topic 820 in fiscal year 2009. With the adoption of new accounting rules, fair value is now determined as an exit price, representing the price that would be received in an orderly transaction between market participants based on the highest and best use of the asset rather than as the result of an internally-generated cash flow analysis. In April 2009, the FASB issued additional guidance for estimating fair value in accordance with ASC Topic 820. The additional guidance addresses determining fair value when the volume and level of activity for an asset or liability have significantly decreased and identifying transactions that are not orderly. The Company adopted the provision of this guidance during its first quarter of fiscal year 2010, ended July 31, 2009. The adoption did not have a material effect on its consolidated financial statements.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NOTE J – SUBSEQUENT EVENTS</w:t>
      </w:r>
    </w:p>
    <w:p>
      <w:pPr>
        <w:spacing w:after="0" w:line="25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In accordance with current accounting standards, the Company has evaluated subsequent events through the time of filing of this Form 10-Q, which was on December 15, 2009.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NOTE K – TREASURY STOCK TRANSACTIONS</w:t>
      </w:r>
    </w:p>
    <w:p>
      <w:pPr>
        <w:spacing w:after="0" w:line="252"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During the six month period ended October 31, 2009, the Company made a contribution of 40,434 shares of its common stock held in treasury to the Company’s profit sharing plan and trust under section 401(k) of the Internal Revenue Code. Such contribution is in accordance with the Company’s discretionary match of employee voluntary contributions to this plan.</w:t>
      </w:r>
    </w:p>
    <w:p>
      <w:pPr>
        <w:spacing w:after="0" w:line="204"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 of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48"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Item 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Management’s Discussion and Analysis of Financial Condition and 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“Safe Harbor” Statement under the Private Securities Litigation Reform Act of 1995</w:t>
      </w:r>
      <w:r>
        <w:rPr>
          <w:rFonts w:ascii="Arial" w:cs="Arial" w:eastAsia="Arial" w:hAnsi="Arial"/>
          <w:sz w:val="18"/>
          <w:szCs w:val="18"/>
          <w:color w:val="auto"/>
        </w:rPr>
        <w:t>:</w:t>
      </w:r>
    </w:p>
    <w:p>
      <w:pPr>
        <w:spacing w:after="0" w:line="252"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The statements in this quarterly report on Form 10-Q regarding future earnings and operations and other statements relating to the future constitute "forward-looking" statements pursuant to the safe harbor provisions of the Private Securities Litigation Reform Act of 1995. Forward-looking statements inherently involve risks and uncertainties that could cause actual results to differ materially from the forward-looking statements. Factors that would cause or contribute to such differences include, but are not limited to, continued acceptance of the Company's products in the marketplace, competitive factors, new products and technological changes, product prices and raw material costs, dependence upon third-party vendors, competitive developments, changes in manufacturing and transportation costs, changes in contractual terms, the availability of capital, and other risks detailed in the Company's periodic report filings with the Securities and Exchange Commission. By making these forward-looking statements, the Company undertakes no obligation to update these statements for revisions or changes after the date of this report.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Company’s significant accounting policies are described in Note 1 to the consolidated financial statements included in the Company’s April 30, 2009 Annual Report to Stockholders. The Company believes its most critical accounting policies to be the recognition of revenue and costs on production contracts and the valuation of inventory. Each of these areas requires the Company to make use of reasoned estimates including estimating the cost to complete a contract, the realizable value of its inventory or the market value of its products. Changes in estimates can have a material impact on the Company’s financial position and results of operations.</w:t>
      </w:r>
    </w:p>
    <w:p>
      <w:pPr>
        <w:spacing w:after="0" w:line="215"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Revenue Recognition</w:t>
      </w:r>
    </w:p>
    <w:p>
      <w:pPr>
        <w:spacing w:after="0" w:line="252"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Revenues under larger, long-term contracts which generally require billings based on achievement of milestones rather than delivery of product, are reported in operating results using the percentage of completion method. On fixed-price contracts, which are typical for commercial and U.S. Government satellite programs and other long-term U.S. Government projects, and which require initial design and development of the product, revenue is recognized on the cost-to-cost method. Under this method, revenue is recorded based upon the ratio that incurred costs bear to total estimated contract costs with related cost of sales recorded as the costs are incurred. Each month management reviews estimated contract costs through a process of aggregating actual costs incurred and updating estimated costs to completion based upon the current available information and status of the contract. The effect of any change in the estimated gross margin percentage for a contract is reflected in revenues in the period in which the change is known. Provisions for anticipated losses on contracts are made in the period in which they become determinable.</w:t>
      </w:r>
    </w:p>
    <w:p>
      <w:pPr>
        <w:spacing w:after="0" w:line="206" w:lineRule="exact"/>
        <w:rPr>
          <w:sz w:val="20"/>
          <w:szCs w:val="20"/>
          <w:color w:val="auto"/>
        </w:rPr>
      </w:pPr>
    </w:p>
    <w:p>
      <w:pPr>
        <w:jc w:val="both"/>
        <w:ind w:firstLine="486"/>
        <w:spacing w:after="0" w:line="312" w:lineRule="auto"/>
        <w:rPr>
          <w:sz w:val="20"/>
          <w:szCs w:val="20"/>
          <w:color w:val="auto"/>
        </w:rPr>
      </w:pPr>
      <w:r>
        <w:rPr>
          <w:rFonts w:ascii="Arial" w:cs="Arial" w:eastAsia="Arial" w:hAnsi="Arial"/>
          <w:sz w:val="16"/>
          <w:szCs w:val="16"/>
          <w:color w:val="auto"/>
        </w:rPr>
        <w:t>On production-type orders, revenue is recorded as units are delivered with the related cost of sales recognized on each shipment based upon a percentage of estimated final program costs. Changes in job performance may result in revisions to costs and income and are recognized in the period in which revisions are determined to be required. Provisions for anticipated losses on contracts are made in the period in which they become determinable.</w:t>
      </w:r>
    </w:p>
    <w:p>
      <w:pPr>
        <w:spacing w:after="0" w:line="17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For customer orders in the Company’s Gillam-FEI and FEI-Zyfer segments or smaller contracts or orders in the FEI-NY segment, sales of products and services to customers are reported in operating results based upon (i) shipment of the product or (ii) performance of the services pursuant to terms of the customer order. When payment is contingent upon customer acceptance of the installed system, revenue is deferred until such acceptance is received and installation completed.</w:t>
      </w:r>
    </w:p>
    <w:p>
      <w:pPr>
        <w:spacing w:after="0" w:line="214"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Costs and Expenses</w:t>
      </w:r>
    </w:p>
    <w:p>
      <w:pPr>
        <w:spacing w:after="0" w:line="25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Contract costs include all direct material, direct labor costs, manufacturing overhead and other direct costs related to contract performance. Selling, general and administrative costs are charged to expense as incurred.</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 of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38"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Inventory</w:t>
      </w:r>
    </w:p>
    <w:p>
      <w:pPr>
        <w:spacing w:after="0" w:line="252"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In accordance with industry practice, inventoried costs contain amounts relating to contracts and programs with long production cycles, a portion of which will not be realized within one year. The Company writes down the value of slow-moving and obsolete inventory items based upon management’s experience and expectations for future business. Any write downs are reflected in cost of sales in the period the write downs are made.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jc w:val="both"/>
        <w:ind w:right="20" w:firstLine="486"/>
        <w:spacing w:after="0" w:line="258" w:lineRule="auto"/>
        <w:rPr>
          <w:sz w:val="20"/>
          <w:szCs w:val="20"/>
          <w:color w:val="auto"/>
        </w:rPr>
      </w:pPr>
      <w:r>
        <w:rPr>
          <w:rFonts w:ascii="Arial" w:cs="Arial" w:eastAsia="Arial" w:hAnsi="Arial"/>
          <w:sz w:val="18"/>
          <w:szCs w:val="18"/>
          <w:color w:val="auto"/>
        </w:rPr>
        <w:t>The table below sets forth for the respective periods of fiscal years 2010 and 2009 the percentage of consolidated revenues represented by certain items in the Company’s consolidated statements of operations:</w:t>
      </w:r>
    </w:p>
    <w:tbl>
      <w:tblPr>
        <w:tblLayout w:type="fixed"/>
        <w:tblInd w:w="36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1640" w:type="dxa"/>
            <w:vAlign w:val="bottom"/>
            <w:gridSpan w:val="3"/>
          </w:tcPr>
          <w:p>
            <w:pPr>
              <w:ind w:left="800"/>
              <w:spacing w:after="0" w:line="203" w:lineRule="exact"/>
              <w:rPr>
                <w:sz w:val="20"/>
                <w:szCs w:val="20"/>
                <w:color w:val="auto"/>
              </w:rPr>
            </w:pPr>
            <w:r>
              <w:rPr>
                <w:rFonts w:ascii="Arial" w:cs="Arial" w:eastAsia="Arial" w:hAnsi="Arial"/>
                <w:sz w:val="18"/>
                <w:szCs w:val="18"/>
                <w:color w:val="auto"/>
                <w:w w:val="92"/>
              </w:rPr>
              <w:t>Six months</w:t>
            </w: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60" w:type="dxa"/>
            <w:vAlign w:val="bottom"/>
            <w:gridSpan w:val="3"/>
          </w:tcPr>
          <w:p>
            <w:pPr>
              <w:ind w:left="740"/>
              <w:spacing w:after="0" w:line="203" w:lineRule="exact"/>
              <w:rPr>
                <w:sz w:val="20"/>
                <w:szCs w:val="20"/>
                <w:color w:val="auto"/>
              </w:rPr>
            </w:pPr>
            <w:r>
              <w:rPr>
                <w:rFonts w:ascii="Arial" w:cs="Arial" w:eastAsia="Arial" w:hAnsi="Arial"/>
                <w:sz w:val="18"/>
                <w:szCs w:val="18"/>
                <w:color w:val="auto"/>
                <w:w w:val="90"/>
              </w:rPr>
              <w:t>Three months</w:t>
            </w: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16"/>
        </w:trPr>
        <w:tc>
          <w:tcPr>
            <w:tcW w:w="5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60" w:type="dxa"/>
            <w:vAlign w:val="bottom"/>
            <w:gridSpan w:val="5"/>
          </w:tcPr>
          <w:p>
            <w:pPr>
              <w:ind w:left="20"/>
              <w:spacing w:after="0"/>
              <w:rPr>
                <w:sz w:val="20"/>
                <w:szCs w:val="20"/>
                <w:color w:val="auto"/>
              </w:rPr>
            </w:pPr>
            <w:r>
              <w:rPr>
                <w:rFonts w:ascii="Arial" w:cs="Arial" w:eastAsia="Arial" w:hAnsi="Arial"/>
                <w:sz w:val="18"/>
                <w:szCs w:val="18"/>
                <w:color w:val="auto"/>
              </w:rPr>
              <w:t>Periods ended October 31,</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7"/>
        </w:trPr>
        <w:tc>
          <w:tcPr>
            <w:tcW w:w="5620" w:type="dxa"/>
            <w:vAlign w:val="bottom"/>
          </w:tcPr>
          <w:p>
            <w:pPr>
              <w:spacing w:after="0"/>
              <w:rPr>
                <w:sz w:val="20"/>
                <w:szCs w:val="20"/>
                <w:color w:val="auto"/>
              </w:rPr>
            </w:pPr>
          </w:p>
        </w:tc>
        <w:tc>
          <w:tcPr>
            <w:tcW w:w="10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2009</w:t>
            </w: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2008</w:t>
            </w:r>
          </w:p>
        </w:tc>
        <w:tc>
          <w:tcPr>
            <w:tcW w:w="320" w:type="dxa"/>
            <w:vAlign w:val="bottom"/>
          </w:tcPr>
          <w:p>
            <w:pPr>
              <w:spacing w:after="0"/>
              <w:rPr>
                <w:sz w:val="20"/>
                <w:szCs w:val="20"/>
                <w:color w:val="auto"/>
              </w:rPr>
            </w:pPr>
          </w:p>
        </w:tc>
        <w:tc>
          <w:tcPr>
            <w:tcW w:w="1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2009</w:t>
            </w:r>
          </w:p>
        </w:tc>
        <w:tc>
          <w:tcPr>
            <w:tcW w:w="3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84"/>
              </w:rPr>
              <w:t>2008</w:t>
            </w:r>
          </w:p>
        </w:tc>
        <w:tc>
          <w:tcPr>
            <w:tcW w:w="220" w:type="dxa"/>
            <w:vAlign w:val="bottom"/>
          </w:tcPr>
          <w:p>
            <w:pPr>
              <w:spacing w:after="0"/>
              <w:rPr>
                <w:sz w:val="20"/>
                <w:szCs w:val="20"/>
                <w:color w:val="auto"/>
              </w:rPr>
            </w:pPr>
          </w:p>
        </w:tc>
      </w:tr>
      <w:tr>
        <w:trPr>
          <w:trHeight w:val="216"/>
        </w:trPr>
        <w:tc>
          <w:tcPr>
            <w:tcW w:w="5620" w:type="dxa"/>
            <w:vAlign w:val="bottom"/>
            <w:shd w:val="clear" w:color="auto" w:fill="CCFFCC"/>
          </w:tcPr>
          <w:p>
            <w:pPr>
              <w:spacing w:after="0"/>
              <w:rPr>
                <w:sz w:val="20"/>
                <w:szCs w:val="20"/>
                <w:color w:val="auto"/>
              </w:rPr>
            </w:pPr>
            <w:r>
              <w:rPr>
                <w:rFonts w:ascii="Arial" w:cs="Arial" w:eastAsia="Arial" w:hAnsi="Arial"/>
                <w:sz w:val="18"/>
                <w:szCs w:val="18"/>
                <w:color w:val="auto"/>
              </w:rPr>
              <w:t>Revenues</w:t>
            </w:r>
          </w:p>
        </w:tc>
        <w:tc>
          <w:tcPr>
            <w:tcW w:w="10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r>
      <w:tr>
        <w:trPr>
          <w:trHeight w:val="216"/>
        </w:trPr>
        <w:tc>
          <w:tcPr>
            <w:tcW w:w="5620" w:type="dxa"/>
            <w:vAlign w:val="bottom"/>
          </w:tcPr>
          <w:p>
            <w:pPr>
              <w:ind w:left="160"/>
              <w:spacing w:after="0"/>
              <w:rPr>
                <w:sz w:val="20"/>
                <w:szCs w:val="20"/>
                <w:color w:val="auto"/>
              </w:rPr>
            </w:pPr>
            <w:r>
              <w:rPr>
                <w:rFonts w:ascii="Arial" w:cs="Arial" w:eastAsia="Arial" w:hAnsi="Arial"/>
                <w:sz w:val="18"/>
                <w:szCs w:val="18"/>
                <w:color w:val="auto"/>
              </w:rPr>
              <w:t>FEI-NY</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58.8%</w:t>
            </w:r>
          </w:p>
        </w:tc>
        <w:tc>
          <w:tcPr>
            <w:tcW w:w="3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68.8%</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61.0%</w:t>
            </w:r>
          </w:p>
        </w:tc>
        <w:tc>
          <w:tcPr>
            <w:tcW w:w="36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69.8%</w:t>
            </w:r>
          </w:p>
        </w:tc>
      </w:tr>
      <w:tr>
        <w:trPr>
          <w:trHeight w:val="216"/>
        </w:trPr>
        <w:tc>
          <w:tcPr>
            <w:tcW w:w="56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Gillam-FEI</w:t>
            </w:r>
          </w:p>
        </w:tc>
        <w:tc>
          <w:tcPr>
            <w:tcW w:w="134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20.9</w:t>
            </w:r>
          </w:p>
        </w:tc>
        <w:tc>
          <w:tcPr>
            <w:tcW w:w="30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19.6</w:t>
            </w:r>
          </w:p>
        </w:tc>
        <w:tc>
          <w:tcPr>
            <w:tcW w:w="140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21.9</w:t>
            </w:r>
          </w:p>
        </w:tc>
        <w:tc>
          <w:tcPr>
            <w:tcW w:w="36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19.1</w:t>
            </w:r>
          </w:p>
        </w:tc>
      </w:tr>
      <w:tr>
        <w:trPr>
          <w:trHeight w:val="216"/>
        </w:trPr>
        <w:tc>
          <w:tcPr>
            <w:tcW w:w="5620" w:type="dxa"/>
            <w:vAlign w:val="bottom"/>
          </w:tcPr>
          <w:p>
            <w:pPr>
              <w:ind w:left="160"/>
              <w:spacing w:after="0"/>
              <w:rPr>
                <w:sz w:val="20"/>
                <w:szCs w:val="20"/>
                <w:color w:val="auto"/>
              </w:rPr>
            </w:pPr>
            <w:r>
              <w:rPr>
                <w:rFonts w:ascii="Arial" w:cs="Arial" w:eastAsia="Arial" w:hAnsi="Arial"/>
                <w:sz w:val="18"/>
                <w:szCs w:val="18"/>
                <w:color w:val="auto"/>
              </w:rPr>
              <w:t>FEI-Zyfer</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28.6</w:t>
            </w:r>
          </w:p>
        </w:tc>
        <w:tc>
          <w:tcPr>
            <w:tcW w:w="30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15.2</w:t>
            </w: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22.6</w:t>
            </w:r>
          </w:p>
        </w:tc>
        <w:tc>
          <w:tcPr>
            <w:tcW w:w="3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13.0</w:t>
            </w:r>
          </w:p>
        </w:tc>
      </w:tr>
      <w:tr>
        <w:trPr>
          <w:trHeight w:val="216"/>
        </w:trPr>
        <w:tc>
          <w:tcPr>
            <w:tcW w:w="56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Less intersegment revenues</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(8.3)</w:t>
            </w:r>
          </w:p>
        </w:tc>
        <w:tc>
          <w:tcPr>
            <w:tcW w:w="30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(3.6)</w:t>
            </w:r>
          </w:p>
        </w:tc>
        <w:tc>
          <w:tcPr>
            <w:tcW w:w="14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(5.5)</w:t>
            </w:r>
          </w:p>
        </w:tc>
        <w:tc>
          <w:tcPr>
            <w:tcW w:w="36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(1.9)</w:t>
            </w:r>
          </w:p>
        </w:tc>
      </w:tr>
      <w:tr>
        <w:trPr>
          <w:trHeight w:val="27"/>
        </w:trPr>
        <w:tc>
          <w:tcPr>
            <w:tcW w:w="5620" w:type="dxa"/>
            <w:vAlign w:val="bottom"/>
            <w:shd w:val="clear" w:color="auto" w:fill="CCFFCC"/>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shd w:val="clear" w:color="auto" w:fill="CCFFC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20" w:type="dxa"/>
            <w:vAlign w:val="bottom"/>
            <w:shd w:val="clear" w:color="auto" w:fill="CCFFCC"/>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r>
      <w:tr>
        <w:trPr>
          <w:trHeight w:val="216"/>
        </w:trPr>
        <w:tc>
          <w:tcPr>
            <w:tcW w:w="56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100.0</w:t>
            </w:r>
          </w:p>
        </w:tc>
        <w:tc>
          <w:tcPr>
            <w:tcW w:w="30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100.0</w:t>
            </w: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100.0</w:t>
            </w:r>
          </w:p>
        </w:tc>
        <w:tc>
          <w:tcPr>
            <w:tcW w:w="3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r>
      <w:tr>
        <w:trPr>
          <w:trHeight w:val="216"/>
        </w:trPr>
        <w:tc>
          <w:tcPr>
            <w:tcW w:w="5620" w:type="dxa"/>
            <w:vAlign w:val="bottom"/>
            <w:shd w:val="clear" w:color="auto" w:fill="CCFFCC"/>
          </w:tcPr>
          <w:p>
            <w:pPr>
              <w:spacing w:after="0"/>
              <w:rPr>
                <w:sz w:val="20"/>
                <w:szCs w:val="20"/>
                <w:color w:val="auto"/>
              </w:rPr>
            </w:pPr>
            <w:r>
              <w:rPr>
                <w:rFonts w:ascii="Arial" w:cs="Arial" w:eastAsia="Arial" w:hAnsi="Arial"/>
                <w:sz w:val="18"/>
                <w:szCs w:val="18"/>
                <w:color w:val="auto"/>
              </w:rPr>
              <w:t>Cost of revenues</w:t>
            </w:r>
          </w:p>
        </w:tc>
        <w:tc>
          <w:tcPr>
            <w:tcW w:w="134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63.5</w:t>
            </w:r>
          </w:p>
        </w:tc>
        <w:tc>
          <w:tcPr>
            <w:tcW w:w="30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78.2</w:t>
            </w:r>
          </w:p>
        </w:tc>
        <w:tc>
          <w:tcPr>
            <w:tcW w:w="140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61.4</w:t>
            </w:r>
          </w:p>
        </w:tc>
        <w:tc>
          <w:tcPr>
            <w:tcW w:w="36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80.6</w:t>
            </w:r>
          </w:p>
        </w:tc>
      </w:tr>
      <w:tr>
        <w:trPr>
          <w:trHeight w:val="27"/>
        </w:trPr>
        <w:tc>
          <w:tcPr>
            <w:tcW w:w="5620" w:type="dxa"/>
            <w:vAlign w:val="bottom"/>
            <w:shd w:val="clear" w:color="auto" w:fill="CCFFCC"/>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shd w:val="clear" w:color="auto" w:fill="CCFFC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20" w:type="dxa"/>
            <w:vAlign w:val="bottom"/>
            <w:shd w:val="clear" w:color="auto" w:fill="CCFFCC"/>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r>
      <w:tr>
        <w:trPr>
          <w:trHeight w:val="216"/>
        </w:trPr>
        <w:tc>
          <w:tcPr>
            <w:tcW w:w="5620" w:type="dxa"/>
            <w:vAlign w:val="bottom"/>
          </w:tcPr>
          <w:p>
            <w:pPr>
              <w:ind w:left="640"/>
              <w:spacing w:after="0"/>
              <w:rPr>
                <w:sz w:val="20"/>
                <w:szCs w:val="20"/>
                <w:color w:val="auto"/>
              </w:rPr>
            </w:pPr>
            <w:r>
              <w:rPr>
                <w:rFonts w:ascii="Arial" w:cs="Arial" w:eastAsia="Arial" w:hAnsi="Arial"/>
                <w:sz w:val="18"/>
                <w:szCs w:val="18"/>
                <w:color w:val="auto"/>
              </w:rPr>
              <w:t>Gross Margin</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36.5</w:t>
            </w:r>
          </w:p>
        </w:tc>
        <w:tc>
          <w:tcPr>
            <w:tcW w:w="30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21.8</w:t>
            </w: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38.6</w:t>
            </w:r>
          </w:p>
        </w:tc>
        <w:tc>
          <w:tcPr>
            <w:tcW w:w="3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19.4</w:t>
            </w:r>
          </w:p>
        </w:tc>
      </w:tr>
      <w:tr>
        <w:trPr>
          <w:trHeight w:val="216"/>
        </w:trPr>
        <w:tc>
          <w:tcPr>
            <w:tcW w:w="5620" w:type="dxa"/>
            <w:vAlign w:val="bottom"/>
            <w:shd w:val="clear" w:color="auto" w:fill="CCFFCC"/>
          </w:tcPr>
          <w:p>
            <w:pPr>
              <w:spacing w:after="0"/>
              <w:rPr>
                <w:sz w:val="20"/>
                <w:szCs w:val="20"/>
                <w:color w:val="auto"/>
              </w:rPr>
            </w:pPr>
            <w:r>
              <w:rPr>
                <w:rFonts w:ascii="Arial" w:cs="Arial" w:eastAsia="Arial" w:hAnsi="Arial"/>
                <w:sz w:val="18"/>
                <w:szCs w:val="18"/>
                <w:color w:val="auto"/>
              </w:rPr>
              <w:t>Selling and administrative expenses</w:t>
            </w:r>
          </w:p>
        </w:tc>
        <w:tc>
          <w:tcPr>
            <w:tcW w:w="134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22.4</w:t>
            </w:r>
          </w:p>
        </w:tc>
        <w:tc>
          <w:tcPr>
            <w:tcW w:w="30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21.9</w:t>
            </w:r>
          </w:p>
        </w:tc>
        <w:tc>
          <w:tcPr>
            <w:tcW w:w="140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24.4</w:t>
            </w:r>
          </w:p>
        </w:tc>
        <w:tc>
          <w:tcPr>
            <w:tcW w:w="36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20.2</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10.3</w:t>
            </w:r>
          </w:p>
        </w:tc>
        <w:tc>
          <w:tcPr>
            <w:tcW w:w="30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8.3</w:t>
            </w: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12.1</w:t>
            </w:r>
          </w:p>
        </w:tc>
        <w:tc>
          <w:tcPr>
            <w:tcW w:w="3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6.2</w:t>
            </w:r>
          </w:p>
        </w:tc>
      </w:tr>
      <w:tr>
        <w:trPr>
          <w:trHeight w:val="27"/>
        </w:trPr>
        <w:tc>
          <w:tcPr>
            <w:tcW w:w="562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16"/>
        </w:trPr>
        <w:tc>
          <w:tcPr>
            <w:tcW w:w="5620" w:type="dxa"/>
            <w:vAlign w:val="bottom"/>
            <w:shd w:val="clear" w:color="auto" w:fill="CCFFCC"/>
          </w:tcPr>
          <w:p>
            <w:pPr>
              <w:spacing w:after="0"/>
              <w:rPr>
                <w:sz w:val="20"/>
                <w:szCs w:val="20"/>
                <w:color w:val="auto"/>
              </w:rPr>
            </w:pPr>
            <w:r>
              <w:rPr>
                <w:rFonts w:ascii="Arial" w:cs="Arial" w:eastAsia="Arial" w:hAnsi="Arial"/>
                <w:sz w:val="18"/>
                <w:szCs w:val="18"/>
                <w:color w:val="auto"/>
              </w:rPr>
              <w:t>Operating Profit (Loss)</w:t>
            </w:r>
          </w:p>
        </w:tc>
        <w:tc>
          <w:tcPr>
            <w:tcW w:w="134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3.8</w:t>
            </w:r>
          </w:p>
        </w:tc>
        <w:tc>
          <w:tcPr>
            <w:tcW w:w="30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(8.4)</w:t>
            </w:r>
          </w:p>
        </w:tc>
        <w:tc>
          <w:tcPr>
            <w:tcW w:w="140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2.1</w:t>
            </w:r>
          </w:p>
        </w:tc>
        <w:tc>
          <w:tcPr>
            <w:tcW w:w="36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(7.0)</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(0.2)</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(3.2)</w:t>
            </w:r>
          </w:p>
        </w:tc>
        <w:tc>
          <w:tcPr>
            <w:tcW w:w="3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r>
      <w:tr>
        <w:trPr>
          <w:trHeight w:val="27"/>
        </w:trPr>
        <w:tc>
          <w:tcPr>
            <w:tcW w:w="562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16"/>
        </w:trPr>
        <w:tc>
          <w:tcPr>
            <w:tcW w:w="5620" w:type="dxa"/>
            <w:vAlign w:val="bottom"/>
            <w:shd w:val="clear" w:color="auto" w:fill="CCFFCC"/>
          </w:tcPr>
          <w:p>
            <w:pPr>
              <w:spacing w:after="0"/>
              <w:rPr>
                <w:sz w:val="20"/>
                <w:szCs w:val="20"/>
                <w:color w:val="auto"/>
              </w:rPr>
            </w:pPr>
            <w:r>
              <w:rPr>
                <w:rFonts w:ascii="Arial" w:cs="Arial" w:eastAsia="Arial" w:hAnsi="Arial"/>
                <w:sz w:val="18"/>
                <w:szCs w:val="18"/>
                <w:color w:val="auto"/>
              </w:rPr>
              <w:t>Pretax Income (Loss)</w:t>
            </w:r>
          </w:p>
        </w:tc>
        <w:tc>
          <w:tcPr>
            <w:tcW w:w="134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2.2</w:t>
            </w:r>
          </w:p>
        </w:tc>
        <w:tc>
          <w:tcPr>
            <w:tcW w:w="30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(8.6)</w:t>
            </w:r>
          </w:p>
        </w:tc>
        <w:tc>
          <w:tcPr>
            <w:tcW w:w="14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(1.1)</w:t>
            </w:r>
          </w:p>
        </w:tc>
        <w:tc>
          <w:tcPr>
            <w:tcW w:w="36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(8.8)</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Benefit for income taxes</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(2.5)</w:t>
            </w: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r>
      <w:tr>
        <w:trPr>
          <w:trHeight w:val="27"/>
        </w:trPr>
        <w:tc>
          <w:tcPr>
            <w:tcW w:w="562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37"/>
        </w:trPr>
        <w:tc>
          <w:tcPr>
            <w:tcW w:w="5620" w:type="dxa"/>
            <w:vAlign w:val="bottom"/>
            <w:shd w:val="clear" w:color="auto" w:fill="CCFFCC"/>
          </w:tcPr>
          <w:p>
            <w:pPr>
              <w:ind w:left="480"/>
              <w:spacing w:after="0"/>
              <w:rPr>
                <w:sz w:val="20"/>
                <w:szCs w:val="20"/>
                <w:color w:val="auto"/>
              </w:rPr>
            </w:pPr>
            <w:r>
              <w:rPr>
                <w:rFonts w:ascii="Arial" w:cs="Arial" w:eastAsia="Arial" w:hAnsi="Arial"/>
                <w:sz w:val="18"/>
                <w:szCs w:val="18"/>
                <w:color w:val="auto"/>
              </w:rPr>
              <w:t>Net Income (Loss)</w:t>
            </w:r>
          </w:p>
        </w:tc>
        <w:tc>
          <w:tcPr>
            <w:tcW w:w="13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2.2%</w:t>
            </w:r>
          </w:p>
        </w:tc>
        <w:tc>
          <w:tcPr>
            <w:tcW w:w="300" w:type="dxa"/>
            <w:vAlign w:val="bottom"/>
            <w:shd w:val="clear" w:color="auto" w:fill="CCFFCC"/>
          </w:tcPr>
          <w:p>
            <w:pPr>
              <w:spacing w:after="0"/>
              <w:rPr>
                <w:sz w:val="20"/>
                <w:szCs w:val="20"/>
                <w:color w:val="auto"/>
              </w:rPr>
            </w:pP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(6.1)%</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(1.1)%</w:t>
            </w:r>
          </w:p>
        </w:tc>
        <w:tc>
          <w:tcPr>
            <w:tcW w:w="360" w:type="dxa"/>
            <w:vAlign w:val="bottom"/>
            <w:shd w:val="clear" w:color="auto" w:fill="CCFFCC"/>
          </w:tcPr>
          <w:p>
            <w:pPr>
              <w:spacing w:after="0"/>
              <w:rPr>
                <w:sz w:val="20"/>
                <w:szCs w:val="20"/>
                <w:color w:val="auto"/>
              </w:rPr>
            </w:pPr>
          </w:p>
        </w:tc>
        <w:tc>
          <w:tcPr>
            <w:tcW w:w="9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(6.3)%</w:t>
            </w:r>
          </w:p>
        </w:tc>
      </w:tr>
      <w:tr>
        <w:trPr>
          <w:trHeight w:val="20"/>
        </w:trPr>
        <w:tc>
          <w:tcPr>
            <w:tcW w:w="5620" w:type="dxa"/>
            <w:vAlign w:val="bottom"/>
            <w:tcBorders>
              <w:top w:val="single" w:sz="8" w:color="CCFFCC"/>
            </w:tcBorders>
            <w:shd w:val="clear" w:color="auto" w:fill="CCFFC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r>
    </w:tbl>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(Note: All dollar amounts in following tables are in thousands, except Revenues which are in millions)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60" w:type="dxa"/>
            <w:vAlign w:val="bottom"/>
            <w:gridSpan w:val="4"/>
          </w:tcPr>
          <w:p>
            <w:pPr>
              <w:spacing w:after="0"/>
              <w:rPr>
                <w:sz w:val="20"/>
                <w:szCs w:val="20"/>
                <w:color w:val="auto"/>
              </w:rPr>
            </w:pPr>
            <w:r>
              <w:rPr>
                <w:rFonts w:ascii="Arial" w:cs="Arial" w:eastAsia="Arial" w:hAnsi="Arial"/>
                <w:sz w:val="18"/>
                <w:szCs w:val="18"/>
                <w:b w:val="1"/>
                <w:bCs w:val="1"/>
                <w:color w:val="auto"/>
              </w:rPr>
              <w:t>Revenues</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3"/>
            <w:vMerge w:val="restart"/>
          </w:tcPr>
          <w:p>
            <w:pPr>
              <w:jc w:val="right"/>
              <w:ind w:right="50"/>
              <w:spacing w:after="0"/>
              <w:rPr>
                <w:sz w:val="20"/>
                <w:szCs w:val="20"/>
                <w:color w:val="auto"/>
              </w:rPr>
            </w:pPr>
            <w:r>
              <w:rPr>
                <w:rFonts w:ascii="Arial" w:cs="Arial" w:eastAsia="Arial" w:hAnsi="Arial"/>
                <w:sz w:val="18"/>
                <w:szCs w:val="18"/>
                <w:color w:val="auto"/>
              </w:rPr>
              <w:t>Six months</w:t>
            </w: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960" w:type="dxa"/>
            <w:vAlign w:val="bottom"/>
            <w:gridSpan w:val="5"/>
          </w:tcPr>
          <w:p>
            <w:pPr>
              <w:jc w:val="right"/>
              <w:ind w:right="840"/>
              <w:spacing w:after="0"/>
              <w:rPr>
                <w:sz w:val="20"/>
                <w:szCs w:val="20"/>
                <w:color w:val="auto"/>
              </w:rPr>
            </w:pPr>
            <w:r>
              <w:rPr>
                <w:rFonts w:ascii="Arial" w:cs="Arial" w:eastAsia="Arial" w:hAnsi="Arial"/>
                <w:sz w:val="18"/>
                <w:szCs w:val="18"/>
                <w:color w:val="auto"/>
              </w:rPr>
              <w:t>(in millions)</w:t>
            </w:r>
          </w:p>
        </w:tc>
        <w:tc>
          <w:tcPr>
            <w:tcW w:w="180" w:type="dxa"/>
            <w:vAlign w:val="bottom"/>
          </w:tcPr>
          <w:p>
            <w:pPr>
              <w:spacing w:after="0"/>
              <w:rPr>
                <w:sz w:val="18"/>
                <w:szCs w:val="18"/>
                <w:color w:val="auto"/>
              </w:rPr>
            </w:pPr>
          </w:p>
        </w:tc>
        <w:tc>
          <w:tcPr>
            <w:tcW w:w="1440" w:type="dxa"/>
            <w:vAlign w:val="bottom"/>
            <w:gridSpan w:val="4"/>
            <w:vMerge w:val="restart"/>
          </w:tcPr>
          <w:p>
            <w:pPr>
              <w:jc w:val="right"/>
              <w:ind w:right="120"/>
              <w:spacing w:after="0"/>
              <w:rPr>
                <w:sz w:val="20"/>
                <w:szCs w:val="20"/>
                <w:color w:val="auto"/>
              </w:rPr>
            </w:pPr>
            <w:r>
              <w:rPr>
                <w:rFonts w:ascii="Arial" w:cs="Arial" w:eastAsia="Arial" w:hAnsi="Arial"/>
                <w:sz w:val="18"/>
                <w:szCs w:val="18"/>
                <w:color w:val="auto"/>
              </w:rPr>
              <w:t>Three months</w:t>
            </w: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vMerge w:val="continue"/>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4"/>
            <w:vMerge w:val="continue"/>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560" w:type="dxa"/>
            <w:vAlign w:val="bottom"/>
            <w:gridSpan w:val="6"/>
          </w:tcPr>
          <w:p>
            <w:pPr>
              <w:jc w:val="right"/>
              <w:ind w:right="320"/>
              <w:spacing w:after="0" w:line="201" w:lineRule="exact"/>
              <w:rPr>
                <w:sz w:val="20"/>
                <w:szCs w:val="20"/>
                <w:color w:val="auto"/>
              </w:rPr>
            </w:pPr>
            <w:r>
              <w:rPr>
                <w:rFonts w:ascii="Arial" w:cs="Arial" w:eastAsia="Arial" w:hAnsi="Arial"/>
                <w:sz w:val="18"/>
                <w:szCs w:val="18"/>
                <w:color w:val="auto"/>
              </w:rPr>
              <w:t>Periods ended October 31,</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Segment</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2009</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2008</w:t>
            </w:r>
          </w:p>
        </w:tc>
        <w:tc>
          <w:tcPr>
            <w:tcW w:w="2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Change</w:t>
            </w:r>
          </w:p>
        </w:tc>
        <w:tc>
          <w:tcPr>
            <w:tcW w:w="5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2009</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2008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Change</w:t>
            </w:r>
          </w:p>
        </w:tc>
        <w:tc>
          <w:tcPr>
            <w:tcW w:w="4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FEI-NY</w:t>
            </w:r>
          </w:p>
        </w:tc>
        <w:tc>
          <w:tcPr>
            <w:tcW w:w="180" w:type="dxa"/>
            <w:vAlign w:val="bottom"/>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14.0</w:t>
            </w:r>
          </w:p>
        </w:tc>
        <w:tc>
          <w:tcPr>
            <w:tcW w:w="1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18.6</w:t>
            </w:r>
          </w:p>
        </w:tc>
        <w:tc>
          <w:tcPr>
            <w:tcW w:w="46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FFCC"/>
          </w:tcPr>
          <w:p>
            <w:pPr>
              <w:jc w:val="right"/>
              <w:ind w:right="450"/>
              <w:spacing w:after="0"/>
              <w:rPr>
                <w:sz w:val="20"/>
                <w:szCs w:val="20"/>
                <w:color w:val="auto"/>
              </w:rPr>
            </w:pPr>
            <w:r>
              <w:rPr>
                <w:rFonts w:ascii="Arial" w:cs="Arial" w:eastAsia="Arial" w:hAnsi="Arial"/>
                <w:sz w:val="18"/>
                <w:szCs w:val="18"/>
                <w:color w:val="auto"/>
              </w:rPr>
              <w:t>(4.6)</w:t>
            </w:r>
          </w:p>
        </w:tc>
        <w:tc>
          <w:tcPr>
            <w:tcW w:w="84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(25)%</w:t>
            </w:r>
          </w:p>
        </w:tc>
        <w:tc>
          <w:tcPr>
            <w:tcW w:w="180" w:type="dxa"/>
            <w:vAlign w:val="bottom"/>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6.9</w:t>
            </w:r>
          </w:p>
        </w:tc>
        <w:tc>
          <w:tcPr>
            <w:tcW w:w="180" w:type="dxa"/>
            <w:vAlign w:val="bottom"/>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9.8</w:t>
            </w:r>
          </w:p>
        </w:tc>
        <w:tc>
          <w:tcPr>
            <w:tcW w:w="140" w:type="dxa"/>
            <w:vAlign w:val="bottom"/>
            <w:shd w:val="clear" w:color="auto" w:fill="CCFFCC"/>
          </w:tcPr>
          <w:p>
            <w:pPr>
              <w:spacing w:after="0"/>
              <w:rPr>
                <w:sz w:val="18"/>
                <w:szCs w:val="18"/>
                <w:color w:val="auto"/>
              </w:rPr>
            </w:pPr>
          </w:p>
        </w:tc>
        <w:tc>
          <w:tcPr>
            <w:tcW w:w="580" w:type="dxa"/>
            <w:vAlign w:val="bottom"/>
            <w:gridSpan w:val="2"/>
            <w:shd w:val="clear" w:color="auto" w:fill="CCFFCC"/>
          </w:tcPr>
          <w:p>
            <w:pPr>
              <w:jc w:val="right"/>
              <w:ind w:right="4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FFCC"/>
          </w:tcPr>
          <w:p>
            <w:pPr>
              <w:jc w:val="right"/>
              <w:ind w:right="580"/>
              <w:spacing w:after="0"/>
              <w:rPr>
                <w:sz w:val="20"/>
                <w:szCs w:val="20"/>
                <w:color w:val="auto"/>
              </w:rPr>
            </w:pPr>
            <w:r>
              <w:rPr>
                <w:rFonts w:ascii="Arial" w:cs="Arial" w:eastAsia="Arial" w:hAnsi="Arial"/>
                <w:sz w:val="18"/>
                <w:szCs w:val="18"/>
                <w:color w:val="auto"/>
              </w:rPr>
              <w:t>(2.8)</w:t>
            </w:r>
          </w:p>
        </w:tc>
        <w:tc>
          <w:tcPr>
            <w:tcW w:w="7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gridSpan w:val="3"/>
          </w:tcPr>
          <w:p>
            <w:pPr>
              <w:spacing w:after="0"/>
              <w:rPr>
                <w:sz w:val="20"/>
                <w:szCs w:val="20"/>
                <w:color w:val="auto"/>
              </w:rPr>
            </w:pPr>
            <w:r>
              <w:rPr>
                <w:rFonts w:ascii="Arial" w:cs="Arial" w:eastAsia="Arial" w:hAnsi="Arial"/>
                <w:sz w:val="18"/>
                <w:szCs w:val="18"/>
                <w:color w:val="auto"/>
              </w:rPr>
              <w:t>Gillam-FEI</w:t>
            </w: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5.3</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gridSpan w:val="2"/>
          </w:tcPr>
          <w:p>
            <w:pPr>
              <w:jc w:val="right"/>
              <w:ind w:right="450"/>
              <w:spacing w:after="0"/>
              <w:rPr>
                <w:sz w:val="20"/>
                <w:szCs w:val="20"/>
                <w:color w:val="auto"/>
              </w:rPr>
            </w:pPr>
            <w:r>
              <w:rPr>
                <w:rFonts w:ascii="Arial" w:cs="Arial" w:eastAsia="Arial" w:hAnsi="Arial"/>
                <w:sz w:val="18"/>
                <w:szCs w:val="18"/>
                <w:color w:val="auto"/>
              </w:rPr>
              <w:t>(0.3)</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gridSpan w:val="2"/>
          </w:tcPr>
          <w:p>
            <w:pPr>
              <w:jc w:val="right"/>
              <w:ind w:right="580"/>
              <w:spacing w:after="0"/>
              <w:rPr>
                <w:sz w:val="20"/>
                <w:szCs w:val="20"/>
                <w:color w:val="auto"/>
              </w:rPr>
            </w:pPr>
            <w:r>
              <w:rPr>
                <w:rFonts w:ascii="Arial" w:cs="Arial" w:eastAsia="Arial" w:hAnsi="Arial"/>
                <w:sz w:val="18"/>
                <w:szCs w:val="18"/>
                <w:color w:val="auto"/>
              </w:rPr>
              <w:t>(0.2)</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FEI-Zyfer</w:t>
            </w:r>
          </w:p>
        </w:tc>
        <w:tc>
          <w:tcPr>
            <w:tcW w:w="18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6.8</w:t>
            </w:r>
          </w:p>
        </w:tc>
        <w:tc>
          <w:tcPr>
            <w:tcW w:w="180" w:type="dxa"/>
            <w:vAlign w:val="bottom"/>
            <w:shd w:val="clear" w:color="auto" w:fill="CCFFCC"/>
          </w:tcPr>
          <w:p>
            <w:pPr>
              <w:spacing w:after="0"/>
              <w:rPr>
                <w:sz w:val="18"/>
                <w:szCs w:val="18"/>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4.1</w:t>
            </w:r>
          </w:p>
        </w:tc>
        <w:tc>
          <w:tcPr>
            <w:tcW w:w="20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510"/>
              <w:spacing w:after="0"/>
              <w:rPr>
                <w:sz w:val="20"/>
                <w:szCs w:val="20"/>
                <w:color w:val="auto"/>
              </w:rPr>
            </w:pPr>
            <w:r>
              <w:rPr>
                <w:rFonts w:ascii="Arial" w:cs="Arial" w:eastAsia="Arial" w:hAnsi="Arial"/>
                <w:sz w:val="18"/>
                <w:szCs w:val="18"/>
                <w:color w:val="auto"/>
              </w:rPr>
              <w:t>2.7</w:t>
            </w:r>
          </w:p>
        </w:tc>
        <w:tc>
          <w:tcPr>
            <w:tcW w:w="840" w:type="dxa"/>
            <w:vAlign w:val="bottom"/>
            <w:tcBorders>
              <w:right w:val="single" w:sz="8" w:color="CCFFCC"/>
            </w:tcBorders>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65%</w:t>
            </w:r>
          </w:p>
        </w:tc>
        <w:tc>
          <w:tcPr>
            <w:tcW w:w="18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2.6</w:t>
            </w:r>
          </w:p>
        </w:tc>
        <w:tc>
          <w:tcPr>
            <w:tcW w:w="180" w:type="dxa"/>
            <w:vAlign w:val="bottom"/>
            <w:shd w:val="clear" w:color="auto" w:fill="CCFFCC"/>
          </w:tcPr>
          <w:p>
            <w:pPr>
              <w:spacing w:after="0"/>
              <w:rPr>
                <w:sz w:val="18"/>
                <w:szCs w:val="18"/>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640"/>
              <w:spacing w:after="0"/>
              <w:rPr>
                <w:sz w:val="20"/>
                <w:szCs w:val="20"/>
                <w:color w:val="auto"/>
              </w:rPr>
            </w:pPr>
            <w:r>
              <w:rPr>
                <w:rFonts w:ascii="Arial" w:cs="Arial" w:eastAsia="Arial" w:hAnsi="Arial"/>
                <w:sz w:val="18"/>
                <w:szCs w:val="18"/>
                <w:color w:val="auto"/>
              </w:rPr>
              <w:t>0.8</w:t>
            </w:r>
          </w:p>
        </w:tc>
        <w:tc>
          <w:tcPr>
            <w:tcW w:w="7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gridSpan w:val="3"/>
          </w:tcPr>
          <w:p>
            <w:pPr>
              <w:spacing w:after="0"/>
              <w:rPr>
                <w:sz w:val="20"/>
                <w:szCs w:val="20"/>
                <w:color w:val="auto"/>
              </w:rPr>
            </w:pPr>
            <w:r>
              <w:rPr>
                <w:rFonts w:ascii="Arial" w:cs="Arial" w:eastAsia="Arial" w:hAnsi="Arial"/>
                <w:sz w:val="18"/>
                <w:szCs w:val="18"/>
                <w:color w:val="auto"/>
              </w:rPr>
              <w:t>Intersegment revenues</w:t>
            </w:r>
          </w:p>
        </w:tc>
        <w:tc>
          <w:tcPr>
            <w:tcW w:w="1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(0.9)</w:t>
            </w:r>
          </w:p>
        </w:tc>
        <w:tc>
          <w:tcPr>
            <w:tcW w:w="460" w:type="dxa"/>
            <w:vAlign w:val="bottom"/>
          </w:tcPr>
          <w:p>
            <w:pPr>
              <w:spacing w:after="0"/>
              <w:rPr>
                <w:sz w:val="18"/>
                <w:szCs w:val="18"/>
                <w:color w:val="auto"/>
              </w:rPr>
            </w:pPr>
          </w:p>
        </w:tc>
        <w:tc>
          <w:tcPr>
            <w:tcW w:w="1060" w:type="dxa"/>
            <w:vAlign w:val="bottom"/>
            <w:gridSpan w:val="2"/>
          </w:tcPr>
          <w:p>
            <w:pPr>
              <w:jc w:val="right"/>
              <w:ind w:right="450"/>
              <w:spacing w:after="0"/>
              <w:rPr>
                <w:sz w:val="20"/>
                <w:szCs w:val="20"/>
                <w:color w:val="auto"/>
              </w:rPr>
            </w:pPr>
            <w:r>
              <w:rPr>
                <w:rFonts w:ascii="Arial" w:cs="Arial" w:eastAsia="Arial" w:hAnsi="Arial"/>
                <w:sz w:val="18"/>
                <w:szCs w:val="18"/>
                <w:color w:val="auto"/>
              </w:rPr>
              <w:t>(1.0)</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(0.6)</w:t>
            </w: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gridSpan w:val="2"/>
          </w:tcPr>
          <w:p>
            <w:pPr>
              <w:jc w:val="right"/>
              <w:ind w:right="580"/>
              <w:spacing w:after="0"/>
              <w:rPr>
                <w:sz w:val="20"/>
                <w:szCs w:val="20"/>
                <w:color w:val="auto"/>
              </w:rPr>
            </w:pPr>
            <w:r>
              <w:rPr>
                <w:rFonts w:ascii="Arial" w:cs="Arial" w:eastAsia="Arial" w:hAnsi="Arial"/>
                <w:sz w:val="18"/>
                <w:szCs w:val="18"/>
                <w:color w:val="auto"/>
              </w:rPr>
              <w:t>(0.4)</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20" w:type="dxa"/>
            <w:vAlign w:val="bottom"/>
            <w:shd w:val="clear" w:color="auto" w:fill="CCFFCC"/>
          </w:tcPr>
          <w:p>
            <w:pPr>
              <w:spacing w:after="0"/>
              <w:rPr>
                <w:sz w:val="20"/>
                <w:szCs w:val="20"/>
                <w:color w:val="auto"/>
              </w:rPr>
            </w:pPr>
          </w:p>
        </w:tc>
        <w:tc>
          <w:tcPr>
            <w:tcW w:w="150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80" w:type="dxa"/>
            <w:vAlign w:val="bottom"/>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23.8</w:t>
            </w:r>
          </w:p>
        </w:tc>
        <w:tc>
          <w:tcPr>
            <w:tcW w:w="1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27.1</w:t>
            </w:r>
          </w:p>
        </w:tc>
        <w:tc>
          <w:tcPr>
            <w:tcW w:w="46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FFCC"/>
          </w:tcPr>
          <w:p>
            <w:pPr>
              <w:jc w:val="right"/>
              <w:ind w:right="450"/>
              <w:spacing w:after="0"/>
              <w:rPr>
                <w:sz w:val="20"/>
                <w:szCs w:val="20"/>
                <w:color w:val="auto"/>
              </w:rPr>
            </w:pPr>
            <w:r>
              <w:rPr>
                <w:rFonts w:ascii="Arial" w:cs="Arial" w:eastAsia="Arial" w:hAnsi="Arial"/>
                <w:sz w:val="18"/>
                <w:szCs w:val="18"/>
                <w:color w:val="auto"/>
              </w:rPr>
              <w:t>(3.2)</w:t>
            </w:r>
          </w:p>
        </w:tc>
        <w:tc>
          <w:tcPr>
            <w:tcW w:w="84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11.4</w:t>
            </w:r>
          </w:p>
        </w:tc>
        <w:tc>
          <w:tcPr>
            <w:tcW w:w="180" w:type="dxa"/>
            <w:vAlign w:val="bottom"/>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14.0</w:t>
            </w:r>
          </w:p>
        </w:tc>
        <w:tc>
          <w:tcPr>
            <w:tcW w:w="580" w:type="dxa"/>
            <w:vAlign w:val="bottom"/>
            <w:gridSpan w:val="2"/>
            <w:shd w:val="clear" w:color="auto" w:fill="CCFFCC"/>
          </w:tcPr>
          <w:p>
            <w:pPr>
              <w:jc w:val="right"/>
              <w:ind w:right="4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FFCC"/>
          </w:tcPr>
          <w:p>
            <w:pPr>
              <w:jc w:val="right"/>
              <w:ind w:right="580"/>
              <w:spacing w:after="0"/>
              <w:rPr>
                <w:sz w:val="20"/>
                <w:szCs w:val="20"/>
                <w:color w:val="auto"/>
              </w:rPr>
            </w:pPr>
            <w:r>
              <w:rPr>
                <w:rFonts w:ascii="Arial" w:cs="Arial" w:eastAsia="Arial" w:hAnsi="Arial"/>
                <w:sz w:val="18"/>
                <w:szCs w:val="18"/>
                <w:color w:val="auto"/>
              </w:rPr>
              <w:t>(2.6)</w:t>
            </w:r>
          </w:p>
        </w:tc>
        <w:tc>
          <w:tcPr>
            <w:tcW w:w="7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Borders>
              <w:top w:val="single" w:sz="8" w:color="CCFFCC"/>
            </w:tcBorders>
            <w:shd w:val="clear" w:color="auto" w:fill="CCFFCC"/>
          </w:tcPr>
          <w:p>
            <w:pPr>
              <w:spacing w:after="0" w:line="20" w:lineRule="exact"/>
              <w:rPr>
                <w:sz w:val="1"/>
                <w:szCs w:val="1"/>
                <w:color w:val="auto"/>
              </w:rPr>
            </w:pPr>
          </w:p>
        </w:tc>
        <w:tc>
          <w:tcPr>
            <w:tcW w:w="15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CCFFCC"/>
            </w:tcBorders>
            <w:shd w:val="clear" w:color="auto" w:fill="CCFFCC"/>
          </w:tcPr>
          <w:p>
            <w:pPr>
              <w:spacing w:after="0" w:line="20" w:lineRule="exact"/>
              <w:rPr>
                <w:sz w:val="1"/>
                <w:szCs w:val="1"/>
                <w:color w:val="auto"/>
              </w:rPr>
            </w:pPr>
          </w:p>
        </w:tc>
        <w:tc>
          <w:tcPr>
            <w:tcW w:w="52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The decrease in revenues for the six and three month periods ended October 31, 2009 compared to the same periods of fiscal year 2009, was primarily the result of lower revenues from wireless infrastructure products recorded in the FEI-NY segment. These lower revenues were partially offset by increased sales from the Company’s US5G productline for the U.S. domestic wireline market which are generated by the FEI-Zyfer segment. Revenues from satellite payload programs were moderately lower in the fiscal year 2010 periods compared to the same periods of fiscal year 2009. Revenues from U.S. Government space programs have increased by over 10% year-over-year but these increases were offset by continued low levels of activity in commercial satellite space programs. Revenues from U.S. Government/DOD non-space programs, which are recorded in the FEI-NY and FEI-Zyfer segments, increased almost 25% year-over-year and accounted for more than 25% of consolidated revenue in the fiscal year 2010 periods compared to less than 20% in the fiscal</w:t>
      </w:r>
    </w:p>
    <w:p>
      <w:pPr>
        <w:spacing w:after="0" w:line="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 xml:space="preserve">year 2009 periods. During the remainder of fiscal year 2010, the Company expects revenues from wireless telecommunication infrastructure </w:t>
      </w:r>
      <w:r>
        <w:rPr>
          <w:rFonts w:ascii="Arial" w:cs="Arial" w:eastAsia="Arial" w:hAnsi="Arial"/>
          <w:sz w:val="20"/>
          <w:szCs w:val="20"/>
          <w:color w:val="auto"/>
        </w:rPr>
        <w:t>products and</w:t>
      </w:r>
      <w:r>
        <w:rPr>
          <w:rFonts w:ascii="Arial" w:cs="Arial" w:eastAsia="Arial" w:hAnsi="Arial"/>
          <w:sz w:val="17"/>
          <w:szCs w:val="17"/>
          <w:color w:val="auto"/>
        </w:rPr>
        <w:t xml:space="preserve"> </w:t>
      </w:r>
      <w:r>
        <w:rPr>
          <w:rFonts w:ascii="Arial" w:cs="Arial" w:eastAsia="Arial" w:hAnsi="Arial"/>
          <w:sz w:val="20"/>
          <w:szCs w:val="20"/>
          <w:color w:val="auto"/>
        </w:rPr>
        <w:t>satellite programs to remain at approximately the same levels as the first six months of the year but expects to realize increased revenues from wireline telecommunication products and from U.S. Government/DOD non-space programs.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 of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00" w:type="dxa"/>
            <w:vAlign w:val="bottom"/>
            <w:gridSpan w:val="4"/>
          </w:tcPr>
          <w:p>
            <w:pPr>
              <w:spacing w:after="0"/>
              <w:rPr>
                <w:sz w:val="20"/>
                <w:szCs w:val="20"/>
                <w:color w:val="auto"/>
              </w:rPr>
            </w:pPr>
            <w:r>
              <w:rPr>
                <w:rFonts w:ascii="Arial" w:cs="Arial" w:eastAsia="Arial" w:hAnsi="Arial"/>
                <w:sz w:val="18"/>
                <w:szCs w:val="18"/>
                <w:b w:val="1"/>
                <w:bCs w:val="1"/>
                <w:color w:val="auto"/>
              </w:rPr>
              <w:t>Gross margin</w:t>
            </w: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3"/>
            <w:vMerge w:val="restart"/>
          </w:tcPr>
          <w:p>
            <w:pPr>
              <w:jc w:val="right"/>
              <w:ind w:right="25"/>
              <w:spacing w:after="0"/>
              <w:rPr>
                <w:sz w:val="20"/>
                <w:szCs w:val="20"/>
                <w:color w:val="auto"/>
              </w:rPr>
            </w:pPr>
            <w:r>
              <w:rPr>
                <w:rFonts w:ascii="Arial" w:cs="Arial" w:eastAsia="Arial" w:hAnsi="Arial"/>
                <w:sz w:val="18"/>
                <w:szCs w:val="18"/>
                <w:color w:val="auto"/>
              </w:rPr>
              <w:t>Six months</w:t>
            </w:r>
          </w:p>
        </w:tc>
        <w:tc>
          <w:tcPr>
            <w:tcW w:w="1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3"/>
            <w:vMerge w:val="restart"/>
          </w:tcPr>
          <w:p>
            <w:pPr>
              <w:jc w:val="right"/>
              <w:spacing w:after="0"/>
              <w:rPr>
                <w:sz w:val="20"/>
                <w:szCs w:val="20"/>
                <w:color w:val="auto"/>
              </w:rPr>
            </w:pPr>
            <w:r>
              <w:rPr>
                <w:rFonts w:ascii="Arial" w:cs="Arial" w:eastAsia="Arial" w:hAnsi="Arial"/>
                <w:sz w:val="18"/>
                <w:szCs w:val="18"/>
                <w:color w:val="auto"/>
              </w:rPr>
              <w:t>Three months</w:t>
            </w:r>
          </w:p>
        </w:tc>
        <w:tc>
          <w:tcPr>
            <w:tcW w:w="1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3"/>
            <w:vMerge w:val="continue"/>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3"/>
            <w:vMerge w:val="continue"/>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960" w:type="dxa"/>
            <w:vAlign w:val="bottom"/>
            <w:gridSpan w:val="6"/>
          </w:tcPr>
          <w:p>
            <w:pPr>
              <w:jc w:val="right"/>
              <w:ind w:right="300"/>
              <w:spacing w:after="0" w:line="201" w:lineRule="exact"/>
              <w:rPr>
                <w:sz w:val="20"/>
                <w:szCs w:val="20"/>
                <w:color w:val="auto"/>
              </w:rPr>
            </w:pPr>
            <w:r>
              <w:rPr>
                <w:rFonts w:ascii="Arial" w:cs="Arial" w:eastAsia="Arial" w:hAnsi="Arial"/>
                <w:sz w:val="18"/>
                <w:szCs w:val="18"/>
                <w:color w:val="auto"/>
              </w:rPr>
              <w:t>Periods ended October 31,</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2009</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2008</w:t>
            </w:r>
          </w:p>
        </w:tc>
        <w:tc>
          <w:tcPr>
            <w:tcW w:w="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Change</w:t>
            </w:r>
          </w:p>
        </w:tc>
        <w:tc>
          <w:tcPr>
            <w:tcW w:w="4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2009</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2008</w:t>
            </w:r>
          </w:p>
        </w:tc>
        <w:tc>
          <w:tcPr>
            <w:tcW w:w="2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Change</w:t>
            </w:r>
          </w:p>
        </w:tc>
        <w:tc>
          <w:tcPr>
            <w:tcW w:w="4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8,695</w:t>
            </w:r>
          </w:p>
        </w:tc>
        <w:tc>
          <w:tcPr>
            <w:tcW w:w="160" w:type="dxa"/>
            <w:vAlign w:val="bottom"/>
            <w:shd w:val="clear" w:color="auto" w:fill="CCFFCC"/>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5,906</w:t>
            </w:r>
          </w:p>
        </w:tc>
        <w:tc>
          <w:tcPr>
            <w:tcW w:w="280" w:type="dxa"/>
            <w:vAlign w:val="bottom"/>
            <w:shd w:val="clear" w:color="auto" w:fill="CCFFCC"/>
          </w:tcPr>
          <w:p>
            <w:pPr>
              <w:spacing w:after="0"/>
              <w:rPr>
                <w:sz w:val="18"/>
                <w:szCs w:val="18"/>
                <w:color w:val="auto"/>
              </w:rPr>
            </w:pPr>
          </w:p>
        </w:tc>
        <w:tc>
          <w:tcPr>
            <w:tcW w:w="340" w:type="dxa"/>
            <w:vAlign w:val="bottom"/>
            <w:shd w:val="clear" w:color="auto" w:fill="CCFFCC"/>
          </w:tcPr>
          <w:p>
            <w:pPr>
              <w:jc w:val="right"/>
              <w:ind w:right="18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FFCC"/>
          </w:tcPr>
          <w:p>
            <w:pPr>
              <w:jc w:val="right"/>
              <w:ind w:right="550"/>
              <w:spacing w:after="0"/>
              <w:rPr>
                <w:sz w:val="20"/>
                <w:szCs w:val="20"/>
                <w:color w:val="auto"/>
              </w:rPr>
            </w:pPr>
            <w:r>
              <w:rPr>
                <w:rFonts w:ascii="Arial" w:cs="Arial" w:eastAsia="Arial" w:hAnsi="Arial"/>
                <w:sz w:val="18"/>
                <w:szCs w:val="18"/>
                <w:color w:val="auto"/>
              </w:rPr>
              <w:t>2,789</w:t>
            </w:r>
          </w:p>
        </w:tc>
        <w:tc>
          <w:tcPr>
            <w:tcW w:w="86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47%  $</w:t>
            </w:r>
          </w:p>
        </w:tc>
        <w:tc>
          <w:tcPr>
            <w:tcW w:w="96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4,394</w:t>
            </w:r>
          </w:p>
        </w:tc>
        <w:tc>
          <w:tcPr>
            <w:tcW w:w="160" w:type="dxa"/>
            <w:vAlign w:val="bottom"/>
            <w:shd w:val="clear" w:color="auto" w:fill="CCFFCC"/>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2,715</w:t>
            </w:r>
          </w:p>
        </w:tc>
        <w:tc>
          <w:tcPr>
            <w:tcW w:w="280" w:type="dxa"/>
            <w:vAlign w:val="bottom"/>
            <w:shd w:val="clear" w:color="auto" w:fill="CCFFCC"/>
          </w:tcPr>
          <w:p>
            <w:pPr>
              <w:spacing w:after="0"/>
              <w:rPr>
                <w:sz w:val="18"/>
                <w:szCs w:val="18"/>
                <w:color w:val="auto"/>
              </w:rPr>
            </w:pPr>
          </w:p>
        </w:tc>
        <w:tc>
          <w:tcPr>
            <w:tcW w:w="380" w:type="dxa"/>
            <w:vAlign w:val="bottom"/>
            <w:shd w:val="clear" w:color="auto" w:fill="CCFFCC"/>
          </w:tcPr>
          <w:p>
            <w:pPr>
              <w:jc w:val="right"/>
              <w:ind w:right="22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FFCC"/>
          </w:tcPr>
          <w:p>
            <w:pPr>
              <w:jc w:val="right"/>
              <w:ind w:right="530"/>
              <w:spacing w:after="0"/>
              <w:rPr>
                <w:sz w:val="20"/>
                <w:szCs w:val="20"/>
                <w:color w:val="auto"/>
              </w:rPr>
            </w:pPr>
            <w:r>
              <w:rPr>
                <w:rFonts w:ascii="Arial" w:cs="Arial" w:eastAsia="Arial" w:hAnsi="Arial"/>
                <w:sz w:val="18"/>
                <w:szCs w:val="18"/>
                <w:color w:val="auto"/>
                <w:w w:val="97"/>
              </w:rPr>
              <w:t>1,679</w:t>
            </w:r>
          </w:p>
        </w:tc>
        <w:tc>
          <w:tcPr>
            <w:tcW w:w="6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gridSpan w:val="3"/>
          </w:tcPr>
          <w:p>
            <w:pPr>
              <w:spacing w:after="0"/>
              <w:rPr>
                <w:sz w:val="20"/>
                <w:szCs w:val="20"/>
                <w:color w:val="auto"/>
              </w:rPr>
            </w:pPr>
            <w:r>
              <w:rPr>
                <w:rFonts w:ascii="Arial" w:cs="Arial" w:eastAsia="Arial" w:hAnsi="Arial"/>
                <w:sz w:val="18"/>
                <w:szCs w:val="18"/>
                <w:color w:val="auto"/>
              </w:rPr>
              <w:t>GM Rate</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36.5%</w:t>
            </w:r>
          </w:p>
        </w:tc>
        <w:tc>
          <w:tcPr>
            <w:tcW w:w="16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21.8%</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38.6%</w:t>
            </w:r>
          </w:p>
        </w:tc>
        <w:tc>
          <w:tcPr>
            <w:tcW w:w="16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19.4%</w:t>
            </w: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The improvement in gross margins for the six and three month periods ended October 31, 2009, are primarily due to increased gross margin rates. The gross margin rates recorded in the fiscal year 2010 periods approach the Company’s targeted rates. The rates recorded in the fiscal year 2009 periods were much lower than the Company’s targets due primarily to higher levels of engineering and manufacturing costs on certain satellite payload programs that were completed during fiscal year 2009. During the quarter ended October 31, 2009, the Company reached an agreement with a customer to receive $650,000 representing a portion of the cost of certain unique inventory items that the customer no longer requires. The Company recorded this amount as a reduction to cost of goods sold during the six and three month periods ended October 31, 2009. During the same periods, the Company wrote down inventory, including the unique items, with an aggregate value of $800,000 and $650,000, respectively. The Company anticipates that its gross margin rates for the remainder of fiscal year 2010 will be comparable to the current periods but will show significant improvement over the prior fiscal year.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Selling and administrative expenses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Six months</w:t>
            </w:r>
          </w:p>
        </w:tc>
        <w:tc>
          <w:tcPr>
            <w:tcW w:w="10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Three months</w:t>
            </w:r>
          </w:p>
        </w:tc>
        <w:tc>
          <w:tcPr>
            <w:tcW w:w="10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80" w:type="dxa"/>
            <w:vAlign w:val="bottom"/>
            <w:gridSpan w:val="7"/>
          </w:tcPr>
          <w:p>
            <w:pPr>
              <w:jc w:val="center"/>
              <w:ind w:right="170"/>
              <w:spacing w:after="0" w:line="201" w:lineRule="exact"/>
              <w:rPr>
                <w:sz w:val="20"/>
                <w:szCs w:val="20"/>
                <w:color w:val="auto"/>
              </w:rPr>
            </w:pPr>
            <w:r>
              <w:rPr>
                <w:rFonts w:ascii="Arial" w:cs="Arial" w:eastAsia="Arial" w:hAnsi="Arial"/>
                <w:sz w:val="18"/>
                <w:szCs w:val="18"/>
                <w:color w:val="auto"/>
                <w:w w:val="88"/>
              </w:rPr>
              <w:t>Periods ended October 31,</w:t>
            </w: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2008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Change</w:t>
            </w:r>
          </w:p>
        </w:tc>
        <w:tc>
          <w:tcPr>
            <w:tcW w:w="4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2009</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2008</w:t>
            </w:r>
          </w:p>
        </w:tc>
        <w:tc>
          <w:tcPr>
            <w:tcW w:w="22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Change</w:t>
            </w:r>
          </w:p>
        </w:tc>
        <w:tc>
          <w:tcPr>
            <w:tcW w:w="4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5,340</w:t>
            </w:r>
          </w:p>
        </w:tc>
        <w:tc>
          <w:tcPr>
            <w:tcW w:w="2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5,951</w:t>
            </w:r>
          </w:p>
        </w:tc>
        <w:tc>
          <w:tcPr>
            <w:tcW w:w="50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FFCC"/>
          </w:tcPr>
          <w:p>
            <w:pPr>
              <w:jc w:val="right"/>
              <w:ind w:right="430"/>
              <w:spacing w:after="0"/>
              <w:rPr>
                <w:sz w:val="20"/>
                <w:szCs w:val="20"/>
                <w:color w:val="auto"/>
              </w:rPr>
            </w:pPr>
            <w:r>
              <w:rPr>
                <w:rFonts w:ascii="Arial" w:cs="Arial" w:eastAsia="Arial" w:hAnsi="Arial"/>
                <w:sz w:val="18"/>
                <w:szCs w:val="18"/>
                <w:color w:val="auto"/>
              </w:rPr>
              <w:t>(611)</w:t>
            </w:r>
          </w:p>
        </w:tc>
        <w:tc>
          <w:tcPr>
            <w:tcW w:w="96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(10)%  $</w:t>
            </w:r>
          </w:p>
        </w:tc>
        <w:tc>
          <w:tcPr>
            <w:tcW w:w="6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2,773</w:t>
            </w:r>
          </w:p>
        </w:tc>
        <w:tc>
          <w:tcPr>
            <w:tcW w:w="3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2,835</w:t>
            </w:r>
          </w:p>
        </w:tc>
        <w:tc>
          <w:tcPr>
            <w:tcW w:w="740" w:type="dxa"/>
            <w:vAlign w:val="bottom"/>
            <w:gridSpan w:val="2"/>
            <w:shd w:val="clear" w:color="auto" w:fill="CCFFCC"/>
          </w:tcPr>
          <w:p>
            <w:pPr>
              <w:jc w:val="right"/>
              <w:ind w:right="4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FFCC"/>
          </w:tcPr>
          <w:p>
            <w:pPr>
              <w:jc w:val="right"/>
              <w:ind w:right="530"/>
              <w:spacing w:after="0"/>
              <w:rPr>
                <w:sz w:val="20"/>
                <w:szCs w:val="20"/>
                <w:color w:val="auto"/>
              </w:rPr>
            </w:pPr>
            <w:r>
              <w:rPr>
                <w:rFonts w:ascii="Arial" w:cs="Arial" w:eastAsia="Arial" w:hAnsi="Arial"/>
                <w:sz w:val="18"/>
                <w:szCs w:val="18"/>
                <w:color w:val="auto"/>
              </w:rPr>
              <w:t>(62)</w:t>
            </w:r>
          </w:p>
        </w:tc>
        <w:tc>
          <w:tcPr>
            <w:tcW w:w="6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w:t>
            </w:r>
          </w:p>
        </w:tc>
      </w:tr>
    </w:tbl>
    <w:p>
      <w:pPr>
        <w:spacing w:after="0" w:line="229"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For the six and three months ended October 31, 2009, selling and administrative expenses were 22% and 24%, respectively, of consolidated revenues. This is compared to 22% and 20%, respectively, for the same periods of fiscal year 2009. Although the Company’s target for such expenses is not to exceed 20% of revenues, since many of the costs are relatively fixed, lower revenues result in a higher ratio of expenses to revenues. The decrease in expenses in the fiscal year 2010 periods compared to the same periods of fiscal year 2009 are primarily due to declines in personnel costs through a reduction in force and reduced deferred compensation expense. These decreases were partially offset by higher professional fees and increased costs in the Gillam-FEI segment, including the impact of the rising value of the Euro to the U.S. dollar. In subsequent quarters of fiscal year 2010, the Company expects selling and administrative expenses to be incurred at approximately the same rate in both dollars and as a percentage of revenues.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Research and development expense</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color w:val="auto"/>
              </w:rPr>
              <w:t>Six months</w:t>
            </w:r>
          </w:p>
        </w:tc>
        <w:tc>
          <w:tcPr>
            <w:tcW w:w="9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ind w:left="340"/>
              <w:spacing w:after="0"/>
              <w:rPr>
                <w:sz w:val="20"/>
                <w:szCs w:val="20"/>
                <w:color w:val="auto"/>
              </w:rPr>
            </w:pPr>
            <w:r>
              <w:rPr>
                <w:rFonts w:ascii="Arial" w:cs="Arial" w:eastAsia="Arial" w:hAnsi="Arial"/>
                <w:sz w:val="18"/>
                <w:szCs w:val="18"/>
                <w:color w:val="auto"/>
              </w:rPr>
              <w:t>Three months</w:t>
            </w:r>
          </w:p>
        </w:tc>
        <w:tc>
          <w:tcPr>
            <w:tcW w:w="7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740" w:type="dxa"/>
            <w:vAlign w:val="bottom"/>
            <w:gridSpan w:val="8"/>
          </w:tcPr>
          <w:p>
            <w:pPr>
              <w:jc w:val="right"/>
              <w:ind w:right="600"/>
              <w:spacing w:after="0" w:line="201" w:lineRule="exact"/>
              <w:rPr>
                <w:sz w:val="20"/>
                <w:szCs w:val="20"/>
                <w:color w:val="auto"/>
              </w:rPr>
            </w:pPr>
            <w:r>
              <w:rPr>
                <w:rFonts w:ascii="Arial" w:cs="Arial" w:eastAsia="Arial" w:hAnsi="Arial"/>
                <w:sz w:val="18"/>
                <w:szCs w:val="18"/>
                <w:color w:val="auto"/>
                <w:w w:val="98"/>
              </w:rPr>
              <w:t>Periods ended October 31,</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2009</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Change</w:t>
            </w: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ind w:right="170"/>
              <w:spacing w:after="0"/>
              <w:rPr>
                <w:sz w:val="20"/>
                <w:szCs w:val="20"/>
                <w:color w:val="auto"/>
              </w:rPr>
            </w:pPr>
            <w:r>
              <w:rPr>
                <w:rFonts w:ascii="Arial" w:cs="Arial" w:eastAsia="Arial" w:hAnsi="Arial"/>
                <w:sz w:val="18"/>
                <w:szCs w:val="18"/>
                <w:color w:val="auto"/>
              </w:rPr>
              <w:t>2009</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170"/>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20"/>
                <w:szCs w:val="20"/>
                <w:color w:val="auto"/>
              </w:rPr>
            </w:pPr>
          </w:p>
        </w:tc>
        <w:tc>
          <w:tcPr>
            <w:tcW w:w="680" w:type="dxa"/>
            <w:vAlign w:val="bottom"/>
            <w:gridSpan w:val="2"/>
          </w:tcPr>
          <w:p>
            <w:pPr>
              <w:ind w:left="100"/>
              <w:spacing w:after="0"/>
              <w:rPr>
                <w:sz w:val="20"/>
                <w:szCs w:val="20"/>
                <w:color w:val="auto"/>
              </w:rPr>
            </w:pPr>
            <w:r>
              <w:rPr>
                <w:rFonts w:ascii="Arial" w:cs="Arial" w:eastAsia="Arial" w:hAnsi="Arial"/>
                <w:sz w:val="18"/>
                <w:szCs w:val="18"/>
                <w:color w:val="auto"/>
                <w:w w:val="88"/>
              </w:rPr>
              <w:t>Change</w:t>
            </w:r>
          </w:p>
        </w:tc>
        <w:tc>
          <w:tcPr>
            <w:tcW w:w="7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0" w:type="dxa"/>
            <w:vAlign w:val="bottom"/>
            <w:shd w:val="clear" w:color="auto" w:fill="CCFFCC"/>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2,454</w:t>
            </w:r>
          </w:p>
        </w:tc>
        <w:tc>
          <w:tcPr>
            <w:tcW w:w="180" w:type="dxa"/>
            <w:vAlign w:val="bottom"/>
            <w:shd w:val="clear" w:color="auto" w:fill="CCFFCC"/>
          </w:tcPr>
          <w:p>
            <w:pPr>
              <w:spacing w:after="0"/>
              <w:rPr>
                <w:sz w:val="18"/>
                <w:szCs w:val="18"/>
                <w:color w:val="auto"/>
              </w:rPr>
            </w:pPr>
          </w:p>
        </w:tc>
        <w:tc>
          <w:tcPr>
            <w:tcW w:w="1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2,239</w:t>
            </w: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46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FFCC"/>
          </w:tcPr>
          <w:p>
            <w:pPr>
              <w:jc w:val="right"/>
              <w:ind w:right="490"/>
              <w:spacing w:after="0"/>
              <w:rPr>
                <w:sz w:val="20"/>
                <w:szCs w:val="20"/>
                <w:color w:val="auto"/>
              </w:rPr>
            </w:pPr>
            <w:r>
              <w:rPr>
                <w:rFonts w:ascii="Arial" w:cs="Arial" w:eastAsia="Arial" w:hAnsi="Arial"/>
                <w:sz w:val="18"/>
                <w:szCs w:val="18"/>
                <w:color w:val="auto"/>
              </w:rPr>
              <w:t>215</w:t>
            </w:r>
          </w:p>
        </w:tc>
        <w:tc>
          <w:tcPr>
            <w:tcW w:w="88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10%  $</w:t>
            </w:r>
          </w:p>
        </w:tc>
        <w:tc>
          <w:tcPr>
            <w:tcW w:w="8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1,379</w:t>
            </w:r>
          </w:p>
        </w:tc>
        <w:tc>
          <w:tcPr>
            <w:tcW w:w="1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874</w:t>
            </w:r>
          </w:p>
        </w:tc>
        <w:tc>
          <w:tcPr>
            <w:tcW w:w="680" w:type="dxa"/>
            <w:vAlign w:val="bottom"/>
            <w:gridSpan w:val="2"/>
            <w:shd w:val="clear" w:color="auto" w:fill="CCFFCC"/>
          </w:tcPr>
          <w:p>
            <w:pPr>
              <w:ind w:left="1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FFCC"/>
          </w:tcPr>
          <w:p>
            <w:pPr>
              <w:jc w:val="right"/>
              <w:ind w:right="370"/>
              <w:spacing w:after="0"/>
              <w:rPr>
                <w:sz w:val="20"/>
                <w:szCs w:val="20"/>
                <w:color w:val="auto"/>
              </w:rPr>
            </w:pPr>
            <w:r>
              <w:rPr>
                <w:rFonts w:ascii="Arial" w:cs="Arial" w:eastAsia="Arial" w:hAnsi="Arial"/>
                <w:sz w:val="18"/>
                <w:szCs w:val="18"/>
                <w:color w:val="auto"/>
                <w:w w:val="99"/>
              </w:rPr>
              <w:t>505</w:t>
            </w:r>
          </w:p>
        </w:tc>
        <w:tc>
          <w:tcPr>
            <w:tcW w:w="8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Research and development expenditures represent investments that keep the Company’s products at the leading edge of time and frequency technology and enhance competitiveness for future revenues. Research and development spending for the six and three-month periods ended October 31, 2009 was 10% and 12% of revenues, respectively, compared to 8% and 6% of revenues for the same periods of fiscal year 2009, respectively. The increased spending in fiscal year 2010, particularly in the second quarter of fiscal year 2010, resulted from intensive activities in the areas of satellite payload product development and improving the technology of the Company’s new wireline synchronization equipment. In addition, the Company continues to conduct development activities on customer-funded programs the cost of which appears in cost of revenues, thus reducing the level of internal research and development spending. The Company targets research and development spending at approximately 10% of revenues, but the rate of spending can increase or decrease from quarter to quarter as new projects are identified and others are concluded. The Company will continue to devote significant resources to develop new products, enhance existing products and implement efficient manufacturing processes. For the remainder of fiscal year 2010, the Company anticipates that internal research and development spending will be less than 10% of revenues. Internally generated cash and cash reserves are adequate to fund these development efforts.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 of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6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0"/>
              </w:rPr>
              <w:t>Operating Profit (Loss)</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gridSpan w:val="4"/>
            <w:vMerge w:val="restart"/>
          </w:tcPr>
          <w:p>
            <w:pPr>
              <w:jc w:val="right"/>
              <w:ind w:right="220"/>
              <w:spacing w:after="0"/>
              <w:rPr>
                <w:sz w:val="20"/>
                <w:szCs w:val="20"/>
                <w:color w:val="auto"/>
              </w:rPr>
            </w:pPr>
            <w:r>
              <w:rPr>
                <w:rFonts w:ascii="Arial" w:cs="Arial" w:eastAsia="Arial" w:hAnsi="Arial"/>
                <w:sz w:val="18"/>
                <w:szCs w:val="18"/>
                <w:color w:val="auto"/>
              </w:rPr>
              <w:t>Six months</w:t>
            </w: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gridSpan w:val="4"/>
            <w:vMerge w:val="restart"/>
          </w:tcPr>
          <w:p>
            <w:pPr>
              <w:jc w:val="right"/>
              <w:ind w:right="220"/>
              <w:spacing w:after="0"/>
              <w:rPr>
                <w:sz w:val="20"/>
                <w:szCs w:val="20"/>
                <w:color w:val="auto"/>
              </w:rPr>
            </w:pPr>
            <w:r>
              <w:rPr>
                <w:rFonts w:ascii="Arial" w:cs="Arial" w:eastAsia="Arial" w:hAnsi="Arial"/>
                <w:sz w:val="18"/>
                <w:szCs w:val="18"/>
                <w:color w:val="auto"/>
              </w:rPr>
              <w:t>Three months</w:t>
            </w:r>
          </w:p>
        </w:tc>
        <w:tc>
          <w:tcPr>
            <w:tcW w:w="10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1160" w:type="dxa"/>
            <w:vAlign w:val="bottom"/>
            <w:tcBorders>
              <w:top w:val="single" w:sz="8" w:color="auto"/>
            </w:tcBorders>
          </w:tcPr>
          <w:p>
            <w:pPr>
              <w:spacing w:after="0"/>
              <w:rPr>
                <w:sz w:val="21"/>
                <w:szCs w:val="21"/>
                <w:color w:val="auto"/>
              </w:rPr>
            </w:pPr>
          </w:p>
        </w:tc>
        <w:tc>
          <w:tcPr>
            <w:tcW w:w="640" w:type="dxa"/>
            <w:vAlign w:val="bottom"/>
            <w:tcBorders>
              <w:top w:val="single" w:sz="8" w:color="auto"/>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4"/>
            <w:vMerge w:val="continue"/>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4"/>
            <w:vMerge w:val="continue"/>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1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160" w:type="dxa"/>
            <w:vAlign w:val="bottom"/>
            <w:gridSpan w:val="4"/>
          </w:tcPr>
          <w:p>
            <w:pPr>
              <w:jc w:val="right"/>
              <w:ind w:right="70"/>
              <w:spacing w:after="0" w:line="201" w:lineRule="exact"/>
              <w:rPr>
                <w:sz w:val="20"/>
                <w:szCs w:val="20"/>
                <w:color w:val="auto"/>
              </w:rPr>
            </w:pPr>
            <w:r>
              <w:rPr>
                <w:rFonts w:ascii="Arial" w:cs="Arial" w:eastAsia="Arial" w:hAnsi="Arial"/>
                <w:sz w:val="18"/>
                <w:szCs w:val="18"/>
                <w:color w:val="auto"/>
                <w:w w:val="92"/>
              </w:rPr>
              <w:t>Periods ended October 31,</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2009</w:t>
            </w:r>
          </w:p>
        </w:tc>
        <w:tc>
          <w:tcPr>
            <w:tcW w:w="3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color w:val="auto"/>
              </w:rPr>
              <w:t>Change</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2009</w:t>
            </w: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Change</w:t>
            </w:r>
          </w:p>
        </w:tc>
        <w:tc>
          <w:tcPr>
            <w:tcW w:w="5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40" w:type="dxa"/>
            <w:vAlign w:val="bottom"/>
            <w:shd w:val="clear" w:color="auto" w:fill="CCFFCC"/>
          </w:tcPr>
          <w:p>
            <w:pPr>
              <w:jc w:val="right"/>
              <w:ind w:right="477"/>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CFFCC"/>
          </w:tcPr>
          <w:p>
            <w:pPr>
              <w:spacing w:after="0"/>
              <w:rPr>
                <w:sz w:val="18"/>
                <w:szCs w:val="18"/>
                <w:color w:val="auto"/>
              </w:rPr>
            </w:pPr>
          </w:p>
        </w:tc>
        <w:tc>
          <w:tcPr>
            <w:tcW w:w="3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3"/>
              </w:rPr>
              <w:t>901</w:t>
            </w:r>
          </w:p>
        </w:tc>
        <w:tc>
          <w:tcPr>
            <w:tcW w:w="3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(2,284)</w:t>
            </w:r>
          </w:p>
        </w:tc>
        <w:tc>
          <w:tcPr>
            <w:tcW w:w="520" w:type="dxa"/>
            <w:vAlign w:val="bottom"/>
            <w:gridSpan w:val="2"/>
            <w:shd w:val="clear" w:color="auto" w:fill="CCFFCC"/>
          </w:tcPr>
          <w:p>
            <w:pPr>
              <w:jc w:val="right"/>
              <w:ind w:right="3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3,185</w:t>
            </w:r>
          </w:p>
        </w:tc>
        <w:tc>
          <w:tcPr>
            <w:tcW w:w="1300" w:type="dxa"/>
            <w:vAlign w:val="bottom"/>
            <w:gridSpan w:val="3"/>
            <w:shd w:val="clear" w:color="auto" w:fill="CCFFCC"/>
          </w:tcPr>
          <w:p>
            <w:pPr>
              <w:ind w:left="500"/>
              <w:spacing w:after="0"/>
              <w:rPr>
                <w:sz w:val="20"/>
                <w:szCs w:val="20"/>
                <w:color w:val="auto"/>
              </w:rPr>
            </w:pPr>
            <w:r>
              <w:rPr>
                <w:rFonts w:ascii="Arial" w:cs="Arial" w:eastAsia="Arial" w:hAnsi="Arial"/>
                <w:sz w:val="18"/>
                <w:szCs w:val="18"/>
                <w:color w:val="auto"/>
              </w:rPr>
              <w:t>NM   $</w:t>
            </w: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242</w:t>
            </w:r>
          </w:p>
        </w:tc>
        <w:tc>
          <w:tcPr>
            <w:tcW w:w="3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(994)</w:t>
            </w:r>
          </w:p>
        </w:tc>
        <w:tc>
          <w:tcPr>
            <w:tcW w:w="520" w:type="dxa"/>
            <w:vAlign w:val="bottom"/>
            <w:gridSpan w:val="2"/>
            <w:shd w:val="clear" w:color="auto" w:fill="CCFFCC"/>
          </w:tcPr>
          <w:p>
            <w:pPr>
              <w:jc w:val="right"/>
              <w:ind w:right="3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FFCC"/>
          </w:tcPr>
          <w:p>
            <w:pPr>
              <w:jc w:val="right"/>
              <w:ind w:right="310"/>
              <w:spacing w:after="0"/>
              <w:rPr>
                <w:sz w:val="20"/>
                <w:szCs w:val="20"/>
                <w:color w:val="auto"/>
              </w:rPr>
            </w:pPr>
            <w:r>
              <w:rPr>
                <w:rFonts w:ascii="Arial" w:cs="Arial" w:eastAsia="Arial" w:hAnsi="Arial"/>
                <w:sz w:val="18"/>
                <w:szCs w:val="18"/>
                <w:color w:val="auto"/>
              </w:rPr>
              <w:t>1,236</w:t>
            </w:r>
          </w:p>
        </w:tc>
        <w:tc>
          <w:tcPr>
            <w:tcW w:w="500" w:type="dxa"/>
            <w:vAlign w:val="bottom"/>
            <w:shd w:val="clear" w:color="auto" w:fill="CCFFCC"/>
          </w:tcPr>
          <w:p>
            <w:pPr>
              <w:ind w:left="200"/>
              <w:spacing w:after="0"/>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Improved gross margin rates and lower operating expenses in the fiscal year 2010 periods enabled the Company to record operating profits for the six and three-month periods ended October 31, 2009, compared to the same periods of fiscal year 2009. The Company anticipates that at the current level of business and having implemented certain cost saving measures, that it can sustain operating profits at this level. As the Company gains additional business through increased bookings on its current product lines and expands its product offerings through research and development efforts, the operating profit is expected to further improve. The Company anticipates that it will generate an operating profit for the full fiscal year 2010.</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00" w:type="dxa"/>
            <w:vAlign w:val="bottom"/>
            <w:gridSpan w:val="3"/>
          </w:tcPr>
          <w:p>
            <w:pPr>
              <w:spacing w:after="0"/>
              <w:rPr>
                <w:sz w:val="20"/>
                <w:szCs w:val="20"/>
                <w:color w:val="auto"/>
              </w:rPr>
            </w:pPr>
            <w:r>
              <w:rPr>
                <w:rFonts w:ascii="Arial" w:cs="Arial" w:eastAsia="Arial" w:hAnsi="Arial"/>
                <w:sz w:val="18"/>
                <w:szCs w:val="18"/>
                <w:b w:val="1"/>
                <w:bCs w:val="1"/>
                <w:color w:val="auto"/>
              </w:rPr>
              <w:t>Other income (expense)</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4"/>
            <w:vMerge w:val="restart"/>
          </w:tcPr>
          <w:p>
            <w:pPr>
              <w:jc w:val="right"/>
              <w:ind w:right="100"/>
              <w:spacing w:after="0"/>
              <w:rPr>
                <w:sz w:val="20"/>
                <w:szCs w:val="20"/>
                <w:color w:val="auto"/>
              </w:rPr>
            </w:pPr>
            <w:r>
              <w:rPr>
                <w:rFonts w:ascii="Arial" w:cs="Arial" w:eastAsia="Arial" w:hAnsi="Arial"/>
                <w:sz w:val="18"/>
                <w:szCs w:val="18"/>
                <w:color w:val="auto"/>
              </w:rPr>
              <w:t>Six months</w:t>
            </w: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3"/>
            <w:vMerge w:val="restart"/>
          </w:tcPr>
          <w:p>
            <w:pPr>
              <w:jc w:val="right"/>
              <w:spacing w:after="0"/>
              <w:rPr>
                <w:sz w:val="20"/>
                <w:szCs w:val="20"/>
                <w:color w:val="auto"/>
              </w:rPr>
            </w:pPr>
            <w:r>
              <w:rPr>
                <w:rFonts w:ascii="Arial" w:cs="Arial" w:eastAsia="Arial" w:hAnsi="Arial"/>
                <w:sz w:val="18"/>
                <w:szCs w:val="18"/>
                <w:color w:val="auto"/>
              </w:rPr>
              <w:t>Three months</w:t>
            </w: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800" w:type="dxa"/>
            <w:vAlign w:val="bottom"/>
            <w:tcBorders>
              <w:top w:val="single" w:sz="8" w:color="auto"/>
            </w:tcBorders>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4"/>
            <w:vMerge w:val="continue"/>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vMerge w:val="continue"/>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40" w:type="dxa"/>
            <w:vAlign w:val="bottom"/>
            <w:gridSpan w:val="6"/>
          </w:tcPr>
          <w:p>
            <w:pPr>
              <w:jc w:val="right"/>
              <w:ind w:right="320"/>
              <w:spacing w:after="0" w:line="201" w:lineRule="exact"/>
              <w:rPr>
                <w:sz w:val="20"/>
                <w:szCs w:val="20"/>
                <w:color w:val="auto"/>
              </w:rPr>
            </w:pPr>
            <w:r>
              <w:rPr>
                <w:rFonts w:ascii="Arial" w:cs="Arial" w:eastAsia="Arial" w:hAnsi="Arial"/>
                <w:sz w:val="18"/>
                <w:szCs w:val="18"/>
                <w:color w:val="auto"/>
                <w:w w:val="88"/>
              </w:rPr>
              <w:t>Periods ended October 31,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2009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2008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Change</w:t>
            </w:r>
          </w:p>
        </w:tc>
        <w:tc>
          <w:tcPr>
            <w:tcW w:w="72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2009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2008</w:t>
            </w:r>
          </w:p>
        </w:tc>
        <w:tc>
          <w:tcPr>
            <w:tcW w:w="2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Change</w:t>
            </w:r>
          </w:p>
        </w:tc>
        <w:tc>
          <w:tcPr>
            <w:tcW w:w="5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Investment income</w:t>
            </w:r>
          </w:p>
        </w:tc>
        <w:tc>
          <w:tcPr>
            <w:tcW w:w="1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253</w:t>
            </w:r>
          </w:p>
        </w:tc>
        <w:tc>
          <w:tcPr>
            <w:tcW w:w="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367</w:t>
            </w:r>
          </w:p>
        </w:tc>
        <w:tc>
          <w:tcPr>
            <w:tcW w:w="50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( 114)</w:t>
            </w:r>
          </w:p>
        </w:tc>
        <w:tc>
          <w:tcPr>
            <w:tcW w:w="10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(31)%</w:t>
            </w:r>
          </w:p>
        </w:tc>
        <w:tc>
          <w:tcPr>
            <w:tcW w:w="3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125</w:t>
            </w:r>
          </w:p>
        </w:tc>
        <w:tc>
          <w:tcPr>
            <w:tcW w:w="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209</w:t>
            </w:r>
          </w:p>
        </w:tc>
        <w:tc>
          <w:tcPr>
            <w:tcW w:w="46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FFCC"/>
          </w:tcPr>
          <w:p>
            <w:pPr>
              <w:jc w:val="right"/>
              <w:ind w:right="540"/>
              <w:spacing w:after="0"/>
              <w:rPr>
                <w:sz w:val="20"/>
                <w:szCs w:val="20"/>
                <w:color w:val="auto"/>
              </w:rPr>
            </w:pPr>
            <w:r>
              <w:rPr>
                <w:rFonts w:ascii="Arial" w:cs="Arial" w:eastAsia="Arial" w:hAnsi="Arial"/>
                <w:sz w:val="18"/>
                <w:szCs w:val="18"/>
                <w:color w:val="auto"/>
              </w:rPr>
              <w:t>( 84)</w:t>
            </w:r>
          </w:p>
        </w:tc>
        <w:tc>
          <w:tcPr>
            <w:tcW w:w="7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rPr>
              <w:t>Equity (loss)</w:t>
            </w:r>
          </w:p>
        </w:tc>
        <w:tc>
          <w:tcPr>
            <w:tcW w:w="1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(195)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(308)</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113</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(145)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(345)</w:t>
            </w:r>
          </w:p>
        </w:tc>
        <w:tc>
          <w:tcPr>
            <w:tcW w:w="460" w:type="dxa"/>
            <w:vAlign w:val="bottom"/>
          </w:tcPr>
          <w:p>
            <w:pPr>
              <w:spacing w:after="0"/>
              <w:rPr>
                <w:sz w:val="18"/>
                <w:szCs w:val="18"/>
                <w:color w:val="auto"/>
              </w:rPr>
            </w:pPr>
          </w:p>
        </w:tc>
        <w:tc>
          <w:tcPr>
            <w:tcW w:w="1040" w:type="dxa"/>
            <w:vAlign w:val="bottom"/>
            <w:gridSpan w:val="2"/>
          </w:tcPr>
          <w:p>
            <w:pPr>
              <w:jc w:val="right"/>
              <w:ind w:right="600"/>
              <w:spacing w:after="0"/>
              <w:rPr>
                <w:sz w:val="20"/>
                <w:szCs w:val="20"/>
                <w:color w:val="auto"/>
              </w:rPr>
            </w:pPr>
            <w:r>
              <w:rPr>
                <w:rFonts w:ascii="Arial" w:cs="Arial" w:eastAsia="Arial" w:hAnsi="Arial"/>
                <w:sz w:val="18"/>
                <w:szCs w:val="18"/>
                <w:color w:val="auto"/>
              </w:rPr>
              <w:t>200</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Impairment charge</w:t>
            </w:r>
          </w:p>
        </w:tc>
        <w:tc>
          <w:tcPr>
            <w:tcW w:w="180" w:type="dxa"/>
            <w:vAlign w:val="bottom"/>
            <w:shd w:val="clear" w:color="auto" w:fill="CCFFCC"/>
          </w:tcPr>
          <w:p>
            <w:pPr>
              <w:spacing w:after="0"/>
              <w:rPr>
                <w:sz w:val="18"/>
                <w:szCs w:val="18"/>
                <w:color w:val="auto"/>
              </w:rPr>
            </w:pPr>
          </w:p>
        </w:tc>
        <w:tc>
          <w:tcPr>
            <w:tcW w:w="8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(200)</w:t>
            </w: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(200)</w:t>
            </w:r>
          </w:p>
        </w:tc>
        <w:tc>
          <w:tcPr>
            <w:tcW w:w="1080" w:type="dxa"/>
            <w:vAlign w:val="bottom"/>
            <w:gridSpan w:val="2"/>
            <w:shd w:val="clear" w:color="auto" w:fill="CCFFCC"/>
          </w:tcPr>
          <w:p>
            <w:pPr>
              <w:jc w:val="right"/>
              <w:ind w:right="360"/>
              <w:spacing w:after="0"/>
              <w:rPr>
                <w:sz w:val="20"/>
                <w:szCs w:val="20"/>
                <w:color w:val="auto"/>
              </w:rPr>
            </w:pPr>
            <w:r>
              <w:rPr>
                <w:rFonts w:ascii="Arial" w:cs="Arial" w:eastAsia="Arial" w:hAnsi="Arial"/>
                <w:sz w:val="18"/>
                <w:szCs w:val="18"/>
                <w:color w:val="auto"/>
              </w:rPr>
              <w:t>NM</w:t>
            </w:r>
          </w:p>
        </w:tc>
        <w:tc>
          <w:tcPr>
            <w:tcW w:w="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(200)</w:t>
            </w: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540"/>
              <w:spacing w:after="0"/>
              <w:rPr>
                <w:sz w:val="20"/>
                <w:szCs w:val="20"/>
                <w:color w:val="auto"/>
              </w:rPr>
            </w:pPr>
            <w:r>
              <w:rPr>
                <w:rFonts w:ascii="Arial" w:cs="Arial" w:eastAsia="Arial" w:hAnsi="Arial"/>
                <w:sz w:val="18"/>
                <w:szCs w:val="18"/>
                <w:color w:val="auto"/>
              </w:rPr>
              <w:t>(200)</w:t>
            </w:r>
          </w:p>
        </w:tc>
        <w:tc>
          <w:tcPr>
            <w:tcW w:w="7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(78)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(193)</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115</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60%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(110)</w:t>
            </w:r>
          </w:p>
        </w:tc>
        <w:tc>
          <w:tcPr>
            <w:tcW w:w="4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76</w:t>
            </w:r>
          </w:p>
        </w:tc>
        <w:tc>
          <w:tcPr>
            <w:tcW w:w="6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Other income, net</w:t>
            </w:r>
          </w:p>
        </w:tc>
        <w:tc>
          <w:tcPr>
            <w:tcW w:w="180" w:type="dxa"/>
            <w:vAlign w:val="bottom"/>
            <w:shd w:val="clear" w:color="auto" w:fill="CCFFCC"/>
          </w:tcPr>
          <w:p>
            <w:pPr>
              <w:spacing w:after="0"/>
              <w:rPr>
                <w:sz w:val="18"/>
                <w:szCs w:val="18"/>
                <w:color w:val="auto"/>
              </w:rPr>
            </w:pPr>
          </w:p>
        </w:tc>
        <w:tc>
          <w:tcPr>
            <w:tcW w:w="8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(156)</w:t>
            </w: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75</w:t>
            </w:r>
          </w:p>
        </w:tc>
        <w:tc>
          <w:tcPr>
            <w:tcW w:w="8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(231)</w:t>
            </w:r>
          </w:p>
        </w:tc>
        <w:tc>
          <w:tcPr>
            <w:tcW w:w="1080" w:type="dxa"/>
            <w:vAlign w:val="bottom"/>
            <w:gridSpan w:val="2"/>
            <w:shd w:val="clear" w:color="auto" w:fill="CCFFCC"/>
          </w:tcPr>
          <w:p>
            <w:pPr>
              <w:jc w:val="right"/>
              <w:ind w:right="360"/>
              <w:spacing w:after="0"/>
              <w:rPr>
                <w:sz w:val="20"/>
                <w:szCs w:val="20"/>
                <w:color w:val="auto"/>
              </w:rPr>
            </w:pPr>
            <w:r>
              <w:rPr>
                <w:rFonts w:ascii="Arial" w:cs="Arial" w:eastAsia="Arial" w:hAnsi="Arial"/>
                <w:sz w:val="18"/>
                <w:szCs w:val="18"/>
                <w:color w:val="auto"/>
              </w:rPr>
              <w:t>NM</w:t>
            </w:r>
          </w:p>
        </w:tc>
        <w:tc>
          <w:tcPr>
            <w:tcW w:w="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(117)</w:t>
            </w: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w:t>
            </w:r>
          </w:p>
        </w:tc>
        <w:tc>
          <w:tcPr>
            <w:tcW w:w="46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540"/>
              <w:spacing w:after="0"/>
              <w:rPr>
                <w:sz w:val="20"/>
                <w:szCs w:val="20"/>
                <w:color w:val="auto"/>
              </w:rPr>
            </w:pPr>
            <w:r>
              <w:rPr>
                <w:rFonts w:ascii="Arial" w:cs="Arial" w:eastAsia="Arial" w:hAnsi="Arial"/>
                <w:sz w:val="18"/>
                <w:szCs w:val="18"/>
                <w:color w:val="auto"/>
              </w:rPr>
              <w:t>(111)</w:t>
            </w:r>
          </w:p>
        </w:tc>
        <w:tc>
          <w:tcPr>
            <w:tcW w:w="7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800" w:type="dxa"/>
            <w:vAlign w:val="bottom"/>
            <w:shd w:val="clear" w:color="auto" w:fill="CCFFCC"/>
          </w:tcPr>
          <w:p>
            <w:pPr>
              <w:spacing w:after="0"/>
              <w:rPr>
                <w:sz w:val="2"/>
                <w:szCs w:val="2"/>
                <w:color w:val="auto"/>
              </w:rPr>
            </w:pPr>
          </w:p>
        </w:tc>
        <w:tc>
          <w:tcPr>
            <w:tcW w:w="480" w:type="dxa"/>
            <w:vAlign w:val="bottom"/>
            <w:shd w:val="clear" w:color="auto" w:fill="CCFFC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shd w:val="clear" w:color="auto" w:fill="CCFFCC"/>
          </w:tcPr>
          <w:p>
            <w:pPr>
              <w:spacing w:after="0"/>
              <w:rPr>
                <w:sz w:val="2"/>
                <w:szCs w:val="2"/>
                <w:color w:val="auto"/>
              </w:rPr>
            </w:pPr>
          </w:p>
        </w:tc>
        <w:tc>
          <w:tcPr>
            <w:tcW w:w="720" w:type="dxa"/>
            <w:vAlign w:val="bottom"/>
            <w:shd w:val="clear" w:color="auto" w:fill="CCFFCC"/>
          </w:tcPr>
          <w:p>
            <w:pPr>
              <w:spacing w:after="0"/>
              <w:rPr>
                <w:sz w:val="2"/>
                <w:szCs w:val="2"/>
                <w:color w:val="auto"/>
              </w:rPr>
            </w:pPr>
          </w:p>
        </w:tc>
        <w:tc>
          <w:tcPr>
            <w:tcW w:w="360" w:type="dxa"/>
            <w:vAlign w:val="bottom"/>
            <w:shd w:val="clear" w:color="auto" w:fill="CCFFCC"/>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0" w:type="dxa"/>
            <w:vAlign w:val="bottom"/>
            <w:shd w:val="clear" w:color="auto" w:fill="CCFFCC"/>
          </w:tcPr>
          <w:p>
            <w:pPr>
              <w:spacing w:after="0"/>
              <w:rPr>
                <w:sz w:val="2"/>
                <w:szCs w:val="2"/>
                <w:color w:val="auto"/>
              </w:rPr>
            </w:pPr>
          </w:p>
        </w:tc>
        <w:tc>
          <w:tcPr>
            <w:tcW w:w="500" w:type="dxa"/>
            <w:vAlign w:val="bottom"/>
            <w:shd w:val="clear" w:color="auto" w:fill="CCFFCC"/>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( 376)</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( 59)</w:t>
            </w:r>
          </w:p>
        </w:tc>
        <w:tc>
          <w:tcPr>
            <w:tcW w:w="5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( 317)</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(537)%</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( 371)</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( 252)</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( 119)</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Investment income is derived primarily from the Company’s holdings of marketable securities. Earnings on these securities may vary based on fluctuating interest rate levels and the timing of purchases or sales of securities.</w:t>
      </w:r>
    </w:p>
    <w:p>
      <w:pPr>
        <w:spacing w:after="0" w:line="197"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The equity loss in the fiscal year 2010 and 2009 periods represent the Company’s share of the quarterly loss recorded by Elcom Technologies in which the Company owns a 25% interest. In addition, during the three month period ended October 31, 2009, the Company measured the current market value of Elcom based on comparisons to comparable companies as well as Elcom’s forecasts of future financial results and determined that its investment was impaired. Consequently, the Company recorded an impairment charge in the amount of $200,000 in addition to its equity share in Elcom’s quarterly loss.</w:t>
      </w:r>
    </w:p>
    <w:p>
      <w:pPr>
        <w:spacing w:after="0" w:line="181"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The decrease in interest expense for the six and three month periods ended October 31, 2009, resulted from both a decrease in borrowings under the Company’s line of credit as well as a lower rate of interest charged on such borrowings compared to the same periods ended October 31, 2008.</w:t>
      </w:r>
    </w:p>
    <w:p>
      <w:pPr>
        <w:spacing w:after="0" w:line="151"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6"/>
          <w:szCs w:val="16"/>
          <w:color w:val="auto"/>
        </w:rPr>
        <w:t>Under the provisions of sale and leaseback accounting, a portion of the capital gain realized on a fiscal year 2005 real estate transaction is deferred and recognized in income over the initial lease term. Under the caption “Other income, net” the Company recognized deferred gain of $177,000 and $88,000 for the six and three months ended October 31, 2008, respectively. Since the gain was fully amortized during fiscal year 2009, comparable income was not recorded in the periods ended October 31, 2009. In the fiscal year 2010 periods, other expense included royalty expense and certain foreign currency exchange losses at the Company’s overseas subsidiaries. Other insignificant income and expense items are also recorded under this caption.</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 of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00" w:type="dxa"/>
            <w:vAlign w:val="bottom"/>
            <w:gridSpan w:val="3"/>
          </w:tcPr>
          <w:p>
            <w:pPr>
              <w:spacing w:after="0"/>
              <w:rPr>
                <w:sz w:val="20"/>
                <w:szCs w:val="20"/>
                <w:color w:val="auto"/>
              </w:rPr>
            </w:pPr>
            <w:r>
              <w:rPr>
                <w:rFonts w:ascii="Arial" w:cs="Arial" w:eastAsia="Arial" w:hAnsi="Arial"/>
                <w:sz w:val="18"/>
                <w:szCs w:val="18"/>
                <w:b w:val="1"/>
                <w:bCs w:val="1"/>
                <w:color w:val="auto"/>
                <w:w w:val="94"/>
              </w:rPr>
              <w:t>Net Income (Loss)</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gridSpan w:val="4"/>
            <w:vMerge w:val="restart"/>
          </w:tcPr>
          <w:p>
            <w:pPr>
              <w:ind w:left="400"/>
              <w:spacing w:after="0"/>
              <w:rPr>
                <w:sz w:val="20"/>
                <w:szCs w:val="20"/>
                <w:color w:val="auto"/>
              </w:rPr>
            </w:pPr>
            <w:r>
              <w:rPr>
                <w:rFonts w:ascii="Arial" w:cs="Arial" w:eastAsia="Arial" w:hAnsi="Arial"/>
                <w:sz w:val="18"/>
                <w:szCs w:val="18"/>
                <w:color w:val="auto"/>
              </w:rPr>
              <w:t>Six months</w:t>
            </w:r>
          </w:p>
        </w:tc>
        <w:tc>
          <w:tcPr>
            <w:tcW w:w="10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gridSpan w:val="4"/>
            <w:vMerge w:val="restart"/>
          </w:tcPr>
          <w:p>
            <w:pPr>
              <w:jc w:val="right"/>
              <w:ind w:right="160"/>
              <w:spacing w:after="0"/>
              <w:rPr>
                <w:sz w:val="20"/>
                <w:szCs w:val="20"/>
                <w:color w:val="auto"/>
              </w:rPr>
            </w:pPr>
            <w:r>
              <w:rPr>
                <w:rFonts w:ascii="Arial" w:cs="Arial" w:eastAsia="Arial" w:hAnsi="Arial"/>
                <w:sz w:val="18"/>
                <w:szCs w:val="18"/>
                <w:color w:val="auto"/>
              </w:rPr>
              <w:t>Three months</w:t>
            </w:r>
          </w:p>
        </w:tc>
        <w:tc>
          <w:tcPr>
            <w:tcW w:w="10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116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4"/>
            <w:vMerge w:val="continue"/>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gridSpan w:val="4"/>
            <w:vMerge w:val="continue"/>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80" w:type="dxa"/>
            <w:vAlign w:val="bottom"/>
            <w:gridSpan w:val="2"/>
          </w:tcPr>
          <w:p>
            <w:pPr>
              <w:ind w:left="800"/>
              <w:spacing w:after="0" w:line="201" w:lineRule="exact"/>
              <w:rPr>
                <w:sz w:val="20"/>
                <w:szCs w:val="20"/>
                <w:color w:val="auto"/>
              </w:rPr>
            </w:pPr>
            <w:r>
              <w:rPr>
                <w:rFonts w:ascii="Arial" w:cs="Arial" w:eastAsia="Arial" w:hAnsi="Arial"/>
                <w:sz w:val="18"/>
                <w:szCs w:val="18"/>
                <w:color w:val="auto"/>
              </w:rPr>
              <w:t>Periods</w:t>
            </w:r>
          </w:p>
        </w:tc>
        <w:tc>
          <w:tcPr>
            <w:tcW w:w="320" w:type="dxa"/>
            <w:vAlign w:val="bottom"/>
          </w:tcPr>
          <w:p>
            <w:pPr>
              <w:spacing w:after="0"/>
              <w:rPr>
                <w:sz w:val="20"/>
                <w:szCs w:val="20"/>
                <w:color w:val="auto"/>
              </w:rPr>
            </w:pPr>
            <w:r>
              <w:rPr>
                <w:rFonts w:ascii="Arial" w:cs="Arial" w:eastAsia="Arial" w:hAnsi="Arial"/>
                <w:sz w:val="15"/>
                <w:szCs w:val="15"/>
                <w:color w:val="auto"/>
                <w:w w:val="71"/>
              </w:rPr>
              <w:t>ended</w:t>
            </w:r>
          </w:p>
        </w:tc>
        <w:tc>
          <w:tcPr>
            <w:tcW w:w="1080" w:type="dxa"/>
            <w:vAlign w:val="bottom"/>
            <w:gridSpan w:val="3"/>
          </w:tcPr>
          <w:p>
            <w:pPr>
              <w:jc w:val="center"/>
              <w:ind w:right="100"/>
              <w:spacing w:after="0" w:line="201" w:lineRule="exact"/>
              <w:rPr>
                <w:sz w:val="20"/>
                <w:szCs w:val="20"/>
                <w:color w:val="auto"/>
              </w:rPr>
            </w:pPr>
            <w:r>
              <w:rPr>
                <w:rFonts w:ascii="Arial" w:cs="Arial" w:eastAsia="Arial" w:hAnsi="Arial"/>
                <w:sz w:val="18"/>
                <w:szCs w:val="18"/>
                <w:color w:val="auto"/>
                <w:w w:val="91"/>
              </w:rPr>
              <w:t>October 31,</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Change</w:t>
            </w:r>
          </w:p>
        </w:tc>
        <w:tc>
          <w:tcPr>
            <w:tcW w:w="48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2009</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Change</w:t>
            </w:r>
          </w:p>
        </w:tc>
        <w:tc>
          <w:tcPr>
            <w:tcW w:w="4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40" w:type="dxa"/>
            <w:vAlign w:val="bottom"/>
            <w:shd w:val="clear" w:color="auto" w:fill="CCFFCC"/>
          </w:tcPr>
          <w:p>
            <w:pPr>
              <w:jc w:val="right"/>
              <w:ind w:right="85"/>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FFCC"/>
          </w:tcPr>
          <w:p>
            <w:pPr>
              <w:spacing w:after="0"/>
              <w:rPr>
                <w:sz w:val="18"/>
                <w:szCs w:val="18"/>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525</w:t>
            </w:r>
          </w:p>
        </w:tc>
        <w:tc>
          <w:tcPr>
            <w:tcW w:w="3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FFCC"/>
          </w:tcPr>
          <w:p>
            <w:pPr>
              <w:ind w:left="380"/>
              <w:spacing w:after="0"/>
              <w:rPr>
                <w:sz w:val="20"/>
                <w:szCs w:val="20"/>
                <w:color w:val="auto"/>
              </w:rPr>
            </w:pPr>
            <w:r>
              <w:rPr>
                <w:rFonts w:ascii="Arial" w:cs="Arial" w:eastAsia="Arial" w:hAnsi="Arial"/>
                <w:sz w:val="18"/>
                <w:szCs w:val="18"/>
                <w:color w:val="auto"/>
                <w:w w:val="98"/>
              </w:rPr>
              <w:t>(1,666)</w:t>
            </w:r>
          </w:p>
        </w:tc>
        <w:tc>
          <w:tcPr>
            <w:tcW w:w="44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FFCC"/>
          </w:tcPr>
          <w:p>
            <w:pPr>
              <w:jc w:val="right"/>
              <w:ind w:right="330"/>
              <w:spacing w:after="0"/>
              <w:rPr>
                <w:sz w:val="20"/>
                <w:szCs w:val="20"/>
                <w:color w:val="auto"/>
              </w:rPr>
            </w:pPr>
            <w:r>
              <w:rPr>
                <w:rFonts w:ascii="Arial" w:cs="Arial" w:eastAsia="Arial" w:hAnsi="Arial"/>
                <w:sz w:val="18"/>
                <w:szCs w:val="18"/>
                <w:color w:val="auto"/>
              </w:rPr>
              <w:t>2,191</w:t>
            </w:r>
          </w:p>
        </w:tc>
        <w:tc>
          <w:tcPr>
            <w:tcW w:w="480" w:type="dxa"/>
            <w:vAlign w:val="bottom"/>
            <w:shd w:val="clear" w:color="auto" w:fill="CCFFCC"/>
          </w:tcPr>
          <w:p>
            <w:pPr>
              <w:ind w:left="180"/>
              <w:spacing w:after="0"/>
              <w:rPr>
                <w:sz w:val="20"/>
                <w:szCs w:val="20"/>
                <w:color w:val="auto"/>
              </w:rPr>
            </w:pPr>
            <w:r>
              <w:rPr>
                <w:rFonts w:ascii="Arial" w:cs="Arial" w:eastAsia="Arial" w:hAnsi="Arial"/>
                <w:sz w:val="18"/>
                <w:szCs w:val="18"/>
                <w:color w:val="auto"/>
                <w:w w:val="99"/>
              </w:rPr>
              <w:t>NM</w:t>
            </w:r>
          </w:p>
        </w:tc>
        <w:tc>
          <w:tcPr>
            <w:tcW w:w="500" w:type="dxa"/>
            <w:vAlign w:val="bottom"/>
            <w:gridSpan w:val="2"/>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(129)</w:t>
            </w:r>
          </w:p>
        </w:tc>
        <w:tc>
          <w:tcPr>
            <w:tcW w:w="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(894)</w:t>
            </w:r>
          </w:p>
        </w:tc>
        <w:tc>
          <w:tcPr>
            <w:tcW w:w="620" w:type="dxa"/>
            <w:vAlign w:val="bottom"/>
            <w:gridSpan w:val="2"/>
            <w:shd w:val="clear" w:color="auto" w:fill="CCFFCC"/>
          </w:tcPr>
          <w:p>
            <w:pPr>
              <w:jc w:val="right"/>
              <w:ind w:right="4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FFCC"/>
          </w:tcPr>
          <w:p>
            <w:pPr>
              <w:jc w:val="right"/>
              <w:ind w:right="550"/>
              <w:spacing w:after="0"/>
              <w:rPr>
                <w:sz w:val="20"/>
                <w:szCs w:val="20"/>
                <w:color w:val="auto"/>
              </w:rPr>
            </w:pPr>
            <w:r>
              <w:rPr>
                <w:rFonts w:ascii="Arial" w:cs="Arial" w:eastAsia="Arial" w:hAnsi="Arial"/>
                <w:sz w:val="18"/>
                <w:szCs w:val="18"/>
                <w:color w:val="auto"/>
              </w:rPr>
              <w:t>765</w:t>
            </w:r>
          </w:p>
        </w:tc>
        <w:tc>
          <w:tcPr>
            <w:tcW w:w="6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improvement in net income (loss) for the six and three months ended October 31, 2009, resulted from the improved gross margin and reduced operating expenses as discussed above. The net loss for the second quarter of fiscal year 2010 included the $200,000 non-cash impairment charge on its Elcom investment. The fiscal year 2009 results were negatively impacted by the higher engineering costs on certain satellite payload programs which were completed during that fiscal year. The Company expects to realize improved gross and operating margins in the subsequent quarters of fiscal year 2010 and anticipates that it will report a profit for the full year.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Income Taxes</w:t>
      </w:r>
    </w:p>
    <w:p>
      <w:pPr>
        <w:spacing w:after="0" w:line="25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During the six months ended October 31, 2009, the Company recorded an income tax provision of approximately $130,000, or approximately 25% of pre-tax income. This provision was completely offset by a reduction in the valuation allowance on deferred tax assets that was established in prior years. As of October 31, 2009, the valuation allowance is approximately $8.4 million and may continue to be reduced as the Company realizes pre-tax profits in future periods.</w:t>
      </w:r>
    </w:p>
    <w:p>
      <w:pPr>
        <w:spacing w:after="0" w:line="214"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Company is subject to taxation in several countries as well as the states of New York and California. The statutory federal rates vary from 34% in the United States to 35% in Europe. The effective rate is impacted by the income or loss of certain of the Company’s European and Asian subsidiaries which are currently not taxed. In addition, the Company utilizes the availability of research and development tax credits in the United States to lower its tax rate. As of April 30, 2009, the Company’s European subsidiaries had available net operating loss carryforwards of approximately $1.1 million, which will offset future taxable income. The domestic U.S. tax loss carryforward, which expires in 2028, is approximately $3.0 million and the tax loss carryforward for state income tax purposes is approximately $7.3 million.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LIQUIDITY AND CAPITAL RESOURCES</w:t>
      </w:r>
    </w:p>
    <w:p>
      <w:pPr>
        <w:spacing w:after="0" w:line="252"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Company’s balance sheet continues to reflect a strong working capital position of $51 million at October 31, 2009, compared to working capital of $48 million at April 30, 2009. Included in working capital at October 31, 2009 is $16.5 million of cash, cash equivalents and marketable securities. The Company’s current ratio at October 31, 2009 is 8.3 to 1.</w:t>
      </w:r>
    </w:p>
    <w:p>
      <w:pPr>
        <w:spacing w:after="0" w:line="208"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For the six months ended October 31, 2009, the Company had positive cash flow from operating activities of $2.7 million compared to $466,000 provided by operations in the comparable fiscal year 2009 period. The primary sources of cash in the fiscal year 2010 period were profitable operations and the collection of accounts receivable. During the fiscal year 2010 period, the Company incurred over $2.5 million of non-cash operating expenses, such as depreciation and amortization and accruals for employee benefit programs. These non-cash expenses are comparable to prior years. In the six month period ended October 31, 2008, operating cash flow was diminished by the $1.7 million net loss for the period. For the balance of fiscal year 2010, the Company expects to generate positive cash flow from operating activities.</w:t>
      </w:r>
    </w:p>
    <w:p>
      <w:pPr>
        <w:spacing w:after="0" w:line="220"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Net cash used in investing activities for the six months ended October 31, 2009, was $280,000 compared to a $5.9 million use of cash for the same period of fiscal year 2009. During the fiscal year 2010 period, cash was used solely to acquire capital equipment. In the prior fiscal year, the Company invested $5.6 million in marketable securities, net of $1.0 million in proceeds from the sale of certain marketable securities, and acquired additional fixed assets for $293,000. The Company may continue to acquire or sell marketable securities as dictated by its investment strategies as well as by the cash requirements for its development activities. Capital equipment purchases for all of fiscal year 2010 are expected to be in the range of $1.0 million to $1.5 million. Internally generated cash is adequate to acquire this level of capital equipment.</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 of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3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Net cash used in financing activities for the six months ended October 31, 2009, was $1.2 million compared to $2.6 million used during the comparable fiscal year 2009 period. The fiscal year 2010 activity consisted solely of payments against the Company’s capital lease obligation and paydown of the Company’s line of credit with a financial institution. During the first six months of fiscal year 2009, the Company repurchased over 677,000 shares of its common stock at an average per share price of $4.39, or approximately $3.0 million. In addition, during fiscal year 2009, the Company had net borrowings of $0.5 million against its line of credit and made principal payments of $106,000 against a long-term capital lease.</w:t>
      </w:r>
    </w:p>
    <w:p>
      <w:pPr>
        <w:spacing w:after="0" w:line="20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 has been authorized by its Board of Directors to repurchase up to $5 million worth of shares of its common stock for treasury whenever appropriate opportunities arise but it has neither a formal repurchase plan nor commitments to purchase additional shares in the future. As of October 31, 2009, the Company has repurchased approximately $4 million of its common stock out of the $5 million authorization.</w:t>
      </w:r>
    </w:p>
    <w:p>
      <w:pPr>
        <w:spacing w:after="0" w:line="193"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The Company will continue to expend resources to develop and improve products for space applications, guidance and targeting systems, and communication systems which management believes will result in future growth and continued profitability. During fiscal year 2010, the Company intends to make a substantial investment of capital and technical resources to develop new products to meet the needs of the U.S. Government, commercial space and telecommunications infrastructure marketplaces and to invest in more efficient product designs and manufacturing procedures. Where possible, the Company will secure partial customer funding for such development efforts but is targeting to spend its own funds at a rate less than 10% of revenues to achieve its development goals. Internally generated cash will be adequate to fund these development efforts.</w:t>
      </w:r>
    </w:p>
    <w:p>
      <w:pPr>
        <w:spacing w:after="0" w:line="20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As of October 31, 2009, the Company's consolidated backlog amounted to approximately $37 million. Approximately 70% of this backlog is expected to be realized in the next twelve months. Included in the backlog at October 31, 2009 is approximately $7.5 million under cost-plus-fee contracts which the Company believes represent firm commitments from its customers for which the Company has not received full funding to date. The Company excludes from backlog any contracts or awards for which it has not received authorization to proceed.</w:t>
      </w:r>
    </w:p>
    <w:p>
      <w:pPr>
        <w:spacing w:after="0" w:line="210"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Off-Balance Sheet Arrangements</w:t>
      </w:r>
    </w:p>
    <w:p>
      <w:pPr>
        <w:spacing w:after="0" w:line="256"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Company does not have any off-balance sheet arrangements that have or are reasonably likely to have a current or future effect on the Company’s financial condition, changes in financial condition, revenues or expenses, results of operations, liquidity, capital expenditures or capital resources that is material to investors.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of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4T.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Controls and Procedures</w:t>
      </w:r>
    </w:p>
    <w:p>
      <w:pPr>
        <w:spacing w:after="0" w:line="238"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u w:val="single" w:color="auto"/>
          <w:color w:val="auto"/>
        </w:rPr>
        <w:t>Disclosure Controls and Procedures</w:t>
      </w:r>
      <w:r>
        <w:rPr>
          <w:rFonts w:ascii="Arial" w:cs="Arial" w:eastAsia="Arial" w:hAnsi="Arial"/>
          <w:sz w:val="16"/>
          <w:szCs w:val="16"/>
          <w:color w:val="auto"/>
        </w:rPr>
        <w:t>. 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as amended (the “Exchange Act”)) as of the end of the period covered by this report.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 Based on their evaluation, the Company’s chief executive officer and chief financial officer have concluded that, as of October 31, 2009, the Company’s disclosure controls and procedures were not effective for the reasons discussed below, to ensure that information relating to the Company, including its consolidated subsidiaries, required to be included in its reports that it filed or submitted under the Exchange Act are recorded, processed, summarized and reported within the time periods specified in Securities and Exchange Commission rules and forms.</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Management’s Report on Internal Control over Financial Reporting</w:t>
      </w:r>
    </w:p>
    <w:p>
      <w:pPr>
        <w:spacing w:after="0" w:line="25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Management of Frequency Electronics is responsible for establishing and maintaining adequate internal control over financial reporting as defined in Rules 13a-15(f) and 15d-15(f) under the Exchange Act. The Company’s internal control system is designed to provide reasonable assurance regarding the reliability of financial reporting and the preparation of financial statements for external purposes in accordance with generally accepted accounting principles. Because of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disclosed in its Form 10-K for the year ended April 30, 2009, the Company has identified several material weaknesses in its internal control over financial reporting. While the Company did not conduct a full assessment of the effectiveness of internal controls over financial reporting at October 31, 2009, for the second quarter of fiscal year 2010, there were no substantial changes made to the Company’s internal control over financial reporting since management’s assessment of April 30, 2009, and therefore the weaknesses previously identified by management continued to exist at October 31, 2009. Please refer to the Company’s Annual Report on Form 10-K for the year ended April 30, 2009 for a more detailed discussion of the weaknesses previously identified by management.</w:t>
      </w:r>
    </w:p>
    <w:p>
      <w:pPr>
        <w:spacing w:after="0" w:line="22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u w:val="single" w:color="auto"/>
          <w:color w:val="auto"/>
        </w:rPr>
        <w:t>Changes in Internal Control Over Financial Reporting</w:t>
      </w:r>
      <w:r>
        <w:rPr>
          <w:rFonts w:ascii="Arial" w:cs="Arial" w:eastAsia="Arial" w:hAnsi="Arial"/>
          <w:sz w:val="18"/>
          <w:szCs w:val="18"/>
          <w:color w:val="auto"/>
        </w:rPr>
        <w:t>. There were no changes in the Company’s internal control over financial reporting (as such term is defined in Rules 13a-15(f) and 15d-15(f) under the Exchange Act) during the quarter ended October 31, 2009 to which this report relates that have materially affected, or are reasonably likely to materially affect, the Company’s internal control over financial reporting.</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 of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 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ITEMS 1, 1A, 2, 3 and 5 are omitted because they are not applicable.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ITEM 4 Submission of Matters to a Vote of Security Holders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On October 6, 2009, at the Annual Meeting of Stockholders, the following matters were approved by the shareholders of the Company:</w:t>
      </w:r>
    </w:p>
    <w:p>
      <w:pPr>
        <w:spacing w:after="0" w:line="252"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Election of the following six directors:</w:t>
      </w:r>
    </w:p>
    <w:p>
      <w:pPr>
        <w:spacing w:after="0" w:line="252" w:lineRule="exact"/>
        <w:rPr>
          <w:sz w:val="20"/>
          <w:szCs w:val="20"/>
          <w:color w:val="auto"/>
        </w:rPr>
      </w:pPr>
    </w:p>
    <w:tbl>
      <w:tblPr>
        <w:tblLayout w:type="fixed"/>
        <w:tblInd w:w="114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000" w:type="dxa"/>
            <w:vAlign w:val="bottom"/>
          </w:tcPr>
          <w:p>
            <w:pPr>
              <w:ind w:left="320"/>
              <w:spacing w:after="0"/>
              <w:rPr>
                <w:sz w:val="20"/>
                <w:szCs w:val="20"/>
                <w:color w:val="auto"/>
              </w:rPr>
            </w:pPr>
            <w:r>
              <w:rPr>
                <w:rFonts w:ascii="Arial" w:cs="Arial" w:eastAsia="Arial" w:hAnsi="Arial"/>
                <w:sz w:val="18"/>
                <w:szCs w:val="18"/>
                <w:color w:val="auto"/>
              </w:rPr>
              <w:t>DIRECTOR</w:t>
            </w:r>
          </w:p>
        </w:tc>
        <w:tc>
          <w:tcPr>
            <w:tcW w:w="80" w:type="dxa"/>
            <w:vAlign w:val="bottom"/>
          </w:tcPr>
          <w:p>
            <w:pPr>
              <w:spacing w:after="0"/>
              <w:rPr>
                <w:sz w:val="20"/>
                <w:szCs w:val="20"/>
                <w:color w:val="auto"/>
              </w:rPr>
            </w:pPr>
          </w:p>
        </w:tc>
        <w:tc>
          <w:tcPr>
            <w:tcW w:w="1420" w:type="dxa"/>
            <w:vAlign w:val="bottom"/>
          </w:tcPr>
          <w:p>
            <w:pPr>
              <w:jc w:val="right"/>
              <w:ind w:right="450"/>
              <w:spacing w:after="0"/>
              <w:rPr>
                <w:sz w:val="20"/>
                <w:szCs w:val="20"/>
                <w:color w:val="auto"/>
              </w:rPr>
            </w:pPr>
            <w:r>
              <w:rPr>
                <w:rFonts w:ascii="Arial" w:cs="Arial" w:eastAsia="Arial" w:hAnsi="Arial"/>
                <w:sz w:val="18"/>
                <w:szCs w:val="18"/>
                <w:color w:val="auto"/>
              </w:rPr>
              <w:t>FOR</w:t>
            </w:r>
          </w:p>
        </w:tc>
        <w:tc>
          <w:tcPr>
            <w:tcW w:w="160" w:type="dxa"/>
            <w:vAlign w:val="bottom"/>
          </w:tcPr>
          <w:p>
            <w:pPr>
              <w:spacing w:after="0"/>
              <w:rPr>
                <w:sz w:val="20"/>
                <w:szCs w:val="20"/>
                <w:color w:val="auto"/>
              </w:rPr>
            </w:pPr>
          </w:p>
        </w:tc>
        <w:tc>
          <w:tcPr>
            <w:tcW w:w="1420" w:type="dxa"/>
            <w:vAlign w:val="bottom"/>
          </w:tcPr>
          <w:p>
            <w:pPr>
              <w:jc w:val="right"/>
              <w:ind w:right="150"/>
              <w:spacing w:after="0"/>
              <w:rPr>
                <w:sz w:val="20"/>
                <w:szCs w:val="20"/>
                <w:color w:val="auto"/>
              </w:rPr>
            </w:pPr>
            <w:r>
              <w:rPr>
                <w:rFonts w:ascii="Arial" w:cs="Arial" w:eastAsia="Arial" w:hAnsi="Arial"/>
                <w:sz w:val="18"/>
                <w:szCs w:val="18"/>
                <w:color w:val="auto"/>
              </w:rPr>
              <w:t>WITHHELD</w:t>
            </w:r>
          </w:p>
        </w:tc>
        <w:tc>
          <w:tcPr>
            <w:tcW w:w="1980" w:type="dxa"/>
            <w:vAlign w:val="bottom"/>
            <w:gridSpan w:val="3"/>
          </w:tcPr>
          <w:p>
            <w:pPr>
              <w:ind w:left="160"/>
              <w:spacing w:after="0"/>
              <w:rPr>
                <w:sz w:val="20"/>
                <w:szCs w:val="20"/>
                <w:color w:val="auto"/>
              </w:rPr>
            </w:pPr>
            <w:r>
              <w:rPr>
                <w:rFonts w:ascii="Arial" w:cs="Arial" w:eastAsia="Arial" w:hAnsi="Arial"/>
                <w:sz w:val="18"/>
                <w:szCs w:val="18"/>
                <w:color w:val="auto"/>
                <w:w w:val="95"/>
              </w:rPr>
              <w:t>BROKER NON-VOTES</w:t>
            </w:r>
          </w:p>
        </w:tc>
      </w:tr>
      <w:tr>
        <w:trPr>
          <w:trHeight w:val="202"/>
        </w:trPr>
        <w:tc>
          <w:tcPr>
            <w:tcW w:w="20" w:type="dxa"/>
            <w:vAlign w:val="bottom"/>
          </w:tcPr>
          <w:p>
            <w:pPr>
              <w:spacing w:after="0"/>
              <w:rPr>
                <w:sz w:val="17"/>
                <w:szCs w:val="17"/>
                <w:color w:val="auto"/>
              </w:rPr>
            </w:pPr>
          </w:p>
        </w:tc>
        <w:tc>
          <w:tcPr>
            <w:tcW w:w="40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Joseph P. Franklin</w:t>
            </w:r>
          </w:p>
        </w:tc>
        <w:tc>
          <w:tcPr>
            <w:tcW w:w="80" w:type="dxa"/>
            <w:vAlign w:val="bottom"/>
          </w:tcPr>
          <w:p>
            <w:pPr>
              <w:spacing w:after="0"/>
              <w:rPr>
                <w:sz w:val="17"/>
                <w:szCs w:val="17"/>
                <w:color w:val="auto"/>
              </w:rPr>
            </w:pPr>
          </w:p>
        </w:tc>
        <w:tc>
          <w:tcPr>
            <w:tcW w:w="14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6,234,788</w:t>
            </w:r>
          </w:p>
        </w:tc>
        <w:tc>
          <w:tcPr>
            <w:tcW w:w="160" w:type="dxa"/>
            <w:vAlign w:val="bottom"/>
          </w:tcPr>
          <w:p>
            <w:pPr>
              <w:spacing w:after="0"/>
              <w:rPr>
                <w:sz w:val="17"/>
                <w:szCs w:val="17"/>
                <w:color w:val="auto"/>
              </w:rPr>
            </w:pPr>
          </w:p>
        </w:tc>
        <w:tc>
          <w:tcPr>
            <w:tcW w:w="14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2,013,657</w:t>
            </w:r>
          </w:p>
        </w:tc>
        <w:tc>
          <w:tcPr>
            <w:tcW w:w="160" w:type="dxa"/>
            <w:vAlign w:val="bottom"/>
          </w:tcPr>
          <w:p>
            <w:pPr>
              <w:spacing w:after="0"/>
              <w:rPr>
                <w:sz w:val="17"/>
                <w:szCs w:val="17"/>
                <w:color w:val="auto"/>
              </w:rPr>
            </w:pPr>
          </w:p>
        </w:tc>
        <w:tc>
          <w:tcPr>
            <w:tcW w:w="1800" w:type="dxa"/>
            <w:vAlign w:val="bottom"/>
            <w:tcBorders>
              <w:top w:val="single" w:sz="8" w:color="auto"/>
            </w:tcBorders>
          </w:tcPr>
          <w:p>
            <w:pPr>
              <w:jc w:val="right"/>
              <w:ind w:right="650"/>
              <w:spacing w:after="0" w:line="201" w:lineRule="exact"/>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Martin B. Bloch</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6,407,673</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1,840,772</w:t>
            </w:r>
          </w:p>
        </w:tc>
        <w:tc>
          <w:tcPr>
            <w:tcW w:w="1960" w:type="dxa"/>
            <w:vAlign w:val="bottom"/>
            <w:gridSpan w:val="2"/>
          </w:tcPr>
          <w:p>
            <w:pPr>
              <w:jc w:val="right"/>
              <w:ind w:right="65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Joel Girsky</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7,540,814</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707,631</w:t>
            </w:r>
          </w:p>
        </w:tc>
        <w:tc>
          <w:tcPr>
            <w:tcW w:w="1960" w:type="dxa"/>
            <w:vAlign w:val="bottom"/>
            <w:gridSpan w:val="2"/>
          </w:tcPr>
          <w:p>
            <w:pPr>
              <w:jc w:val="right"/>
              <w:ind w:right="65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E. Donald Shapiro</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7,417,902</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830,543</w:t>
            </w:r>
          </w:p>
        </w:tc>
        <w:tc>
          <w:tcPr>
            <w:tcW w:w="1960" w:type="dxa"/>
            <w:vAlign w:val="bottom"/>
            <w:gridSpan w:val="2"/>
          </w:tcPr>
          <w:p>
            <w:pPr>
              <w:jc w:val="right"/>
              <w:ind w:right="65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S. Robert Foley, Jr.</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7,425,498</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822,947</w:t>
            </w:r>
          </w:p>
        </w:tc>
        <w:tc>
          <w:tcPr>
            <w:tcW w:w="1960" w:type="dxa"/>
            <w:vAlign w:val="bottom"/>
            <w:gridSpan w:val="2"/>
          </w:tcPr>
          <w:p>
            <w:pPr>
              <w:jc w:val="right"/>
              <w:ind w:right="65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30"/>
        </w:trPr>
        <w:tc>
          <w:tcPr>
            <w:tcW w:w="4020" w:type="dxa"/>
            <w:vAlign w:val="bottom"/>
            <w:gridSpan w:val="2"/>
          </w:tcPr>
          <w:p>
            <w:pPr>
              <w:spacing w:after="0"/>
              <w:rPr>
                <w:sz w:val="20"/>
                <w:szCs w:val="20"/>
                <w:color w:val="auto"/>
              </w:rPr>
            </w:pPr>
            <w:r>
              <w:rPr>
                <w:rFonts w:ascii="Arial" w:cs="Arial" w:eastAsia="Arial" w:hAnsi="Arial"/>
                <w:sz w:val="18"/>
                <w:szCs w:val="18"/>
                <w:color w:val="auto"/>
              </w:rPr>
              <w:t>Richard Schwartz</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7,442,109</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806,336</w:t>
            </w:r>
          </w:p>
        </w:tc>
        <w:tc>
          <w:tcPr>
            <w:tcW w:w="1960" w:type="dxa"/>
            <w:vAlign w:val="bottom"/>
            <w:gridSpan w:val="2"/>
          </w:tcPr>
          <w:p>
            <w:pPr>
              <w:jc w:val="right"/>
              <w:ind w:right="65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20"/>
                <w:szCs w:val="20"/>
                <w:color w:val="auto"/>
              </w:rPr>
            </w:pPr>
          </w:p>
        </w:tc>
      </w:tr>
    </w:tbl>
    <w:p>
      <w:pPr>
        <w:spacing w:after="0" w:line="229"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color w:val="auto"/>
        </w:rPr>
        <w:t>Ratification of the appointment of Eisner LLP as independent auditors for fiscal year 2010. The results of the voting were as follows: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60" w:type="dxa"/>
            <w:vAlign w:val="bottom"/>
          </w:tcPr>
          <w:p>
            <w:pPr>
              <w:ind w:left="680"/>
              <w:spacing w:after="0"/>
              <w:rPr>
                <w:sz w:val="20"/>
                <w:szCs w:val="20"/>
                <w:color w:val="auto"/>
              </w:rPr>
            </w:pPr>
            <w:r>
              <w:rPr>
                <w:rFonts w:ascii="Arial" w:cs="Arial" w:eastAsia="Arial" w:hAnsi="Arial"/>
                <w:sz w:val="18"/>
                <w:szCs w:val="18"/>
                <w:color w:val="auto"/>
              </w:rPr>
              <w:t>FOR</w:t>
            </w:r>
          </w:p>
        </w:tc>
        <w:tc>
          <w:tcPr>
            <w:tcW w:w="180" w:type="dxa"/>
            <w:vAlign w:val="bottom"/>
          </w:tcPr>
          <w:p>
            <w:pPr>
              <w:spacing w:after="0"/>
              <w:rPr>
                <w:sz w:val="20"/>
                <w:szCs w:val="20"/>
                <w:color w:val="auto"/>
              </w:rPr>
            </w:pPr>
          </w:p>
        </w:tc>
        <w:tc>
          <w:tcPr>
            <w:tcW w:w="1680" w:type="dxa"/>
            <w:vAlign w:val="bottom"/>
          </w:tcPr>
          <w:p>
            <w:pPr>
              <w:jc w:val="center"/>
              <w:ind w:left="430"/>
              <w:spacing w:after="0"/>
              <w:rPr>
                <w:sz w:val="20"/>
                <w:szCs w:val="20"/>
                <w:color w:val="auto"/>
              </w:rPr>
            </w:pPr>
            <w:r>
              <w:rPr>
                <w:rFonts w:ascii="Arial" w:cs="Arial" w:eastAsia="Arial" w:hAnsi="Arial"/>
                <w:sz w:val="18"/>
                <w:szCs w:val="18"/>
                <w:color w:val="auto"/>
              </w:rPr>
              <w:t>AGAINST</w:t>
            </w: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w w:val="98"/>
              </w:rPr>
              <w:t>ABSTAIN</w:t>
            </w:r>
          </w:p>
        </w:tc>
        <w:tc>
          <w:tcPr>
            <w:tcW w:w="180" w:type="dxa"/>
            <w:vAlign w:val="bottom"/>
          </w:tcPr>
          <w:p>
            <w:pPr>
              <w:spacing w:after="0"/>
              <w:rPr>
                <w:sz w:val="20"/>
                <w:szCs w:val="20"/>
                <w:color w:val="auto"/>
              </w:rPr>
            </w:pPr>
          </w:p>
        </w:tc>
        <w:tc>
          <w:tcPr>
            <w:tcW w:w="3220" w:type="dxa"/>
            <w:vAlign w:val="bottom"/>
            <w:gridSpan w:val="2"/>
          </w:tcPr>
          <w:p>
            <w:pPr>
              <w:jc w:val="center"/>
              <w:ind w:right="1160"/>
              <w:spacing w:after="0"/>
              <w:rPr>
                <w:sz w:val="20"/>
                <w:szCs w:val="20"/>
                <w:color w:val="auto"/>
              </w:rPr>
            </w:pPr>
            <w:r>
              <w:rPr>
                <w:rFonts w:ascii="Arial" w:cs="Arial" w:eastAsia="Arial" w:hAnsi="Arial"/>
                <w:sz w:val="18"/>
                <w:szCs w:val="18"/>
                <w:color w:val="auto"/>
                <w:w w:val="96"/>
              </w:rPr>
              <w:t>BROKER NON-VOTES</w:t>
            </w:r>
          </w:p>
        </w:tc>
      </w:tr>
      <w:tr>
        <w:trPr>
          <w:trHeight w:val="230"/>
        </w:trPr>
        <w:tc>
          <w:tcPr>
            <w:tcW w:w="11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96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7,765,310</w:t>
            </w:r>
          </w:p>
        </w:tc>
        <w:tc>
          <w:tcPr>
            <w:tcW w:w="180" w:type="dxa"/>
            <w:vAlign w:val="bottom"/>
          </w:tcPr>
          <w:p>
            <w:pPr>
              <w:spacing w:after="0"/>
              <w:rPr>
                <w:sz w:val="20"/>
                <w:szCs w:val="20"/>
                <w:color w:val="auto"/>
              </w:rPr>
            </w:pPr>
          </w:p>
        </w:tc>
        <w:tc>
          <w:tcPr>
            <w:tcW w:w="16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142,420</w:t>
            </w:r>
          </w:p>
        </w:tc>
        <w:tc>
          <w:tcPr>
            <w:tcW w:w="52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100" w:type="dxa"/>
            <w:vAlign w:val="bottom"/>
            <w:tcBorders>
              <w:top w:val="single" w:sz="8" w:color="auto"/>
            </w:tcBorders>
          </w:tcPr>
          <w:p>
            <w:pPr>
              <w:jc w:val="right"/>
              <w:ind w:right="670"/>
              <w:spacing w:after="0"/>
              <w:rPr>
                <w:sz w:val="20"/>
                <w:szCs w:val="20"/>
                <w:color w:val="auto"/>
              </w:rPr>
            </w:pPr>
            <w:r>
              <w:rPr>
                <w:rFonts w:ascii="Arial" w:cs="Arial" w:eastAsia="Arial" w:hAnsi="Arial"/>
                <w:sz w:val="18"/>
                <w:szCs w:val="18"/>
                <w:color w:val="auto"/>
              </w:rPr>
              <w:t>340,716</w:t>
            </w:r>
          </w:p>
        </w:tc>
        <w:tc>
          <w:tcPr>
            <w:tcW w:w="180" w:type="dxa"/>
            <w:vAlign w:val="bottom"/>
          </w:tcPr>
          <w:p>
            <w:pPr>
              <w:spacing w:after="0"/>
              <w:rPr>
                <w:sz w:val="20"/>
                <w:szCs w:val="20"/>
                <w:color w:val="auto"/>
              </w:rPr>
            </w:pPr>
          </w:p>
        </w:tc>
        <w:tc>
          <w:tcPr>
            <w:tcW w:w="2080" w:type="dxa"/>
            <w:vAlign w:val="bottom"/>
            <w:tcBorders>
              <w:top w:val="single" w:sz="8" w:color="auto"/>
            </w:tcBorders>
          </w:tcPr>
          <w:p>
            <w:pPr>
              <w:jc w:val="right"/>
              <w:ind w:right="910"/>
              <w:spacing w:after="0"/>
              <w:rPr>
                <w:sz w:val="20"/>
                <w:szCs w:val="20"/>
                <w:color w:val="auto"/>
              </w:rPr>
            </w:pPr>
            <w:r>
              <w:rPr>
                <w:rFonts w:ascii="Arial" w:cs="Arial" w:eastAsia="Arial" w:hAnsi="Arial"/>
                <w:sz w:val="18"/>
                <w:szCs w:val="18"/>
                <w:color w:val="auto"/>
              </w:rPr>
              <w:t>0</w:t>
            </w:r>
          </w:p>
        </w:tc>
        <w:tc>
          <w:tcPr>
            <w:tcW w:w="1140" w:type="dxa"/>
            <w:vAlign w:val="bottom"/>
          </w:tcPr>
          <w:p>
            <w:pPr>
              <w:spacing w:after="0"/>
              <w:rPr>
                <w:sz w:val="20"/>
                <w:szCs w:val="20"/>
                <w:color w:val="auto"/>
              </w:rPr>
            </w:pPr>
          </w:p>
        </w:tc>
      </w:tr>
      <w:tr>
        <w:trPr>
          <w:trHeight w:val="445"/>
        </w:trPr>
        <w:tc>
          <w:tcPr>
            <w:tcW w:w="1400" w:type="dxa"/>
            <w:vAlign w:val="bottom"/>
            <w:gridSpan w:val="2"/>
          </w:tcPr>
          <w:p>
            <w:pPr>
              <w:jc w:val="right"/>
              <w:spacing w:after="0"/>
              <w:rPr>
                <w:sz w:val="20"/>
                <w:szCs w:val="20"/>
                <w:color w:val="auto"/>
              </w:rPr>
            </w:pPr>
            <w:r>
              <w:rPr>
                <w:rFonts w:ascii="Arial" w:cs="Arial" w:eastAsia="Arial" w:hAnsi="Arial"/>
                <w:sz w:val="18"/>
                <w:szCs w:val="18"/>
                <w:color w:val="auto"/>
                <w:w w:val="96"/>
              </w:rPr>
              <w:t>ITEM 6 - Exhibits</w:t>
            </w:r>
          </w:p>
        </w:tc>
        <w:tc>
          <w:tcPr>
            <w:tcW w:w="1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45"/>
        </w:trPr>
        <w:tc>
          <w:tcPr>
            <w:tcW w:w="1160" w:type="dxa"/>
            <w:vAlign w:val="bottom"/>
          </w:tcPr>
          <w:p>
            <w:pPr>
              <w:jc w:val="right"/>
              <w:ind w:right="50"/>
              <w:spacing w:after="0"/>
              <w:rPr>
                <w:sz w:val="20"/>
                <w:szCs w:val="20"/>
                <w:color w:val="auto"/>
              </w:rPr>
            </w:pPr>
            <w:r>
              <w:rPr>
                <w:rFonts w:ascii="Arial" w:cs="Arial" w:eastAsia="Arial" w:hAnsi="Arial"/>
                <w:sz w:val="18"/>
                <w:szCs w:val="18"/>
                <w:color w:val="auto"/>
              </w:rPr>
              <w:t>31.1</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20" w:type="dxa"/>
            <w:vAlign w:val="bottom"/>
            <w:gridSpan w:val="9"/>
          </w:tcPr>
          <w:p>
            <w:pPr>
              <w:ind w:left="60"/>
              <w:spacing w:after="0"/>
              <w:rPr>
                <w:sz w:val="20"/>
                <w:szCs w:val="20"/>
                <w:color w:val="auto"/>
              </w:rPr>
            </w:pPr>
            <w:r>
              <w:rPr>
                <w:rFonts w:ascii="Arial" w:cs="Arial" w:eastAsia="Arial" w:hAnsi="Arial"/>
                <w:sz w:val="18"/>
                <w:szCs w:val="18"/>
                <w:color w:val="auto"/>
              </w:rPr>
              <w:t>Certification by the Chief Executive Officer Pursuant to Section 302 of the Sarbanes-Oxley Act of 2002.</w:t>
            </w:r>
          </w:p>
        </w:tc>
      </w:tr>
      <w:tr>
        <w:trPr>
          <w:trHeight w:val="216"/>
        </w:trPr>
        <w:tc>
          <w:tcPr>
            <w:tcW w:w="1160" w:type="dxa"/>
            <w:vAlign w:val="bottom"/>
          </w:tcPr>
          <w:p>
            <w:pPr>
              <w:jc w:val="right"/>
              <w:ind w:right="50"/>
              <w:spacing w:after="0"/>
              <w:rPr>
                <w:sz w:val="20"/>
                <w:szCs w:val="20"/>
                <w:color w:val="auto"/>
              </w:rPr>
            </w:pPr>
            <w:r>
              <w:rPr>
                <w:rFonts w:ascii="Arial" w:cs="Arial" w:eastAsia="Arial" w:hAnsi="Arial"/>
                <w:sz w:val="18"/>
                <w:szCs w:val="18"/>
                <w:color w:val="auto"/>
              </w:rPr>
              <w:t>31.2</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20" w:type="dxa"/>
            <w:vAlign w:val="bottom"/>
            <w:gridSpan w:val="9"/>
          </w:tcPr>
          <w:p>
            <w:pPr>
              <w:ind w:left="60"/>
              <w:spacing w:after="0"/>
              <w:rPr>
                <w:sz w:val="20"/>
                <w:szCs w:val="20"/>
                <w:color w:val="auto"/>
              </w:rPr>
            </w:pPr>
            <w:r>
              <w:rPr>
                <w:rFonts w:ascii="Arial" w:cs="Arial" w:eastAsia="Arial" w:hAnsi="Arial"/>
                <w:sz w:val="18"/>
                <w:szCs w:val="18"/>
                <w:color w:val="auto"/>
              </w:rPr>
              <w:t>Certification by the Chief Financial Officer Pursuant to Section 302 of the Sarbanes-Oxley Act of 2002.</w:t>
            </w:r>
          </w:p>
        </w:tc>
      </w:tr>
      <w:tr>
        <w:trPr>
          <w:trHeight w:val="216"/>
        </w:trPr>
        <w:tc>
          <w:tcPr>
            <w:tcW w:w="1160" w:type="dxa"/>
            <w:vAlign w:val="bottom"/>
          </w:tcPr>
          <w:p>
            <w:pPr>
              <w:jc w:val="right"/>
              <w:ind w:right="50"/>
              <w:spacing w:after="0"/>
              <w:rPr>
                <w:sz w:val="20"/>
                <w:szCs w:val="20"/>
                <w:color w:val="auto"/>
              </w:rPr>
            </w:pPr>
            <w:r>
              <w:rPr>
                <w:rFonts w:ascii="Arial" w:cs="Arial" w:eastAsia="Arial" w:hAnsi="Arial"/>
                <w:sz w:val="18"/>
                <w:szCs w:val="18"/>
                <w:color w:val="auto"/>
              </w:rPr>
              <w:t>32.1</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20" w:type="dxa"/>
            <w:vAlign w:val="bottom"/>
            <w:gridSpan w:val="9"/>
          </w:tcPr>
          <w:p>
            <w:pPr>
              <w:ind w:left="60"/>
              <w:spacing w:after="0"/>
              <w:rPr>
                <w:sz w:val="20"/>
                <w:szCs w:val="20"/>
                <w:color w:val="auto"/>
              </w:rPr>
            </w:pPr>
            <w:r>
              <w:rPr>
                <w:rFonts w:ascii="Arial" w:cs="Arial" w:eastAsia="Arial" w:hAnsi="Arial"/>
                <w:sz w:val="18"/>
                <w:szCs w:val="18"/>
                <w:color w:val="auto"/>
                <w:w w:val="91"/>
              </w:rPr>
              <w:t>Certification by the Chief Executive Officer Pursuant to 18 U.S.C. Section 1350 Adopted Pursuant to Section 906 of the Sarbanes-Oxley</w:t>
            </w:r>
          </w:p>
        </w:tc>
      </w:tr>
      <w:tr>
        <w:trPr>
          <w:trHeight w:val="216"/>
        </w:trPr>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60" w:type="dxa"/>
            <w:vAlign w:val="bottom"/>
          </w:tcPr>
          <w:p>
            <w:pPr>
              <w:ind w:left="60"/>
              <w:spacing w:after="0"/>
              <w:rPr>
                <w:sz w:val="20"/>
                <w:szCs w:val="20"/>
                <w:color w:val="auto"/>
              </w:rPr>
            </w:pPr>
            <w:r>
              <w:rPr>
                <w:rFonts w:ascii="Arial" w:cs="Arial" w:eastAsia="Arial" w:hAnsi="Arial"/>
                <w:sz w:val="18"/>
                <w:szCs w:val="18"/>
                <w:color w:val="auto"/>
              </w:rPr>
              <w:t>Act of 2002.</w:t>
            </w: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jc w:val="right"/>
              <w:ind w:right="50"/>
              <w:spacing w:after="0"/>
              <w:rPr>
                <w:sz w:val="20"/>
                <w:szCs w:val="20"/>
                <w:color w:val="auto"/>
              </w:rPr>
            </w:pPr>
            <w:r>
              <w:rPr>
                <w:rFonts w:ascii="Arial" w:cs="Arial" w:eastAsia="Arial" w:hAnsi="Arial"/>
                <w:sz w:val="18"/>
                <w:szCs w:val="18"/>
                <w:color w:val="auto"/>
              </w:rPr>
              <w:t>32.2</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20" w:type="dxa"/>
            <w:vAlign w:val="bottom"/>
            <w:gridSpan w:val="9"/>
          </w:tcPr>
          <w:p>
            <w:pPr>
              <w:ind w:left="60"/>
              <w:spacing w:after="0"/>
              <w:rPr>
                <w:sz w:val="20"/>
                <w:szCs w:val="20"/>
                <w:color w:val="auto"/>
              </w:rPr>
            </w:pPr>
            <w:r>
              <w:rPr>
                <w:rFonts w:ascii="Arial" w:cs="Arial" w:eastAsia="Arial" w:hAnsi="Arial"/>
                <w:sz w:val="18"/>
                <w:szCs w:val="18"/>
                <w:color w:val="auto"/>
                <w:w w:val="92"/>
              </w:rPr>
              <w:t>Certification by the Chief Financial Officer Pursuant to 18 U.S.C. Section 1350 Adopted Pursuant to Section 906 of the Sarbanes-Oxley</w:t>
            </w:r>
          </w:p>
        </w:tc>
      </w:tr>
      <w:tr>
        <w:trPr>
          <w:trHeight w:val="230"/>
        </w:trPr>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60" w:type="dxa"/>
            <w:vAlign w:val="bottom"/>
          </w:tcPr>
          <w:p>
            <w:pPr>
              <w:ind w:left="60"/>
              <w:spacing w:after="0"/>
              <w:rPr>
                <w:sz w:val="20"/>
                <w:szCs w:val="20"/>
                <w:color w:val="auto"/>
              </w:rPr>
            </w:pPr>
            <w:r>
              <w:rPr>
                <w:rFonts w:ascii="Arial" w:cs="Arial" w:eastAsia="Arial" w:hAnsi="Arial"/>
                <w:sz w:val="18"/>
                <w:szCs w:val="18"/>
                <w:color w:val="auto"/>
              </w:rPr>
              <w:t>Act of 2002.</w:t>
            </w:r>
          </w:p>
        </w:tc>
        <w:tc>
          <w:tcPr>
            <w:tcW w:w="1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608"/>
        </w:trPr>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800" w:type="dxa"/>
            <w:vAlign w:val="bottom"/>
            <w:gridSpan w:val="3"/>
          </w:tcPr>
          <w:p>
            <w:pPr>
              <w:ind w:left="200"/>
              <w:spacing w:after="0"/>
              <w:rPr>
                <w:sz w:val="20"/>
                <w:szCs w:val="20"/>
                <w:color w:val="auto"/>
              </w:rPr>
            </w:pPr>
            <w:r>
              <w:rPr>
                <w:rFonts w:ascii="Arial" w:cs="Arial" w:eastAsia="Arial" w:hAnsi="Arial"/>
                <w:sz w:val="18"/>
                <w:szCs w:val="18"/>
                <w:color w:val="auto"/>
              </w:rPr>
              <w:t>20 of 21</w:t>
            </w:r>
          </w:p>
        </w:tc>
        <w:tc>
          <w:tcPr>
            <w:tcW w:w="1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8"/>
        </w:trPr>
        <w:tc>
          <w:tcPr>
            <w:tcW w:w="11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96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68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21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20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0" w:name="page21"/>
    <w:bookmarkEnd w:id="20"/>
    <w:p>
      <w:pPr>
        <w:jc w:val="center"/>
        <w:ind w:right="-159"/>
        <w:spacing w:after="0"/>
        <w:rPr>
          <w:sz w:val="20"/>
          <w:szCs w:val="20"/>
          <w:color w:val="auto"/>
        </w:rPr>
      </w:pPr>
      <w:r>
        <w:rPr>
          <w:rFonts w:ascii="Arial" w:cs="Arial" w:eastAsia="Arial" w:hAnsi="Arial"/>
          <w:sz w:val="18"/>
          <w:szCs w:val="18"/>
          <w:color w:val="auto"/>
        </w:rPr>
        <w:t>SIGNATURES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FREQUENCY ELECTRONICS, INC.</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spacing w:after="0"/>
        <w:tabs>
          <w:tab w:leader="none" w:pos="5700" w:val="left"/>
          <w:tab w:leader="none" w:pos="6120" w:val="left"/>
        </w:tabs>
        <w:rPr>
          <w:sz w:val="20"/>
          <w:szCs w:val="20"/>
          <w:color w:val="auto"/>
        </w:rPr>
      </w:pPr>
      <w:r>
        <w:rPr>
          <w:rFonts w:ascii="Arial" w:cs="Arial" w:eastAsia="Arial" w:hAnsi="Arial"/>
          <w:sz w:val="18"/>
          <w:szCs w:val="18"/>
          <w:color w:val="auto"/>
        </w:rPr>
        <w:t>Date: December 15, 2009</w:t>
      </w:r>
      <w:r>
        <w:rPr>
          <w:sz w:val="20"/>
          <w:szCs w:val="20"/>
          <w:color w:val="auto"/>
        </w:rPr>
        <w:tab/>
      </w:r>
      <w:r>
        <w:rPr>
          <w:rFonts w:ascii="Arial" w:cs="Arial" w:eastAsia="Arial" w:hAnsi="Arial"/>
          <w:sz w:val="18"/>
          <w:szCs w:val="18"/>
          <w:color w:val="auto"/>
        </w:rPr>
        <w:t>BY</w:t>
        <w:tab/>
        <w:t>/s/  Alan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16"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Alan Miller</w:t>
      </w:r>
    </w:p>
    <w:p>
      <w:pPr>
        <w:spacing w:after="0" w:line="2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and Treasurer</w:t>
      </w:r>
    </w:p>
    <w:p>
      <w:pPr>
        <w:spacing w:after="0" w:line="38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 of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517" w:right="37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color w:val="auto"/>
        </w:rPr>
        <w:t>Exhibit 31.1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 of CEO</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Martin B. Bloch, certify that:</w:t>
      </w:r>
    </w:p>
    <w:p>
      <w:pPr>
        <w:spacing w:after="0" w:line="252" w:lineRule="exact"/>
        <w:rPr>
          <w:sz w:val="20"/>
          <w:szCs w:val="20"/>
          <w:color w:val="auto"/>
        </w:rPr>
      </w:pPr>
    </w:p>
    <w:p>
      <w:pPr>
        <w:ind w:left="240" w:hanging="232"/>
        <w:spacing w:after="0"/>
        <w:tabs>
          <w:tab w:leader="none" w:pos="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Frequency Electronics, Inc.;</w:t>
      </w:r>
    </w:p>
    <w:p>
      <w:pPr>
        <w:spacing w:after="0" w:line="252" w:lineRule="exact"/>
        <w:rPr>
          <w:rFonts w:ascii="Arial" w:cs="Arial" w:eastAsia="Arial" w:hAnsi="Arial"/>
          <w:sz w:val="18"/>
          <w:szCs w:val="18"/>
          <w:color w:val="auto"/>
        </w:rPr>
      </w:pPr>
    </w:p>
    <w:p>
      <w:pPr>
        <w:ind w:right="20" w:firstLine="8"/>
        <w:spacing w:after="0" w:line="342" w:lineRule="auto"/>
        <w:tabs>
          <w:tab w:leader="none" w:pos="275"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firstLine="8"/>
        <w:spacing w:after="0" w:line="277" w:lineRule="auto"/>
        <w:tabs>
          <w:tab w:leader="none" w:pos="225"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firstLine="8"/>
        <w:spacing w:after="0" w:line="264" w:lineRule="auto"/>
        <w:tabs>
          <w:tab w:leader="none" w:pos="23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660" w:hanging="4"/>
        <w:spacing w:after="0" w:line="264" w:lineRule="auto"/>
        <w:tabs>
          <w:tab w:leader="none" w:pos="974"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660" w:right="20" w:hanging="4"/>
        <w:spacing w:after="0" w:line="264" w:lineRule="auto"/>
        <w:tabs>
          <w:tab w:leader="none" w:pos="102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hanging="4"/>
        <w:spacing w:after="0" w:line="308" w:lineRule="auto"/>
        <w:tabs>
          <w:tab w:leader="none" w:pos="1027" w:val="left"/>
        </w:tabs>
        <w:numPr>
          <w:ilvl w:val="1"/>
          <w:numId w:val="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660" w:hanging="4"/>
        <w:spacing w:after="0" w:line="264" w:lineRule="auto"/>
        <w:tabs>
          <w:tab w:leader="none" w:pos="982"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right="20" w:firstLine="8"/>
        <w:spacing w:after="0" w:line="308" w:lineRule="auto"/>
        <w:tabs>
          <w:tab w:leader="none" w:pos="256"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20" w:hanging="4"/>
        <w:spacing w:after="0" w:line="277" w:lineRule="auto"/>
        <w:tabs>
          <w:tab w:leader="none" w:pos="955"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hanging="4"/>
        <w:spacing w:after="0" w:line="277" w:lineRule="auto"/>
        <w:tabs>
          <w:tab w:leader="none" w:pos="961"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100"/>
        <w:spacing w:after="0"/>
        <w:tabs>
          <w:tab w:leader="none" w:pos="7420" w:val="left"/>
        </w:tabs>
        <w:rPr>
          <w:sz w:val="20"/>
          <w:szCs w:val="20"/>
          <w:color w:val="auto"/>
        </w:rPr>
      </w:pPr>
      <w:r>
        <w:rPr>
          <w:rFonts w:ascii="Arial" w:cs="Arial" w:eastAsia="Arial" w:hAnsi="Arial"/>
          <w:sz w:val="18"/>
          <w:szCs w:val="18"/>
          <w:color w:val="auto"/>
        </w:rPr>
        <w:t>/s/  Martin Bloch</w:t>
      </w:r>
      <w:r>
        <w:rPr>
          <w:sz w:val="20"/>
          <w:szCs w:val="20"/>
          <w:color w:val="auto"/>
        </w:rPr>
        <w:tab/>
      </w:r>
      <w:r>
        <w:rPr>
          <w:rFonts w:ascii="Arial" w:cs="Arial" w:eastAsia="Arial" w:hAnsi="Arial"/>
          <w:sz w:val="16"/>
          <w:szCs w:val="16"/>
          <w:color w:val="auto"/>
        </w:rPr>
        <w:t>December 15,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6707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67075" cy="1714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Martin B. Bloch</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color w:val="auto"/>
        </w:rPr>
        <w:t>Exhibit 31.2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 of CFO</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Alan L. Miller, certify that</w:t>
      </w:r>
    </w:p>
    <w:p>
      <w:pPr>
        <w:spacing w:after="0" w:line="252" w:lineRule="exact"/>
        <w:rPr>
          <w:sz w:val="20"/>
          <w:szCs w:val="20"/>
          <w:color w:val="auto"/>
        </w:rPr>
      </w:pPr>
    </w:p>
    <w:p>
      <w:pPr>
        <w:ind w:left="240" w:hanging="232"/>
        <w:spacing w:after="0"/>
        <w:tabs>
          <w:tab w:leader="none" w:pos="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Frequency Electronics, Inc.;</w:t>
      </w:r>
    </w:p>
    <w:p>
      <w:pPr>
        <w:spacing w:after="0" w:line="252" w:lineRule="exact"/>
        <w:rPr>
          <w:rFonts w:ascii="Arial" w:cs="Arial" w:eastAsia="Arial" w:hAnsi="Arial"/>
          <w:sz w:val="18"/>
          <w:szCs w:val="18"/>
          <w:color w:val="auto"/>
        </w:rPr>
      </w:pPr>
    </w:p>
    <w:p>
      <w:pPr>
        <w:ind w:right="20" w:firstLine="8"/>
        <w:spacing w:after="0" w:line="342" w:lineRule="auto"/>
        <w:tabs>
          <w:tab w:leader="none" w:pos="275"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firstLine="8"/>
        <w:spacing w:after="0" w:line="277" w:lineRule="auto"/>
        <w:tabs>
          <w:tab w:leader="none" w:pos="225"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firstLine="8"/>
        <w:spacing w:after="0" w:line="264" w:lineRule="auto"/>
        <w:tabs>
          <w:tab w:leader="none" w:pos="23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660" w:hanging="4"/>
        <w:spacing w:after="0" w:line="264" w:lineRule="auto"/>
        <w:tabs>
          <w:tab w:leader="none" w:pos="974"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660" w:right="20" w:hanging="4"/>
        <w:spacing w:after="0" w:line="264" w:lineRule="auto"/>
        <w:tabs>
          <w:tab w:leader="none" w:pos="102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hanging="4"/>
        <w:spacing w:after="0" w:line="308" w:lineRule="auto"/>
        <w:tabs>
          <w:tab w:leader="none" w:pos="1027" w:val="left"/>
        </w:tabs>
        <w:numPr>
          <w:ilvl w:val="1"/>
          <w:numId w:val="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660" w:hanging="4"/>
        <w:spacing w:after="0" w:line="264" w:lineRule="auto"/>
        <w:tabs>
          <w:tab w:leader="none" w:pos="982"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right="20" w:firstLine="8"/>
        <w:spacing w:after="0" w:line="308" w:lineRule="auto"/>
        <w:tabs>
          <w:tab w:leader="none" w:pos="256"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20" w:hanging="4"/>
        <w:spacing w:after="0" w:line="277" w:lineRule="auto"/>
        <w:tabs>
          <w:tab w:leader="none" w:pos="955"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hanging="4"/>
        <w:spacing w:after="0" w:line="277" w:lineRule="auto"/>
        <w:tabs>
          <w:tab w:leader="none" w:pos="961"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140"/>
        <w:spacing w:after="0"/>
        <w:tabs>
          <w:tab w:leader="none" w:pos="7420" w:val="left"/>
        </w:tabs>
        <w:rPr>
          <w:sz w:val="20"/>
          <w:szCs w:val="20"/>
          <w:color w:val="auto"/>
        </w:rPr>
      </w:pPr>
      <w:r>
        <w:rPr>
          <w:rFonts w:ascii="Arial" w:cs="Arial" w:eastAsia="Arial" w:hAnsi="Arial"/>
          <w:sz w:val="18"/>
          <w:szCs w:val="18"/>
          <w:color w:val="auto"/>
        </w:rPr>
        <w:t>/s/ Alan Miller</w:t>
      </w:r>
      <w:r>
        <w:rPr>
          <w:sz w:val="20"/>
          <w:szCs w:val="20"/>
          <w:color w:val="auto"/>
        </w:rPr>
        <w:tab/>
      </w:r>
      <w:r>
        <w:rPr>
          <w:rFonts w:ascii="Arial" w:cs="Arial" w:eastAsia="Arial" w:hAnsi="Arial"/>
          <w:sz w:val="16"/>
          <w:szCs w:val="16"/>
          <w:color w:val="auto"/>
        </w:rPr>
        <w:t>December 15,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6707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67075" cy="1714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Alan L. Miller</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color w:val="auto"/>
        </w:rPr>
        <w:t>Exhibit 32.1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 of CEO</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Frequency Electronics, Inc. (the “Company”) on Form 10-Q for the period ended October 31, 2009 as filed with the Securities and Exchange Commission on the date hereof (the “Report”), I, Martin B. Bloch, Chief Executive Officer of the Company, certify, pursuant to 18 U.S.C. Section 1350, as adopted pursuant to Section 906 of the Sarbanes-Oxley Act of 2002, that to my knowledge:</w:t>
      </w:r>
    </w:p>
    <w:p>
      <w:pPr>
        <w:spacing w:after="0" w:line="193" w:lineRule="exact"/>
        <w:rPr>
          <w:sz w:val="20"/>
          <w:szCs w:val="20"/>
          <w:color w:val="auto"/>
        </w:rPr>
      </w:pPr>
    </w:p>
    <w:p>
      <w:pPr>
        <w:ind w:left="1000" w:hanging="492"/>
        <w:spacing w:after="0"/>
        <w:tabs>
          <w:tab w:leader="none" w:pos="100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980" w:hanging="486"/>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ind w:left="100"/>
        <w:spacing w:after="0"/>
        <w:tabs>
          <w:tab w:leader="none" w:pos="420" w:val="left"/>
          <w:tab w:leader="none" w:pos="7420" w:val="left"/>
        </w:tabs>
        <w:rPr>
          <w:sz w:val="20"/>
          <w:szCs w:val="20"/>
          <w:color w:val="auto"/>
        </w:rPr>
      </w:pPr>
      <w:r>
        <w:rPr>
          <w:rFonts w:ascii="Arial" w:cs="Arial" w:eastAsia="Arial" w:hAnsi="Arial"/>
          <w:sz w:val="18"/>
          <w:szCs w:val="18"/>
          <w:color w:val="auto"/>
        </w:rPr>
        <w:t>/s/</w:t>
        <w:tab/>
        <w:t>Martin Bloch</w:t>
      </w:r>
      <w:r>
        <w:rPr>
          <w:sz w:val="20"/>
          <w:szCs w:val="20"/>
          <w:color w:val="auto"/>
        </w:rPr>
        <w:tab/>
      </w:r>
      <w:r>
        <w:rPr>
          <w:rFonts w:ascii="Arial" w:cs="Arial" w:eastAsia="Arial" w:hAnsi="Arial"/>
          <w:sz w:val="16"/>
          <w:szCs w:val="16"/>
          <w:color w:val="auto"/>
        </w:rPr>
        <w:t>December 15,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6707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67075" cy="1714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Martin B. Bloch</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Chief Executive Officer</w:t>
      </w:r>
    </w:p>
    <w:p>
      <w:pPr>
        <w:spacing w:after="0" w:line="238"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r>
        <w:rPr>
          <w:rFonts w:ascii="Arial" w:cs="Arial" w:eastAsia="Arial" w:hAnsi="Arial"/>
          <w:sz w:val="17"/>
          <w:szCs w:val="17"/>
          <w:b w:val="1"/>
          <w:bCs w:val="1"/>
          <w:color w:val="auto"/>
        </w:rPr>
        <w:t>.</w:t>
      </w:r>
    </w:p>
    <w:p>
      <w:pPr>
        <w:spacing w:after="0" w:line="193"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This certification accompanies this Report on Form 10-Q pursuant to Section 906 of the Sarbanes-Oxley Act of 2002 and shall not, except to the extent required by such Act,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390525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color w:val="auto"/>
        </w:rPr>
        <w:t>Exhibit 32.2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 of CFO</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of Frequency Electronics, Inc. (the “Company”) on Form 10-Q for the period ended October 31, 2009 as filed with the Securities and Exchange Commission on the date hereof (the “Report”), I, Alan L. Miller, Chief Financial Officer of the Company, certify, pursuant to 18 U.S.C. Section 1350, as adopted pursuant to Section 906 of the Sarbanes-Oxley Act of 2002, that to my knowledge:</w:t>
      </w:r>
    </w:p>
    <w:p>
      <w:pPr>
        <w:spacing w:after="0" w:line="208" w:lineRule="exact"/>
        <w:rPr>
          <w:sz w:val="20"/>
          <w:szCs w:val="20"/>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980" w:hanging="486"/>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ind w:left="140"/>
        <w:spacing w:after="0"/>
        <w:tabs>
          <w:tab w:leader="none" w:pos="7980" w:val="left"/>
        </w:tabs>
        <w:rPr>
          <w:sz w:val="20"/>
          <w:szCs w:val="20"/>
          <w:color w:val="auto"/>
        </w:rPr>
      </w:pPr>
      <w:r>
        <w:rPr>
          <w:rFonts w:ascii="Arial" w:cs="Arial" w:eastAsia="Arial" w:hAnsi="Arial"/>
          <w:sz w:val="18"/>
          <w:szCs w:val="18"/>
          <w:color w:val="auto"/>
        </w:rPr>
        <w:t>/s/  Alan Miller</w:t>
      </w:r>
      <w:r>
        <w:rPr>
          <w:sz w:val="20"/>
          <w:szCs w:val="20"/>
          <w:color w:val="auto"/>
        </w:rPr>
        <w:tab/>
      </w:r>
      <w:r>
        <w:rPr>
          <w:rFonts w:ascii="Arial" w:cs="Arial" w:eastAsia="Arial" w:hAnsi="Arial"/>
          <w:sz w:val="16"/>
          <w:szCs w:val="16"/>
          <w:color w:val="auto"/>
        </w:rPr>
        <w:t>December 15,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Alan L. Miller</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Chief Financial Officer</w:t>
      </w:r>
    </w:p>
    <w:p>
      <w:pPr>
        <w:spacing w:after="0" w:line="238"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r>
        <w:rPr>
          <w:rFonts w:ascii="Arial" w:cs="Arial" w:eastAsia="Arial" w:hAnsi="Arial"/>
          <w:sz w:val="17"/>
          <w:szCs w:val="17"/>
          <w:b w:val="1"/>
          <w:bCs w:val="1"/>
          <w:color w:val="auto"/>
        </w:rPr>
        <w:t>.</w:t>
      </w:r>
    </w:p>
    <w:p>
      <w:pPr>
        <w:spacing w:after="0" w:line="193"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This certification accompanies this Report on Form 10-Q pursuant to Section 906 of the Sarbanes-Oxley Act of 2002 and shall not, except to the extent required by such Act,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390525</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20"/>
      </w:cols>
      <w:pgMar w:left="240" w:top="36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x"/>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1."/>
      <w:numFmt w:val="decimal"/>
      <w:start w:val="2"/>
    </w:lvl>
  </w:abstractNum>
  <w:abstractNum w:abstractNumId="6">
    <w:nsid w:val="5BD062C2"/>
    <w:multiLevelType w:val="hybridMultilevel"/>
    <w:lvl w:ilvl="0">
      <w:lvlJc w:val="left"/>
      <w:lvlText w:val="%1."/>
      <w:numFmt w:val="decimal"/>
      <w:start w:val="1"/>
    </w:lvl>
    <w:lvl w:ilvl="1">
      <w:lvlJc w:val="left"/>
      <w:lvlText w:val="(%2)"/>
      <w:numFmt w:val="lowerLetter"/>
      <w:start w:val="1"/>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decimal"/>
      <w:start w:val="1"/>
    </w:lvl>
  </w:abstractNum>
  <w:abstractNum w:abstractNumId="9">
    <w:nsid w:val="216231B"/>
    <w:multiLevelType w:val="hybridMultilevel"/>
    <w:lvl w:ilvl="0">
      <w:lvlJc w:val="left"/>
      <w:lvlText w:val="(%1)"/>
      <w:numFmt w:val="decimal"/>
      <w:start w:val="2"/>
    </w:lvl>
    <w:lvl w:ilvl="1">
      <w:lvlJc w:val="left"/>
      <w:lvlText w:val="%2"/>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2019-12-09T23:58:04Z</dcterms:created>
  <dcterms:modified xsi:type="dcterms:W3CDTF">2019-12-09T23:58:04Z</dcterms:modified>
</cp:coreProperties>
</file>