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228600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3960" w:right="1980" w:hanging="3466"/>
        <w:spacing w:after="0" w:line="514" w:lineRule="auto"/>
        <w:tabs>
          <w:tab w:leader="none" w:pos="824"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January 31,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6" w:lineRule="exact"/>
        <w:rPr>
          <w:sz w:val="24"/>
          <w:szCs w:val="24"/>
          <w:color w:val="auto"/>
        </w:rPr>
      </w:pPr>
    </w:p>
    <w:p>
      <w:pPr>
        <w:ind w:left="3600" w:right="1960" w:hanging="3106"/>
        <w:spacing w:after="0" w:line="532" w:lineRule="auto"/>
        <w:tabs>
          <w:tab w:leader="none" w:pos="812"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Arial" w:cs="Arial" w:eastAsia="Arial" w:hAnsi="Arial"/>
          <w:sz w:val="18"/>
          <w:szCs w:val="18"/>
          <w:color w:val="auto"/>
        </w:rPr>
      </w:pPr>
      <w:r>
        <w:rPr>
          <w:rFonts w:ascii="Arial" w:cs="Arial" w:eastAsia="Arial" w:hAnsi="Arial"/>
          <w:sz w:val="18"/>
          <w:szCs w:val="18"/>
          <w:color w:val="auto"/>
        </w:rPr>
        <w:t>Commission File No. 1-8061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5800" w:type="dxa"/>
            <w:vAlign w:val="bottom"/>
            <w:gridSpan w:val="4"/>
          </w:tcPr>
          <w:p>
            <w:pPr>
              <w:jc w:val="center"/>
              <w:ind w:right="10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6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1000" w:type="dxa"/>
            <w:vAlign w:val="bottom"/>
          </w:tcPr>
          <w:p>
            <w:pPr>
              <w:spacing w:after="0"/>
              <w:rPr>
                <w:sz w:val="24"/>
                <w:szCs w:val="24"/>
                <w:color w:val="auto"/>
              </w:rPr>
            </w:pPr>
          </w:p>
        </w:tc>
        <w:tc>
          <w:tcPr>
            <w:tcW w:w="2080" w:type="dxa"/>
            <w:vAlign w:val="bottom"/>
            <w:gridSpan w:val="2"/>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11553</w:t>
            </w: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459"/>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97"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669" w:lineRule="exact"/>
        <w:rPr>
          <w:sz w:val="24"/>
          <w:szCs w:val="24"/>
          <w:color w:val="auto"/>
        </w:rPr>
      </w:pPr>
    </w:p>
    <w:p>
      <w:pPr>
        <w:sectPr>
          <w:pgSz w:w="11900" w:h="16838" w:orient="portrait"/>
          <w:cols w:equalWidth="0" w:num="4">
            <w:col w:w="2140" w:space="720"/>
            <w:col w:w="2120" w:space="720"/>
            <w:col w:w="2540" w:space="320"/>
            <w:col w:w="2860"/>
          </w:cols>
          <w:pgMar w:left="240" w:top="297"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8180" w:space="140"/>
            <w:col w:w="400" w:space="140"/>
            <w:col w:w="2560"/>
          </w:cols>
          <w:pgMar w:left="240" w:top="297"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Registrant's Common Stock, par value $1.00 as of March 9, 2015 – 8,619,340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440" w:type="dxa"/>
            <w:vAlign w:val="bottom"/>
            <w:gridSpan w:val="15"/>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980" w:type="dxa"/>
            <w:vAlign w:val="bottom"/>
          </w:tcPr>
          <w:p>
            <w:pPr>
              <w:spacing w:after="0"/>
              <w:rPr>
                <w:sz w:val="14"/>
                <w:szCs w:val="14"/>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60" w:type="dxa"/>
            <w:vAlign w:val="bottom"/>
            <w:gridSpan w:val="7"/>
          </w:tcPr>
          <w:p>
            <w:pPr>
              <w:jc w:val="center"/>
              <w:ind w:right="224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980" w:type="dxa"/>
            <w:vAlign w:val="bottom"/>
          </w:tcPr>
          <w:p>
            <w:pPr>
              <w:spacing w:after="0"/>
              <w:rPr>
                <w:sz w:val="24"/>
                <w:szCs w:val="24"/>
                <w:color w:val="auto"/>
              </w:rPr>
            </w:pPr>
          </w:p>
        </w:tc>
      </w:tr>
      <w:tr>
        <w:trPr>
          <w:trHeight w:val="459"/>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60" w:type="dxa"/>
            <w:vAlign w:val="bottom"/>
            <w:gridSpan w:val="7"/>
          </w:tcPr>
          <w:p>
            <w:pPr>
              <w:jc w:val="center"/>
              <w:ind w:right="2240"/>
              <w:spacing w:after="0"/>
              <w:rPr>
                <w:sz w:val="20"/>
                <w:szCs w:val="20"/>
                <w:color w:val="auto"/>
              </w:rPr>
            </w:pPr>
            <w:r>
              <w:rPr>
                <w:rFonts w:ascii="Arial" w:cs="Arial" w:eastAsia="Arial" w:hAnsi="Arial"/>
                <w:sz w:val="18"/>
                <w:szCs w:val="18"/>
                <w:b w:val="1"/>
                <w:bCs w:val="1"/>
                <w:color w:val="auto"/>
                <w:w w:val="99"/>
              </w:rPr>
              <w:t>TABLE OF CONTENTS</w:t>
            </w:r>
          </w:p>
        </w:tc>
        <w:tc>
          <w:tcPr>
            <w:tcW w:w="980" w:type="dxa"/>
            <w:vAlign w:val="bottom"/>
          </w:tcPr>
          <w:p>
            <w:pPr>
              <w:spacing w:after="0"/>
              <w:rPr>
                <w:sz w:val="24"/>
                <w:szCs w:val="24"/>
                <w:color w:val="auto"/>
              </w:rPr>
            </w:pPr>
          </w:p>
        </w:tc>
      </w:tr>
      <w:tr>
        <w:trPr>
          <w:trHeight w:val="466"/>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 No.</w:t>
            </w:r>
          </w:p>
        </w:tc>
      </w:tr>
      <w:tr>
        <w:trPr>
          <w:trHeight w:val="216"/>
        </w:trPr>
        <w:tc>
          <w:tcPr>
            <w:tcW w:w="10440" w:type="dxa"/>
            <w:vAlign w:val="bottom"/>
            <w:gridSpan w:val="15"/>
          </w:tcPr>
          <w:p>
            <w:pPr>
              <w:spacing w:after="0"/>
              <w:rPr>
                <w:sz w:val="20"/>
                <w:szCs w:val="20"/>
                <w:color w:val="auto"/>
              </w:rPr>
            </w:pPr>
            <w:r>
              <w:rPr>
                <w:rFonts w:ascii="Arial" w:cs="Arial" w:eastAsia="Arial" w:hAnsi="Arial"/>
                <w:sz w:val="18"/>
                <w:szCs w:val="18"/>
                <w:b w:val="1"/>
                <w:bCs w:val="1"/>
                <w:color w:val="auto"/>
              </w:rPr>
              <w:t>Part I. Financial Information:</w:t>
            </w:r>
          </w:p>
        </w:tc>
        <w:tc>
          <w:tcPr>
            <w:tcW w:w="980" w:type="dxa"/>
            <w:vAlign w:val="bottom"/>
          </w:tcPr>
          <w:p>
            <w:pPr>
              <w:spacing w:after="0"/>
              <w:rPr>
                <w:sz w:val="18"/>
                <w:szCs w:val="18"/>
                <w:color w:val="auto"/>
              </w:rPr>
            </w:pPr>
          </w:p>
        </w:tc>
      </w:tr>
      <w:tr>
        <w:trPr>
          <w:trHeight w:val="392"/>
        </w:trPr>
        <w:tc>
          <w:tcPr>
            <w:tcW w:w="180" w:type="dxa"/>
            <w:vAlign w:val="bottom"/>
          </w:tcPr>
          <w:p>
            <w:pPr>
              <w:spacing w:after="0"/>
              <w:rPr>
                <w:sz w:val="24"/>
                <w:szCs w:val="24"/>
                <w:color w:val="auto"/>
              </w:rPr>
            </w:pPr>
          </w:p>
        </w:tc>
        <w:tc>
          <w:tcPr>
            <w:tcW w:w="102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9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January 31, 2015 (unaudited) and April 30, 2014</w:t>
              </w:r>
            </w:hyperlink>
          </w:p>
        </w:tc>
        <w:tc>
          <w:tcPr>
            <w:tcW w:w="3500" w:type="dxa"/>
            <w:vAlign w:val="bottom"/>
            <w:gridSpan w:val="5"/>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41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1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Income and Comprehensive Income (unaudited) Nine Months Ended January 31, 2015 and 2014</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620" w:type="dxa"/>
            <w:vAlign w:val="bottom"/>
            <w:tcBorders>
              <w:right w:val="single" w:sz="8" w:color="0000EE"/>
            </w:tcBorders>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and Comprehensive Income (unaudited) Three Months Ended January 31, 2015 and 2014</w:t>
              </w:r>
            </w:hyperlink>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1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Nine Months Ended January 31, 2015 and 2014</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41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60" w:type="dxa"/>
            <w:vAlign w:val="bottom"/>
            <w:tcBorders>
              <w:top w:val="single" w:sz="8" w:color="0000EE"/>
            </w:tcBorders>
            <w:gridSpan w:val="1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2040" w:type="dxa"/>
            <w:vAlign w:val="bottom"/>
            <w:gridSpan w:val="3"/>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7-12</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620" w:type="dxa"/>
            <w:vAlign w:val="bottom"/>
            <w:tcBorders>
              <w:right w:val="single" w:sz="8" w:color="0000EE"/>
            </w:tcBorders>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3">
              <w:r>
                <w:rPr>
                  <w:rFonts w:ascii="Arial" w:cs="Arial" w:eastAsia="Arial" w:hAnsi="Arial"/>
                  <w:sz w:val="18"/>
                  <w:szCs w:val="18"/>
                  <w:color w:val="0000EE"/>
                  <w:w w:val="91"/>
                </w:rPr>
                <w:t>Item 2</w:t>
              </w:r>
            </w:hyperlink>
          </w:p>
        </w:tc>
        <w:tc>
          <w:tcPr>
            <w:tcW w:w="6600" w:type="dxa"/>
            <w:vAlign w:val="bottom"/>
            <w:tcBorders>
              <w:bottom w:val="single" w:sz="8" w:color="0000EE"/>
            </w:tcBorders>
            <w:gridSpan w:val="8"/>
          </w:tcPr>
          <w:p>
            <w:pPr>
              <w:ind w:left="20"/>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 Management's Discussion and Analysis of Financial Condition and Results of Operations</w:t>
              </w:r>
            </w:hyperlink>
          </w:p>
        </w:tc>
        <w:tc>
          <w:tcPr>
            <w:tcW w:w="3180" w:type="dxa"/>
            <w:vAlign w:val="bottom"/>
            <w:gridSpan w:val="4"/>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13-19</w:t>
            </w:r>
          </w:p>
        </w:tc>
      </w:tr>
      <w:tr>
        <w:trPr>
          <w:trHeight w:val="412"/>
        </w:trPr>
        <w:tc>
          <w:tcPr>
            <w:tcW w:w="18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3</w:t>
              </w:r>
            </w:hyperlink>
          </w:p>
        </w:tc>
        <w:tc>
          <w:tcPr>
            <w:tcW w:w="4540" w:type="dxa"/>
            <w:vAlign w:val="bottom"/>
            <w:tcBorders>
              <w:bottom w:val="single" w:sz="8" w:color="0000EE"/>
            </w:tcBorders>
            <w:gridSpan w:val="6"/>
          </w:tcPr>
          <w:p>
            <w:pPr>
              <w:ind w:left="20"/>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 Quantitative and Qualitative Disclosures About Market Risk</w:t>
              </w:r>
            </w:hyperlink>
          </w:p>
        </w:tc>
        <w:tc>
          <w:tcPr>
            <w:tcW w:w="5240" w:type="dxa"/>
            <w:vAlign w:val="bottom"/>
            <w:gridSpan w:val="6"/>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2"/>
        </w:trPr>
        <w:tc>
          <w:tcPr>
            <w:tcW w:w="18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4</w:t>
              </w:r>
            </w:hyperlink>
          </w:p>
        </w:tc>
        <w:tc>
          <w:tcPr>
            <w:tcW w:w="9780" w:type="dxa"/>
            <w:vAlign w:val="bottom"/>
            <w:gridSpan w:val="12"/>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 Controls and Procedures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0"/>
        </w:trPr>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8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69"/>
        </w:trPr>
        <w:tc>
          <w:tcPr>
            <w:tcW w:w="10440" w:type="dxa"/>
            <w:vAlign w:val="bottom"/>
            <w:gridSpan w:val="15"/>
          </w:tcPr>
          <w:p>
            <w:pPr>
              <w:spacing w:after="0"/>
              <w:rPr>
                <w:sz w:val="20"/>
                <w:szCs w:val="20"/>
                <w:color w:val="auto"/>
              </w:rPr>
            </w:pPr>
            <w:r>
              <w:rPr>
                <w:rFonts w:ascii="Arial" w:cs="Arial" w:eastAsia="Arial" w:hAnsi="Arial"/>
                <w:sz w:val="18"/>
                <w:szCs w:val="18"/>
                <w:b w:val="1"/>
                <w:bCs w:val="1"/>
                <w:color w:val="auto"/>
              </w:rPr>
              <w:t>Part II. Other Information:</w:t>
            </w:r>
          </w:p>
        </w:tc>
        <w:tc>
          <w:tcPr>
            <w:tcW w:w="98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6</w:t>
              </w:r>
            </w:hyperlink>
          </w:p>
        </w:tc>
        <w:tc>
          <w:tcPr>
            <w:tcW w:w="760" w:type="dxa"/>
            <w:vAlign w:val="bottom"/>
            <w:tcBorders>
              <w:bottom w:val="single" w:sz="8" w:color="0000EE"/>
            </w:tcBorders>
            <w:gridSpan w:val="3"/>
          </w:tcPr>
          <w:p>
            <w:pPr>
              <w:ind w:left="20"/>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 Exhibits</w:t>
              </w:r>
            </w:hyperlink>
          </w:p>
        </w:tc>
        <w:tc>
          <w:tcPr>
            <w:tcW w:w="9020" w:type="dxa"/>
            <w:vAlign w:val="bottom"/>
            <w:gridSpan w:val="9"/>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2"/>
        </w:trPr>
        <w:tc>
          <w:tcPr>
            <w:tcW w:w="1044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774"/>
        </w:trPr>
        <w:tc>
          <w:tcPr>
            <w:tcW w:w="18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2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220" w:type="dxa"/>
            <w:vAlign w:val="bottom"/>
          </w:tcPr>
          <w:p>
            <w:pPr>
              <w:jc w:val="center"/>
              <w:ind w:left="207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ITEM 1 - FINANCIAL STATEMENTS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2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20" w:type="dxa"/>
            <w:vAlign w:val="bottom"/>
          </w:tcPr>
          <w:p>
            <w:pPr>
              <w:jc w:val="center"/>
              <w:ind w:left="2070"/>
              <w:spacing w:after="0"/>
              <w:rPr>
                <w:sz w:val="20"/>
                <w:szCs w:val="20"/>
                <w:color w:val="auto"/>
              </w:rPr>
            </w:pPr>
            <w:r>
              <w:rPr>
                <w:rFonts w:ascii="Arial" w:cs="Arial" w:eastAsia="Arial" w:hAnsi="Arial"/>
                <w:sz w:val="18"/>
                <w:szCs w:val="18"/>
                <w:color w:val="auto"/>
                <w:w w:val="88"/>
              </w:rPr>
              <w:t>Condensed Consolidated Balance Sheets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40" w:type="dxa"/>
            <w:vAlign w:val="bottom"/>
            <w:gridSpan w:val="3"/>
          </w:tcPr>
          <w:p>
            <w:pPr>
              <w:jc w:val="center"/>
              <w:ind w:left="3094"/>
              <w:spacing w:after="0"/>
              <w:rPr>
                <w:sz w:val="20"/>
                <w:szCs w:val="20"/>
                <w:color w:val="auto"/>
              </w:rPr>
            </w:pPr>
            <w:r>
              <w:rPr>
                <w:rFonts w:ascii="Arial" w:cs="Arial" w:eastAsia="Arial" w:hAnsi="Arial"/>
                <w:sz w:val="18"/>
                <w:szCs w:val="18"/>
                <w:color w:val="auto"/>
                <w:w w:val="89"/>
              </w:rPr>
              <w:t>__________________________</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January 31,</w:t>
            </w: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20" w:type="dxa"/>
            <w:vAlign w:val="bottom"/>
            <w:vMerge w:val="restart"/>
          </w:tcPr>
          <w:p>
            <w:pPr>
              <w:jc w:val="center"/>
              <w:ind w:right="930"/>
              <w:spacing w:after="0"/>
              <w:rPr>
                <w:sz w:val="20"/>
                <w:szCs w:val="20"/>
                <w:color w:val="auto"/>
              </w:rPr>
            </w:pPr>
            <w:r>
              <w:rPr>
                <w:rFonts w:ascii="Arial" w:cs="Arial" w:eastAsia="Arial" w:hAnsi="Arial"/>
                <w:sz w:val="18"/>
                <w:szCs w:val="18"/>
                <w:b w:val="1"/>
                <w:bCs w:val="1"/>
                <w:color w:val="auto"/>
                <w:w w:val="92"/>
              </w:rPr>
              <w:t>ASSETS: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5"/>
          </w:tcPr>
          <w:p>
            <w:pPr>
              <w:jc w:val="right"/>
              <w:ind w:right="460"/>
              <w:spacing w:after="0"/>
              <w:rPr>
                <w:sz w:val="20"/>
                <w:szCs w:val="20"/>
                <w:color w:val="auto"/>
              </w:rPr>
            </w:pPr>
            <w:r>
              <w:rPr>
                <w:rFonts w:ascii="Arial" w:cs="Arial" w:eastAsia="Arial" w:hAnsi="Arial"/>
                <w:sz w:val="18"/>
                <w:szCs w:val="18"/>
                <w:color w:val="auto"/>
                <w:w w:val="99"/>
              </w:rPr>
              <w:t>(In thousands except par value)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12,218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Accounts receivable, net of allowance for doubtful accounts of $216 at January 31, 2015 and $234 at April 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10,360</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12,369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41,036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6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87,310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87,862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13,078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120,847</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119,461</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7220" w:type="dxa"/>
            <w:vAlign w:val="bottom"/>
            <w:tcBorders>
              <w:top w:val="single" w:sz="8" w:color="CCEEFF"/>
            </w:tcBorders>
          </w:tcPr>
          <w:p>
            <w:pPr>
              <w:jc w:val="center"/>
              <w:ind w:right="93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 trade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Long term debt- noncurrent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Deferred rent and other liabilities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29,135</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$1.00 par value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Common stock-$1.00 par value, issued 9,164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90,951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280"/>
              <w:spacing w:after="0"/>
              <w:rPr>
                <w:sz w:val="20"/>
                <w:szCs w:val="20"/>
                <w:color w:val="auto"/>
              </w:rPr>
            </w:pPr>
            <w:r>
              <w:rPr>
                <w:rFonts w:ascii="Arial" w:cs="Arial" w:eastAsia="Arial" w:hAnsi="Arial"/>
                <w:sz w:val="18"/>
                <w:szCs w:val="18"/>
                <w:color w:val="auto"/>
              </w:rPr>
              <w:t>at cost (547 shares at January 31, 2015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tcPr>
          <w:p>
            <w:pPr>
              <w:ind w:left="280"/>
              <w:spacing w:after="0"/>
              <w:rPr>
                <w:sz w:val="20"/>
                <w:szCs w:val="20"/>
                <w:color w:val="auto"/>
              </w:rPr>
            </w:pPr>
            <w:r>
              <w:rPr>
                <w:rFonts w:ascii="Arial" w:cs="Arial" w:eastAsia="Arial" w:hAnsi="Arial"/>
                <w:sz w:val="18"/>
                <w:szCs w:val="18"/>
                <w:color w:val="auto"/>
              </w:rPr>
              <w:t>593 shares at April 30, 2014)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(2,507)</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64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91,712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120,847</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 and Comprehensive Income</w:t>
      </w:r>
    </w:p>
    <w:p>
      <w:pPr>
        <w:spacing w:after="0" w:line="20"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__________________________</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060" w:type="dxa"/>
            <w:vAlign w:val="bottom"/>
            <w:gridSpan w:val="6"/>
          </w:tcPr>
          <w:p>
            <w:pPr>
              <w:jc w:val="right"/>
              <w:ind w:right="280"/>
              <w:spacing w:after="0"/>
              <w:rPr>
                <w:sz w:val="20"/>
                <w:szCs w:val="20"/>
                <w:color w:val="auto"/>
              </w:rPr>
            </w:pPr>
            <w:r>
              <w:rPr>
                <w:rFonts w:ascii="Arial" w:cs="Arial" w:eastAsia="Arial" w:hAnsi="Arial"/>
                <w:sz w:val="18"/>
                <w:szCs w:val="18"/>
                <w:color w:val="auto"/>
                <w:w w:val="93"/>
              </w:rPr>
              <w:t>(In thousands except per share data)</w:t>
            </w:r>
          </w:p>
        </w:tc>
        <w:tc>
          <w:tcPr>
            <w:tcW w:w="0" w:type="dxa"/>
            <w:vAlign w:val="bottom"/>
          </w:tcPr>
          <w:p>
            <w:pPr>
              <w:spacing w:after="0"/>
              <w:rPr>
                <w:sz w:val="1"/>
                <w:szCs w:val="1"/>
                <w:color w:val="auto"/>
              </w:rPr>
            </w:pPr>
          </w:p>
        </w:tc>
      </w:tr>
      <w:tr>
        <w:trPr>
          <w:trHeight w:val="194"/>
        </w:trPr>
        <w:tc>
          <w:tcPr>
            <w:tcW w:w="83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Condensed Consolidated Statements of Income</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57,364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39,129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18,235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10,548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Research and development expense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Operating profit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160"/>
              <w:spacing w:after="0"/>
              <w:rPr>
                <w:sz w:val="20"/>
                <w:szCs w:val="20"/>
                <w:color w:val="auto"/>
              </w:rPr>
            </w:pPr>
            <w:r>
              <w:rPr>
                <w:rFonts w:ascii="Arial" w:cs="Arial" w:eastAsia="Arial" w:hAnsi="Arial"/>
                <w:sz w:val="18"/>
                <w:szCs w:val="18"/>
                <w:color w:val="auto"/>
              </w:rPr>
              <w:t>Investment income</w:t>
            </w:r>
          </w:p>
        </w:tc>
        <w:tc>
          <w:tcPr>
            <w:tcW w:w="8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754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ind w:left="16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2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2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8,596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Condensed Consolidated Statements of Comprehensive Income</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16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Unrealized gain (loss) on marketable securities:</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Change in market value of marketable securities before reclassification,</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net of tax of ($145) and $283</w:t>
            </w:r>
          </w:p>
        </w:tc>
        <w:tc>
          <w:tcPr>
            <w:tcW w:w="8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3"/>
          </w:tcPr>
          <w:p>
            <w:pPr>
              <w:ind w:left="480"/>
              <w:spacing w:after="0" w:line="201" w:lineRule="exact"/>
              <w:rPr>
                <w:sz w:val="20"/>
                <w:szCs w:val="20"/>
                <w:color w:val="auto"/>
              </w:rPr>
            </w:pPr>
            <w:r>
              <w:rPr>
                <w:rFonts w:ascii="Arial" w:cs="Arial" w:eastAsia="Arial" w:hAnsi="Arial"/>
                <w:sz w:val="18"/>
                <w:szCs w:val="18"/>
                <w:color w:val="auto"/>
              </w:rPr>
              <w:t>Reclassification adjustment for realized gains included in net income,</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3"/>
          </w:tcPr>
          <w:p>
            <w:pPr>
              <w:ind w:left="480"/>
              <w:spacing w:after="0"/>
              <w:rPr>
                <w:sz w:val="20"/>
                <w:szCs w:val="20"/>
                <w:color w:val="auto"/>
              </w:rPr>
            </w:pPr>
            <w:r>
              <w:rPr>
                <w:rFonts w:ascii="Arial" w:cs="Arial" w:eastAsia="Arial" w:hAnsi="Arial"/>
                <w:sz w:val="18"/>
                <w:szCs w:val="18"/>
                <w:color w:val="auto"/>
              </w:rPr>
              <w:t>net of tax of $128 and $125</w:t>
            </w:r>
          </w:p>
        </w:tc>
        <w:tc>
          <w:tcPr>
            <w:tcW w:w="8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unrealized gain (loss) on marketable securities, net of tax</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Total other comprehensive (loss) income</w:t>
            </w: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 and Comprehensive Income</w:t>
      </w:r>
    </w:p>
    <w:p>
      <w:pPr>
        <w:spacing w:after="0" w:line="20"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__________________________</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January 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3060" w:type="dxa"/>
            <w:vAlign w:val="bottom"/>
            <w:gridSpan w:val="6"/>
          </w:tcPr>
          <w:p>
            <w:pPr>
              <w:jc w:val="right"/>
              <w:ind w:right="280"/>
              <w:spacing w:after="0"/>
              <w:rPr>
                <w:sz w:val="20"/>
                <w:szCs w:val="20"/>
                <w:color w:val="auto"/>
              </w:rPr>
            </w:pPr>
            <w:r>
              <w:rPr>
                <w:rFonts w:ascii="Arial" w:cs="Arial" w:eastAsia="Arial" w:hAnsi="Arial"/>
                <w:sz w:val="18"/>
                <w:szCs w:val="18"/>
                <w:color w:val="auto"/>
                <w:w w:val="93"/>
              </w:rPr>
              <w:t>(In thousands except per share data)</w:t>
            </w:r>
          </w:p>
        </w:tc>
        <w:tc>
          <w:tcPr>
            <w:tcW w:w="0" w:type="dxa"/>
            <w:vAlign w:val="bottom"/>
          </w:tcPr>
          <w:p>
            <w:pPr>
              <w:spacing w:after="0"/>
              <w:rPr>
                <w:sz w:val="1"/>
                <w:szCs w:val="1"/>
                <w:color w:val="auto"/>
              </w:rPr>
            </w:pPr>
          </w:p>
        </w:tc>
      </w:tr>
      <w:tr>
        <w:trPr>
          <w:trHeight w:val="161"/>
        </w:trPr>
        <w:tc>
          <w:tcPr>
            <w:tcW w:w="836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18,381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12,485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Research and development expense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Operating profit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160"/>
              <w:spacing w:after="0"/>
              <w:rPr>
                <w:sz w:val="20"/>
                <w:szCs w:val="20"/>
                <w:color w:val="auto"/>
              </w:rPr>
            </w:pPr>
            <w:r>
              <w:rPr>
                <w:rFonts w:ascii="Arial" w:cs="Arial" w:eastAsia="Arial" w:hAnsi="Arial"/>
                <w:sz w:val="18"/>
                <w:szCs w:val="18"/>
                <w:color w:val="auto"/>
              </w:rPr>
              <w:t>Investment income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ind w:left="16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2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2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Condensed Consolidated Statements of Comprehensive Income</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16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Unrealized gain (loss) on marketable securities:</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Change in market value of marketable securities before reclassification,</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net of tax of $41 and $28</w:t>
            </w:r>
          </w:p>
        </w:tc>
        <w:tc>
          <w:tcPr>
            <w:tcW w:w="8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3"/>
          </w:tcPr>
          <w:p>
            <w:pPr>
              <w:ind w:left="480"/>
              <w:spacing w:after="0" w:line="201" w:lineRule="exact"/>
              <w:rPr>
                <w:sz w:val="20"/>
                <w:szCs w:val="20"/>
                <w:color w:val="auto"/>
              </w:rPr>
            </w:pPr>
            <w:r>
              <w:rPr>
                <w:rFonts w:ascii="Arial" w:cs="Arial" w:eastAsia="Arial" w:hAnsi="Arial"/>
                <w:sz w:val="18"/>
                <w:szCs w:val="18"/>
                <w:color w:val="auto"/>
              </w:rPr>
              <w:t>Reclassification adjustment for realized gains included in net income,</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3"/>
          </w:tcPr>
          <w:p>
            <w:pPr>
              <w:ind w:left="480"/>
              <w:spacing w:after="0"/>
              <w:rPr>
                <w:sz w:val="20"/>
                <w:szCs w:val="20"/>
                <w:color w:val="auto"/>
              </w:rPr>
            </w:pPr>
            <w:r>
              <w:rPr>
                <w:rFonts w:ascii="Arial" w:cs="Arial" w:eastAsia="Arial" w:hAnsi="Arial"/>
                <w:sz w:val="18"/>
                <w:szCs w:val="18"/>
                <w:color w:val="auto"/>
              </w:rPr>
              <w:t>net of tax of $0 and $100</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unrealized loss on marketable securities, net of tax</w:t>
            </w: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Total other comprehensive loss</w:t>
            </w: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20"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__________________________</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71"/>
              </w:rPr>
              <w:t>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Non-cash charges to earnings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3,636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equipment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changes in operating assets and liabilities</w:t>
            </w: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(7,312)</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(791)</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Proceeds on redemption of marketable securities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4"/>
              </w:rPr>
              <w:t>(1,436)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Purchase of fixed assets and other assets</w:t>
            </w: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(3,586)</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Proceeds from credit line borrowings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credit line borrowings</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4"/>
              </w:rPr>
              <w:t>(4,000)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Tax benefit from exercise of stock-based compensation</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lease obligations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tcPr>
          <w:p>
            <w:pPr>
              <w:spacing w:after="0"/>
              <w:rPr>
                <w:sz w:val="19"/>
                <w:szCs w:val="19"/>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(1,662)</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340" w:type="dxa"/>
            <w:vAlign w:val="bottom"/>
          </w:tcPr>
          <w:p>
            <w:pPr>
              <w:spacing w:after="0" w:line="201" w:lineRule="exact"/>
              <w:rPr>
                <w:sz w:val="20"/>
                <w:szCs w:val="20"/>
                <w:color w:val="auto"/>
              </w:rPr>
            </w:pPr>
            <w:r>
              <w:rPr>
                <w:rFonts w:ascii="Arial" w:cs="Arial" w:eastAsia="Arial" w:hAnsi="Arial"/>
                <w:sz w:val="18"/>
                <w:szCs w:val="18"/>
                <w:color w:val="auto"/>
              </w:rPr>
              <w:t>Net (decrease) increase in cash and cash equivalents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before effect of exchange rate changes</w:t>
            </w:r>
          </w:p>
        </w:tc>
        <w:tc>
          <w:tcPr>
            <w:tcW w:w="880" w:type="dxa"/>
            <w:vAlign w:val="bottom"/>
          </w:tcPr>
          <w:p>
            <w:pPr>
              <w:spacing w:after="0"/>
              <w:rPr>
                <w:sz w:val="20"/>
                <w:szCs w:val="20"/>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(1,845)</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tcPr>
          <w:p>
            <w:pPr>
              <w:spacing w:after="0"/>
              <w:rPr>
                <w:sz w:val="19"/>
                <w:szCs w:val="19"/>
                <w:color w:val="auto"/>
              </w:rPr>
            </w:pPr>
          </w:p>
        </w:tc>
        <w:tc>
          <w:tcPr>
            <w:tcW w:w="720" w:type="dxa"/>
            <w:vAlign w:val="bottom"/>
            <w:gridSpan w:val="2"/>
          </w:tcPr>
          <w:p>
            <w:pPr>
              <w:jc w:val="right"/>
              <w:ind w:right="135"/>
              <w:spacing w:after="0"/>
              <w:rPr>
                <w:sz w:val="20"/>
                <w:szCs w:val="20"/>
                <w:color w:val="auto"/>
              </w:rPr>
            </w:pPr>
            <w:r>
              <w:rPr>
                <w:rFonts w:ascii="Arial" w:cs="Arial" w:eastAsia="Arial" w:hAnsi="Arial"/>
                <w:sz w:val="18"/>
                <w:szCs w:val="18"/>
                <w:color w:val="auto"/>
              </w:rPr>
              <w:t>217</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(decrease) increase in cash and cash equivalents</w:t>
            </w:r>
          </w:p>
        </w:tc>
        <w:tc>
          <w:tcPr>
            <w:tcW w:w="88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8"/>
                <w:szCs w:val="18"/>
                <w:color w:val="auto"/>
                <w:w w:val="94"/>
              </w:rPr>
              <w:t>(1,628)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7,698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6,070</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88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1,701</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2015 and the results of its operations and cash flows for the nine and three months ended January 31, 2015 and 2014. The April 30, 2014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2014, filed on July 29, 2014. The results of operations for such interim periods are not necessarily indicative of the operating results for the full fiscal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1"/>
              </w:rPr>
              <w:t>Nine months</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5"/>
          </w:tcPr>
          <w:p>
            <w:pPr>
              <w:jc w:val="right"/>
              <w:ind w:right="1160"/>
              <w:spacing w:after="0" w:line="198" w:lineRule="exact"/>
              <w:rPr>
                <w:sz w:val="20"/>
                <w:szCs w:val="20"/>
                <w:color w:val="auto"/>
              </w:rPr>
            </w:pPr>
            <w:r>
              <w:rPr>
                <w:rFonts w:ascii="Arial" w:cs="Arial" w:eastAsia="Arial" w:hAnsi="Arial"/>
                <w:sz w:val="18"/>
                <w:szCs w:val="18"/>
                <w:b w:val="1"/>
                <w:bCs w:val="1"/>
                <w:color w:val="auto"/>
                <w:w w:val="90"/>
              </w:rPr>
              <w:t>Periods ended January 31,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8,595,558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8,515,638</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8,609,486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8,537,294</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268,903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290,324</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264,249</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319,904</w:t>
            </w:r>
          </w:p>
        </w:tc>
      </w:tr>
      <w:tr>
        <w:trPr>
          <w:trHeight w:val="27"/>
        </w:trPr>
        <w:tc>
          <w:tcPr>
            <w:tcW w:w="51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8,864,461</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8,805,962</w:t>
            </w: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8,873,735</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8,857,198</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Nine months</w:t>
            </w:r>
          </w:p>
        </w:tc>
        <w:tc>
          <w:tcPr>
            <w:tcW w:w="1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Three months</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gridSpan w:val="5"/>
          </w:tcPr>
          <w:p>
            <w:pPr>
              <w:jc w:val="right"/>
              <w:ind w:right="1000"/>
              <w:spacing w:after="0" w:line="198" w:lineRule="exact"/>
              <w:rPr>
                <w:sz w:val="20"/>
                <w:szCs w:val="20"/>
                <w:color w:val="auto"/>
              </w:rPr>
            </w:pPr>
            <w:r>
              <w:rPr>
                <w:rFonts w:ascii="Arial" w:cs="Arial" w:eastAsia="Arial" w:hAnsi="Arial"/>
                <w:sz w:val="18"/>
                <w:szCs w:val="18"/>
                <w:b w:val="1"/>
                <w:bCs w:val="1"/>
                <w:color w:val="auto"/>
                <w:w w:val="97"/>
              </w:rPr>
              <w:t>Periods ended January 31,</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and SARS excluded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276,875</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227,875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210,000</w:t>
            </w: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January 31, 2015 and April 30, 2014, costs and estimated earnings in excess of billings, net,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January 31, 2015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April 30, 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rPr>
              <w:t>(In</w:t>
            </w:r>
          </w:p>
        </w:tc>
        <w:tc>
          <w:tcPr>
            <w:tcW w:w="1600" w:type="dxa"/>
            <w:vAlign w:val="bottom"/>
            <w:gridSpan w:val="3"/>
          </w:tcPr>
          <w:p>
            <w:pPr>
              <w:jc w:val="right"/>
              <w:ind w:right="87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4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13,161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75"/>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14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12,369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nine and three months ended January 31, 2015, revenue recognized under percentage of completion contracts was approximately $35.3 million and $10.8 million, respectively. During the nine and three months ended January 31, 2014, such revenue was approximately $30.2 million and $10.8 million,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nine and three month periods ended January 31, 2015, the Company made contributions of 31,038 shares and 8,606 shares, respectively, of its common stock held in treasury to the Company’s profit sharing plan and trust under section 401(k) of the Internal Revenue Code. Such contributions are in accordance with the Company’s discretionary match of employee voluntary contributions to this plan. During the same periods, the Company issued 15,279 shares and 5,626 shares, respectively, from treasury for employment anniversary gift awards and upon the exercise of SARs by certain officers and employees of the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NOTE E - INVENTORIES</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900" w:type="dxa"/>
            <w:vAlign w:val="bottom"/>
            <w:gridSpan w:val="2"/>
          </w:tcPr>
          <w:p>
            <w:pPr>
              <w:ind w:left="500"/>
              <w:spacing w:after="0"/>
              <w:rPr>
                <w:sz w:val="20"/>
                <w:szCs w:val="20"/>
                <w:color w:val="auto"/>
              </w:rPr>
            </w:pPr>
            <w:r>
              <w:rPr>
                <w:rFonts w:ascii="Arial" w:cs="Arial" w:eastAsia="Arial" w:hAnsi="Arial"/>
                <w:sz w:val="18"/>
                <w:szCs w:val="18"/>
                <w:color w:val="auto"/>
                <w:w w:val="93"/>
              </w:rPr>
              <w:t>Inventories, which are reported at the lower of cost or market, consist of the following:</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14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January 31, 2015</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April 30, 2014</w:t>
            </w:r>
          </w:p>
        </w:tc>
        <w:tc>
          <w:tcPr>
            <w:tcW w:w="12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24,986</w:t>
            </w: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Work in Progress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12,385</w:t>
            </w:r>
          </w:p>
        </w:tc>
      </w:tr>
      <w:tr>
        <w:trPr>
          <w:trHeight w:val="216"/>
        </w:trPr>
        <w:tc>
          <w:tcPr>
            <w:tcW w:w="14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3,856</w:t>
            </w:r>
          </w:p>
        </w:tc>
      </w:tr>
      <w:tr>
        <w:trPr>
          <w:trHeight w:val="27"/>
        </w:trPr>
        <w:tc>
          <w:tcPr>
            <w:tcW w:w="144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41,036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41,227</w:t>
            </w:r>
          </w:p>
        </w:tc>
      </w:tr>
      <w:tr>
        <w:trPr>
          <w:trHeight w:val="21"/>
        </w:trPr>
        <w:tc>
          <w:tcPr>
            <w:tcW w:w="14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As of January 31, 2015 and April 30, 2014, approximately $34.1 million and $33.4 million, respectively, of total inventory is located in the United States, approximately $5.6 million and $7.1 million, respectively, is located in Belgium and $1.3 million and $0.7 million, respectively, is located in China.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52" w:lineRule="exact"/>
        <w:rPr>
          <w:sz w:val="20"/>
          <w:szCs w:val="20"/>
          <w:color w:val="auto"/>
        </w:rPr>
      </w:pPr>
    </w:p>
    <w:p>
      <w:pPr>
        <w:jc w:val="both"/>
        <w:ind w:left="1140" w:hanging="297"/>
        <w:spacing w:after="0" w:line="256"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140" w:hanging="297"/>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140" w:hanging="297"/>
        <w:spacing w:after="0" w:line="30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FEI-NY segment also includes the operations of the Company’s wholly-owned subsidiaries, FEI-Elcom Tech (“FEI-Elcom”) and FEI-Asia. FEI-Asia functions primarily as a manufacturing facility for the Company’s commercial product subsidiaries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chief executive officer (the chief operating decision maker)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tables below present information about reported segments with reconciliation of segment amounts to consolidated amounts as reported in the statement of income or the balance sheet for each of the periods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80" w:type="dxa"/>
            <w:vAlign w:val="bottom"/>
            <w:gridSpan w:val="5"/>
          </w:tcPr>
          <w:p>
            <w:pPr>
              <w:jc w:val="right"/>
              <w:ind w:right="700"/>
              <w:spacing w:after="0" w:line="198" w:lineRule="exact"/>
              <w:rPr>
                <w:sz w:val="20"/>
                <w:szCs w:val="20"/>
                <w:color w:val="auto"/>
              </w:rPr>
            </w:pPr>
            <w:r>
              <w:rPr>
                <w:rFonts w:ascii="Arial" w:cs="Arial" w:eastAsia="Arial" w:hAnsi="Arial"/>
                <w:sz w:val="18"/>
                <w:szCs w:val="18"/>
                <w:b w:val="1"/>
                <w:bCs w:val="1"/>
                <w:color w:val="auto"/>
                <w:w w:val="90"/>
              </w:rPr>
              <w:t>Periods ended January 31,</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45,962</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40,309</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14,270</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6,511</w:t>
            </w:r>
          </w:p>
        </w:tc>
        <w:tc>
          <w:tcPr>
            <w:tcW w:w="4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6,990</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1,963</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2,422</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5,976</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less intersegment revenues</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(2,219)</w:t>
            </w:r>
          </w:p>
        </w:tc>
        <w:tc>
          <w:tcPr>
            <w:tcW w:w="4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(1,223)</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27"/>
        </w:trPr>
        <w:tc>
          <w:tcPr>
            <w:tcW w:w="5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57,364</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52,052</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18,218</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8"/>
                <w:szCs w:val="18"/>
                <w:b w:val="1"/>
                <w:bCs w:val="1"/>
                <w:color w:val="auto"/>
                <w:w w:val="95"/>
              </w:rPr>
              <w:t>Nine months</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spacing w:after="0" w:line="198" w:lineRule="exact"/>
              <w:rPr>
                <w:sz w:val="20"/>
                <w:szCs w:val="20"/>
                <w:color w:val="auto"/>
              </w:rPr>
            </w:pPr>
            <w:r>
              <w:rPr>
                <w:rFonts w:ascii="Arial" w:cs="Arial" w:eastAsia="Arial" w:hAnsi="Arial"/>
                <w:sz w:val="18"/>
                <w:szCs w:val="18"/>
                <w:b w:val="1"/>
                <w:bCs w:val="1"/>
                <w:color w:val="auto"/>
              </w:rPr>
              <w:t>Periods ended January 31,</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Operating profit (loss):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FEI-NY</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3,857</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4,782</w:t>
            </w: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Gillam-FEI</w:t>
            </w:r>
          </w:p>
        </w:tc>
        <w:tc>
          <w:tcPr>
            <w:tcW w:w="9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(707)</w:t>
            </w:r>
          </w:p>
        </w:tc>
        <w:tc>
          <w:tcPr>
            <w:tcW w:w="9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8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FEI-Zyfer</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(652)</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9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9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8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7"/>
        </w:trPr>
        <w:tc>
          <w:tcPr>
            <w:tcW w:w="5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operating profit</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3,722</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3,486</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r>
              <w:rPr>
                <w:rFonts w:ascii="Arial" w:cs="Arial" w:eastAsia="Arial" w:hAnsi="Arial"/>
                <w:sz w:val="18"/>
                <w:szCs w:val="18"/>
                <w:color w:val="auto"/>
              </w:rPr>
              <w:t>Identifiable assets:</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January 31, 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April 30, 2014</w:t>
            </w:r>
          </w:p>
        </w:tc>
        <w:tc>
          <w:tcPr>
            <w:tcW w:w="12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FEI-NY (approximately $2.8 million in China)</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62,969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Gillam-FEI (all in Belgium or France)</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19,595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w:t>
            </w: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less intersegment balances</w:t>
            </w:r>
          </w:p>
        </w:tc>
        <w:tc>
          <w:tcPr>
            <w:tcW w:w="4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(8,385)</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(19,819)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45,496</w:t>
            </w:r>
          </w:p>
        </w:tc>
      </w:tr>
      <w:tr>
        <w:trPr>
          <w:trHeight w:val="27"/>
        </w:trPr>
        <w:tc>
          <w:tcPr>
            <w:tcW w:w="54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Consolidated identifiable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120,847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119,461</w:t>
            </w:r>
          </w:p>
        </w:tc>
      </w:tr>
      <w:tr>
        <w:trPr>
          <w:trHeight w:val="21"/>
        </w:trPr>
        <w:tc>
          <w:tcPr>
            <w:tcW w:w="5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INVESTMENT IN MORION, INC.</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20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During the nine months ended January 31, 2015 and 2014, the Company acquired product from Morion in the aggregate amount of approximately $145,000 and $177,000, respectively, and the Company sold product and training services to Morion in the aggregate amount of approximately $457,000 and $808,000, respectively. (See discussion of revenues recognized under the license agreement in the paragraph below.) During the three months ended January 31, 2015 and 2014, the Company acquired product from Morion in the aggregate amount of approximately $49,000 and $79,000, respectively, and the Company sold product and training services to Morion in the aggregate amount of approximately $168,000 and $156,000, respectively. At January 31, 2015, approximately $13,000 was payable to Morion and accounts receivable from Morion was approximately $131,000.</w:t>
      </w:r>
    </w:p>
    <w:p>
      <w:pPr>
        <w:spacing w:after="0" w:line="19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On October 22, 2012, the Company entered into an agreement with respect to its licensing of rubidium oscillator production technology to Morion. The agreement requires the Company to supply production equipment and parts and to provide training to Morion employees to enable Morion to achieve certain levels of volume production of rubidium oscillators. Morion will pay the Company approximately $2.7 million for the license, the equipment, parts and training, plus 5% royalties on third party sales. For a 5-year period following an initial production run, the Company commits to purchase from Morion a minimum of approximately $400,000 worth of rubidium oscillators per year although Morion is not obligated to sell that amount to the Company. In November 2012, Morion paid the Company a $925,000 deposit under the agreement which amount had been recorded on the Company’s balance sheet as deferred revenue. In October 2013, after amending the original document to clarify certain billing events, the Company invoiced Morion for the equipment, certain component parts for the production of rubidium oscillators, training of certain Morion employees and transfer of the production technology and license to Morion. Accordingly, during the nine month period ended January 31, 2014, the Company recorded revenues of $400,000 for the technology transfer, training and sale of parts and recognized a gain of approximately $736,000 upon the sale of fully-depreciated equipment. The $925,000 deposit previously recorded as deferred revenue was included in these revenues and gain. Additional revenues under the agreement will be recorded after the Company provides further on-site training for Morion personnel, delivers more component parts and obtains relief from certain U.S. Government limitations relating to the sales of items to be manufactured under the license. The United States Department of State has approved the technology transfer called for under the agreement.</w:t>
      </w:r>
    </w:p>
    <w:p>
      <w:pPr>
        <w:sectPr>
          <w:pgSz w:w="11900" w:h="16838" w:orient="portrait"/>
          <w:cols w:equalWidth="0" w:num="1">
            <w:col w:w="11420"/>
          </w:cols>
          <w:pgMar w:left="240" w:top="121" w:right="239" w:bottom="100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00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2015 and April 30, 2014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8"/>
                <w:szCs w:val="18"/>
                <w:b w:val="1"/>
                <w:bCs w:val="1"/>
                <w:color w:val="auto"/>
              </w:rPr>
              <w:t>January 31, 2015</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4,382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7,712</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11,332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12,218</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8"/>
                <w:szCs w:val="18"/>
                <w:b w:val="1"/>
                <w:bCs w:val="1"/>
                <w:color w:val="auto"/>
              </w:rPr>
              <w:t>April 30, 2014</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14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9,007</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7,023</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15,194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16,030</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20" w:type="dxa"/>
            <w:vAlign w:val="bottom"/>
            <w:gridSpan w:val="6"/>
          </w:tcPr>
          <w:p>
            <w:pPr>
              <w:jc w:val="right"/>
              <w:ind w:right="1160"/>
              <w:spacing w:after="0"/>
              <w:rPr>
                <w:sz w:val="20"/>
                <w:szCs w:val="20"/>
                <w:color w:val="auto"/>
              </w:rPr>
            </w:pPr>
            <w:r>
              <w:rPr>
                <w:rFonts w:ascii="Arial" w:cs="Arial" w:eastAsia="Arial" w:hAnsi="Arial"/>
                <w:sz w:val="18"/>
                <w:szCs w:val="18"/>
                <w:b w:val="1"/>
                <w:bCs w:val="1"/>
                <w:color w:val="auto"/>
              </w:rPr>
              <w:t>Less than 12 months</w:t>
            </w:r>
          </w:p>
        </w:tc>
        <w:tc>
          <w:tcPr>
            <w:tcW w:w="260" w:type="dxa"/>
            <w:vAlign w:val="bottom"/>
          </w:tcPr>
          <w:p>
            <w:pPr>
              <w:spacing w:after="0"/>
              <w:rPr>
                <w:sz w:val="20"/>
                <w:szCs w:val="20"/>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12 Months or more</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Fair</w:t>
            </w: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6"/>
              </w:rPr>
              <w:t>Unrealized</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6"/>
              </w:rPr>
              <w:t>Fair</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Fair</w:t>
            </w: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4"/>
          </w:tcPr>
          <w:p>
            <w:pPr>
              <w:jc w:val="center"/>
              <w:ind w:right="1040"/>
              <w:spacing w:after="0" w:line="202" w:lineRule="exact"/>
              <w:rPr>
                <w:sz w:val="20"/>
                <w:szCs w:val="20"/>
                <w:color w:val="auto"/>
              </w:rPr>
            </w:pPr>
            <w:r>
              <w:rPr>
                <w:rFonts w:ascii="Arial" w:cs="Arial" w:eastAsia="Arial" w:hAnsi="Arial"/>
                <w:sz w:val="18"/>
                <w:szCs w:val="18"/>
                <w:b w:val="1"/>
                <w:bCs w:val="1"/>
                <w:color w:val="auto"/>
                <w:w w:val="91"/>
              </w:rPr>
              <w:t>January 31, 2015</w:t>
            </w:r>
          </w:p>
        </w:tc>
        <w:tc>
          <w:tcPr>
            <w:tcW w:w="8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3,013</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40" w:type="dxa"/>
            <w:vAlign w:val="bottom"/>
            <w:tcBorders>
              <w:top w:val="single" w:sz="8" w:color="CCEEFF"/>
            </w:tcBorders>
            <w:gridSpan w:val="3"/>
          </w:tcPr>
          <w:p>
            <w:pPr>
              <w:jc w:val="center"/>
              <w:ind w:right="1160"/>
              <w:spacing w:after="0" w:line="170" w:lineRule="exact"/>
              <w:rPr>
                <w:sz w:val="20"/>
                <w:szCs w:val="20"/>
                <w:color w:val="auto"/>
              </w:rPr>
            </w:pPr>
            <w:r>
              <w:rPr>
                <w:rFonts w:ascii="Arial" w:cs="Arial" w:eastAsia="Arial" w:hAnsi="Arial"/>
                <w:sz w:val="18"/>
                <w:szCs w:val="18"/>
                <w:b w:val="1"/>
                <w:bCs w:val="1"/>
                <w:color w:val="auto"/>
                <w:w w:val="93"/>
              </w:rPr>
              <w:t>April 30, 2014</w:t>
            </w:r>
          </w:p>
        </w:tc>
        <w:tc>
          <w:tcPr>
            <w:tcW w:w="8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January 31, 2015 are other-than-temporary due to market volatility of the security’s fair value, analysts’ expectations and the Company’s ability to hold the securities for a period of time sufficient to allow for any anticipated recoveries in market value.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nine months ended January 31, 2015 and 2014, the Company sold or redeemed available-for-sale securities in the amounts of $5.6 million and $5.0 million, respectively, realizing gains of approximately $377,000 and $367,000,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fixed income securities classified as available-for-sale at January 31, 2015 are as follows, at cost (in thousands):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May 2014, the FASB issued Accounting Standard Update (“ASU”) No. 2014-09</w:t>
      </w:r>
      <w:r>
        <w:rPr>
          <w:rFonts w:ascii="Arial" w:cs="Arial" w:eastAsia="Arial" w:hAnsi="Arial"/>
          <w:sz w:val="17"/>
          <w:szCs w:val="17"/>
          <w:i w:val="1"/>
          <w:iCs w:val="1"/>
          <w:color w:val="auto"/>
        </w:rPr>
        <w:t>, Revenue from Contracts with Customers (Topic 606)</w:t>
      </w:r>
      <w:r>
        <w:rPr>
          <w:rFonts w:ascii="Arial" w:cs="Arial" w:eastAsia="Arial" w:hAnsi="Arial"/>
          <w:sz w:val="17"/>
          <w:szCs w:val="17"/>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This ASU is effective for public companies for annual reporting periods beginning on or after December 15, 2016 and for the Company, must be adopted for its fiscal year 2018 beginning on May 1, 2017. The Company is in the process of determining the effect that ASU 2014-09 may have on its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 J – CREDIT FACILITY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a credit facility (the “Facility”) with JPMorgan Chase Bank, N.A. (“JPMorgan”) pursuant to a credit agreement (the “Credit Agreement”) between the Company and JPMorgan. Under the Facility the Company may make borrowings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of $8.4 million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5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an interest charge coverage ratio. The calculation of both ratios is defined in the Credit Agreement. For the period ended January 31, 2015, the Company met the required covenants for its borrowings under Tranche 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K – VALUATION ALLOWANCE ON DEFERRED TAX ASSETS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prior fiscal years, the Company reduced the valuation allowance on the deferred tax assets of its U.S. subsidiaries. Consequently, for the nine and three months ended January 31, 2015 and 2014, the Company recorded provisions for income taxes based on both current taxes due in the United States as well as the tax provision or benefit to be realized from temporary tax differences. As of January 31, 2015 and April 30, 2014, the remaining deferred tax asset valuation allowance is approximately $2.1 million and is primarily related to deferred tax assets of the Company’s non-U.S.-based subsidiaries.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2014.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Foreign Operations and Foreign Currency Adjustments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which are translated at historical rates, are translated into U.S. dollars at the rates of exchange in effect on the date of the balance sheet. As a result, similar results in local currency can vary upon translation into U.S. dollars if exchange rates fluctuate significantly from one period to the next.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2015 and 2014 (which end on April 30, 2015 and 2014, respectively) the percentage of consolidated revenues represented by certain items in the Company’s consolidated statements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1"/>
              </w:rPr>
              <w:t>Nine months</w:t>
            </w: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2"/>
              </w:rPr>
              <w:t>Three months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gridSpan w:val="5"/>
          </w:tcPr>
          <w:p>
            <w:pPr>
              <w:ind w:left="60"/>
              <w:spacing w:after="0" w:line="198" w:lineRule="exact"/>
              <w:rPr>
                <w:sz w:val="20"/>
                <w:szCs w:val="20"/>
                <w:color w:val="auto"/>
              </w:rPr>
            </w:pPr>
            <w:r>
              <w:rPr>
                <w:rFonts w:ascii="Arial" w:cs="Arial" w:eastAsia="Arial" w:hAnsi="Arial"/>
                <w:sz w:val="18"/>
                <w:szCs w:val="18"/>
                <w:b w:val="1"/>
                <w:bCs w:val="1"/>
                <w:color w:val="auto"/>
              </w:rPr>
              <w:t>Periods ended January 31,</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2014</w:t>
            </w:r>
          </w:p>
        </w:tc>
        <w:tc>
          <w:tcPr>
            <w:tcW w:w="160" w:type="dxa"/>
            <w:vAlign w:val="bottom"/>
          </w:tcPr>
          <w:p>
            <w:pPr>
              <w:spacing w:after="0"/>
              <w:rPr>
                <w:sz w:val="20"/>
                <w:szCs w:val="20"/>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w:t>
            </w: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34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r>
      <w:tr>
        <w:trPr>
          <w:trHeight w:val="223"/>
        </w:trPr>
        <w:tc>
          <w:tcPr>
            <w:tcW w:w="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Less intersegment revenues</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Cost of revenues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26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4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20.2</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Operating profit</w:t>
            </w: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Pretax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3"/>
              </w:rPr>
              <w:t>Nine months</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0"/>
              </w:rPr>
              <w:t>Three months</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7"/>
          </w:tcPr>
          <w:p>
            <w:pPr>
              <w:jc w:val="right"/>
              <w:ind w:right="500"/>
              <w:spacing w:after="0" w:line="198" w:lineRule="exact"/>
              <w:rPr>
                <w:sz w:val="20"/>
                <w:szCs w:val="20"/>
                <w:color w:val="auto"/>
              </w:rPr>
            </w:pPr>
            <w:r>
              <w:rPr>
                <w:rFonts w:ascii="Arial" w:cs="Arial" w:eastAsia="Arial" w:hAnsi="Arial"/>
                <w:sz w:val="18"/>
                <w:szCs w:val="18"/>
                <w:b w:val="1"/>
                <w:bCs w:val="1"/>
                <w:color w:val="auto"/>
              </w:rPr>
              <w:t>Periods ended January 31,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6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Segment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Change</w:t>
            </w:r>
          </w:p>
        </w:tc>
        <w:tc>
          <w:tcPr>
            <w:tcW w:w="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Change</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40,309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5,653</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Gillam-FEI</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6,511</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(479)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2,422</w:t>
            </w: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(459)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FEI-Zyfer</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1,134</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(996)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52,052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5,312</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For the nine and three months ended January 31, 2015, revenues from commercial and U.S. Government satellite programs accounted for approximately 60% of consolidated revenues. Compared to the same periods of fiscal year 2014, satellite revenues increased by 16% for the nine-month period and decreased by 2% for the three-month period. A delay in the timing of additional funding on a cost-plus-fee contract prevented third quarter revenues from matching or exceeding satellite revenues for the same period of fiscal year 2014. Revenues from additional funding under that contract will be recognized during the Company’s fourth quarter of fiscal year 2015. Revenues on satellite program contracts are recognized primarily under the percentage of completion method. Revenues from the satellite market are recorded in the FEI-NY segment. Revenues from non-space U.S. Government/DOD customers, which are recorded in both the FEI-NY and FEI-Zyfer segments, accounted for approximately 20% of consolidated revenues for the nine months of both fiscal years 2015 and 2014. For the three-month period ended January 31, 2015, such revenues were approximately 25% of consolidated revenues and increased by 25% over non-space government revenues for the third quarter of fiscal year 2014. The primary reason for this growth during the third quarter of fiscal year 2015 was due to additional funding received by the FEI-Zyfer segment on an U.S. Government initiative to protect secure communications from jamming and multi-path in GPS systems. Total revenues from U.S. Government satellite contracts and non-space programs were approximately 45% of consolidated revenues for the nine months ended January 31, 2015 and were approximately 50% of revenues for the three-month period then ended. Network infrastructure and other industrial revenues in the fiscal year 2015 periods accounted for approximately 20% of consolidated revenues which is similar to their share of consolidated revenues in the prior year. These fiscal year 2015 commercial revenues increased by approximately 8% for the nine month period and declined by approximately 10% for the three-month period ended January 31, 2015, as compared to the same periods of fiscal year 2014. The primary reason for growth in this commercial, non-space market area is due to increased contract manufacturing revenues from third parties in the Company’s FEI-Asia subsidiary which is part of the FEI-NY segment. In prior periods, third party revenues for the FEI-Asia subsidiary were insignificant as most of its manufacturing capacity was applied to intersegment production.</w:t>
      </w:r>
    </w:p>
    <w:p>
      <w:pPr>
        <w:spacing w:after="0" w:line="39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For the nine and three months ended January 31, 2014, revenues from commercial and U.S. Government satellite programs accounted for approximately 60% of consolidated revenues and increased by approximately 20% and 25%, respectively, over the same periods of fiscal year 2013. Revenues on these contracts, which are recorded in the FEI-NY segment, are recognized primarily under the percentage of completion method. Revenues from non-space U.S. Government/DOD customers, which are recorded in both the FEI-NY and FEI-Zyfer segments, accounted for approximately 20% of fiscal year 2014 consolidated revenues. Such revenues decreased by approximately 20% and 30%, respectively, from the same periods of fiscal year 2013. Total revenues from U.S. Government satellite contracts and non-space programs were approximately 55% of consolidated revenues for both the nine and three months ended January 31, 2014. Network infrastructure and other industrial revenues in the fiscal year 2014 periods accounted for approximately 20% of consolidated revenues, decreasing by approximately 15% for the nine-month period ended January 31, 2014 but increasing by approximately 20% for the three-month period then ended as compared to the same periods of fiscal year 2013. These commercial, non-space revenues are recorded in all three segments although the largest network infrastructure sales volume is recorded in the Gillam-FEI and FEI-Zyfer segments and accounted for most of the year-over-year decline in FEI-Zyfer’s revenues. For the nine and three-month periods ended January 31, 2014, Gillam-FEI revenues increased over the prior year primarily due to higher sales in its market for remote terminal units which are sold to other industrial customers.</w:t>
      </w:r>
    </w:p>
    <w:p>
      <w:pPr>
        <w:spacing w:after="0" w:line="19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Based on the Company’s current backlog, over three-fourths of which represent satellite payload business, and the potential for additional new orders, revenues for fiscal year 2015 are expected to exceed that of the prior fiscal year. Satellite payload revenues continue to be the dominant portion of the Company’s business and represent the Company’s major intermediate-term growth opportunity. Revenues for non-space U.S. Government/DOD customers are also expected to increase, particularly for the FEI-Zyfer segment, as it receives additional orders on systems to protect secure communications from jamming and multi-path in GPS systems.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87"/>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8"/>
                <w:szCs w:val="18"/>
                <w:b w:val="1"/>
                <w:bCs w:val="1"/>
                <w:color w:val="auto"/>
              </w:rPr>
              <w:t>Nine months</w:t>
            </w: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0"/>
              </w:rPr>
              <w:t>Three months</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7"/>
          </w:tcPr>
          <w:p>
            <w:pPr>
              <w:jc w:val="right"/>
              <w:ind w:right="500"/>
              <w:spacing w:after="0" w:line="198" w:lineRule="exact"/>
              <w:rPr>
                <w:sz w:val="20"/>
                <w:szCs w:val="20"/>
                <w:color w:val="auto"/>
              </w:rPr>
            </w:pPr>
            <w:r>
              <w:rPr>
                <w:rFonts w:ascii="Arial" w:cs="Arial" w:eastAsia="Arial" w:hAnsi="Arial"/>
                <w:sz w:val="18"/>
                <w:szCs w:val="18"/>
                <w:b w:val="1"/>
                <w:bCs w:val="1"/>
                <w:color w:val="auto"/>
                <w:w w:val="99"/>
              </w:rPr>
              <w:t>Periods ended January 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9"/>
              </w:rPr>
              <w:t>Change</w:t>
            </w:r>
          </w:p>
        </w:tc>
        <w:tc>
          <w:tcPr>
            <w:tcW w:w="2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18,235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(374)</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20"/>
                <w:szCs w:val="20"/>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31.8 %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Gross margin for the nine months ended January 31, 2015, decreased over the prior fiscal year due to product and contract mix and to lower revenues during the first quarter on non-space U.S. Government business and at the Gillam-FEI segment. During the three month period ended January 31, 2015, improved gross margin on higher sales volume at the FEI-Zyfer segment was offset by increased overhead and production costs at the FEI-NY segment and lower revenues in the Gillam-FEI segment as compared to fiscal year 2014. These factors accounted for the reduced gross margin rates in the fiscal year 2015 periods as compared to fiscal year 2014 rates.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Gross margin and gross margin rates for the nine and three month periods ended January 31, 2014, decreased due to several factors: increased costs related to snow storms impacted the FEI-NY segment; higher than anticipated engineering design and production costs were incurred at the Gillam-FEI segment and lower sales volume at the FEI-Zyfer segment increased unabsorbed overhead costs. In addition, product mix impacts gross margin rates.</w:t>
      </w:r>
    </w:p>
    <w:p>
      <w:pPr>
        <w:spacing w:after="0" w:line="14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gross margin rates recorded in the fiscal year 2015 and 2014 periods were less than the Company’s target rate. Gross margin rates for the remainder of fiscal year 2015 are expected to reflect a similar high level of costs but in future years, as satellite payload sales volume increases and as the product mix changes, the Company anticipates that it will realize improving gross margin rates.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Nine months</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9"/>
              </w:rPr>
              <w:t>Three months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rPr>
              <w:t>Periods ended January 31,</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10,534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14</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  $</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nine-month period ended January 31, 2015 and 2014, selling and administrative expenses (“SG&amp;A”) were approximately 18% and 20%, respectively, of consolidated revenues and for the three months then ended, were approximately 19% of consolidated revenues in both fiscal years. The fluctuation in expenses in the fiscal year 2015 periods compared to the same periods of fiscal year 2014 is due to lower selling expenses partially offset by increased incentive and deferred compensation expenses. For the remainder of fiscal year 2015, the Company expects SG&amp;A expenses to be incurred at approximately the same rate and to be less than 20% of consolidated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w w:val="91"/>
              </w:rPr>
              <w:t>Nine months</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Three months</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b w:val="1"/>
                <w:bCs w:val="1"/>
                <w:color w:val="auto"/>
              </w:rPr>
              <w:t>Periods ended January 31,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3,965</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(624)</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4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Research and development (“R&amp;D”) expenditures represent investments intended to keep the Company’s products at the leading edge of time and frequency technology and enhance competitiveness for future revenues. R&amp;D spending for the nine and three-month periods ended January 31, 2015, was approximately 7% of consolidated revenues compared to 9% and 7%, respectively, for the same periods of the prior fiscal year. In the fiscal year 2015 periods, the Company continued the development of new satellite payload microwave receivers/converters from DC to Ka band. The rate of R&amp;D spending on such satellite payload products decreased in fiscal year 2015 as development is nearly complete and the products are ready for customer evaluation and new contract awards in calendar year 2015. Internal R&amp;D spending also includes development and improvement of quartz-based and rubidium atomic clocks, development of new GPS-based synchronization products and further enhancement of the capabilities of the Company’s line of low g-sensitivity and ruggedized rubidium oscillators. Included in these efforts are product design and process improvements to enhance product manufacturability and reduce production costs.</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internal R&amp;D efforts, the Company continues to conduct development activities on customer-funded programs the cost of which appears in cost of revenues. The Company will continue to devote significant resources to develop new products, enhance existing products and implement efficient manufacturing processes. For fiscal year 2015, the Company is targeting to spend less than 10% of revenues on internal R&amp;D projects. Internally generated cash and cash reserves are adequate to fund these development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9"/>
              </w:rPr>
              <w:t>Nine months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Three months</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6"/>
              </w:rPr>
              <w:t>Periods ended January 31,</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3"/>
              </w:rPr>
              <w:t>Change</w:t>
            </w:r>
          </w:p>
        </w:tc>
        <w:tc>
          <w:tcPr>
            <w:tcW w:w="2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(263)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w:t>
            </w:r>
          </w:p>
        </w:tc>
      </w:tr>
    </w:tbl>
    <w:p>
      <w:pPr>
        <w:spacing w:after="0" w:line="2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Higher consolidated revenues and lower operating costs during the nine months ended January 31, 2015 resulted in increased operating profits. For the three-month period then ended, lower gross margin due to increased overhead and production costs in FEI-NY and lower sales volume at Gillam-FEI, resulted in a lower operating profit as compared to the same period of fiscal year 2014.</w:t>
      </w:r>
    </w:p>
    <w:p>
      <w:pPr>
        <w:spacing w:after="0" w:line="1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anticipates that for the full fiscal year 2015, increased revenues and stable operating costs will enable it to generate an operating profit that exceeds that of fiscal year 2014.</w:t>
      </w:r>
    </w:p>
    <w:p>
      <w:pPr>
        <w:sectPr>
          <w:pgSz w:w="11900" w:h="16838" w:orient="portrait"/>
          <w:cols w:equalWidth="0" w:num="1">
            <w:col w:w="11420"/>
          </w:cols>
          <w:pgMar w:left="240" w:top="122" w:right="2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89"/>
              </w:rPr>
              <w:t>Nine months</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Three months</w:t>
            </w: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gridSpan w:val="6"/>
          </w:tcPr>
          <w:p>
            <w:pPr>
              <w:jc w:val="right"/>
              <w:ind w:right="80"/>
              <w:spacing w:after="0" w:line="198" w:lineRule="exact"/>
              <w:rPr>
                <w:sz w:val="20"/>
                <w:szCs w:val="20"/>
                <w:color w:val="auto"/>
              </w:rPr>
            </w:pPr>
            <w:r>
              <w:rPr>
                <w:rFonts w:ascii="Arial" w:cs="Arial" w:eastAsia="Arial" w:hAnsi="Arial"/>
                <w:sz w:val="18"/>
                <w:szCs w:val="18"/>
                <w:b w:val="1"/>
                <w:bCs w:val="1"/>
                <w:color w:val="auto"/>
                <w:w w:val="88"/>
              </w:rPr>
              <w:t>Periods ended January 31,</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Change</w:t>
            </w:r>
          </w:p>
        </w:tc>
        <w:tc>
          <w:tcPr>
            <w:tcW w:w="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Change</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(296)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740" w:type="dxa"/>
            <w:vAlign w:val="bottom"/>
            <w:gridSpan w:val="2"/>
          </w:tcPr>
          <w:p>
            <w:pPr>
              <w:jc w:val="right"/>
              <w:ind w:right="230"/>
              <w:spacing w:after="0"/>
              <w:rPr>
                <w:sz w:val="20"/>
                <w:szCs w:val="20"/>
                <w:color w:val="auto"/>
              </w:rPr>
            </w:pPr>
            <w:r>
              <w:rPr>
                <w:rFonts w:ascii="Arial" w:cs="Arial" w:eastAsia="Arial" w:hAnsi="Arial"/>
                <w:sz w:val="18"/>
                <w:szCs w:val="18"/>
                <w:color w:val="auto"/>
              </w:rPr>
              <w:t>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02"/>
        </w:trPr>
        <w:tc>
          <w:tcPr>
            <w:tcW w:w="20" w:type="dxa"/>
            <w:vAlign w:val="bottom"/>
          </w:tcPr>
          <w:p>
            <w:pPr>
              <w:spacing w:after="0"/>
              <w:rPr>
                <w:sz w:val="17"/>
                <w:szCs w:val="17"/>
                <w:color w:val="auto"/>
              </w:rPr>
            </w:pPr>
          </w:p>
        </w:tc>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(742)</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NM</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7"/>
        </w:trPr>
        <w:tc>
          <w:tcPr>
            <w:tcW w:w="20" w:type="dxa"/>
            <w:vAlign w:val="bottom"/>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613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70"/>
              <w:spacing w:after="0"/>
              <w:rPr>
                <w:sz w:val="20"/>
                <w:szCs w:val="20"/>
                <w:color w:val="auto"/>
              </w:rPr>
            </w:pPr>
            <w:r>
              <w:rPr>
                <w:rFonts w:ascii="Arial" w:cs="Arial" w:eastAsia="Arial" w:hAnsi="Arial"/>
                <w:sz w:val="18"/>
                <w:szCs w:val="18"/>
                <w:color w:val="auto"/>
              </w:rPr>
              <w:t>(756)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(297)</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bl>
    <w:p>
      <w:pPr>
        <w:spacing w:after="0" w:line="18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Investment income is derived primarily from the Company’s holdings of marketable securities. Earnings on these securities may vary based on fluctuating interest rates and dividend payout levels and the timing of purchases or sales of securities. During the nine months ended January 31, 2015 and 2014, the Company recorded gains of approximately $377,000 and $367,000, respectively, on the sale of certain marketable securities. Gains recorded during the three months ended January 31, 2015 and 2014, were approximately $0 and $293,000, respectively.</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decrease in interest expense for the nine months ended January 31, 2015 compared to the same period of fiscal year 2014 is due to the lower interest rate under the Company’s new credit facility from a bank. For the three month period ended January 31, 2015, interest expense was higher than the same period of fiscal year 2014 due to a higher level of borrowing under the credit facility.</w:t>
      </w:r>
    </w:p>
    <w:p>
      <w:pPr>
        <w:spacing w:after="0" w:line="18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During the fiscal year 2015 periods, other income consisted of insignificant non-operating expenses. Other income in the nine month period ended January 31, 2014, consists primarily of a $736,000 gain recognized upon the sale of certain manufacturing equipment to Morion, Inc. under the terms of a license agreement related to the Company’s rubidium oscillator production technology. (See Note G to the accompanying condensed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w w:val="95"/>
              </w:rPr>
              <w:t>Nine months</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0"/>
              </w:rPr>
              <w:t>Three months</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6"/>
          </w:tcPr>
          <w:p>
            <w:pPr>
              <w:jc w:val="right"/>
              <w:ind w:right="340"/>
              <w:spacing w:after="0" w:line="198" w:lineRule="exact"/>
              <w:rPr>
                <w:sz w:val="20"/>
                <w:szCs w:val="20"/>
                <w:color w:val="auto"/>
              </w:rPr>
            </w:pPr>
            <w:r>
              <w:rPr>
                <w:rFonts w:ascii="Arial" w:cs="Arial" w:eastAsia="Arial" w:hAnsi="Arial"/>
                <w:sz w:val="18"/>
                <w:szCs w:val="18"/>
                <w:b w:val="1"/>
                <w:bCs w:val="1"/>
                <w:color w:val="auto"/>
              </w:rPr>
              <w:t>Periods ended January 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41"/>
        </w:trPr>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 $</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432"/>
        </w:trPr>
        <w:tc>
          <w:tcPr>
            <w:tcW w:w="3660" w:type="dxa"/>
            <w:vAlign w:val="bottom"/>
            <w:gridSpan w:val="9"/>
          </w:tcPr>
          <w:p>
            <w:pPr>
              <w:spacing w:after="0"/>
              <w:rPr>
                <w:sz w:val="20"/>
                <w:szCs w:val="20"/>
                <w:color w:val="auto"/>
              </w:rPr>
            </w:pPr>
            <w:r>
              <w:rPr>
                <w:rFonts w:ascii="Arial" w:cs="Arial" w:eastAsia="Arial" w:hAnsi="Arial"/>
                <w:sz w:val="18"/>
                <w:szCs w:val="18"/>
                <w:color w:val="auto"/>
              </w:rPr>
              <w:t>Effective tax rate on pre-tax book income:</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provision for income taxes for the nine and three months ended January 31, 2015 differed from the provision recorded in the same periods of fiscal year 2014 due primarily to varying effective tax rates. During the Company’s fiscal year 2015 third quarter, the U.S. Congress reinstated the R&amp;D Credit for calendar year 2014. This change not only reduced the fiscal year 2015 tax provision but also reduced the Company’s tax obligations for the prior fiscal year on the corporate tax return filed in January 2015. This additional credit is reflected in a reduced tax provision for the fiscal year 2015 periods. The effective tax rate is also impacted by pre-tax income or loss recorded at the Company’s foreign subsidiaries for which no net tax provision or benefit is recognized. For the nine and three months ended January 31, 2015 these subsidiaries recorded a combined pretax loss which increased the effective rate by approximately 4%. For the full fiscal year 2015, the effective tax rate is expected to be in the range of 30% to 36% depending on the level of pretax income or loss recorded at the Company’s foreign subsidiaries.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2015 and April 30, 2014, the remaining deferred tax asset valuation allowance is approximately $2.1 million.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Company is subject to taxation in several countries as well as the states of New York, New Jersey and California. The statutory federal rates are 34% in the United States and Belgium. The effective rate is impacted by the income or loss of certain of the Company’s European and Asian subsidiaries for which no tax benefit is currently available. In addition, the Company utilizes the availability of research and development tax credits (“R&amp;D Credit”) and the Domestic Production Activity credit in the United States to lower its tax rate. The R&amp;D Credit for calendar year 2014 was recently reinstated by the U.S. Congress and the Company subsequently claimed the R&amp;D credit in its fiscal year 2014 tax return. As of April 30, 2014, the Company’s European subsidiaries had available net operating loss carryforwards of approximately $3.6 million, which will offset future taxable income. As a result of the FEI-Elcom acquisition, the Company has a federal net operating loss carryforward of $5.6 million that may be applied in annually limited amounts to offset future U.S.-sourced taxable income over the next 18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52"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 xml:space="preserve">Nine </w:t>
            </w:r>
            <w:r>
              <w:rPr>
                <w:rFonts w:ascii="Arial" w:cs="Arial" w:eastAsia="Arial" w:hAnsi="Arial"/>
                <w:sz w:val="18"/>
                <w:szCs w:val="18"/>
                <w:b w:val="1"/>
                <w:bCs w:val="1"/>
                <w:color w:val="auto"/>
                <w:w w:val="89"/>
              </w:rPr>
              <w:t>months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Three months</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6"/>
          </w:tcPr>
          <w:p>
            <w:pPr>
              <w:ind w:left="240"/>
              <w:spacing w:after="0" w:line="198" w:lineRule="exact"/>
              <w:rPr>
                <w:sz w:val="20"/>
                <w:szCs w:val="20"/>
                <w:color w:val="auto"/>
              </w:rPr>
            </w:pPr>
            <w:r>
              <w:rPr>
                <w:rFonts w:ascii="Arial" w:cs="Arial" w:eastAsia="Arial" w:hAnsi="Arial"/>
                <w:sz w:val="18"/>
                <w:szCs w:val="18"/>
                <w:b w:val="1"/>
                <w:bCs w:val="1"/>
                <w:color w:val="auto"/>
              </w:rPr>
              <w:t>Periods ended January 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41"/>
        </w:trPr>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3"/>
              </w:rPr>
              <w:t>Change</w:t>
            </w:r>
          </w:p>
        </w:tc>
        <w:tc>
          <w:tcPr>
            <w:tcW w:w="2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3"/>
              </w:rPr>
              <w:t>Change</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(340)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(28%)</w:t>
            </w: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detailed above, operating profit was higher in the nine month period ended January 31, 2015, compared to the prior year while other income due to a one-time gain was higher in the fiscal year 2014 period. This resulted in lower pretax income and provision for income taxes in the fiscal year 2015 period. Lower gross margin and no gains on marketable securities during the three-month period ended January 31, 2015 resulted in lower net income than the prior fiscal year. Based on its backlog and the prospect for future bookings, the Company expects to record higher consolidated revenues and to realize improved operating profitability for fiscal year 2015 as compared to the prior year. However, net income may be lower in fiscal year 2015 due to the one-time gain recorded in the prior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$78.2 million at January 31, 2015, compared to working capital of $78.2 million at April 30, 2014. Included in working capital at January 31, 2015 is $18.3 million consisting of cash, cash equivalents and marketable securities. The Company’s current ratio at January 31, 2015 is 9.6 to 1.</w:t>
      </w:r>
    </w:p>
    <w:p>
      <w:pPr>
        <w:spacing w:after="0" w:line="20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For the nine months ended January 31, 2015, the Company used cash from operations in the amount of $791,000 compared to cash provided by operations of $694,000 in the same fiscal period of the prior year. In fiscal year 2015 cash was reduced primarily from increased accounts receivables which will convert to cash in subsequent periods. In fiscal year 2014, operating cash flow was reduced primarily by growth in inventory, partially offset by collection of accounts receivable. For the nine-month periods ended January 31, 2015 and 2014, the Company incurred approximately $3.6 million and $3.8 million, respectively, of non-cash operating expenses, such as depreciation and amortization and accruals for employee benefit programs. Net income in fiscal year 2014 also included a $736,000 gain on the sale of equipment and such gain is excluded from operating cash flow. For the balance of fiscal year 2015, as receivables are billed and collected, the Company expects to generate positive cash flow from operating activities.</w:t>
      </w:r>
    </w:p>
    <w:p>
      <w:pPr>
        <w:spacing w:after="0" w:line="20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provided by investing activities for the nine months ended January 31, 2015, was $608,000 compared to $169,000 used in the same period of fiscal year 2014. During the fiscal year 2015 period, marketable securities were sold or redeemed in the amount of $5.6 million compared to $5.0 million of such redemptions during the fiscal year 2014 period. Some of these proceeds and other cash were reinvested in additional marketable securities for the periods ended January 31, 2015 and 2014 in the amount of $1.4 million and $1.6 million, respectively. In the fiscal periods ended January 31, 2015 and 2014, the Company acquired property, plant and equipment in the amount of approximately $3.6 million in each fiscal year.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approximately $4.0 million on capital equipment during fiscal year 2015. Internally generated cash or additional borrowings under the Company’s credit facility will be used to acquire this level of capital equipment.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Net cash used in financing activities for the nine months ended January 31, 2015 was $1.7 million compared to cash provided by financing activities of $4.3 million for the same period of fiscal year 2014. In the fiscal year 2015 period, the Company borrowed $2.3 million under its credit facility with a bank but also repaid $4.0 million of such borrowings. During the fiscal year 2014 period, the Company borrowed $4.1 million under the credit facility. In both fiscal years, such funds were used for working capital and to finance the acquisition of certain fixed assets. For the nine months ended January 31, 2015 and 2014, the Company realized $38,000 and $222,000, respectively, from the tax benefits arising from the exercise of stock-based awards. During fiscal year 2014, the Company also made payments of $15,000 against capital lease obligations.</w:t>
      </w:r>
    </w:p>
    <w:p>
      <w:pPr>
        <w:spacing w:after="0" w:line="20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January 31, 2015, the Company has repurchased approximately $4 million of its common stock out of the $5 million authorization.</w:t>
      </w:r>
    </w:p>
    <w:p>
      <w:pPr>
        <w:spacing w:after="0" w:line="19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2015,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On an ongoing basis and as a normal part of its business, the Company investigates, considers, evaluates, discusses and, sometimes engages, in mergers, acquisitions, dispositions or other strategic transactions to create shareholder value and enhance financial performance. Consistent with its fiduciary duties and to create shareholder value, the Company, from time-to-time, also considers, evaluates and discusses proposals received from potential acquirers. There can be no assurance that such transactions will occur.</w:t>
      </w:r>
    </w:p>
    <w:p>
      <w:pPr>
        <w:spacing w:after="0" w:line="19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January 31, 2015, the Company's consolidated funded backlog is approximately $41 million compared to $48 million at April 30, 2014, the end of fiscal year 2014. Approximately 70% of this backlog is expected to be realized in the next twelve months. Included in the backlog at January 31, 2015 is approximately $2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 add to its backlog at that time.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January 31, 2016.</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January 31, 2015,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20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u w:val="single" w:color="auto"/>
          <w:color w:val="auto"/>
        </w:rPr>
        <w:t>Changes in Internal Control Over Financial Reporting</w:t>
      </w:r>
      <w:r>
        <w:rPr>
          <w:rFonts w:ascii="Arial" w:cs="Arial" w:eastAsia="Arial" w:hAnsi="Arial"/>
          <w:sz w:val="17"/>
          <w:szCs w:val="17"/>
          <w:color w:val="auto"/>
        </w:rPr>
        <w:t>. There were no changes in the Company’s internal control over financial reporting (as such term is defined in Rules 13a-15(f) and 15d-15(f) under the Exchange Act) during the nine months ended January 31, 2015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jc w:val="both"/>
        <w:ind w:left="1380" w:hanging="45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31.1 - </w:t>
      </w:r>
      <w:hyperlink w:anchor="page24">
        <w:r>
          <w:rPr>
            <w:rFonts w:ascii="Arial" w:cs="Arial" w:eastAsia="Arial" w:hAnsi="Arial"/>
            <w:sz w:val="18"/>
            <w:szCs w:val="18"/>
            <w:u w:val="single" w:color="auto"/>
            <w:color w:val="0000EE"/>
          </w:rPr>
          <w:t>Certification by the Chief Executive Officer pursuant to Rule 13a-14(a) or 15d-14(a) under the Securities Exchange Act of 1934, as</w:t>
        </w:r>
      </w:hyperlink>
      <w:r>
        <w:rPr>
          <w:rFonts w:ascii="Arial" w:cs="Arial" w:eastAsia="Arial" w:hAnsi="Arial"/>
          <w:sz w:val="18"/>
          <w:szCs w:val="18"/>
          <w:color w:val="auto"/>
        </w:rPr>
        <w:t xml:space="preserve"> </w:t>
      </w:r>
      <w:hyperlink w:anchor="page24">
        <w:r>
          <w:rPr>
            <w:rFonts w:ascii="Arial" w:cs="Arial" w:eastAsia="Arial" w:hAnsi="Arial"/>
            <w:sz w:val="18"/>
            <w:szCs w:val="18"/>
            <w:u w:val="single" w:color="auto"/>
            <w:color w:val="0000EE"/>
          </w:rPr>
          <w:t>adopted pursuant to Section 302 of the Sarbanes-Oxley Act of 2002.</w:t>
        </w:r>
      </w:hyperlink>
    </w:p>
    <w:p>
      <w:pPr>
        <w:spacing w:after="0" w:line="170" w:lineRule="exact"/>
        <w:rPr>
          <w:sz w:val="20"/>
          <w:szCs w:val="20"/>
          <w:color w:val="auto"/>
        </w:rPr>
      </w:pPr>
    </w:p>
    <w:p>
      <w:pPr>
        <w:jc w:val="both"/>
        <w:ind w:left="1380" w:hanging="45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31.2 - </w:t>
      </w:r>
      <w:hyperlink w:anchor="page25">
        <w:r>
          <w:rPr>
            <w:rFonts w:ascii="Arial" w:cs="Arial" w:eastAsia="Arial" w:hAnsi="Arial"/>
            <w:sz w:val="18"/>
            <w:szCs w:val="18"/>
            <w:u w:val="single" w:color="auto"/>
            <w:color w:val="0000EE"/>
          </w:rPr>
          <w:t>Certification by the Chief Financial Officer pursuant to Rule 13a-14(a) or 15d-14(a) under the Securities Exchange Act of 1934, as</w:t>
        </w:r>
      </w:hyperlink>
      <w:r>
        <w:rPr>
          <w:rFonts w:ascii="Arial" w:cs="Arial" w:eastAsia="Arial" w:hAnsi="Arial"/>
          <w:sz w:val="18"/>
          <w:szCs w:val="18"/>
          <w:color w:val="auto"/>
        </w:rPr>
        <w:t xml:space="preserve"> </w:t>
      </w:r>
      <w:hyperlink w:anchor="page25">
        <w:r>
          <w:rPr>
            <w:rFonts w:ascii="Arial" w:cs="Arial" w:eastAsia="Arial" w:hAnsi="Arial"/>
            <w:sz w:val="18"/>
            <w:szCs w:val="18"/>
            <w:u w:val="single" w:color="auto"/>
            <w:color w:val="0000EE"/>
          </w:rPr>
          <w:t>adopted pursuant to Section 302 of the Sarbanes-Oxley Act of 2002.</w:t>
        </w:r>
      </w:hyperlink>
    </w:p>
    <w:p>
      <w:pPr>
        <w:spacing w:after="0" w:line="170" w:lineRule="exact"/>
        <w:rPr>
          <w:sz w:val="20"/>
          <w:szCs w:val="20"/>
          <w:color w:val="auto"/>
        </w:rPr>
      </w:pPr>
    </w:p>
    <w:p>
      <w:pPr>
        <w:jc w:val="both"/>
        <w:ind w:left="1380" w:hanging="458"/>
        <w:spacing w:after="0" w:line="277"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32 -</w:t>
      </w:r>
      <w:r>
        <w:rPr>
          <w:sz w:val="20"/>
          <w:szCs w:val="20"/>
          <w:color w:val="auto"/>
        </w:rPr>
        <w:tab/>
      </w:r>
      <w:hyperlink w:anchor="page26">
        <w:r>
          <w:rPr>
            <w:rFonts w:ascii="Arial" w:cs="Arial" w:eastAsia="Arial" w:hAnsi="Arial"/>
            <w:sz w:val="18"/>
            <w:szCs w:val="18"/>
            <w:u w:val="single" w:color="auto"/>
            <w:color w:val="0000EE"/>
          </w:rPr>
          <w:t>Certifications by the Chief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Section 906 of the Sarbanes-Oxley Act of 2002.</w:t>
        </w:r>
      </w:hyperlink>
    </w:p>
    <w:p>
      <w:pPr>
        <w:spacing w:after="0" w:line="170" w:lineRule="exact"/>
        <w:rPr>
          <w:sz w:val="20"/>
          <w:szCs w:val="20"/>
          <w:color w:val="auto"/>
        </w:rPr>
      </w:pPr>
    </w:p>
    <w:p>
      <w:pPr>
        <w:jc w:val="both"/>
        <w:ind w:left="1380" w:hanging="458"/>
        <w:spacing w:after="0" w:line="259" w:lineRule="auto"/>
        <w:rPr>
          <w:sz w:val="20"/>
          <w:szCs w:val="20"/>
          <w:color w:val="auto"/>
        </w:rPr>
      </w:pPr>
      <w:r>
        <w:rPr>
          <w:rFonts w:ascii="Arial" w:cs="Arial" w:eastAsia="Arial" w:hAnsi="Arial"/>
          <w:sz w:val="18"/>
          <w:szCs w:val="18"/>
          <w:color w:val="auto"/>
        </w:rPr>
        <w:t>101 - The following materials from the Frequency Electronics, Inc. Quarterly Report on Form 10-Q for the quarter ended January 31, 2015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FREQUENCY ELECTRONICS,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17, 2015</w:t>
      </w:r>
      <w:r>
        <w:rPr>
          <w:sz w:val="20"/>
          <w:szCs w:val="20"/>
          <w:color w:val="auto"/>
        </w:rPr>
        <w:tab/>
      </w:r>
      <w:r>
        <w:rPr>
          <w:rFonts w:ascii="Arial" w:cs="Arial" w:eastAsia="Arial" w:hAnsi="Arial"/>
          <w:sz w:val="18"/>
          <w:szCs w:val="18"/>
          <w:color w:val="auto"/>
        </w:rPr>
        <w:t>By: /s/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Signing on behalf of the registrant and as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22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0"/>
          </w:cols>
          <w:pgMar w:left="240" w:top="121" w:right="1359" w:bottom="144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252"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Bloch</w:t>
            </w:r>
          </w:p>
        </w:tc>
        <w:tc>
          <w:tcPr>
            <w:tcW w:w="1020" w:type="dxa"/>
            <w:vAlign w:val="bottom"/>
          </w:tcPr>
          <w:p>
            <w:pPr>
              <w:spacing w:after="0"/>
              <w:rPr>
                <w:sz w:val="18"/>
                <w:szCs w:val="18"/>
                <w:color w:val="auto"/>
              </w:rPr>
            </w:pP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17, 2015</w:t>
            </w:r>
          </w:p>
        </w:tc>
      </w:tr>
      <w:tr>
        <w:trPr>
          <w:trHeight w:val="222"/>
        </w:trPr>
        <w:tc>
          <w:tcPr>
            <w:tcW w:w="2740" w:type="dxa"/>
            <w:vAlign w:val="bottom"/>
            <w:gridSpan w:val="2"/>
          </w:tcPr>
          <w:p>
            <w:pPr>
              <w:ind w:left="280"/>
              <w:spacing w:after="0"/>
              <w:rPr>
                <w:sz w:val="20"/>
                <w:szCs w:val="20"/>
                <w:color w:val="auto"/>
              </w:rPr>
            </w:pPr>
            <w:r>
              <w:rPr>
                <w:rFonts w:ascii="Arial" w:cs="Arial" w:eastAsia="Arial" w:hAnsi="Arial"/>
                <w:sz w:val="18"/>
                <w:szCs w:val="18"/>
                <w:color w:val="auto"/>
              </w:rPr>
              <w:t>Martin Bloch</w:t>
            </w:r>
          </w:p>
        </w:tc>
        <w:tc>
          <w:tcPr>
            <w:tcW w:w="1880" w:type="dxa"/>
            <w:vAlign w:val="bottom"/>
          </w:tcPr>
          <w:p>
            <w:pPr>
              <w:spacing w:after="0"/>
              <w:rPr>
                <w:sz w:val="19"/>
                <w:szCs w:val="19"/>
                <w:color w:val="auto"/>
              </w:rPr>
            </w:pPr>
          </w:p>
        </w:tc>
      </w:tr>
      <w:tr>
        <w:trPr>
          <w:trHeight w:val="230"/>
        </w:trPr>
        <w:tc>
          <w:tcPr>
            <w:tcW w:w="2740" w:type="dxa"/>
            <w:vAlign w:val="bottom"/>
            <w:gridSpan w:val="2"/>
          </w:tcPr>
          <w:p>
            <w:pPr>
              <w:ind w:left="280"/>
              <w:spacing w:after="0"/>
              <w:rPr>
                <w:sz w:val="20"/>
                <w:szCs w:val="20"/>
                <w:color w:val="auto"/>
              </w:rPr>
            </w:pPr>
            <w:r>
              <w:rPr>
                <w:rFonts w:ascii="Arial" w:cs="Arial" w:eastAsia="Arial" w:hAnsi="Arial"/>
                <w:sz w:val="18"/>
                <w:szCs w:val="18"/>
                <w:color w:val="auto"/>
              </w:rPr>
              <w:t>Chief Executive Officer</w:t>
            </w:r>
          </w:p>
        </w:tc>
        <w:tc>
          <w:tcPr>
            <w:tcW w:w="188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Alan Miller,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Miller</w:t>
            </w:r>
          </w:p>
        </w:tc>
        <w:tc>
          <w:tcPr>
            <w:tcW w:w="1020" w:type="dxa"/>
            <w:vAlign w:val="bottom"/>
          </w:tcPr>
          <w:p>
            <w:pPr>
              <w:spacing w:after="0"/>
              <w:rPr>
                <w:sz w:val="18"/>
                <w:szCs w:val="18"/>
                <w:color w:val="auto"/>
              </w:rPr>
            </w:pPr>
          </w:p>
        </w:tc>
        <w:tc>
          <w:tcPr>
            <w:tcW w:w="2120" w:type="dxa"/>
            <w:vAlign w:val="bottom"/>
          </w:tcPr>
          <w:p>
            <w:pPr>
              <w:ind w:left="960"/>
              <w:spacing w:after="0"/>
              <w:rPr>
                <w:sz w:val="20"/>
                <w:szCs w:val="20"/>
                <w:color w:val="auto"/>
              </w:rPr>
            </w:pPr>
            <w:r>
              <w:rPr>
                <w:rFonts w:ascii="Arial" w:cs="Arial" w:eastAsia="Arial" w:hAnsi="Arial"/>
                <w:sz w:val="18"/>
                <w:szCs w:val="18"/>
                <w:color w:val="auto"/>
                <w:w w:val="91"/>
              </w:rPr>
              <w:t>March 17, 2015</w:t>
            </w:r>
          </w:p>
        </w:tc>
      </w:tr>
      <w:tr>
        <w:trPr>
          <w:trHeight w:val="222"/>
        </w:trPr>
        <w:tc>
          <w:tcPr>
            <w:tcW w:w="2880" w:type="dxa"/>
            <w:vAlign w:val="bottom"/>
            <w:gridSpan w:val="2"/>
          </w:tcPr>
          <w:p>
            <w:pPr>
              <w:ind w:left="240"/>
              <w:spacing w:after="0"/>
              <w:rPr>
                <w:sz w:val="20"/>
                <w:szCs w:val="20"/>
                <w:color w:val="auto"/>
              </w:rPr>
            </w:pPr>
            <w:r>
              <w:rPr>
                <w:rFonts w:ascii="Arial" w:cs="Arial" w:eastAsia="Arial" w:hAnsi="Arial"/>
                <w:sz w:val="18"/>
                <w:szCs w:val="18"/>
                <w:color w:val="auto"/>
              </w:rPr>
              <w:t>Alan Miller</w:t>
            </w:r>
          </w:p>
        </w:tc>
        <w:tc>
          <w:tcPr>
            <w:tcW w:w="2120" w:type="dxa"/>
            <w:vAlign w:val="bottom"/>
          </w:tcPr>
          <w:p>
            <w:pPr>
              <w:spacing w:after="0"/>
              <w:rPr>
                <w:sz w:val="19"/>
                <w:szCs w:val="19"/>
                <w:color w:val="auto"/>
              </w:rPr>
            </w:pPr>
          </w:p>
        </w:tc>
      </w:tr>
      <w:tr>
        <w:trPr>
          <w:trHeight w:val="230"/>
        </w:trPr>
        <w:tc>
          <w:tcPr>
            <w:tcW w:w="288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w:t>
            </w:r>
          </w:p>
        </w:tc>
        <w:tc>
          <w:tcPr>
            <w:tcW w:w="212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January 31, 2015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960" w:hanging="30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Martin Bloch</w:t>
            </w:r>
          </w:p>
        </w:tc>
        <w:tc>
          <w:tcPr>
            <w:tcW w:w="4520" w:type="dxa"/>
            <w:vAlign w:val="bottom"/>
          </w:tcPr>
          <w:p>
            <w:pPr>
              <w:jc w:val="right"/>
              <w:ind w:right="1310"/>
              <w:spacing w:after="0"/>
              <w:rPr>
                <w:sz w:val="20"/>
                <w:szCs w:val="20"/>
                <w:color w:val="auto"/>
              </w:rPr>
            </w:pPr>
            <w:r>
              <w:rPr>
                <w:rFonts w:ascii="Arial" w:cs="Arial" w:eastAsia="Arial" w:hAnsi="Arial"/>
                <w:sz w:val="18"/>
                <w:szCs w:val="18"/>
                <w:color w:val="auto"/>
              </w:rPr>
              <w:t>March 17, 2015</w:t>
            </w:r>
          </w:p>
        </w:tc>
      </w:tr>
      <w:tr>
        <w:trPr>
          <w:trHeight w:val="222"/>
        </w:trPr>
        <w:tc>
          <w:tcPr>
            <w:tcW w:w="2000" w:type="dxa"/>
            <w:vAlign w:val="bottom"/>
          </w:tcPr>
          <w:p>
            <w:pPr>
              <w:ind w:left="240"/>
              <w:spacing w:after="0"/>
              <w:rPr>
                <w:sz w:val="20"/>
                <w:szCs w:val="20"/>
                <w:color w:val="auto"/>
              </w:rPr>
            </w:pPr>
            <w:r>
              <w:rPr>
                <w:rFonts w:ascii="Arial" w:cs="Arial" w:eastAsia="Arial" w:hAnsi="Arial"/>
                <w:sz w:val="18"/>
                <w:szCs w:val="18"/>
                <w:color w:val="auto"/>
              </w:rPr>
              <w:t>Martin Bloch</w:t>
            </w:r>
          </w:p>
        </w:tc>
        <w:tc>
          <w:tcPr>
            <w:tcW w:w="4520" w:type="dxa"/>
            <w:vAlign w:val="bottom"/>
          </w:tcPr>
          <w:p>
            <w:pPr>
              <w:spacing w:after="0"/>
              <w:rPr>
                <w:sz w:val="19"/>
                <w:szCs w:val="19"/>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w w:val="98"/>
              </w:rPr>
              <w:t>Chief Executive Officer</w:t>
            </w:r>
          </w:p>
        </w:tc>
        <w:tc>
          <w:tcPr>
            <w:tcW w:w="4520" w:type="dxa"/>
            <w:vAlign w:val="bottom"/>
          </w:tcPr>
          <w:p>
            <w:pPr>
              <w:spacing w:after="0"/>
              <w:rPr>
                <w:sz w:val="20"/>
                <w:szCs w:val="20"/>
                <w:color w:val="auto"/>
              </w:rPr>
            </w:pPr>
          </w:p>
        </w:tc>
      </w:tr>
      <w:tr>
        <w:trPr>
          <w:trHeight w:val="459"/>
        </w:trPr>
        <w:tc>
          <w:tcPr>
            <w:tcW w:w="200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January 31, 2015 as filed with the Securities and Exchange Commission on the date hereof (the “Report”), I, Alan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960" w:hanging="30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Miller</w:t>
            </w:r>
          </w:p>
        </w:tc>
        <w:tc>
          <w:tcPr>
            <w:tcW w:w="1200" w:type="dxa"/>
            <w:vAlign w:val="bottom"/>
          </w:tcPr>
          <w:p>
            <w:pPr>
              <w:spacing w:after="0"/>
              <w:rPr>
                <w:sz w:val="18"/>
                <w:szCs w:val="18"/>
                <w:color w:val="auto"/>
              </w:rPr>
            </w:pPr>
          </w:p>
        </w:tc>
        <w:tc>
          <w:tcPr>
            <w:tcW w:w="1920" w:type="dxa"/>
            <w:vAlign w:val="bottom"/>
          </w:tcPr>
          <w:p>
            <w:pPr>
              <w:ind w:left="780"/>
              <w:spacing w:after="0"/>
              <w:rPr>
                <w:sz w:val="20"/>
                <w:szCs w:val="20"/>
                <w:color w:val="auto"/>
              </w:rPr>
            </w:pPr>
            <w:r>
              <w:rPr>
                <w:rFonts w:ascii="Arial" w:cs="Arial" w:eastAsia="Arial" w:hAnsi="Arial"/>
                <w:sz w:val="18"/>
                <w:szCs w:val="18"/>
                <w:color w:val="auto"/>
                <w:w w:val="89"/>
              </w:rPr>
              <w:t>March 17, 2015</w:t>
            </w:r>
          </w:p>
        </w:tc>
      </w:tr>
      <w:tr>
        <w:trPr>
          <w:trHeight w:val="222"/>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Alan Miller</w:t>
            </w:r>
          </w:p>
        </w:tc>
        <w:tc>
          <w:tcPr>
            <w:tcW w:w="1920" w:type="dxa"/>
            <w:vAlign w:val="bottom"/>
          </w:tcPr>
          <w:p>
            <w:pPr>
              <w:spacing w:after="0"/>
              <w:rPr>
                <w:sz w:val="19"/>
                <w:szCs w:val="19"/>
                <w:color w:val="auto"/>
              </w:rPr>
            </w:pPr>
          </w:p>
        </w:tc>
      </w:tr>
      <w:tr>
        <w:trPr>
          <w:trHeight w:val="230"/>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2019-12-29T17:29:37Z</dcterms:created>
  <dcterms:modified xsi:type="dcterms:W3CDTF">2019-12-29T17:29:37Z</dcterms:modified>
</cp:coreProperties>
</file>