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060" w:right="1779" w:hanging="525"/>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July 31, 2005</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left="1060" w:right="2099" w:hanging="525"/>
        <w:spacing w:after="0" w:line="235" w:lineRule="auto"/>
        <w:tabs>
          <w:tab w:leader="none" w:pos="7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 to __________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1-8061</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FREQUENCY ELECTRONICS,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11-1986657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920" w:space="720"/>
            <w:col w:w="5579"/>
          </w:cols>
          <w:pgMar w:left="240" w:top="244" w:right="1440" w:bottom="0" w:gutter="0" w:footer="0" w:header="0"/>
          <w:type w:val="continuous"/>
        </w:sectPr>
      </w:pPr>
    </w:p>
    <w:p>
      <w:pPr>
        <w:spacing w:after="0" w:line="7" w:lineRule="exact"/>
        <w:rPr>
          <w:sz w:val="24"/>
          <w:szCs w:val="24"/>
          <w:color w:val="auto"/>
        </w:rPr>
      </w:pPr>
    </w:p>
    <w:p>
      <w:pPr>
        <w:ind w:left="220" w:right="220" w:hanging="210"/>
        <w:spacing w:after="0" w:line="290" w:lineRule="auto"/>
        <w:rPr>
          <w:sz w:val="20"/>
          <w:szCs w:val="20"/>
          <w:color w:val="auto"/>
        </w:rPr>
      </w:pPr>
      <w:r>
        <w:rPr>
          <w:rFonts w:ascii="Courier New" w:cs="Courier New" w:eastAsia="Courier New" w:hAnsi="Courier New"/>
          <w:sz w:val="16"/>
          <w:szCs w:val="16"/>
          <w:color w:val="auto"/>
        </w:rPr>
        <w:t>55 CHARLES LINDBERGH BLVD., MITCHEL FIELD, N.Y. (Address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11553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180" w:space="720"/>
            <w:col w:w="4319"/>
          </w:cols>
          <w:pgMar w:left="240" w:top="244" w:right="1440" w:bottom="0"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516-794-4500</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w:t>
      </w:r>
    </w:p>
    <w:p>
      <w:pPr>
        <w:sectPr>
          <w:pgSz w:w="11900" w:h="16838" w:orient="portrait"/>
          <w:cols w:equalWidth="0" w:num="1">
            <w:col w:w="10219"/>
          </w:cols>
          <w:pgMar w:left="240" w:top="244" w:right="1440" w:bottom="0" w:gutter="0" w:footer="0" w:header="0"/>
          <w:type w:val="continuous"/>
        </w:sectPr>
      </w:pPr>
    </w:p>
    <w:p>
      <w:pPr>
        <w:spacing w:after="0" w:line="6" w:lineRule="exact"/>
        <w:rPr>
          <w:sz w:val="24"/>
          <w:szCs w:val="24"/>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320" w:space="320"/>
            <w:col w:w="5579"/>
          </w:cols>
          <w:pgMar w:left="240" w:top="244" w:right="1440" w:bottom="0" w:gutter="0" w:footer="0" w:header="0"/>
          <w:type w:val="continuous"/>
        </w:sectPr>
      </w:pPr>
    </w:p>
    <w:p>
      <w:pPr>
        <w:spacing w:after="0" w:line="18" w:lineRule="exact"/>
        <w:rPr>
          <w:sz w:val="24"/>
          <w:szCs w:val="24"/>
          <w:color w:val="auto"/>
        </w:rPr>
      </w:pPr>
    </w:p>
    <w:p>
      <w:pPr>
        <w:spacing w:after="0"/>
        <w:tabs>
          <w:tab w:leader="none" w:pos="1040" w:val="left"/>
          <w:tab w:leader="none" w:pos="2620" w:val="left"/>
          <w:tab w:leader="none" w:pos="3560" w:val="left"/>
          <w:tab w:leader="none" w:pos="4100" w:val="left"/>
        </w:tabs>
        <w:rPr>
          <w:sz w:val="20"/>
          <w:szCs w:val="20"/>
          <w:color w:val="auto"/>
        </w:rPr>
      </w:pPr>
      <w:r>
        <w:rPr>
          <w:rFonts w:ascii="Courier New" w:cs="Courier New" w:eastAsia="Courier New" w:hAnsi="Courier New"/>
          <w:sz w:val="18"/>
          <w:szCs w:val="18"/>
          <w:color w:val="auto"/>
        </w:rPr>
        <w:t>Indicate</w:t>
        <w:tab/>
        <w:t>by check mark</w:t>
        <w:tab/>
        <w:t>whether</w:t>
        <w:tab/>
        <w:t>the</w:t>
      </w:r>
      <w:r>
        <w:rPr>
          <w:sz w:val="20"/>
          <w:szCs w:val="20"/>
          <w:color w:val="auto"/>
        </w:rPr>
        <w:tab/>
      </w:r>
      <w:r>
        <w:rPr>
          <w:rFonts w:ascii="Courier New" w:cs="Courier New" w:eastAsia="Courier New" w:hAnsi="Courier New"/>
          <w:sz w:val="16"/>
          <w:szCs w:val="16"/>
          <w:color w:val="auto"/>
        </w:rPr>
        <w:t>registrant</w:t>
      </w:r>
    </w:p>
    <w:p>
      <w:pPr>
        <w:spacing w:after="0"/>
        <w:tabs>
          <w:tab w:leader="none" w:pos="4720" w:val="left"/>
        </w:tabs>
        <w:rPr>
          <w:sz w:val="20"/>
          <w:szCs w:val="20"/>
          <w:color w:val="auto"/>
        </w:rPr>
      </w:pPr>
      <w:r>
        <w:rPr>
          <w:rFonts w:ascii="Courier New" w:cs="Courier New" w:eastAsia="Courier New" w:hAnsi="Courier New"/>
          <w:sz w:val="18"/>
          <w:szCs w:val="18"/>
          <w:color w:val="auto"/>
        </w:rPr>
        <w:t>defined in Exchange Act Rule 12 b-2). Yes</w:t>
      </w:r>
      <w:r>
        <w:rPr>
          <w:sz w:val="20"/>
          <w:szCs w:val="20"/>
          <w:color w:val="auto"/>
        </w:rPr>
        <w:tab/>
      </w:r>
      <w:r>
        <w:rPr>
          <w:rFonts w:ascii="Courier New" w:cs="Courier New" w:eastAsia="Courier New" w:hAnsi="Courier New"/>
          <w:sz w:val="16"/>
          <w:szCs w:val="16"/>
          <w:color w:val="auto"/>
        </w:rPr>
        <w:t>No X</w:t>
      </w:r>
    </w:p>
    <w:p>
      <w:pPr>
        <w:spacing w:after="0" w:line="5" w:lineRule="exact"/>
        <w:rPr>
          <w:sz w:val="24"/>
          <w:szCs w:val="24"/>
          <w:color w:val="auto"/>
        </w:rPr>
      </w:pPr>
    </w:p>
    <w:p>
      <w:pPr>
        <w:ind w:left="4320"/>
        <w:spacing w:after="0"/>
        <w:tabs>
          <w:tab w:leader="none" w:pos="49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is an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accelerated</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filer (as</w:t>
      </w:r>
    </w:p>
    <w:p>
      <w:pPr>
        <w:spacing w:after="0" w:line="605" w:lineRule="exact"/>
        <w:rPr>
          <w:sz w:val="24"/>
          <w:szCs w:val="24"/>
          <w:color w:val="auto"/>
        </w:rPr>
      </w:pPr>
    </w:p>
    <w:p>
      <w:pPr>
        <w:sectPr>
          <w:pgSz w:w="11900" w:h="16838" w:orient="portrait"/>
          <w:cols w:equalWidth="0" w:num="4">
            <w:col w:w="5280" w:space="100"/>
            <w:col w:w="520" w:space="220"/>
            <w:col w:w="1160" w:space="200"/>
            <w:col w:w="2739"/>
          </w:cols>
          <w:pgMar w:left="240" w:top="244" w:right="1440" w:bottom="0" w:gutter="0" w:footer="0" w:header="0"/>
          <w:type w:val="continuous"/>
        </w:sectPr>
      </w:pP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number of shares outstanding of Registrant's Common Stock, par value $1.00 as of September 9, 2005 - 8,526,600</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20</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FREQUENCY</w:t>
            </w:r>
          </w:p>
        </w:tc>
        <w:tc>
          <w:tcPr>
            <w:tcW w:w="4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ELECTRONICS, INC. and SUBSIDIARIES</w:t>
            </w:r>
          </w:p>
        </w:tc>
        <w:tc>
          <w:tcPr>
            <w:tcW w:w="13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20" w:type="dxa"/>
            <w:vAlign w:val="bottom"/>
            <w:gridSpan w:val="2"/>
          </w:tcPr>
          <w:p>
            <w:pPr>
              <w:ind w:left="1120"/>
              <w:spacing w:after="0"/>
              <w:rPr>
                <w:sz w:val="20"/>
                <w:szCs w:val="20"/>
                <w:color w:val="auto"/>
              </w:rPr>
            </w:pPr>
            <w:r>
              <w:rPr>
                <w:rFonts w:ascii="Courier New" w:cs="Courier New" w:eastAsia="Courier New" w:hAnsi="Courier New"/>
                <w:sz w:val="18"/>
                <w:szCs w:val="18"/>
                <w:color w:val="auto"/>
              </w:rPr>
              <w:t>INDEX</w:t>
            </w:r>
          </w:p>
        </w:tc>
        <w:tc>
          <w:tcPr>
            <w:tcW w:w="1320" w:type="dxa"/>
            <w:vAlign w:val="bottom"/>
          </w:tcPr>
          <w:p>
            <w:pPr>
              <w:spacing w:after="0"/>
              <w:rPr>
                <w:sz w:val="24"/>
                <w:szCs w:val="24"/>
                <w:color w:val="auto"/>
              </w:rPr>
            </w:pP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Part I.</w:t>
            </w:r>
          </w:p>
        </w:tc>
        <w:tc>
          <w:tcPr>
            <w:tcW w:w="358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Financial Information:</w:t>
            </w:r>
          </w:p>
        </w:tc>
        <w:tc>
          <w:tcPr>
            <w:tcW w:w="2640" w:type="dxa"/>
            <w:vAlign w:val="bottom"/>
          </w:tcPr>
          <w:p>
            <w:pPr>
              <w:spacing w:after="0"/>
              <w:rPr>
                <w:sz w:val="24"/>
                <w:szCs w:val="24"/>
                <w:color w:val="auto"/>
              </w:rPr>
            </w:pPr>
          </w:p>
        </w:tc>
        <w:tc>
          <w:tcPr>
            <w:tcW w:w="132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9"/>
              </w:rPr>
              <w:t>Page No.</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Item 1</w:t>
            </w:r>
          </w:p>
        </w:tc>
        <w:tc>
          <w:tcPr>
            <w:tcW w:w="3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 Financial Statements:</w:t>
            </w:r>
          </w:p>
        </w:tc>
        <w:tc>
          <w:tcPr>
            <w:tcW w:w="2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Condensed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Consolidated</w:t>
            </w:r>
          </w:p>
        </w:tc>
        <w:tc>
          <w:tcPr>
            <w:tcW w:w="4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Balance Sheets -</w:t>
            </w:r>
          </w:p>
        </w:tc>
        <w:tc>
          <w:tcPr>
            <w:tcW w:w="1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35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July 31, 2005 and April 30, 2005</w:t>
            </w:r>
          </w:p>
        </w:tc>
        <w:tc>
          <w:tcPr>
            <w:tcW w:w="2640" w:type="dxa"/>
            <w:vAlign w:val="bottom"/>
          </w:tcPr>
          <w:p>
            <w:pPr>
              <w:spacing w:after="0"/>
              <w:rPr>
                <w:sz w:val="17"/>
                <w:szCs w:val="17"/>
                <w:color w:val="auto"/>
              </w:rPr>
            </w:pPr>
          </w:p>
        </w:tc>
        <w:tc>
          <w:tcPr>
            <w:tcW w:w="13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3-4</w:t>
            </w:r>
          </w:p>
        </w:tc>
      </w:tr>
      <w:tr>
        <w:trPr>
          <w:trHeight w:val="405"/>
        </w:trPr>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Condensed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Consolidated</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Statements of</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Operations</w:t>
            </w:r>
          </w:p>
        </w:tc>
        <w:tc>
          <w:tcPr>
            <w:tcW w:w="1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Months Ended</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July 31, 2005</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2004</w:t>
            </w:r>
          </w:p>
        </w:tc>
        <w:tc>
          <w:tcPr>
            <w:tcW w:w="1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2"/>
              </w:rPr>
              <w:t>5</w:t>
            </w:r>
          </w:p>
        </w:tc>
      </w:tr>
      <w:tr>
        <w:trPr>
          <w:trHeight w:val="405"/>
        </w:trPr>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Condensed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Consolidated</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Statements of</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Cash Flows</w:t>
            </w:r>
          </w:p>
        </w:tc>
        <w:tc>
          <w:tcPr>
            <w:tcW w:w="1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Months Ended</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July 31, 2005</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2004</w:t>
            </w:r>
          </w:p>
        </w:tc>
        <w:tc>
          <w:tcPr>
            <w:tcW w:w="132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2"/>
              </w:rPr>
              <w:t>6</w:t>
            </w:r>
          </w:p>
        </w:tc>
      </w:tr>
      <w:tr>
        <w:trPr>
          <w:trHeight w:val="405"/>
        </w:trPr>
        <w:tc>
          <w:tcPr>
            <w:tcW w:w="7020" w:type="dxa"/>
            <w:vAlign w:val="bottom"/>
            <w:gridSpan w:val="5"/>
          </w:tcPr>
          <w:p>
            <w:pPr>
              <w:ind w:left="540"/>
              <w:spacing w:after="0"/>
              <w:rPr>
                <w:sz w:val="20"/>
                <w:szCs w:val="20"/>
                <w:color w:val="auto"/>
              </w:rPr>
            </w:pPr>
            <w:r>
              <w:rPr>
                <w:rFonts w:ascii="Courier New" w:cs="Courier New" w:eastAsia="Courier New" w:hAnsi="Courier New"/>
                <w:sz w:val="18"/>
                <w:szCs w:val="18"/>
                <w:color w:val="auto"/>
              </w:rPr>
              <w:t>Notes to Condensed Consolidated Financial Statements</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7-10</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Item 2</w:t>
            </w:r>
          </w:p>
        </w:tc>
        <w:tc>
          <w:tcPr>
            <w:tcW w:w="62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 Management's Discussion and Analysis of</w:t>
            </w:r>
          </w:p>
        </w:tc>
        <w:tc>
          <w:tcPr>
            <w:tcW w:w="13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622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13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6"/>
              </w:rPr>
              <w:t>10-14</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3-</w:t>
            </w:r>
          </w:p>
        </w:tc>
        <w:tc>
          <w:tcPr>
            <w:tcW w:w="6420" w:type="dxa"/>
            <w:vAlign w:val="bottom"/>
          </w:tcPr>
          <w:p>
            <w:pPr>
              <w:ind w:left="60"/>
              <w:spacing w:after="0"/>
              <w:rPr>
                <w:sz w:val="20"/>
                <w:szCs w:val="20"/>
                <w:color w:val="auto"/>
              </w:rPr>
            </w:pPr>
            <w:r>
              <w:rPr>
                <w:rFonts w:ascii="Courier New" w:cs="Courier New" w:eastAsia="Courier New" w:hAnsi="Courier New"/>
                <w:sz w:val="18"/>
                <w:szCs w:val="18"/>
                <w:color w:val="auto"/>
              </w:rPr>
              <w:t>Quantitative and Qualitative Disclosures about Market Risk</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14-15</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4-</w:t>
            </w:r>
          </w:p>
        </w:tc>
        <w:tc>
          <w:tcPr>
            <w:tcW w:w="6420" w:type="dxa"/>
            <w:vAlign w:val="bottom"/>
          </w:tcPr>
          <w:p>
            <w:pPr>
              <w:ind w:left="60"/>
              <w:spacing w:after="0"/>
              <w:rPr>
                <w:sz w:val="20"/>
                <w:szCs w:val="20"/>
                <w:color w:val="auto"/>
              </w:rPr>
            </w:pPr>
            <w:r>
              <w:rPr>
                <w:rFonts w:ascii="Courier New" w:cs="Courier New" w:eastAsia="Courier New" w:hAnsi="Courier New"/>
                <w:sz w:val="18"/>
                <w:szCs w:val="18"/>
                <w:color w:val="auto"/>
              </w:rPr>
              <w:t>Controls and Procedures</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w:t>
            </w:r>
          </w:p>
        </w:tc>
      </w:tr>
      <w:tr>
        <w:trPr>
          <w:trHeight w:val="608"/>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Part II.</w:t>
            </w:r>
          </w:p>
        </w:tc>
        <w:tc>
          <w:tcPr>
            <w:tcW w:w="6420" w:type="dxa"/>
            <w:vAlign w:val="bottom"/>
          </w:tcPr>
          <w:p>
            <w:pPr>
              <w:ind w:left="160"/>
              <w:spacing w:after="0"/>
              <w:rPr>
                <w:sz w:val="20"/>
                <w:szCs w:val="20"/>
                <w:color w:val="auto"/>
              </w:rPr>
            </w:pPr>
            <w:r>
              <w:rPr>
                <w:rFonts w:ascii="Courier New" w:cs="Courier New" w:eastAsia="Courier New" w:hAnsi="Courier New"/>
                <w:sz w:val="18"/>
                <w:szCs w:val="18"/>
                <w:color w:val="auto"/>
              </w:rPr>
              <w:t>Other Information:</w:t>
            </w:r>
          </w:p>
        </w:tc>
        <w:tc>
          <w:tcPr>
            <w:tcW w:w="800" w:type="dxa"/>
            <w:vAlign w:val="bottom"/>
          </w:tcPr>
          <w:p>
            <w:pPr>
              <w:spacing w:after="0"/>
              <w:rPr>
                <w:sz w:val="24"/>
                <w:szCs w:val="24"/>
                <w:color w:val="auto"/>
              </w:rPr>
            </w:pPr>
          </w:p>
        </w:tc>
      </w:tr>
      <w:tr>
        <w:trPr>
          <w:trHeight w:val="405"/>
        </w:trPr>
        <w:tc>
          <w:tcPr>
            <w:tcW w:w="7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Items 1 through 5 are omitted because they are not applicable</w:t>
            </w:r>
          </w:p>
        </w:tc>
        <w:tc>
          <w:tcPr>
            <w:tcW w:w="800" w:type="dxa"/>
            <w:vAlign w:val="bottom"/>
          </w:tcPr>
          <w:p>
            <w:pPr>
              <w:spacing w:after="0"/>
              <w:rPr>
                <w:sz w:val="24"/>
                <w:szCs w:val="24"/>
                <w:color w:val="auto"/>
              </w:rPr>
            </w:pP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Item 6</w:t>
            </w:r>
          </w:p>
        </w:tc>
        <w:tc>
          <w:tcPr>
            <w:tcW w:w="6420" w:type="dxa"/>
            <w:vAlign w:val="bottom"/>
          </w:tcPr>
          <w:p>
            <w:pPr>
              <w:ind w:left="60"/>
              <w:spacing w:after="0"/>
              <w:rPr>
                <w:sz w:val="20"/>
                <w:szCs w:val="20"/>
                <w:color w:val="auto"/>
              </w:rPr>
            </w:pPr>
            <w:r>
              <w:rPr>
                <w:rFonts w:ascii="Courier New" w:cs="Courier New" w:eastAsia="Courier New" w:hAnsi="Courier New"/>
                <w:sz w:val="18"/>
                <w:szCs w:val="18"/>
                <w:color w:val="auto"/>
              </w:rPr>
              <w:t>- Exhibits</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w:t>
            </w:r>
          </w:p>
        </w:tc>
      </w:tr>
      <w:tr>
        <w:trPr>
          <w:trHeight w:val="405"/>
        </w:trPr>
        <w:tc>
          <w:tcPr>
            <w:tcW w:w="7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Signatures</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w:t>
            </w:r>
          </w:p>
        </w:tc>
      </w:tr>
      <w:tr>
        <w:trPr>
          <w:trHeight w:val="405"/>
        </w:trPr>
        <w:tc>
          <w:tcPr>
            <w:tcW w:w="7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Exhibits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17-20</w:t>
            </w:r>
          </w:p>
        </w:tc>
      </w:tr>
    </w:tbl>
    <w:p>
      <w:pPr>
        <w:sectPr>
          <w:pgSz w:w="11900" w:h="16838" w:orient="portrait"/>
          <w:cols w:equalWidth="0" w:num="1">
            <w:col w:w="10219"/>
          </w:cols>
          <w:pgMar w:left="240" w:top="136" w:right="1440" w:bottom="144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tbl>
      <w:tblPr>
        <w:tblLayout w:type="fixed"/>
        <w:tblInd w:w="0" w:type="dxa"/>
        <w:tblCellMar>
          <w:top w:w="0" w:type="dxa"/>
          <w:left w:w="0" w:type="dxa"/>
          <w:bottom w:w="0" w:type="dxa"/>
          <w:right w:w="0" w:type="dxa"/>
        </w:tblCellMar>
      </w:tblPr>
      <w:tr>
        <w:trPr>
          <w:trHeight w:val="203"/>
        </w:trPr>
        <w:tc>
          <w:tcPr>
            <w:tcW w:w="69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1440" w:type="dxa"/>
            <w:vAlign w:val="bottom"/>
          </w:tcPr>
          <w:p>
            <w:pPr>
              <w:spacing w:after="0"/>
              <w:rPr>
                <w:sz w:val="17"/>
                <w:szCs w:val="17"/>
                <w:color w:val="auto"/>
              </w:rPr>
            </w:pPr>
          </w:p>
        </w:tc>
      </w:tr>
      <w:tr>
        <w:trPr>
          <w:trHeight w:val="405"/>
        </w:trPr>
        <w:tc>
          <w:tcPr>
            <w:tcW w:w="4960" w:type="dxa"/>
            <w:vAlign w:val="bottom"/>
          </w:tcPr>
          <w:p>
            <w:pPr>
              <w:spacing w:after="0"/>
              <w:rPr>
                <w:sz w:val="24"/>
                <w:szCs w:val="24"/>
                <w:color w:val="auto"/>
              </w:rPr>
            </w:pP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July 31,</w:t>
            </w:r>
          </w:p>
        </w:tc>
        <w:tc>
          <w:tcPr>
            <w:tcW w:w="1440" w:type="dxa"/>
            <w:vAlign w:val="bottom"/>
          </w:tcPr>
          <w:p>
            <w:pPr>
              <w:ind w:left="480"/>
              <w:spacing w:after="0"/>
              <w:rPr>
                <w:sz w:val="20"/>
                <w:szCs w:val="20"/>
                <w:color w:val="auto"/>
              </w:rPr>
            </w:pPr>
            <w:r>
              <w:rPr>
                <w:rFonts w:ascii="Courier New" w:cs="Courier New" w:eastAsia="Courier New" w:hAnsi="Courier New"/>
                <w:sz w:val="18"/>
                <w:szCs w:val="18"/>
                <w:color w:val="auto"/>
                <w:w w:val="96"/>
              </w:rPr>
              <w:t>April 30,</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2005</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(UNAUDITED)</w:t>
            </w:r>
          </w:p>
        </w:tc>
        <w:tc>
          <w:tcPr>
            <w:tcW w:w="14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4960" w:type="dxa"/>
            <w:vAlign w:val="bottom"/>
          </w:tcPr>
          <w:p>
            <w:pPr>
              <w:spacing w:after="0"/>
              <w:rPr>
                <w:sz w:val="17"/>
                <w:szCs w:val="17"/>
                <w:color w:val="auto"/>
              </w:rPr>
            </w:pPr>
          </w:p>
        </w:tc>
        <w:tc>
          <w:tcPr>
            <w:tcW w:w="33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9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3,689</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6,701</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20,449</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23,532</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 of allowance for</w:t>
            </w:r>
          </w:p>
        </w:tc>
        <w:tc>
          <w:tcPr>
            <w:tcW w:w="19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9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doubtful accounts of $172</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13,385</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12,728</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23,708</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22,948</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2,569</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2,269</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1,721</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1,362</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65,521</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69,540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9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19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amortization</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6,708</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6,770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2,594</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2,644</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surrender value of life insurance</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5,958</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5,838</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Goodwill and other Intangible assets, net</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572</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3,125</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2,991</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assets</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$ 84,478</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$ 88,374</w:t>
            </w:r>
          </w:p>
        </w:tc>
      </w:tr>
      <w:tr>
        <w:trPr>
          <w:trHeight w:val="203"/>
        </w:trPr>
        <w:tc>
          <w:tcPr>
            <w:tcW w:w="4960" w:type="dxa"/>
            <w:vAlign w:val="bottom"/>
          </w:tcPr>
          <w:p>
            <w:pPr>
              <w:spacing w:after="0"/>
              <w:rPr>
                <w:sz w:val="17"/>
                <w:szCs w:val="17"/>
                <w:color w:val="auto"/>
              </w:rPr>
            </w:pP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ind w:left="1700"/>
        <w:spacing w:after="0" w:line="238" w:lineRule="auto"/>
        <w:rPr>
          <w:sz w:val="20"/>
          <w:szCs w:val="20"/>
          <w:color w:val="auto"/>
        </w:rPr>
      </w:pPr>
      <w:r>
        <w:rPr>
          <w:rFonts w:ascii="Courier New" w:cs="Courier New" w:eastAsia="Courier New" w:hAnsi="Courier New"/>
          <w:sz w:val="18"/>
          <w:szCs w:val="18"/>
          <w:color w:val="auto"/>
        </w:rPr>
        <w:t>Condensed Consolidated Balance Sheets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July 31,</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April 30,</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2005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Current liabilities:</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2,253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1,896</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liabilities and other</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3,260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3,912</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3,184</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 payable</w:t>
            </w:r>
          </w:p>
        </w:tc>
        <w:tc>
          <w:tcPr>
            <w:tcW w:w="3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6,024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9,844</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Deferred compensation</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7,883</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7,812</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gain and other liabilities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1,424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1,525</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15,331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19,181</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 $1.00 par value</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$1.00 par value</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9,164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9,164</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45,372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45,289</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Retained earnings</w:t>
            </w:r>
          </w:p>
        </w:tc>
        <w:tc>
          <w:tcPr>
            <w:tcW w:w="3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13,582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12,440</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68,118</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66,893</w:t>
            </w:r>
          </w:p>
        </w:tc>
      </w:tr>
      <w:tr>
        <w:trPr>
          <w:trHeight w:val="405"/>
        </w:trPr>
        <w:tc>
          <w:tcPr>
            <w:tcW w:w="5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 reacquired and held in treasury</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 cost, 638,340 shares at July 31, 2005</w:t>
            </w: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646,709 shares at April 30, 2005</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(2,576)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(2,601)</w:t>
            </w:r>
          </w:p>
        </w:tc>
      </w:tr>
      <w:tr>
        <w:trPr>
          <w:trHeight w:val="203"/>
        </w:trPr>
        <w:tc>
          <w:tcPr>
            <w:tcW w:w="5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3,605</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4,901</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69,147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69,193</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$ 84,478</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$ 88,374</w:t>
            </w:r>
          </w:p>
        </w:tc>
      </w:tr>
      <w:tr>
        <w:trPr>
          <w:trHeight w:val="203"/>
        </w:trPr>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717"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Operations</w:t>
      </w:r>
    </w:p>
    <w:p>
      <w:pPr>
        <w:jc w:val="center"/>
        <w:ind w:right="1679"/>
        <w:spacing w:after="0" w:line="238" w:lineRule="auto"/>
        <w:rPr>
          <w:sz w:val="20"/>
          <w:szCs w:val="20"/>
          <w:color w:val="auto"/>
        </w:rPr>
      </w:pPr>
      <w:r>
        <w:rPr>
          <w:rFonts w:ascii="Courier New" w:cs="Courier New" w:eastAsia="Courier New" w:hAnsi="Courier New"/>
          <w:sz w:val="18"/>
          <w:szCs w:val="18"/>
          <w:color w:val="auto"/>
        </w:rPr>
        <w:t>Three Months Ended July 31,</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2"/>
              </w:rPr>
              <w:t>2005</w:t>
            </w:r>
          </w:p>
        </w:tc>
        <w:tc>
          <w:tcPr>
            <w:tcW w:w="840" w:type="dxa"/>
            <w:vAlign w:val="bottom"/>
          </w:tcPr>
          <w:p>
            <w:pPr>
              <w:spacing w:after="0"/>
              <w:rPr>
                <w:sz w:val="17"/>
                <w:szCs w:val="17"/>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2004(a)</w:t>
            </w:r>
          </w:p>
        </w:tc>
      </w:tr>
      <w:tr>
        <w:trPr>
          <w:trHeight w:val="203"/>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rPr>
                <w:sz w:val="17"/>
                <w:szCs w:val="17"/>
                <w:color w:val="auto"/>
              </w:rPr>
            </w:pPr>
          </w:p>
        </w:tc>
        <w:tc>
          <w:tcPr>
            <w:tcW w:w="4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$11,057</w:t>
            </w:r>
          </w:p>
        </w:tc>
        <w:tc>
          <w:tcPr>
            <w:tcW w:w="20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$17,683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6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6,960</w:t>
            </w:r>
          </w:p>
        </w:tc>
        <w:tc>
          <w:tcPr>
            <w:tcW w:w="8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11,905</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Gross Margin</w:t>
            </w:r>
          </w:p>
        </w:tc>
        <w:tc>
          <w:tcPr>
            <w:tcW w:w="6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4,097</w:t>
            </w:r>
          </w:p>
        </w:tc>
        <w:tc>
          <w:tcPr>
            <w:tcW w:w="8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5,778</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620" w:type="dxa"/>
            <w:vAlign w:val="bottom"/>
          </w:tcPr>
          <w:p>
            <w:pPr>
              <w:spacing w:after="0"/>
              <w:rPr>
                <w:sz w:val="24"/>
                <w:szCs w:val="24"/>
                <w:color w:val="auto"/>
              </w:rPr>
            </w:pP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2,544</w:t>
            </w:r>
          </w:p>
        </w:tc>
        <w:tc>
          <w:tcPr>
            <w:tcW w:w="84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3,293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w:t>
            </w:r>
          </w:p>
        </w:tc>
        <w:tc>
          <w:tcPr>
            <w:tcW w:w="6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1,442</w:t>
            </w:r>
          </w:p>
        </w:tc>
        <w:tc>
          <w:tcPr>
            <w:tcW w:w="8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1,236</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Operating profit</w:t>
            </w:r>
          </w:p>
        </w:tc>
        <w:tc>
          <w:tcPr>
            <w:tcW w:w="6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111</w:t>
            </w:r>
          </w:p>
        </w:tc>
        <w:tc>
          <w:tcPr>
            <w:tcW w:w="8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1,249</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6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1,325</w:t>
            </w:r>
          </w:p>
        </w:tc>
        <w:tc>
          <w:tcPr>
            <w:tcW w:w="8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Morion (a)</w:t>
            </w:r>
          </w:p>
        </w:tc>
        <w:tc>
          <w:tcPr>
            <w:tcW w:w="6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144</w:t>
            </w:r>
          </w:p>
        </w:tc>
        <w:tc>
          <w:tcPr>
            <w:tcW w:w="8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62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w:t>
            </w:r>
          </w:p>
        </w:tc>
        <w:tc>
          <w:tcPr>
            <w:tcW w:w="8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net</w:t>
            </w:r>
          </w:p>
        </w:tc>
        <w:tc>
          <w:tcPr>
            <w:tcW w:w="6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69</w:t>
            </w:r>
          </w:p>
        </w:tc>
        <w:tc>
          <w:tcPr>
            <w:tcW w:w="8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minority interest and</w:t>
            </w: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6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1,621</w:t>
            </w:r>
          </w:p>
        </w:tc>
        <w:tc>
          <w:tcPr>
            <w:tcW w:w="8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1,698</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Minority interest in income of</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consolidated subsidiary</w:t>
            </w:r>
          </w:p>
        </w:tc>
        <w:tc>
          <w:tcPr>
            <w:tcW w:w="6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6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1,621</w:t>
            </w:r>
          </w:p>
        </w:tc>
        <w:tc>
          <w:tcPr>
            <w:tcW w:w="8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1,679</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620" w:type="dxa"/>
            <w:vAlign w:val="bottom"/>
          </w:tcPr>
          <w:p>
            <w:pPr>
              <w:spacing w:after="0"/>
              <w:rPr>
                <w:sz w:val="24"/>
                <w:szCs w:val="24"/>
                <w:color w:val="auto"/>
              </w:rPr>
            </w:pP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479</w:t>
            </w:r>
          </w:p>
        </w:tc>
        <w:tc>
          <w:tcPr>
            <w:tcW w:w="840" w:type="dxa"/>
            <w:vAlign w:val="bottom"/>
          </w:tcPr>
          <w:p>
            <w:pPr>
              <w:spacing w:after="0"/>
              <w:rPr>
                <w:sz w:val="24"/>
                <w:szCs w:val="24"/>
                <w:color w:val="auto"/>
              </w:rPr>
            </w:pP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648</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w:t>
            </w: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$ 1,142</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$ 1,031</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0.13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0.12</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0.13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0.12</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8,520,020</w:t>
            </w: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8,434,618</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8,657,340</w:t>
            </w: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8,646,358</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60" w:right="177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period amounts have been restated to reflect the Company's equity income from its investment in Morion,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Three Months Ended July 31,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2005</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2004(a)</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from operating activities:</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$ 1,142</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$ 1,031</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charges to earnings</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(561)</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w:t>
            </w: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changes in other assets and liabilities</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(5,315)</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(used in) provided by operating activities</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(4,734)</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1,953</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from investing activities:</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from sale of marketable securities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6,256</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marketable securities</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(2,879)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(2,240)</w:t>
            </w:r>
          </w:p>
        </w:tc>
      </w:tr>
      <w:tr>
        <w:trPr>
          <w:trHeight w:val="203"/>
        </w:trPr>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provided by (used in) investing activities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2,857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from financing activities:</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cash dividend</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(843)</w:t>
            </w: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long-term obligations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(1,442)</w:t>
            </w: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(used in) provided by financing activities</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(2,225)</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before effect of exchange rate changes</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(2,269)</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on cash</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Net decrease in cash</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(3,012)</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(2,277)</w:t>
            </w:r>
          </w:p>
        </w:tc>
      </w:tr>
      <w:tr>
        <w:trPr>
          <w:trHeight w:val="405"/>
        </w:trPr>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Cash at</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beginning of period</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6,701</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5,699</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Cash at</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end of period</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$ 3,689</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$ 3,422</w:t>
            </w:r>
          </w:p>
        </w:tc>
      </w:tr>
      <w:tr>
        <w:trPr>
          <w:trHeight w:val="203"/>
        </w:trPr>
        <w:tc>
          <w:tcPr>
            <w:tcW w:w="1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60" w:right="177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period amounts have been restated to reflect the Company's equity income from its investment in Morion,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CONSOLIDATED FINANCIAL STATEMENTS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 the opinion of management of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2005 and the results of its operations and cash flows for the three months ended July 31, 2005 and 2004. The April 30, 2005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2005 Annual Report to Stockholders. The results of operations for such interim periods are not necessarily indicative of the operating results for the full year.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EARNINGS PER SHARE</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Reconciliation of the weighted average shares outstanding for basic and diluted Earnings Per Share are as follows:</w:t>
      </w:r>
    </w:p>
    <w:p>
      <w:pPr>
        <w:jc w:val="center"/>
        <w:ind w:left="400"/>
        <w:spacing w:after="0"/>
        <w:rPr>
          <w:sz w:val="20"/>
          <w:szCs w:val="20"/>
          <w:color w:val="auto"/>
        </w:rPr>
      </w:pPr>
      <w:r>
        <w:rPr>
          <w:rFonts w:ascii="Courier New" w:cs="Courier New" w:eastAsia="Courier New" w:hAnsi="Courier New"/>
          <w:sz w:val="18"/>
          <w:szCs w:val="18"/>
          <w:color w:val="auto"/>
        </w:rPr>
        <w:t>Periods ended July 31,</w:t>
      </w:r>
    </w:p>
    <w:p>
      <w:pPr>
        <w:jc w:val="center"/>
        <w:ind w:left="400"/>
        <w:spacing w:after="0" w:line="238" w:lineRule="auto"/>
        <w:rPr>
          <w:sz w:val="20"/>
          <w:szCs w:val="20"/>
          <w:color w:val="auto"/>
        </w:rPr>
      </w:pPr>
      <w:r>
        <w:rPr>
          <w:rFonts w:ascii="Courier New" w:cs="Courier New" w:eastAsia="Courier New" w:hAnsi="Courier New"/>
          <w:sz w:val="18"/>
          <w:szCs w:val="18"/>
          <w:color w:val="auto"/>
        </w:rPr>
        <w:t>Three months</w:t>
      </w:r>
    </w:p>
    <w:p>
      <w:pPr>
        <w:sectPr>
          <w:pgSz w:w="11900" w:h="16838" w:orient="portrait"/>
          <w:cols w:equalWidth="0" w:num="1">
            <w:col w:w="10219"/>
          </w:cols>
          <w:pgMar w:left="240" w:top="919" w:right="1440" w:bottom="1440" w:gutter="0" w:footer="0" w:header="0"/>
        </w:sectPr>
      </w:pP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2005</w:t>
      </w:r>
    </w:p>
    <w:p>
      <w:pPr>
        <w:spacing w:after="0" w:line="2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240" w:space="720"/>
            <w:col w:w="3259"/>
          </w:cols>
          <w:pgMar w:left="240" w:top="919"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Basic EPS Shares outstanding</w:t>
      </w:r>
    </w:p>
    <w:p>
      <w:pPr>
        <w:sectPr>
          <w:pgSz w:w="11900" w:h="16838" w:orient="portrait"/>
          <w:cols w:equalWidth="0" w:num="1">
            <w:col w:w="10219"/>
          </w:cols>
          <w:pgMar w:left="240" w:top="919" w:right="1440" w:bottom="1440" w:gutter="0" w:footer="0" w:header="0"/>
          <w:type w:val="continuous"/>
        </w:sectPr>
      </w:pP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(weighted average)</w:t>
      </w:r>
    </w:p>
    <w:p>
      <w:pPr>
        <w:ind w:left="220"/>
        <w:spacing w:after="0" w:line="238" w:lineRule="auto"/>
        <w:rPr>
          <w:sz w:val="20"/>
          <w:szCs w:val="20"/>
          <w:color w:val="auto"/>
        </w:rPr>
      </w:pPr>
      <w:r>
        <w:rPr>
          <w:rFonts w:ascii="Courier New" w:cs="Courier New" w:eastAsia="Courier New" w:hAnsi="Courier New"/>
          <w:sz w:val="18"/>
          <w:szCs w:val="18"/>
          <w:color w:val="auto"/>
        </w:rPr>
        <w:t>Effect of Dilutive Securities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Diluted EPS Shares outstanding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8,520,020</w:t>
      </w:r>
    </w:p>
    <w:p>
      <w:pPr>
        <w:spacing w:after="0" w:line="16"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8"/>
          <w:szCs w:val="18"/>
          <w:color w:val="auto"/>
        </w:rPr>
        <w:t>137,320</w:t>
      </w:r>
    </w:p>
    <w:p>
      <w:pPr>
        <w:spacing w:after="0" w:line="4"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8,657,340</w:t>
      </w:r>
    </w:p>
    <w:p>
      <w:pPr>
        <w:spacing w:after="0" w:line="21"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6"/>
          <w:szCs w:val="16"/>
          <w:color w:val="auto"/>
        </w:rPr>
        <w:t>8,434,618</w:t>
      </w:r>
    </w:p>
    <w:p>
      <w:pPr>
        <w:spacing w:after="0" w:line="16"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211,740</w:t>
      </w:r>
    </w:p>
    <w:p>
      <w:pPr>
        <w:spacing w:after="0" w:line="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6"/>
          <w:szCs w:val="16"/>
          <w:color w:val="auto"/>
        </w:rPr>
        <w:t>8,646,358</w:t>
      </w:r>
    </w:p>
    <w:p>
      <w:pPr>
        <w:spacing w:after="0" w:line="21"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500" w:space="720"/>
            <w:col w:w="1700" w:space="720"/>
            <w:col w:w="3579"/>
          </w:cols>
          <w:pgMar w:left="240" w:top="919" w:right="1440" w:bottom="1440" w:gutter="0" w:footer="0" w:header="0"/>
          <w:type w:val="continuous"/>
        </w:sectPr>
      </w:pPr>
    </w:p>
    <w:p>
      <w:pPr>
        <w:spacing w:after="0" w:line="2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Options to purchase 570,550 and 231,750 shares of common stock were outstanding during the three months ended July 31, 2005 and 2004, respectively, but were not included in the computation of diluted earnings per share. Since the exercise price of these options was greater than the average market price of the Company's common shares during the periods, their inclusion in the computation would have been antidilutive. Consequently, these options are excluded from the computation of earnings per share.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ACCOUNTS RECEIVABLE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Accounts receivable at July 31 and April 30, 2005 include costs and estimated earnings in excess of billings on uncompleted contracts accounted for on the percentage of completion basis of approximately $3,334,000 and $4,138,000, respectively. Such amounts represent revenue recognized on long-term contracts that had not been billed at the balance sheet dates. Such amounts are billed pursuant to contract terms.</w:t>
      </w:r>
    </w:p>
    <w:p>
      <w:pPr>
        <w:sectPr>
          <w:pgSz w:w="11900" w:h="16838" w:orient="portrait"/>
          <w:cols w:equalWidth="0" w:num="1">
            <w:col w:w="10219"/>
          </w:cols>
          <w:pgMar w:left="240" w:top="919"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200" w:lineRule="exact"/>
        <w:rPr>
          <w:sz w:val="20"/>
          <w:szCs w:val="20"/>
          <w:color w:val="auto"/>
        </w:rPr>
      </w:pPr>
    </w:p>
    <w:p>
      <w:pPr>
        <w:sectPr>
          <w:pgSz w:w="11900" w:h="16838" w:orient="portrait"/>
          <w:cols w:equalWidth="0" w:num="2">
            <w:col w:w="860" w:space="200"/>
            <w:col w:w="9159"/>
          </w:cols>
          <w:pgMar w:left="240" w:top="919" w:right="1440" w:bottom="1440" w:gutter="0" w:footer="0" w:header="0"/>
          <w:type w:val="continuous"/>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Inventories,</w:t>
      </w:r>
    </w:p>
    <w:p>
      <w:pPr>
        <w:spacing w:after="0"/>
        <w:tabs>
          <w:tab w:leader="none" w:pos="1260" w:val="left"/>
          <w:tab w:leader="none" w:pos="1680" w:val="left"/>
        </w:tabs>
        <w:rPr>
          <w:sz w:val="20"/>
          <w:szCs w:val="20"/>
          <w:color w:val="auto"/>
        </w:rPr>
      </w:pPr>
      <w:r>
        <w:rPr>
          <w:rFonts w:ascii="Courier New" w:cs="Courier New" w:eastAsia="Courier New" w:hAnsi="Courier New"/>
          <w:sz w:val="18"/>
          <w:szCs w:val="18"/>
          <w:color w:val="auto"/>
        </w:rPr>
        <w:t>$4,289,000</w:t>
        <w:tab/>
        <w:t>at</w:t>
      </w:r>
      <w:r>
        <w:rPr>
          <w:sz w:val="20"/>
          <w:szCs w:val="20"/>
          <w:color w:val="auto"/>
        </w:rPr>
        <w:tab/>
      </w:r>
      <w:r>
        <w:rPr>
          <w:rFonts w:ascii="Courier New" w:cs="Courier New" w:eastAsia="Courier New" w:hAnsi="Courier New"/>
          <w:sz w:val="16"/>
          <w:szCs w:val="16"/>
          <w:color w:val="auto"/>
        </w:rPr>
        <w:t>July</w:t>
      </w:r>
    </w:p>
    <w:p>
      <w:pPr>
        <w:spacing w:after="0"/>
        <w:rPr>
          <w:sz w:val="20"/>
          <w:szCs w:val="20"/>
          <w:color w:val="auto"/>
        </w:rPr>
      </w:pPr>
      <w:r>
        <w:rPr>
          <w:rFonts w:ascii="Courier New" w:cs="Courier New" w:eastAsia="Courier New" w:hAnsi="Courier New"/>
          <w:sz w:val="18"/>
          <w:szCs w:val="18"/>
          <w:color w:val="auto"/>
        </w:rPr>
        <w:t>following: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31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firstLine="105"/>
        <w:spacing w:after="0" w:line="290" w:lineRule="auto"/>
        <w:rPr>
          <w:sz w:val="20"/>
          <w:szCs w:val="20"/>
          <w:color w:val="auto"/>
        </w:rPr>
      </w:pPr>
      <w:r>
        <w:rPr>
          <w:rFonts w:ascii="Courier New" w:cs="Courier New" w:eastAsia="Courier New" w:hAnsi="Courier New"/>
          <w:sz w:val="16"/>
          <w:szCs w:val="16"/>
          <w:color w:val="auto"/>
        </w:rPr>
        <w:t>are and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line="290" w:lineRule="auto"/>
        <w:rPr>
          <w:sz w:val="20"/>
          <w:szCs w:val="20"/>
          <w:color w:val="auto"/>
        </w:rPr>
      </w:pPr>
      <w:r>
        <w:rPr>
          <w:rFonts w:ascii="Courier New" w:cs="Courier New" w:eastAsia="Courier New" w:hAnsi="Courier New"/>
          <w:sz w:val="16"/>
          <w:szCs w:val="16"/>
          <w:color w:val="auto"/>
        </w:rPr>
        <w:t>reported April  30,</w:t>
      </w:r>
    </w:p>
    <w:p>
      <w:pPr>
        <w:spacing w:after="0" w:line="20" w:lineRule="exact"/>
        <w:rPr>
          <w:sz w:val="20"/>
          <w:szCs w:val="20"/>
          <w:color w:val="auto"/>
        </w:rPr>
      </w:pPr>
      <w:r>
        <w:rPr>
          <w:sz w:val="20"/>
          <w:szCs w:val="20"/>
          <w:color w:val="auto"/>
        </w:rPr>
        <w:br w:type="column"/>
      </w: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net</w:t>
      </w:r>
      <w:r>
        <w:rPr>
          <w:sz w:val="20"/>
          <w:szCs w:val="20"/>
          <w:color w:val="auto"/>
        </w:rPr>
        <w:tab/>
      </w:r>
      <w:r>
        <w:rPr>
          <w:rFonts w:ascii="Courier New" w:cs="Courier New" w:eastAsia="Courier New" w:hAnsi="Courier New"/>
          <w:sz w:val="16"/>
          <w:szCs w:val="16"/>
          <w:color w:val="auto"/>
        </w:rPr>
        <w:t>of</w:t>
      </w:r>
    </w:p>
    <w:p>
      <w:pPr>
        <w:jc w:val="center"/>
        <w:spacing w:after="0" w:line="238" w:lineRule="auto"/>
        <w:rPr>
          <w:sz w:val="20"/>
          <w:szCs w:val="20"/>
          <w:color w:val="auto"/>
        </w:rPr>
      </w:pPr>
      <w:r>
        <w:rPr>
          <w:rFonts w:ascii="Courier New" w:cs="Courier New" w:eastAsia="Courier New" w:hAnsi="Courier New"/>
          <w:sz w:val="18"/>
          <w:szCs w:val="18"/>
          <w:color w:val="auto"/>
        </w:rPr>
        <w:t>2005,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firstLine="105"/>
        <w:spacing w:after="0" w:line="290" w:lineRule="auto"/>
        <w:rPr>
          <w:sz w:val="20"/>
          <w:szCs w:val="20"/>
          <w:color w:val="auto"/>
        </w:rPr>
      </w:pPr>
      <w:r>
        <w:rPr>
          <w:rFonts w:ascii="Courier New" w:cs="Courier New" w:eastAsia="Courier New" w:hAnsi="Courier New"/>
          <w:sz w:val="16"/>
          <w:szCs w:val="16"/>
          <w:color w:val="auto"/>
        </w:rPr>
        <w:t>reserves of respectively,</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Courier New" w:cs="Courier New" w:eastAsia="Courier New" w:hAnsi="Courier New"/>
          <w:sz w:val="18"/>
          <w:szCs w:val="18"/>
          <w:color w:val="auto"/>
        </w:rPr>
        <w:t>$4,252,000</w:t>
      </w:r>
      <w:r>
        <w:rPr>
          <w:sz w:val="20"/>
          <w:szCs w:val="20"/>
          <w:color w:val="auto"/>
        </w:rPr>
        <w:tab/>
      </w:r>
      <w:r>
        <w:rPr>
          <w:rFonts w:ascii="Courier New" w:cs="Courier New" w:eastAsia="Courier New" w:hAnsi="Courier New"/>
          <w:sz w:val="16"/>
          <w:szCs w:val="16"/>
          <w:color w:val="auto"/>
        </w:rPr>
        <w:t>and</w:t>
      </w:r>
    </w:p>
    <w:p>
      <w:pPr>
        <w:spacing w:after="0"/>
        <w:tabs>
          <w:tab w:leader="none" w:pos="920" w:val="left"/>
        </w:tabs>
        <w:rPr>
          <w:sz w:val="20"/>
          <w:szCs w:val="20"/>
          <w:color w:val="auto"/>
        </w:rPr>
      </w:pPr>
      <w:r>
        <w:rPr>
          <w:rFonts w:ascii="Courier New" w:cs="Courier New" w:eastAsia="Courier New" w:hAnsi="Courier New"/>
          <w:sz w:val="18"/>
          <w:szCs w:val="18"/>
          <w:color w:val="auto"/>
        </w:rPr>
        <w:t>consist</w:t>
      </w:r>
      <w:r>
        <w:rPr>
          <w:sz w:val="20"/>
          <w:szCs w:val="20"/>
          <w:color w:val="auto"/>
        </w:rPr>
        <w:tab/>
      </w:r>
      <w:r>
        <w:rPr>
          <w:rFonts w:ascii="Courier New" w:cs="Courier New" w:eastAsia="Courier New" w:hAnsi="Courier New"/>
          <w:sz w:val="16"/>
          <w:szCs w:val="16"/>
          <w:color w:val="auto"/>
        </w:rPr>
        <w:t>of the</w:t>
      </w:r>
    </w:p>
    <w:p>
      <w:pPr>
        <w:spacing w:after="0" w:line="403" w:lineRule="exact"/>
        <w:rPr>
          <w:sz w:val="20"/>
          <w:szCs w:val="20"/>
          <w:color w:val="auto"/>
        </w:rPr>
      </w:pPr>
    </w:p>
    <w:p>
      <w:pPr>
        <w:sectPr>
          <w:pgSz w:w="11900" w:h="16838" w:orient="portrait"/>
          <w:cols w:equalWidth="0" w:num="7">
            <w:col w:w="2120" w:space="0"/>
            <w:col w:w="520" w:space="100"/>
            <w:col w:w="420" w:space="120"/>
            <w:col w:w="1040" w:space="120"/>
            <w:col w:w="720" w:space="120"/>
            <w:col w:w="1360" w:space="220"/>
            <w:col w:w="3359"/>
          </w:cols>
          <w:pgMar w:left="240" w:top="919" w:right="1440" w:bottom="1440" w:gutter="0" w:footer="0" w:header="0"/>
          <w:type w:val="continuous"/>
        </w:sectPr>
      </w:pPr>
    </w:p>
    <w:p>
      <w:pPr>
        <w:ind w:left="4860"/>
        <w:spacing w:after="0"/>
        <w:tabs>
          <w:tab w:leader="none" w:pos="6840" w:val="left"/>
        </w:tabs>
        <w:rPr>
          <w:sz w:val="20"/>
          <w:szCs w:val="20"/>
          <w:color w:val="auto"/>
        </w:rPr>
      </w:pPr>
      <w:r>
        <w:rPr>
          <w:rFonts w:ascii="Courier New" w:cs="Courier New" w:eastAsia="Courier New" w:hAnsi="Courier New"/>
          <w:sz w:val="18"/>
          <w:szCs w:val="18"/>
          <w:color w:val="auto"/>
        </w:rPr>
        <w:t>July 31, 2005</w:t>
      </w:r>
      <w:r>
        <w:rPr>
          <w:sz w:val="20"/>
          <w:szCs w:val="20"/>
          <w:color w:val="auto"/>
        </w:rPr>
        <w:tab/>
      </w:r>
      <w:r>
        <w:rPr>
          <w:rFonts w:ascii="Courier New" w:cs="Courier New" w:eastAsia="Courier New" w:hAnsi="Courier New"/>
          <w:sz w:val="16"/>
          <w:szCs w:val="16"/>
          <w:color w:val="auto"/>
        </w:rPr>
        <w:t>April 30, 2005</w:t>
      </w:r>
    </w:p>
    <w:p>
      <w:pPr>
        <w:spacing w:after="0" w:line="4" w:lineRule="exact"/>
        <w:rPr>
          <w:sz w:val="20"/>
          <w:szCs w:val="20"/>
          <w:color w:val="auto"/>
        </w:rPr>
      </w:pPr>
    </w:p>
    <w:p>
      <w:pPr>
        <w:ind w:left="4860"/>
        <w:spacing w:after="0"/>
        <w:tabs>
          <w:tab w:leader="none" w:pos="68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(In thousands)</w:t>
      </w:r>
    </w:p>
    <w:p>
      <w:pPr>
        <w:sectPr>
          <w:pgSz w:w="11900" w:h="16838" w:orient="portrait"/>
          <w:cols w:equalWidth="0" w:num="1">
            <w:col w:w="10219"/>
          </w:cols>
          <w:pgMar w:left="240" w:top="919" w:right="1440" w:bottom="1440" w:gutter="0" w:footer="0" w:header="0"/>
          <w:type w:val="continuous"/>
        </w:sectPr>
      </w:pPr>
    </w:p>
    <w:p>
      <w:pPr>
        <w:spacing w:after="0" w:line="207" w:lineRule="exact"/>
        <w:rPr>
          <w:sz w:val="20"/>
          <w:szCs w:val="20"/>
          <w:color w:val="auto"/>
        </w:rPr>
      </w:pPr>
    </w:p>
    <w:p>
      <w:pPr>
        <w:ind w:left="320" w:right="320"/>
        <w:spacing w:after="0" w:line="290" w:lineRule="auto"/>
        <w:rPr>
          <w:sz w:val="20"/>
          <w:szCs w:val="20"/>
          <w:color w:val="auto"/>
        </w:rPr>
      </w:pPr>
      <w:r>
        <w:rPr>
          <w:rFonts w:ascii="Courier New" w:cs="Courier New" w:eastAsia="Courier New" w:hAnsi="Courier New"/>
          <w:sz w:val="16"/>
          <w:szCs w:val="16"/>
          <w:color w:val="auto"/>
        </w:rPr>
        <w:t>Raw materials and Component parts Work in progress and Finished goods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$10,646</w:t>
      </w:r>
    </w:p>
    <w:p>
      <w:pPr>
        <w:spacing w:after="0" w:line="16"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8"/>
          <w:szCs w:val="18"/>
          <w:color w:val="auto"/>
        </w:rPr>
        <w:t>13,062</w:t>
      </w:r>
    </w:p>
    <w:p>
      <w:pPr>
        <w:spacing w:after="0" w:line="4"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$23,708</w:t>
      </w:r>
    </w:p>
    <w:p>
      <w:pPr>
        <w:spacing w:after="0" w:line="21"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$10,353</w:t>
      </w:r>
    </w:p>
    <w:p>
      <w:pPr>
        <w:spacing w:after="0" w:line="1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12,595</w:t>
      </w:r>
    </w:p>
    <w:p>
      <w:pPr>
        <w:spacing w:after="0" w:line="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$22,948</w:t>
      </w:r>
    </w:p>
    <w:p>
      <w:pPr>
        <w:spacing w:after="0" w:line="2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4340" w:space="720"/>
            <w:col w:w="1500" w:space="720"/>
            <w:col w:w="2939"/>
          </w:cols>
          <w:pgMar w:left="240" w:top="919" w:right="1440" w:bottom="1440" w:gutter="0" w:footer="0" w:header="0"/>
          <w:type w:val="continuous"/>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 - -COMPREHENSIVE INCOME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three months ended July 31, 2005 total comprehensive loss was ($154,000) and for the three months ended July 31, 2004, total comprehensive income was $1,980,000. Comprehensive income is composed of net income or loss for the period plus the impact of foreign currency translation adjustments and the change in the valuation allowance on marketable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SEGMENT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under four reportable segments:</w:t>
      </w:r>
    </w:p>
    <w:p>
      <w:pPr>
        <w:spacing w:after="0" w:line="4" w:lineRule="exact"/>
        <w:rPr>
          <w:sz w:val="20"/>
          <w:szCs w:val="20"/>
          <w:color w:val="auto"/>
        </w:rPr>
      </w:pPr>
    </w:p>
    <w:p>
      <w:pPr>
        <w:jc w:val="both"/>
        <w:ind w:left="1060" w:right="17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Communications - consists principally of time and frequency control products used in two principal markets- commercial communication satellites and terrestrial cellular telephone or other ground-based telecommunication stations.</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Government - consists of time and frequency control products used for national defense or space-related programs.</w:t>
      </w:r>
    </w:p>
    <w:p>
      <w:pPr>
        <w:spacing w:after="0" w:line="5"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Gillam-FEI - the Company's Belgian subsidiary primarily sells wireline synchronization and network monitoring systems.</w:t>
      </w:r>
    </w:p>
    <w:p>
      <w:pPr>
        <w:spacing w:after="0" w:line="5"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ind w:left="540"/>
              <w:spacing w:after="0"/>
              <w:rPr>
                <w:sz w:val="20"/>
                <w:szCs w:val="20"/>
                <w:color w:val="auto"/>
              </w:rPr>
            </w:pPr>
            <w:r>
              <w:rPr>
                <w:rFonts w:ascii="Courier New" w:cs="Courier New" w:eastAsia="Courier New" w:hAnsi="Courier New"/>
                <w:sz w:val="18"/>
                <w:szCs w:val="18"/>
                <w:color w:val="auto"/>
                <w:w w:val="99"/>
              </w:rPr>
              <w:t>The  table</w:t>
            </w:r>
          </w:p>
        </w:tc>
        <w:tc>
          <w:tcPr>
            <w:tcW w:w="4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below  presents   information   about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reported</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segments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with</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reconciliation</w:t>
            </w:r>
          </w:p>
        </w:tc>
        <w:tc>
          <w:tcPr>
            <w:tcW w:w="4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of segment  amounts to  consolidated</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amounts as reported in the</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statement  of  operations  or the  balance</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sheet</w:t>
            </w:r>
          </w:p>
        </w:tc>
        <w:tc>
          <w:tcPr>
            <w:tcW w:w="2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for each of the  periods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Three months ended July 31,</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2005</w:t>
            </w:r>
          </w:p>
        </w:tc>
        <w:tc>
          <w:tcPr>
            <w:tcW w:w="1040" w:type="dxa"/>
            <w:vAlign w:val="bottom"/>
          </w:tcPr>
          <w:p>
            <w:pPr>
              <w:spacing w:after="0"/>
              <w:rPr>
                <w:sz w:val="17"/>
                <w:szCs w:val="17"/>
                <w:color w:val="auto"/>
              </w:rPr>
            </w:pP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2004</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spacing w:after="0"/>
              <w:rPr>
                <w:sz w:val="17"/>
                <w:szCs w:val="17"/>
                <w:color w:val="auto"/>
              </w:rPr>
            </w:pP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sales:</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4,969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$11,313</w:t>
            </w:r>
          </w:p>
        </w:tc>
        <w:tc>
          <w:tcPr>
            <w:tcW w:w="480" w:type="dxa"/>
            <w:vAlign w:val="bottom"/>
          </w:tcPr>
          <w:p>
            <w:pPr>
              <w:spacing w:after="0"/>
              <w:rPr>
                <w:sz w:val="17"/>
                <w:szCs w:val="17"/>
                <w:color w:val="auto"/>
              </w:rPr>
            </w:pPr>
          </w:p>
        </w:tc>
      </w:tr>
      <w:tr>
        <w:trPr>
          <w:trHeight w:val="203"/>
        </w:trPr>
        <w:tc>
          <w:tcPr>
            <w:tcW w:w="4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U.S. Government</w:t>
            </w:r>
          </w:p>
        </w:tc>
        <w:tc>
          <w:tcPr>
            <w:tcW w:w="740" w:type="dxa"/>
            <w:vAlign w:val="bottom"/>
          </w:tcPr>
          <w:p>
            <w:pPr>
              <w:spacing w:after="0"/>
              <w:rPr>
                <w:sz w:val="17"/>
                <w:szCs w:val="17"/>
                <w:color w:val="auto"/>
              </w:rPr>
            </w:pPr>
          </w:p>
        </w:tc>
        <w:tc>
          <w:tcPr>
            <w:tcW w:w="14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1,887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1,741</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Gillam-FEI</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2,215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2,740</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FEI-Zyfer</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2,445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2,034</w:t>
            </w:r>
          </w:p>
        </w:tc>
        <w:tc>
          <w:tcPr>
            <w:tcW w:w="480" w:type="dxa"/>
            <w:vAlign w:val="bottom"/>
          </w:tcPr>
          <w:p>
            <w:pPr>
              <w:spacing w:after="0"/>
              <w:rPr>
                <w:sz w:val="17"/>
                <w:szCs w:val="17"/>
                <w:color w:val="auto"/>
              </w:rPr>
            </w:pPr>
          </w:p>
        </w:tc>
      </w:tr>
      <w:tr>
        <w:trPr>
          <w:trHeight w:val="203"/>
        </w:trPr>
        <w:tc>
          <w:tcPr>
            <w:tcW w:w="4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less intercompany sales</w:t>
            </w:r>
          </w:p>
        </w:tc>
        <w:tc>
          <w:tcPr>
            <w:tcW w:w="740" w:type="dxa"/>
            <w:vAlign w:val="bottom"/>
          </w:tcPr>
          <w:p>
            <w:pPr>
              <w:spacing w:after="0"/>
              <w:rPr>
                <w:sz w:val="17"/>
                <w:szCs w:val="17"/>
                <w:color w:val="auto"/>
              </w:rPr>
            </w:pPr>
          </w:p>
        </w:tc>
        <w:tc>
          <w:tcPr>
            <w:tcW w:w="14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(459)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Consolidated Sales</w:t>
            </w: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$11,057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$17,683</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434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$ 1,964</w:t>
            </w:r>
          </w:p>
        </w:tc>
        <w:tc>
          <w:tcPr>
            <w:tcW w:w="480" w:type="dxa"/>
            <w:vAlign w:val="bottom"/>
          </w:tcPr>
          <w:p>
            <w:pPr>
              <w:spacing w:after="0"/>
              <w:rPr>
                <w:sz w:val="17"/>
                <w:szCs w:val="17"/>
                <w:color w:val="auto"/>
              </w:rPr>
            </w:pPr>
          </w:p>
        </w:tc>
      </w:tr>
      <w:tr>
        <w:trPr>
          <w:trHeight w:val="203"/>
        </w:trPr>
        <w:tc>
          <w:tcPr>
            <w:tcW w:w="4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U.S. Government</w:t>
            </w:r>
          </w:p>
        </w:tc>
        <w:tc>
          <w:tcPr>
            <w:tcW w:w="740" w:type="dxa"/>
            <w:vAlign w:val="bottom"/>
          </w:tcPr>
          <w:p>
            <w:pPr>
              <w:spacing w:after="0"/>
              <w:rPr>
                <w:sz w:val="17"/>
                <w:szCs w:val="17"/>
                <w:color w:val="auto"/>
              </w:rPr>
            </w:pPr>
          </w:p>
        </w:tc>
        <w:tc>
          <w:tcPr>
            <w:tcW w:w="14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Gillam-FEI</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(66)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(497)</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FEI-Zyfer</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333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(90)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Consolidated Operating Profit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111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$ 1,249</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rPr>
              <w:t>July 31, 2005</w:t>
            </w:r>
          </w:p>
        </w:tc>
        <w:tc>
          <w:tcPr>
            <w:tcW w:w="17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6"/>
              </w:rPr>
              <w:t>April 30, 2005</w:t>
            </w: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$27,783</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$26,261</w:t>
            </w:r>
          </w:p>
        </w:tc>
        <w:tc>
          <w:tcPr>
            <w:tcW w:w="480" w:type="dxa"/>
            <w:vAlign w:val="bottom"/>
          </w:tcPr>
          <w:p>
            <w:pPr>
              <w:spacing w:after="0"/>
              <w:rPr>
                <w:sz w:val="17"/>
                <w:szCs w:val="17"/>
                <w:color w:val="auto"/>
              </w:rPr>
            </w:pPr>
          </w:p>
        </w:tc>
      </w:tr>
      <w:tr>
        <w:trPr>
          <w:trHeight w:val="203"/>
        </w:trPr>
        <w:tc>
          <w:tcPr>
            <w:tcW w:w="4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U.S. Government</w:t>
            </w:r>
          </w:p>
        </w:tc>
        <w:tc>
          <w:tcPr>
            <w:tcW w:w="740" w:type="dxa"/>
            <w:vAlign w:val="bottom"/>
          </w:tcPr>
          <w:p>
            <w:pPr>
              <w:spacing w:after="0"/>
              <w:rPr>
                <w:sz w:val="17"/>
                <w:szCs w:val="17"/>
                <w:color w:val="auto"/>
              </w:rPr>
            </w:pPr>
          </w:p>
        </w:tc>
        <w:tc>
          <w:tcPr>
            <w:tcW w:w="14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5,746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6,245</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Gillam-FEI</w:t>
            </w:r>
          </w:p>
        </w:tc>
        <w:tc>
          <w:tcPr>
            <w:tcW w:w="2900" w:type="dxa"/>
            <w:vAlign w:val="bottom"/>
          </w:tcPr>
          <w:p>
            <w:pPr>
              <w:spacing w:after="0"/>
              <w:rPr>
                <w:sz w:val="17"/>
                <w:szCs w:val="17"/>
                <w:color w:val="auto"/>
              </w:rPr>
            </w:pP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14,123</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13,877</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FEI-Zyfer</w:t>
            </w:r>
          </w:p>
        </w:tc>
        <w:tc>
          <w:tcPr>
            <w:tcW w:w="2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5,717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4,796</w:t>
            </w:r>
          </w:p>
        </w:tc>
        <w:tc>
          <w:tcPr>
            <w:tcW w:w="480" w:type="dxa"/>
            <w:vAlign w:val="bottom"/>
          </w:tcPr>
          <w:p>
            <w:pPr>
              <w:spacing w:after="0"/>
              <w:rPr>
                <w:sz w:val="17"/>
                <w:szCs w:val="17"/>
                <w:color w:val="auto"/>
              </w:rPr>
            </w:pPr>
          </w:p>
        </w:tc>
      </w:tr>
      <w:tr>
        <w:trPr>
          <w:trHeight w:val="203"/>
        </w:trPr>
        <w:tc>
          <w:tcPr>
            <w:tcW w:w="45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less intercompany balances</w:t>
            </w:r>
          </w:p>
        </w:tc>
        <w:tc>
          <w:tcPr>
            <w:tcW w:w="220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(10,663)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(9,892)</w:t>
            </w:r>
          </w:p>
        </w:tc>
        <w:tc>
          <w:tcPr>
            <w:tcW w:w="480" w:type="dxa"/>
            <w:vAlign w:val="bottom"/>
          </w:tcPr>
          <w:p>
            <w:pPr>
              <w:spacing w:after="0"/>
              <w:rPr>
                <w:sz w:val="17"/>
                <w:szCs w:val="17"/>
                <w:color w:val="auto"/>
              </w:rPr>
            </w:pPr>
          </w:p>
        </w:tc>
      </w:tr>
      <w:tr>
        <w:trPr>
          <w:trHeight w:val="203"/>
        </w:trPr>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w:t>
            </w:r>
          </w:p>
        </w:tc>
        <w:tc>
          <w:tcPr>
            <w:tcW w:w="2900" w:type="dxa"/>
            <w:vAlign w:val="bottom"/>
          </w:tcPr>
          <w:p>
            <w:pPr>
              <w:spacing w:after="0"/>
              <w:rPr>
                <w:sz w:val="17"/>
                <w:szCs w:val="17"/>
                <w:color w:val="auto"/>
              </w:rPr>
            </w:pP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41,772</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47,087</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203"/>
        </w:trPr>
        <w:tc>
          <w:tcPr>
            <w:tcW w:w="4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Consolidated Identifiable Assets</w:t>
            </w: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$84,478</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$88,374</w:t>
            </w:r>
          </w:p>
        </w:tc>
        <w:tc>
          <w:tcPr>
            <w:tcW w:w="4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EQUITY-BASED COMPENSATION</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applies the disclosure-only provisions of FAS 123, "Accounting for Stock-Based Compensation," as amended by FAS 148, "Accounting for Stock-Based Compensation - Transition and Disclosure," and continues to measure compensation cost in accordance with Accounting Principles Board Opinion No. 25, "Accounting for Stock Issued to Employees." Historically, this has not resulted in compensation cost upon the grant of options under a qualified stock option plan. However, in accordance with FAS 123, as amended by FAS 148, the Company provides pro forma disclosures of net earnings (loss) and earnings (loss) per share as if the fair value method had been applied beginning in fiscal 1996.</w:t>
      </w:r>
    </w:p>
    <w:p>
      <w:pPr>
        <w:spacing w:after="0" w:line="18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illustrates the effect on the Company's consolidated statements of operations had compensation cost for stock option awards under the plans been determined based on the fair value at the grant dates consistent with the provisions of FAS 123 as amended by FAS 148:</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940" w:type="dxa"/>
            <w:vAlign w:val="bottom"/>
          </w:tcPr>
          <w:p>
            <w:pPr>
              <w:spacing w:after="0"/>
              <w:rPr>
                <w:sz w:val="17"/>
                <w:szCs w:val="17"/>
                <w:color w:val="auto"/>
              </w:rPr>
            </w:pPr>
          </w:p>
        </w:tc>
        <w:tc>
          <w:tcPr>
            <w:tcW w:w="428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Three months ended July 31</w:t>
            </w:r>
          </w:p>
        </w:tc>
      </w:tr>
      <w:tr>
        <w:trPr>
          <w:trHeight w:val="203"/>
        </w:trPr>
        <w:tc>
          <w:tcPr>
            <w:tcW w:w="3940" w:type="dxa"/>
            <w:vAlign w:val="bottom"/>
          </w:tcPr>
          <w:p>
            <w:pPr>
              <w:spacing w:after="0"/>
              <w:rPr>
                <w:sz w:val="17"/>
                <w:szCs w:val="17"/>
                <w:color w:val="auto"/>
              </w:rPr>
            </w:pP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2005</w:t>
            </w:r>
          </w:p>
        </w:tc>
        <w:tc>
          <w:tcPr>
            <w:tcW w:w="19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2004</w:t>
            </w:r>
          </w:p>
        </w:tc>
      </w:tr>
      <w:tr>
        <w:trPr>
          <w:trHeight w:val="203"/>
        </w:trPr>
        <w:tc>
          <w:tcPr>
            <w:tcW w:w="3940" w:type="dxa"/>
            <w:vAlign w:val="bottom"/>
          </w:tcPr>
          <w:p>
            <w:pPr>
              <w:spacing w:after="0"/>
              <w:rPr>
                <w:sz w:val="17"/>
                <w:szCs w:val="17"/>
                <w:color w:val="auto"/>
              </w:rPr>
            </w:pP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40" w:type="dxa"/>
            <w:vAlign w:val="bottom"/>
          </w:tcPr>
          <w:p>
            <w:pPr>
              <w:spacing w:after="0"/>
              <w:rPr>
                <w:sz w:val="17"/>
                <w:szCs w:val="17"/>
                <w:color w:val="auto"/>
              </w:rPr>
            </w:pPr>
          </w:p>
        </w:tc>
        <w:tc>
          <w:tcPr>
            <w:tcW w:w="42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as reported</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$1,142</w:t>
            </w: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$1,031</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stock options, net of tax</w:t>
            </w:r>
          </w:p>
        </w:tc>
        <w:tc>
          <w:tcPr>
            <w:tcW w:w="2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(93)</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3940" w:type="dxa"/>
            <w:vAlign w:val="bottom"/>
          </w:tcPr>
          <w:p>
            <w:pPr>
              <w:spacing w:after="0"/>
              <w:rPr>
                <w:sz w:val="17"/>
                <w:szCs w:val="17"/>
                <w:color w:val="auto"/>
              </w:rPr>
            </w:pP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 pro forma</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$1,049</w:t>
            </w: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836</w:t>
            </w:r>
          </w:p>
        </w:tc>
      </w:tr>
      <w:tr>
        <w:trPr>
          <w:trHeight w:val="203"/>
        </w:trPr>
        <w:tc>
          <w:tcPr>
            <w:tcW w:w="3940" w:type="dxa"/>
            <w:vAlign w:val="bottom"/>
          </w:tcPr>
          <w:p>
            <w:pPr>
              <w:spacing w:after="0"/>
              <w:rPr>
                <w:sz w:val="17"/>
                <w:szCs w:val="17"/>
                <w:color w:val="auto"/>
              </w:rPr>
            </w:pP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40" w:type="dxa"/>
            <w:vAlign w:val="bottom"/>
          </w:tcPr>
          <w:p>
            <w:pPr>
              <w:spacing w:after="0"/>
              <w:rPr>
                <w:sz w:val="20"/>
                <w:szCs w:val="20"/>
                <w:color w:val="auto"/>
              </w:rPr>
            </w:pPr>
            <w:r>
              <w:rPr>
                <w:rFonts w:ascii="Courier New" w:cs="Courier New" w:eastAsia="Courier New" w:hAnsi="Courier New"/>
                <w:sz w:val="18"/>
                <w:szCs w:val="18"/>
                <w:color w:val="auto"/>
              </w:rPr>
              <w:t>Earnings per share, as reported:</w:t>
            </w:r>
          </w:p>
        </w:tc>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3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Basic</w:t>
            </w: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$ 0.13</w:t>
            </w:r>
          </w:p>
        </w:tc>
        <w:tc>
          <w:tcPr>
            <w:tcW w:w="19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5"/>
              </w:rPr>
              <w:t>$ 0.12</w:t>
            </w:r>
          </w:p>
        </w:tc>
      </w:tr>
      <w:tr>
        <w:trPr>
          <w:trHeight w:val="203"/>
        </w:trPr>
        <w:tc>
          <w:tcPr>
            <w:tcW w:w="3940" w:type="dxa"/>
            <w:vAlign w:val="bottom"/>
          </w:tcPr>
          <w:p>
            <w:pPr>
              <w:spacing w:after="0"/>
              <w:rPr>
                <w:sz w:val="17"/>
                <w:szCs w:val="17"/>
                <w:color w:val="auto"/>
              </w:rPr>
            </w:pP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Diluted</w:t>
            </w: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$ 0.13</w:t>
            </w:r>
          </w:p>
        </w:tc>
        <w:tc>
          <w:tcPr>
            <w:tcW w:w="19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5"/>
              </w:rPr>
              <w:t>$ 0.11</w:t>
            </w:r>
          </w:p>
        </w:tc>
      </w:tr>
      <w:tr>
        <w:trPr>
          <w:trHeight w:val="203"/>
        </w:trPr>
        <w:tc>
          <w:tcPr>
            <w:tcW w:w="3940" w:type="dxa"/>
            <w:vAlign w:val="bottom"/>
          </w:tcPr>
          <w:p>
            <w:pPr>
              <w:spacing w:after="0"/>
              <w:rPr>
                <w:sz w:val="17"/>
                <w:szCs w:val="17"/>
                <w:color w:val="auto"/>
              </w:rPr>
            </w:pP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pro forma</w:t>
            </w:r>
          </w:p>
        </w:tc>
        <w:tc>
          <w:tcPr>
            <w:tcW w:w="23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3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Basic</w:t>
            </w: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$ 0.12</w:t>
            </w:r>
          </w:p>
        </w:tc>
        <w:tc>
          <w:tcPr>
            <w:tcW w:w="19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5"/>
              </w:rPr>
              <w:t>$ 0.10</w:t>
            </w:r>
          </w:p>
        </w:tc>
      </w:tr>
      <w:tr>
        <w:trPr>
          <w:trHeight w:val="203"/>
        </w:trPr>
        <w:tc>
          <w:tcPr>
            <w:tcW w:w="3940" w:type="dxa"/>
            <w:vAlign w:val="bottom"/>
          </w:tcPr>
          <w:p>
            <w:pPr>
              <w:spacing w:after="0"/>
              <w:rPr>
                <w:sz w:val="17"/>
                <w:szCs w:val="17"/>
                <w:color w:val="auto"/>
              </w:rPr>
            </w:pP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Diluted</w:t>
            </w: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$ 0.12</w:t>
            </w:r>
          </w:p>
        </w:tc>
        <w:tc>
          <w:tcPr>
            <w:tcW w:w="19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5"/>
              </w:rPr>
              <w:t>$ 0.10</w:t>
            </w:r>
          </w:p>
        </w:tc>
      </w:tr>
      <w:tr>
        <w:trPr>
          <w:trHeight w:val="203"/>
        </w:trPr>
        <w:tc>
          <w:tcPr>
            <w:tcW w:w="3940" w:type="dxa"/>
            <w:vAlign w:val="bottom"/>
          </w:tcPr>
          <w:p>
            <w:pPr>
              <w:spacing w:after="0"/>
              <w:rPr>
                <w:sz w:val="17"/>
                <w:szCs w:val="17"/>
                <w:color w:val="auto"/>
              </w:rPr>
            </w:pPr>
          </w:p>
        </w:tc>
        <w:tc>
          <w:tcPr>
            <w:tcW w:w="23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weighted average fair value of each option has been estimated on the date of grant using the Black-Scholes options pricing model with the following weighted average assumptions used for grants in fiscal years 2006 and 2005: dividend yield of 1.83%; expected volatility of 59%; risk free interest rate of 3.9%; and expected lives of six and one-half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 RECENTLY ISSUED ACCOUNTING PRONOUNCEMENTS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 November 2004, the FASB issued Statement No. 151 "Inventory Costs." ("FAS 151") This statement amends Accounting Research Bulletin No. 43, Chapter 4, "Inventory Pricing" and removes the "so abnormal" criterion that under certain circumstances could have led to the capitalization of these items. FAS 151 requires that idle facility expense, excess spoilage, double freight and re-handling costs be recognized as current-period charges regardless of whether they meet the criterion of "so abnormal." FAS 151 also requires that allocation of fixed production overhead expenses to the costs of conversion be based on the normal capacity of the production facilities. The provisions of this statement are effective for fiscal years beginning after June 15, 2005; i.e., fiscal year 2007 for the Company. The adoption of FAS 151 is not expected to have a material impact on the Company's financial position or results of operations.</w:t>
      </w:r>
    </w:p>
    <w:p>
      <w:pPr>
        <w:spacing w:after="0" w:line="391"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In December 2004, the FASB issued Statement No. 123(R), "Stock-Based Payment" ("FAS 123(R)"). FAS 123(R) supercedes APB Opinion No. 25, "Accounting for Stock Issued to Employees," and amends FAS No. 95, "Statement of Cash Flows." Generally, the approach in FAS 123(R) is similar to the approach described in FAS 123. FAS 123(R) establishes standards for the accounting for transactions in which an entity exchanges its equity instruments for goods or services. This statement focuses primarily on accounting for transactions in which an entity obtains employee services in share-based payment transactions. FAS 123(R) requires that the fair value of such equity instruments be recognized as an expense in the historical financial statements as services are performed. Prior to FAS 123(R), only certain pro forma disclosures of fair value were</w:t>
      </w:r>
    </w:p>
    <w:p>
      <w:pPr>
        <w:sectPr>
          <w:pgSz w:w="11900" w:h="16838" w:orient="portrait"/>
          <w:cols w:equalWidth="0" w:num="1">
            <w:col w:w="10219"/>
          </w:cols>
          <w:pgMar w:left="240" w:top="919" w:right="1440" w:bottom="140"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required. The provisions of this statement are effective for fiscal years beginning after June 15, 2005; i.e., fiscal year 2007 for the Company. The adoption of FAS 123(R) will have an impact on the Company's financial position and results of operations similar to the pro forma disclosure in the Equity-based Compensation disclosure in Note G.</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December 2004, the FASB issued Statement No. 153, "Exchange of Non-monetary Assets", ("FAS 153") an amendment of Accounting Principles Board Opinion No. 29 ("APB 29"), which differed from the International Accounting Standards Board's ("IASB") method of accounting for exchanges of similar productive assets. FAS 153 replaces the exception from fair value measurement in APB 29, with a general exception from fair value measurement for exchanges of non-monetary assets that do not have commercial substance. The statement is to be applied prospectively and is effective for non-monetary asset exchanges occurring in fiscal periods beginning after June 15, 2005; i.e., August 1, 2005 for the Company. The adoption of FAS 153 is not expected to have a material impact on the Company's financial position or result of operations.</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May 2005, the FASB issued Statement No. 154, "Accounting Changes and Error Corrections - a replacement of APB Opinion No. 20 and FASB Statement No. 3." ("FAS 154") This Statement requires retrospective application to prior period financial statements of a voluntary change in accounting principle unless it is impracticable and is effective for fiscal years beginning after December 15, 2005. Previously, most voluntary changes in accounting principle were recognized by including in net income of the period of the change the cumulative effect of changing to the new accounting principle. The Company will comply with the provisions of FAS 154 although the impact of such adoption is not determinable at this time.</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significant accounting policies are described in Note 1 to the consolidated financial statements included in the Company's April 30, 2005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Revenue Recognition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Revenues under larger, long-term contracts, generally defined as orders in excess of $100,000, are reported in operating results using the percentage of completion method. For U.S. Government and other fixed-price contracts that require initial design and development of the product, revenue is recognized on</w:t>
      </w:r>
    </w:p>
    <w:p>
      <w:pPr>
        <w:sectPr>
          <w:pgSz w:w="11900" w:h="16838" w:orient="portrait"/>
          <w:cols w:equalWidth="0" w:num="1">
            <w:col w:w="10219"/>
          </w:cols>
          <w:pgMar w:left="240" w:top="919" w:right="1440" w:bottom="0" w:gutter="0" w:footer="0" w:header="0"/>
        </w:sectPr>
      </w:pPr>
    </w:p>
    <w:bookmarkStart w:id="10" w:name="page11"/>
    <w:bookmarkEnd w:id="10"/>
    <w:p>
      <w:pPr>
        <w:jc w:val="both"/>
        <w:spacing w:after="0" w:line="275"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10"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For contracts in the Company's Gillam-FEI and FEI-Zyfer segments, smaller contracts or orders in the other business segments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264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Costs and Expenses</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64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8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Contract  costs</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include</w:t>
            </w:r>
          </w:p>
        </w:tc>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all direct</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material,</w:t>
            </w:r>
          </w:p>
        </w:tc>
        <w:tc>
          <w:tcPr>
            <w:tcW w:w="17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direct labor,</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manufacturing</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overhead</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and other</w:t>
            </w:r>
          </w:p>
        </w:tc>
        <w:tc>
          <w:tcPr>
            <w:tcW w:w="22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w:t>
            </w:r>
          </w:p>
        </w:tc>
        <w:tc>
          <w:tcPr>
            <w:tcW w:w="22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related to  contract</w:t>
            </w:r>
          </w:p>
        </w:tc>
        <w:tc>
          <w:tcPr>
            <w:tcW w:w="160" w:type="dxa"/>
            <w:vAlign w:val="bottom"/>
          </w:tcPr>
          <w:p>
            <w:pPr>
              <w:spacing w:after="0"/>
              <w:rPr>
                <w:sz w:val="17"/>
                <w:szCs w:val="17"/>
                <w:color w:val="auto"/>
              </w:rPr>
            </w:pP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performance.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Selling,</w:t>
            </w:r>
          </w:p>
        </w:tc>
      </w:tr>
      <w:tr>
        <w:trPr>
          <w:trHeight w:val="203"/>
        </w:trPr>
        <w:tc>
          <w:tcPr>
            <w:tcW w:w="7380" w:type="dxa"/>
            <w:vAlign w:val="bottom"/>
            <w:gridSpan w:val="13"/>
          </w:tcPr>
          <w:p>
            <w:pPr>
              <w:spacing w:after="0" w:line="203" w:lineRule="exact"/>
              <w:rPr>
                <w:sz w:val="20"/>
                <w:szCs w:val="20"/>
                <w:color w:val="auto"/>
              </w:rPr>
            </w:pPr>
            <w:r>
              <w:rPr>
                <w:rFonts w:ascii="Courier New" w:cs="Courier New" w:eastAsia="Courier New" w:hAnsi="Courier New"/>
                <w:sz w:val="18"/>
                <w:szCs w:val="18"/>
                <w:color w:val="auto"/>
              </w:rPr>
              <w:t>general and administrative costs are charged to expense as incurred.</w:t>
            </w:r>
          </w:p>
        </w:tc>
        <w:tc>
          <w:tcPr>
            <w:tcW w:w="1060" w:type="dxa"/>
            <w:vAlign w:val="bottom"/>
          </w:tcPr>
          <w:p>
            <w:pPr>
              <w:spacing w:after="0"/>
              <w:rPr>
                <w:sz w:val="17"/>
                <w:szCs w:val="17"/>
                <w:color w:val="auto"/>
              </w:rPr>
            </w:pPr>
          </w:p>
        </w:tc>
      </w:tr>
      <w:tr>
        <w:trPr>
          <w:trHeight w:val="405"/>
        </w:trPr>
        <w:tc>
          <w:tcPr>
            <w:tcW w:w="42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Inventory</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 accordance</w:t>
            </w:r>
          </w:p>
        </w:tc>
        <w:tc>
          <w:tcPr>
            <w:tcW w:w="17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with industry</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practice,</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inventoried</w:t>
            </w:r>
          </w:p>
        </w:tc>
        <w:tc>
          <w:tcPr>
            <w:tcW w:w="2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costs contain amounts</w:t>
            </w:r>
          </w:p>
        </w:tc>
      </w:tr>
      <w:tr>
        <w:trPr>
          <w:trHeight w:val="203"/>
        </w:trPr>
        <w:tc>
          <w:tcPr>
            <w:tcW w:w="37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relating to contracts and programs</w:t>
            </w: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with long</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production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cycles,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 portion of</w:t>
            </w:r>
          </w:p>
        </w:tc>
      </w:tr>
      <w:tr>
        <w:trPr>
          <w:trHeight w:val="203"/>
        </w:trPr>
        <w:tc>
          <w:tcPr>
            <w:tcW w:w="474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which will not be realized within one year.</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Inventory</w:t>
            </w:r>
          </w:p>
        </w:tc>
        <w:tc>
          <w:tcPr>
            <w:tcW w:w="2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reserves are established</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5480" w:type="dxa"/>
            <w:vAlign w:val="bottom"/>
            <w:gridSpan w:val="9"/>
          </w:tcPr>
          <w:p>
            <w:pPr>
              <w:ind w:left="120"/>
              <w:spacing w:after="0" w:line="203" w:lineRule="exact"/>
              <w:rPr>
                <w:sz w:val="20"/>
                <w:szCs w:val="20"/>
                <w:color w:val="auto"/>
              </w:rPr>
            </w:pPr>
            <w:r>
              <w:rPr>
                <w:rFonts w:ascii="Courier New" w:cs="Courier New" w:eastAsia="Courier New" w:hAnsi="Courier New"/>
                <w:sz w:val="18"/>
                <w:szCs w:val="18"/>
                <w:color w:val="auto"/>
              </w:rPr>
              <w:t>slow-moving and obsolete items and are based upon</w:t>
            </w:r>
          </w:p>
        </w:tc>
        <w:tc>
          <w:tcPr>
            <w:tcW w:w="1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management's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experience</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expectations</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for future</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business.</w:t>
            </w:r>
          </w:p>
        </w:tc>
        <w:tc>
          <w:tcPr>
            <w:tcW w:w="270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Any changes in reserves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arising  from</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revised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expectations</w:t>
            </w:r>
          </w:p>
        </w:tc>
        <w:tc>
          <w:tcPr>
            <w:tcW w:w="622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rPr>
              <w:t>are reflected in cost of sales in the period the revision</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 made.</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2220" w:type="dxa"/>
            <w:vAlign w:val="bottom"/>
            <w:gridSpan w:val="4"/>
          </w:tcPr>
          <w:p>
            <w:pPr>
              <w:spacing w:after="0"/>
              <w:rPr>
                <w:sz w:val="20"/>
                <w:szCs w:val="20"/>
                <w:color w:val="auto"/>
              </w:rPr>
            </w:pPr>
            <w:r>
              <w:rPr>
                <w:rFonts w:ascii="Courier New" w:cs="Courier New" w:eastAsia="Courier New" w:hAnsi="Courier New"/>
                <w:sz w:val="18"/>
                <w:szCs w:val="18"/>
                <w:color w:val="auto"/>
                <w:w w:val="96"/>
              </w:rPr>
              <w:t>RESULTS OF OPERATIONS</w:t>
            </w: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420" w:type="dxa"/>
            <w:vAlign w:val="bottom"/>
          </w:tcPr>
          <w:p>
            <w:pPr>
              <w:spacing w:after="0"/>
              <w:rPr>
                <w:sz w:val="24"/>
                <w:szCs w:val="24"/>
                <w:color w:val="auto"/>
              </w:rPr>
            </w:pPr>
          </w:p>
        </w:tc>
        <w:tc>
          <w:tcPr>
            <w:tcW w:w="486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7"/>
              </w:rPr>
              <w:t>The table below sets forth for the respective</w:t>
            </w:r>
          </w:p>
        </w:tc>
        <w:tc>
          <w:tcPr>
            <w:tcW w:w="316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periods of fiscal years 2006</w:t>
            </w:r>
          </w:p>
        </w:tc>
      </w:tr>
      <w:tr>
        <w:trPr>
          <w:trHeight w:val="203"/>
        </w:trPr>
        <w:tc>
          <w:tcPr>
            <w:tcW w:w="43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and 2005 the percentage of consolidated</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net sales</w:t>
            </w:r>
          </w:p>
        </w:tc>
        <w:tc>
          <w:tcPr>
            <w:tcW w:w="31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represented by certain items</w:t>
            </w:r>
          </w:p>
        </w:tc>
      </w:tr>
      <w:tr>
        <w:trPr>
          <w:trHeight w:val="203"/>
        </w:trPr>
        <w:tc>
          <w:tcPr>
            <w:tcW w:w="590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8"/>
              </w:rPr>
              <w:t>in the Company's consolidated statements of operations: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00" w:type="dxa"/>
            <w:vAlign w:val="bottom"/>
            <w:gridSpan w:val="6"/>
          </w:tcPr>
          <w:p>
            <w:pPr>
              <w:jc w:val="right"/>
              <w:ind w:right="452"/>
              <w:spacing w:after="0" w:line="203" w:lineRule="exact"/>
              <w:rPr>
                <w:sz w:val="20"/>
                <w:szCs w:val="20"/>
                <w:color w:val="auto"/>
              </w:rPr>
            </w:pPr>
            <w:r>
              <w:rPr>
                <w:rFonts w:ascii="Courier New" w:cs="Courier New" w:eastAsia="Courier New" w:hAnsi="Courier New"/>
                <w:sz w:val="18"/>
                <w:szCs w:val="18"/>
                <w:color w:val="auto"/>
              </w:rPr>
              <w:t>Three months ended July 31,</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2005</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w w:val="96"/>
              </w:rPr>
              <w:t>Net Sales (exclusive of intercompany sales)</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3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40.8%</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63.2%</w:t>
            </w:r>
          </w:p>
        </w:tc>
      </w:tr>
      <w:tr>
        <w:trPr>
          <w:trHeight w:val="203"/>
        </w:trPr>
        <w:tc>
          <w:tcPr>
            <w:tcW w:w="420" w:type="dxa"/>
            <w:vAlign w:val="bottom"/>
          </w:tcPr>
          <w:p>
            <w:pPr>
              <w:spacing w:after="0"/>
              <w:rPr>
                <w:sz w:val="17"/>
                <w:szCs w:val="17"/>
                <w:color w:val="auto"/>
              </w:rPr>
            </w:pPr>
          </w:p>
        </w:tc>
        <w:tc>
          <w:tcPr>
            <w:tcW w:w="18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U.S. Government</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17.1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9.8</w:t>
            </w:r>
          </w:p>
        </w:tc>
      </w:tr>
      <w:tr>
        <w:trPr>
          <w:trHeight w:val="203"/>
        </w:trPr>
        <w:tc>
          <w:tcPr>
            <w:tcW w:w="42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Gillam-FEI</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20.0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15.5</w:t>
            </w:r>
          </w:p>
        </w:tc>
      </w:tr>
      <w:tr>
        <w:trPr>
          <w:trHeight w:val="203"/>
        </w:trPr>
        <w:tc>
          <w:tcPr>
            <w:tcW w:w="42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FEI-Zyfer</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22.1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100.0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0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Cost of Sales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63.0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67.3</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Gross Margin</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37.0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4320" w:type="dxa"/>
            <w:vAlign w:val="bottom"/>
            <w:gridSpan w:val="7"/>
          </w:tcPr>
          <w:p>
            <w:pPr>
              <w:ind w:left="220"/>
              <w:spacing w:after="0" w:line="203" w:lineRule="exact"/>
              <w:rPr>
                <w:sz w:val="20"/>
                <w:szCs w:val="20"/>
                <w:color w:val="auto"/>
              </w:rPr>
            </w:pPr>
            <w:r>
              <w:rPr>
                <w:rFonts w:ascii="Courier New" w:cs="Courier New" w:eastAsia="Courier New" w:hAnsi="Courier New"/>
                <w:sz w:val="18"/>
                <w:szCs w:val="18"/>
                <w:color w:val="auto"/>
              </w:rPr>
              <w:t>Selling and administrative expenses</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23.0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3700" w:type="dxa"/>
            <w:vAlign w:val="bottom"/>
            <w:gridSpan w:val="6"/>
          </w:tcPr>
          <w:p>
            <w:pPr>
              <w:ind w:left="220"/>
              <w:spacing w:after="0" w:line="203" w:lineRule="exact"/>
              <w:rPr>
                <w:sz w:val="20"/>
                <w:szCs w:val="20"/>
                <w:color w:val="auto"/>
              </w:rPr>
            </w:pPr>
            <w:r>
              <w:rPr>
                <w:rFonts w:ascii="Courier New" w:cs="Courier New" w:eastAsia="Courier New" w:hAnsi="Courier New"/>
                <w:sz w:val="18"/>
                <w:szCs w:val="18"/>
                <w:color w:val="auto"/>
                <w:w w:val="97"/>
              </w:rPr>
              <w:t>Research and development expenses</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13.0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Operating Profit</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7.1</w:t>
            </w:r>
          </w:p>
        </w:tc>
      </w:tr>
      <w:tr>
        <w:trPr>
          <w:trHeight w:val="405"/>
        </w:trPr>
        <w:tc>
          <w:tcPr>
            <w:tcW w:w="4320" w:type="dxa"/>
            <w:vAlign w:val="bottom"/>
            <w:gridSpan w:val="7"/>
          </w:tcPr>
          <w:p>
            <w:pPr>
              <w:ind w:left="220"/>
              <w:spacing w:after="0"/>
              <w:rPr>
                <w:sz w:val="20"/>
                <w:szCs w:val="20"/>
                <w:color w:val="auto"/>
              </w:rPr>
            </w:pPr>
            <w:r>
              <w:rPr>
                <w:rFonts w:ascii="Courier New" w:cs="Courier New" w:eastAsia="Courier New" w:hAnsi="Courier New"/>
                <w:sz w:val="18"/>
                <w:szCs w:val="18"/>
                <w:color w:val="auto"/>
              </w:rPr>
              <w:t>Other income, net &amp; Minority interest</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13.6</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2.4</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Pretax Income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14.6</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306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10.3%</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767"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For the three months ended July 31, 2005, the operating profit of $111,000 decreased by $1.1 million from the operating profit of $1.2 million for the same period ended July 31, 2004. The decline in operating profits is principally the result of the 37% decrease in revenues which was offset by improved gross margin and lower selling and administrative expenses, as discussed below. Net income for the first quarter of fiscal year 2006 was $1.1 million, an increase of $111,000 over net income of $1.0 million reported in the same period of fiscal year 2005. During the fiscal year 2006 period the Company realized a gain of $1 million on the sale of certain marketable securities that were obtained upon the conversion of its REIT units for the common stock of Reckson Associates Realty Corp. ("REIT stock") (Refer to Item 2 of the Company's fiscal year 2005 Form 10-K as filed with the Securities and Exchange Commission.)</w:t>
      </w:r>
    </w:p>
    <w:p>
      <w:pPr>
        <w:spacing w:after="0" w:line="18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Net sales for the three months ended July 31, 2005, decreased by $6.6 million (37%) from the same period of fiscal year 2005. On a segment by segment basis, the comparison of revenues for the fiscal quarter ended July 31, 2005 to the first quarter of fiscal year 2005 were as follows: Commercial Communications revenues decreased by $6.3 million (56%); US Government revenues increased by $146,000 (8%); Gillam-FEI revenues decreased by $525,000 (19%); and FEI-Zyfer revenues increased by $411,000 (20%). The Commercial Communications revenues reflect reduced capital spending in the wireless infrastructure industry as end-users continued to delay deployment of next-generation cellular base stations. US Government segment revenues were up modestly as the Company continued work on several developmental, pre-production programs under US</w:t>
      </w:r>
    </w:p>
    <w:p>
      <w:pPr>
        <w:spacing w:after="0" w:line="18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Government contracts. Gillam-FEI revenues reflect the decline in telecommunications infrastructure spending in Europe. Revenues for the FEI-Zyfer segment reflect continued improved performance for this subsidiary. The Company expects revenues to improve over the balance of the fiscal year as a result of additional new bookings, principally in the commercial satellite and U.S. Government industries, as well as increased capital spending for telecommunication infrastructures.</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Gross margin rates for the three months ended July 31, 2005, improved to 37.1% from 32.7% in the same period of fiscal year 2005. The improvement is attributable to product mix, with the Gillam-FEI segment in particular, realizing a higher margin on certain of its network monitoring programs. Gross margin rates are lower than the Company's target of 40% because the lower sales volume is insufficient to absorb all of the fixed overhead costs. With an increase in sales, the Company expects to realize improving gross margin rates in future periods.</w:t>
      </w:r>
    </w:p>
    <w:p>
      <w:pPr>
        <w:spacing w:after="0" w:line="212"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Selling and administrative costs for the three months ended July 31, 2005, decreased by $749,000 (23%) over the same period of fiscal year 2005. Most of the decrease is attributable to decreased personnel costs both in terms of reduced headcount as well as smaller accruals for incentive compensation plans due to lower profits. Additional decreases were experienced in selling and marketing expenses, including lower sales commissions as a result of decreased sales and lower European-area marketing costs as the Company consolidated its efforts into its Gillam-FEI subsidiary. The ratio of selling and administrative costs to net sales for the first quarter of fiscal year 2006 was 23% which is greater than the Company's target ratio of under 20% of revenues. The higher than targeted cost ratio is primarily due to the revenue level in the fiscal year 2006 quarter. In the comparable fiscal year 2005 period, the ratio of selling and administrative costs to revenues was 19%. In future quarters of fiscal year 2006, as revenues increase from the current level, the Company expects to achieve its targeted ratio of costs to net sales.</w:t>
      </w:r>
    </w:p>
    <w:p>
      <w:pPr>
        <w:spacing w:after="0" w:line="38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Research and development spending in the three months ended July 31, 2005 increased by $206,000 (17%) over the comparable period ended July 31, 2004. In the prior year fiscal quarter, the lower level of spending reflected the fact that certain developmental resources were applied to funded research contracts rather than internal research and development efforts, the costs of which are borne by the Company. The costs of those resources assigned to funded programs were reflected in cost of sales rather than in research and development expense. With the completion of certain of the developmental programs during the latter portion of fiscal year 2005, those resources are now being applied to internal programs. During fiscal year 2006, the Company will make additional investments in developing manufacturing process improvements for its new US5G wireline synchronization product; improving and miniaturizing rubidium atomic clocks, developing new GPS-based synchronization products and further enhancing the capabilities of its line of crystal oscillators. The Company targets research and development spending at approximately 10% of sales, but the rate of spending can increase or decrease from quarter to quarter as new projects are identified and others are concluded. The Company will continue to devote significant</w:t>
      </w:r>
    </w:p>
    <w:p>
      <w:pPr>
        <w:sectPr>
          <w:pgSz w:w="11900" w:h="16838" w:orient="portrait"/>
          <w:cols w:equalWidth="0" w:num="1">
            <w:col w:w="10219"/>
          </w:cols>
          <w:pgMar w:left="240" w:top="919" w:right="1440" w:bottom="0" w:gutter="0" w:footer="0" w:header="0"/>
        </w:sectPr>
      </w:pPr>
    </w:p>
    <w:bookmarkStart w:id="13" w:name="page14"/>
    <w:bookmarkEnd w:id="13"/>
    <w:p>
      <w:pPr>
        <w:jc w:val="both"/>
        <w:spacing w:after="0" w:line="269" w:lineRule="auto"/>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pacing w:after="0" w:line="209"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Net nonoperating income and expense increased by $1.1 million (236%) in the three month period ended July 31, 2005 compared to the same period of fiscal year 2005. Investment income increased by $910,000 (219%) during the first quarter of fiscal year 2006 compared to the same period of fiscal year 2005. The increase is due to the realized gain of approximately $1.0 million recorded on the sale of a portion of the shares of REIT stock which were obtained during fiscal year 2005 upon the conversion of certain REIT units related to the Company's fiscal year 1998 sale and leaseback of its headquarters building.</w:t>
      </w:r>
    </w:p>
    <w:p>
      <w:pPr>
        <w:spacing w:after="0" w:line="1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Also included in nonoperating income is equity income in Morion, Inc. During the second quarter of fiscal year 2005, the Company increased its ownership interest in Morion to 36% of Morion's outstanding shares. Accordingly, the Company changed its method of accounting from the cost to the equity method and restated prior year financial statements to reflect the appropriate accounting method. The restated equity income from Morion for the first quarter of fiscal year 2005 is $54,000 as compared to $144,000 for the quarter ended July 31, 2005. The increase of $90,000 (167%) is primarily the result of the Company's increased ownership interest from 19% at July 31, 2004 to 36% as of July 31, 2005.</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three month period ended July 31, 2005, interest expense decreased by $50,000 (64%) compared to the same period of fiscal year 2005. This decrease resulted from the repayment of the Company's line of credit by the end of fiscal year 2005 as well as the conversion of its REIT units to REIT stock the impact of which is explained in the next paragraph.</w:t>
      </w: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Under the provisions of sale and leaseback accounting, until the REIT units were converted, the Company's lease was accounted for as a financing. Accordingly, a portion of its prior year annual rent payments were considered interest expense. For fiscal year 2006, the Company will no longer recognize interest expense but the entire lease payment will be charged to rent expense. In addition, under the caption "Other, net" the Company will recognize the remaining deferred gain from the sale and leaseback transaction. For the quarter ended July 31, 2005, the amount of deferred gain recognized was $88,000. In the year-ago period, Other, net consisted primarily of a governmental grant received by the Company's French subsidiary. Other income and expense items included under this caption are nonrecurring and generally are not significant to pretax earnings.</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The Company's European subsidiaries have available net operating loss carryforwards of approximately $2.4 million to offset future taxable income.</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balance sheet continues to reflect a strong working capital position of $59 million at July 31, 2005, which is comparable to working capital at April 30, 2005. Included in working capital at July 31, 2005 is $24.1 million of cash, cash equivalents and marketable securities. The Company's current ratio at July 31, 2005 is 10.9 to 1.</w:t>
      </w:r>
    </w:p>
    <w:p>
      <w:pPr>
        <w:spacing w:after="0" w:line="209"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For the three months ended July 31, 2005, the Company used $4.7 million in cash from operating activities compared to $1.9 million provided by operations in the comparable fiscal year 2005 period. This significant decrease in cash flows is due primarily to the payment of income taxes related to the investment gains realized in the prior fiscal year as well as increases in the value of the Company's accounts receivable and inventory. For the full fiscal year 2006, the Company expects to generate positive cash flow from operating activities.</w:t>
      </w:r>
    </w:p>
    <w:p>
      <w:pPr>
        <w:sectPr>
          <w:pgSz w:w="11900" w:h="16838" w:orient="portrait"/>
          <w:cols w:equalWidth="0" w:num="1">
            <w:col w:w="10219"/>
          </w:cols>
          <w:pgMar w:left="240" w:top="919" w:right="1440" w:bottom="343"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Net cash provided by investing activities for the three months ended July 31, 2005, was $2.9 million compared to a use of cash of $2.0 million for the same period of fiscal year 2005. The principal source of cash was the sale or redemption of certain marketable securities aggregating $3.4 million, net of purchases of other marketable securities. The redemption of marketable securities was primarily to pay the corporate income taxes mentioned above. The Company also acquired capital equipment for approximately $520,000. The Company may continue to acquire or sell marketable securities as dictated by its investment strategies as well as by the cash requirements for its development activities. Requirements for additional capital equipment are expected to be less than $2.0 million during fiscal year 2006. Internally generated cash will be adequate to acquire this capital equipment.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Net cash used in financing activities for the three months ended July 31, 2005, was $852,000 compared to cash used in financing activities in the amount of $2.2 million during the comparable fiscal year 2005 period. Included in both fiscal periods is payment of the Company's semiannual dividend in the amount of $852,000 and $843,000, respectively. During the fiscal year 2005 quarter, the Company repaid $1.4 million of certain debt obligations.</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During the quarter ended July 31, 2005, the Company did not acquire any shares of its stock under this authorization.</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will continue to expend resources to develop and improve products for wireless and wireline communication systems which management believes will result in future growth and continued profitability. During fiscal year 2006, the Company intends to make a substantial investment of capital and technical resources to develop new products to meet the needs of the U.S. Government, commercial space and commercial communications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At July 31, 2005, the Company's backlog amounted to approximately $31 million similar to the backlog at April 30, 2005. Of this backlog, approximately 80% is realizable in the next twelve months.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3.</w:t>
      </w:r>
    </w:p>
    <w:p>
      <w:pPr>
        <w:spacing w:after="0" w:line="238" w:lineRule="auto"/>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Company is exposed to market risk related to changes in interest rates and market values of securities. The Company's investments in fixed income and equity securities were $16.9 million and $3.5 million, respectively, at July 31, 2005.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July 31, 2005, a 10% change in market interest rates would not have a material effect on the fair value of the Company's fixed income securities or results of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July 31, 2005, the amount related to foreign currency exchange rates is a $3,115,000 unrealized gain.</w:t>
      </w:r>
    </w:p>
    <w:p>
      <w:pPr>
        <w:sectPr>
          <w:pgSz w:w="11900" w:h="16838" w:orient="portrait"/>
          <w:cols w:equalWidth="0" w:num="1">
            <w:col w:w="10219"/>
          </w:cols>
          <w:pgMar w:left="240" w:top="919" w:right="1440" w:bottom="138"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Controls and Procedures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Disclosure Controls and Procedures.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Internal Control Over Financial Reporting. 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through 5 are omitted because they are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w:t>
      </w:r>
    </w:p>
    <w:p>
      <w:pPr>
        <w:spacing w:after="0" w:line="207" w:lineRule="exact"/>
        <w:rPr>
          <w:sz w:val="20"/>
          <w:szCs w:val="20"/>
          <w:color w:val="auto"/>
        </w:rPr>
      </w:pPr>
    </w:p>
    <w:p>
      <w:pPr>
        <w:jc w:val="both"/>
        <w:ind w:left="1060" w:right="1779" w:hanging="526"/>
        <w:spacing w:after="0" w:line="235" w:lineRule="auto"/>
        <w:rPr>
          <w:sz w:val="20"/>
          <w:szCs w:val="20"/>
          <w:color w:val="auto"/>
        </w:rPr>
      </w:pPr>
      <w:r>
        <w:rPr>
          <w:rFonts w:ascii="Courier New" w:cs="Courier New" w:eastAsia="Courier New" w:hAnsi="Courier New"/>
          <w:sz w:val="18"/>
          <w:szCs w:val="18"/>
          <w:color w:val="auto"/>
        </w:rPr>
        <w:t>31.1 - Certification by the Chief Executive Officer Pursuant to Section 302 of the Sarbanes-Oxley Act of 2002.</w:t>
      </w:r>
    </w:p>
    <w:p>
      <w:pPr>
        <w:spacing w:after="0" w:line="6" w:lineRule="exact"/>
        <w:rPr>
          <w:sz w:val="20"/>
          <w:szCs w:val="20"/>
          <w:color w:val="auto"/>
        </w:rPr>
      </w:pPr>
    </w:p>
    <w:p>
      <w:pPr>
        <w:jc w:val="both"/>
        <w:ind w:left="1060" w:right="1779" w:hanging="526"/>
        <w:spacing w:after="0" w:line="235" w:lineRule="auto"/>
        <w:rPr>
          <w:sz w:val="20"/>
          <w:szCs w:val="20"/>
          <w:color w:val="auto"/>
        </w:rPr>
      </w:pPr>
      <w:r>
        <w:rPr>
          <w:rFonts w:ascii="Courier New" w:cs="Courier New" w:eastAsia="Courier New" w:hAnsi="Courier New"/>
          <w:sz w:val="18"/>
          <w:szCs w:val="18"/>
          <w:color w:val="auto"/>
        </w:rPr>
        <w:t>31.2 - Certification by the Chief Financial Officer Pursuant to Section 302 of the Sarbanes-Oxley Act of 2002</w:t>
      </w:r>
    </w:p>
    <w:p>
      <w:pPr>
        <w:spacing w:after="0" w:line="6" w:lineRule="exact"/>
        <w:rPr>
          <w:sz w:val="20"/>
          <w:szCs w:val="20"/>
          <w:color w:val="auto"/>
        </w:rPr>
      </w:pPr>
    </w:p>
    <w:p>
      <w:pPr>
        <w:jc w:val="both"/>
        <w:ind w:left="1060" w:right="1779" w:hanging="526"/>
        <w:spacing w:after="0"/>
        <w:rPr>
          <w:sz w:val="20"/>
          <w:szCs w:val="20"/>
          <w:color w:val="auto"/>
        </w:rPr>
      </w:pPr>
      <w:r>
        <w:rPr>
          <w:rFonts w:ascii="Courier New" w:cs="Courier New" w:eastAsia="Courier New" w:hAnsi="Courier New"/>
          <w:sz w:val="18"/>
          <w:szCs w:val="18"/>
          <w:color w:val="auto"/>
        </w:rPr>
        <w:t>32.1 - Certification</w:t>
      </w:r>
      <w:r>
        <w:rPr>
          <w:sz w:val="20"/>
          <w:szCs w:val="20"/>
          <w:color w:val="auto"/>
        </w:rPr>
        <w:t xml:space="preserve"> </w:t>
      </w:r>
      <w:r>
        <w:rPr>
          <w:rFonts w:ascii="Courier New" w:cs="Courier New" w:eastAsia="Courier New" w:hAnsi="Courier New"/>
          <w:sz w:val="18"/>
          <w:szCs w:val="18"/>
          <w:color w:val="auto"/>
        </w:rPr>
        <w:t>by the Chief Executive Officer Pursuant to 18 U.S.C. Section 1350 Adopted Pursuant to Section 906 of the Sarbanes-Oxley Act of 2002.</w:t>
      </w:r>
    </w:p>
    <w:p>
      <w:pPr>
        <w:spacing w:after="0" w:line="200" w:lineRule="exact"/>
        <w:rPr>
          <w:sz w:val="20"/>
          <w:szCs w:val="20"/>
          <w:color w:val="auto"/>
        </w:rPr>
      </w:pPr>
    </w:p>
    <w:p>
      <w:pPr>
        <w:jc w:val="both"/>
        <w:ind w:left="1060" w:right="1779" w:hanging="526"/>
        <w:spacing w:after="0"/>
        <w:rPr>
          <w:sz w:val="20"/>
          <w:szCs w:val="20"/>
          <w:color w:val="auto"/>
        </w:rPr>
      </w:pPr>
      <w:r>
        <w:rPr>
          <w:rFonts w:ascii="Courier New" w:cs="Courier New" w:eastAsia="Courier New" w:hAnsi="Courier New"/>
          <w:sz w:val="18"/>
          <w:szCs w:val="18"/>
          <w:color w:val="auto"/>
        </w:rPr>
        <w:t>32.2 - Certification</w:t>
      </w:r>
      <w:r>
        <w:rPr>
          <w:sz w:val="20"/>
          <w:szCs w:val="20"/>
          <w:color w:val="auto"/>
        </w:rPr>
        <w:t xml:space="preserve"> </w:t>
      </w:r>
      <w:r>
        <w:rPr>
          <w:rFonts w:ascii="Courier New" w:cs="Courier New" w:eastAsia="Courier New" w:hAnsi="Courier New"/>
          <w:sz w:val="18"/>
          <w:szCs w:val="18"/>
          <w:color w:val="auto"/>
        </w:rPr>
        <w:t>by the Chief Financial Officer Pursuant to 18 U.S.C. Section 1350 Adopted Pursuant to Section 906 of the Sarbanes-Oxley Act of 2002.</w:t>
      </w:r>
    </w:p>
    <w:p>
      <w:pPr>
        <w:sectPr>
          <w:pgSz w:w="11900" w:h="16838" w:orient="portrait"/>
          <w:cols w:equalWidth="0" w:num="1">
            <w:col w:w="10219"/>
          </w:cols>
          <w:pgMar w:left="240" w:top="919" w:right="1440" w:bottom="1440" w:gutter="0" w:footer="0" w:header="0"/>
        </w:sectPr>
      </w:pPr>
    </w:p>
    <w:bookmarkStart w:id="17" w:name="page18"/>
    <w:bookmarkEnd w:id="1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FREQUENCY ELECTRONICS, INC.</w:t>
      </w:r>
    </w:p>
    <w:p>
      <w:pPr>
        <w:ind w:left="48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14, 2005</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tabs>
          <w:tab w:leader="none" w:pos="920" w:val="left"/>
        </w:tabs>
        <w:rPr>
          <w:sz w:val="20"/>
          <w:szCs w:val="20"/>
          <w:color w:val="auto"/>
        </w:rPr>
      </w:pPr>
      <w:r>
        <w:rPr>
          <w:rFonts w:ascii="Courier New" w:cs="Courier New" w:eastAsia="Courier New" w:hAnsi="Courier New"/>
          <w:sz w:val="18"/>
          <w:szCs w:val="18"/>
          <w:color w:val="auto"/>
        </w:rPr>
        <w:t>/s/</w:t>
        <w:tab/>
        <w:t>Alan Miller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Alan Miller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 Controller</w:t>
      </w:r>
    </w:p>
    <w:p>
      <w:pPr>
        <w:sectPr>
          <w:pgSz w:w="11900" w:h="16838" w:orient="portrait"/>
          <w:cols w:equalWidth="0" w:num="3">
            <w:col w:w="3300" w:space="720"/>
            <w:col w:w="200" w:space="0"/>
            <w:col w:w="5999"/>
          </w:cols>
          <w:pgMar w:left="240" w:top="919" w:right="1440" w:bottom="1440" w:gutter="0" w:footer="0" w:header="0"/>
          <w:type w:val="continuous"/>
        </w:sectPr>
      </w:pPr>
    </w:p>
    <w:bookmarkStart w:id="18" w:name="page19"/>
    <w:bookmarkEnd w:id="18"/>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B. Bloch, Chief Executive Officer,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Bloch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September 14, 2005</w:t>
      </w:r>
    </w:p>
    <w:p>
      <w:pPr>
        <w:sectPr>
          <w:pgSz w:w="11900" w:h="16838" w:orient="portrait"/>
          <w:cols w:equalWidth="0" w:num="2">
            <w:col w:w="4980" w:space="720"/>
            <w:col w:w="4519"/>
          </w:cols>
          <w:pgMar w:left="240" w:top="717" w:right="1440" w:bottom="144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Alan L. Miller, Chief Financial Officer,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L. Miller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ind w:left="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September 14, 2005</w:t>
      </w:r>
    </w:p>
    <w:p>
      <w:pPr>
        <w:sectPr>
          <w:pgSz w:w="11900" w:h="16838" w:orient="portrait"/>
          <w:cols w:equalWidth="0" w:num="2">
            <w:col w:w="5080" w:space="720"/>
            <w:col w:w="4419"/>
          </w:cols>
          <w:pgMar w:left="240" w:top="919" w:right="1440" w:bottom="1440" w:gutter="0" w:footer="0" w:header="0"/>
          <w:type w:val="continuous"/>
        </w:sectPr>
      </w:pPr>
    </w:p>
    <w:bookmarkStart w:id="20" w:name="page21"/>
    <w:bookmarkEnd w:id="20"/>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July 31, 2005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540" w:right="177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540" w:right="1779" w:hanging="532"/>
        <w:spacing w:after="0" w:line="290"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367"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Bloch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ind w:left="5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2005</w:t>
      </w:r>
    </w:p>
    <w:p>
      <w:pPr>
        <w:spacing w:after="0" w:line="824"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0219"/>
          </w:cols>
          <w:pgMar w:left="240" w:top="919" w:right="1440" w:bottom="1440" w:gutter="0" w:footer="0" w:header="0"/>
          <w:type w:val="continuous"/>
        </w:sectPr>
      </w:pPr>
    </w:p>
    <w:bookmarkStart w:id="21" w:name="page22"/>
    <w:bookmarkEnd w:id="21"/>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July 31, 2005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540" w:right="1779" w:hanging="532"/>
        <w:spacing w:after="0" w:line="290"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367"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L. Miller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2005</w:t>
      </w:r>
    </w:p>
    <w:p>
      <w:pPr>
        <w:spacing w:after="0" w:line="807" w:lineRule="exact"/>
        <w:rPr>
          <w:sz w:val="20"/>
          <w:szCs w:val="20"/>
          <w:color w:val="auto"/>
        </w:rPr>
      </w:pPr>
    </w:p>
    <w:p>
      <w:pPr>
        <w:sectPr>
          <w:pgSz w:w="11900" w:h="16838" w:orient="portrait"/>
          <w:cols w:equalWidth="0" w:num="2">
            <w:col w:w="5300" w:space="720"/>
            <w:col w:w="419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88"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2019-12-13T01:36:55Z</dcterms:created>
  <dcterms:modified xsi:type="dcterms:W3CDTF">2019-12-13T01:36:55Z</dcterms:modified>
</cp:coreProperties>
</file>