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tabs>
          <w:tab w:leader="none" w:pos="480" w:val="left"/>
          <w:tab w:leader="none" w:pos="7560" w:val="left"/>
        </w:tabs>
        <w:rPr>
          <w:sz w:val="20"/>
          <w:szCs w:val="20"/>
          <w:color w:val="auto"/>
        </w:rPr>
      </w:pPr>
      <w:r>
        <w:rPr>
          <w:rFonts w:ascii="Arial" w:cs="Arial" w:eastAsia="Arial" w:hAnsi="Arial"/>
          <w:sz w:val="29"/>
          <w:szCs w:val="29"/>
          <w:color w:val="auto"/>
          <w:vertAlign w:val="superscript"/>
        </w:rPr>
        <w:t>x</w:t>
      </w:r>
      <w:r>
        <w:rPr>
          <w:sz w:val="20"/>
          <w:szCs w:val="20"/>
          <w:color w:val="auto"/>
        </w:rPr>
        <w:tab/>
      </w:r>
      <w:r>
        <w:rPr>
          <w:rFonts w:ascii="Arial" w:cs="Arial" w:eastAsia="Arial" w:hAnsi="Arial"/>
          <w:sz w:val="16"/>
          <w:szCs w:val="16"/>
          <w:color w:val="auto"/>
        </w:rPr>
        <w:t>QUARTERLY REPORT PURSUANT TO SECTION 13 or 15 (d) OF THE SECURITIES</w:t>
      </w:r>
      <w:r>
        <w:rPr>
          <w:sz w:val="20"/>
          <w:szCs w:val="20"/>
          <w:color w:val="auto"/>
        </w:rPr>
        <w:tab/>
      </w:r>
      <w:r>
        <w:rPr>
          <w:rFonts w:ascii="Arial" w:cs="Arial" w:eastAsia="Arial" w:hAnsi="Arial"/>
          <w:sz w:val="17"/>
          <w:szCs w:val="17"/>
          <w:color w:val="auto"/>
        </w:rPr>
        <w:t>EXCHANGE ACT OF 1934</w:t>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July 31, 2007</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spacing w:after="0"/>
        <w:tabs>
          <w:tab w:leader="none" w:pos="480" w:val="left"/>
          <w:tab w:leader="none" w:pos="7580" w:val="left"/>
        </w:tabs>
        <w:rPr>
          <w:sz w:val="20"/>
          <w:szCs w:val="20"/>
          <w:color w:val="auto"/>
        </w:rPr>
      </w:pPr>
      <w:r>
        <w:rPr>
          <w:rFonts w:ascii="Arial" w:cs="Arial" w:eastAsia="Arial" w:hAnsi="Arial"/>
          <w:sz w:val="35"/>
          <w:szCs w:val="35"/>
          <w:color w:val="auto"/>
          <w:vertAlign w:val="superscript"/>
        </w:rPr>
        <w:t>o</w:t>
      </w:r>
      <w:r>
        <w:rPr>
          <w:sz w:val="20"/>
          <w:szCs w:val="20"/>
          <w:color w:val="auto"/>
        </w:rPr>
        <w:tab/>
      </w:r>
      <w:r>
        <w:rPr>
          <w:rFonts w:ascii="Arial" w:cs="Arial" w:eastAsia="Arial" w:hAnsi="Arial"/>
          <w:sz w:val="18"/>
          <w:szCs w:val="18"/>
          <w:color w:val="auto"/>
        </w:rPr>
        <w:t>TRANSITION REPORT PURSUANT TO SECTION 13 or 15 (d) OF THE SECURITIES</w:t>
      </w:r>
      <w:r>
        <w:rPr>
          <w:sz w:val="20"/>
          <w:szCs w:val="20"/>
          <w:color w:val="auto"/>
        </w:rPr>
        <w:tab/>
      </w:r>
      <w:r>
        <w:rPr>
          <w:rFonts w:ascii="Arial" w:cs="Arial" w:eastAsia="Arial" w:hAnsi="Arial"/>
          <w:sz w:val="17"/>
          <w:szCs w:val="17"/>
          <w:color w:val="auto"/>
        </w:rPr>
        <w:t>EXCHANGE ACT OF 1934</w:t>
      </w:r>
    </w:p>
    <w:p>
      <w:pPr>
        <w:spacing w:after="0" w:line="304"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FREQUENCY ELECTRONICS,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53" w:right="239" w:bottom="1440" w:gutter="0" w:footer="0" w:header="0"/>
        </w:sectPr>
      </w:pPr>
    </w:p>
    <w:p>
      <w:pPr>
        <w:spacing w:after="0" w:line="200" w:lineRule="exact"/>
        <w:rPr>
          <w:sz w:val="24"/>
          <w:szCs w:val="24"/>
          <w:color w:val="auto"/>
        </w:rPr>
      </w:pPr>
    </w:p>
    <w:p>
      <w:pPr>
        <w:spacing w:after="0" w:line="347" w:lineRule="exact"/>
        <w:rPr>
          <w:sz w:val="24"/>
          <w:szCs w:val="24"/>
          <w:color w:val="auto"/>
        </w:rPr>
      </w:pPr>
    </w:p>
    <w:p>
      <w:pPr>
        <w:jc w:val="center"/>
        <w:ind w:right="2560"/>
        <w:spacing w:after="0"/>
        <w:rPr>
          <w:sz w:val="20"/>
          <w:szCs w:val="20"/>
          <w:color w:val="auto"/>
        </w:rPr>
      </w:pPr>
      <w:r>
        <w:rPr>
          <w:rFonts w:ascii="Arial" w:cs="Arial" w:eastAsia="Arial" w:hAnsi="Arial"/>
          <w:sz w:val="18"/>
          <w:szCs w:val="18"/>
          <w:b w:val="1"/>
          <w:bCs w:val="1"/>
          <w:color w:val="auto"/>
        </w:rPr>
        <w:t>Delaware</w:t>
      </w:r>
    </w:p>
    <w:p>
      <w:pPr>
        <w:spacing w:after="0" w:line="4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incorporation or organization)</w:t>
      </w:r>
    </w:p>
    <w:p>
      <w:pPr>
        <w:spacing w:after="0" w:line="260"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55 CHARLES LINDBERGH BLVD., MITCHEL FIELD,</w:t>
      </w:r>
    </w:p>
    <w:p>
      <w:pPr>
        <w:spacing w:after="0" w:line="36"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N.Y.</w:t>
      </w:r>
    </w:p>
    <w:p>
      <w:pPr>
        <w:spacing w:after="0" w:line="2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(Address of principal executive offices)</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516-794-4500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11-1986657</w:t>
      </w:r>
    </w:p>
    <w:p>
      <w:pPr>
        <w:spacing w:after="0" w:line="42"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11553</w:t>
      </w:r>
    </w:p>
    <w:p>
      <w:pPr>
        <w:spacing w:after="0" w:line="150"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(Zip Code)</w:t>
      </w:r>
    </w:p>
    <w:p>
      <w:pPr>
        <w:spacing w:after="0" w:line="666" w:lineRule="exact"/>
        <w:rPr>
          <w:sz w:val="24"/>
          <w:szCs w:val="24"/>
          <w:color w:val="auto"/>
        </w:rPr>
      </w:pPr>
    </w:p>
    <w:p>
      <w:pPr>
        <w:sectPr>
          <w:pgSz w:w="11900" w:h="16838" w:orient="portrait"/>
          <w:cols w:equalWidth="0" w:num="2">
            <w:col w:w="7140" w:space="720"/>
            <w:col w:w="3560"/>
          </w:cols>
          <w:pgMar w:left="240" w:top="553" w:right="239" w:bottom="1440" w:gutter="0" w:footer="0" w:header="0"/>
          <w:type w:val="continuous"/>
        </w:sectPr>
      </w:pPr>
    </w:p>
    <w:p>
      <w:pPr>
        <w:spacing w:after="0" w:line="10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o Accelerated filer o Non-accelerated filer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10, 2007 - 8,704,591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900" w:type="dxa"/>
            <w:vAlign w:val="bottom"/>
            <w:shd w:val="clear" w:color="auto" w:fill="CCFF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1 - Financial Statements:</w:t>
            </w:r>
          </w:p>
        </w:tc>
        <w:tc>
          <w:tcPr>
            <w:tcW w:w="9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Balance Sheets - July 31, 2007 and April 30, 2007</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Operations Three Months Ended July 31, 2007 and 2006</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Statements of Cash Flows Three Months Ended July 31, 2007 and 2006</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2 - 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Item 4T- 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52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5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Part II. Other Information:</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5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Items 1, 1A, 2, 3, 4 and 5 are omitted because they are not applicable</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5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Item 6 - 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5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5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00" w:type="dxa"/>
            <w:vAlign w:val="bottom"/>
          </w:tcPr>
          <w:p>
            <w:pPr>
              <w:ind w:left="160"/>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0520" w:type="dxa"/>
            <w:vAlign w:val="bottom"/>
            <w:gridSpan w:val="2"/>
          </w:tcPr>
          <w:p>
            <w:pPr>
              <w:jc w:val="right"/>
              <w:ind w:right="467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340" w:type="dxa"/>
            <w:vAlign w:val="bottom"/>
          </w:tcPr>
          <w:p>
            <w:pPr>
              <w:ind w:left="3540"/>
              <w:spacing w:after="0"/>
              <w:rPr>
                <w:sz w:val="20"/>
                <w:szCs w:val="20"/>
                <w:color w:val="auto"/>
              </w:rPr>
            </w:pPr>
            <w:r>
              <w:rPr>
                <w:rFonts w:ascii="Arial" w:cs="Arial" w:eastAsia="Arial" w:hAnsi="Arial"/>
                <w:sz w:val="18"/>
                <w:szCs w:val="18"/>
                <w:color w:val="auto"/>
              </w:rPr>
              <w:t>FREQUENCY ELECTRONICS, INC. and SUBSIDIARIES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340" w:type="dxa"/>
            <w:vAlign w:val="bottom"/>
          </w:tcPr>
          <w:p>
            <w:pPr>
              <w:ind w:left="4240"/>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April 30,</w:t>
            </w:r>
          </w:p>
        </w:tc>
      </w:tr>
      <w:tr>
        <w:trPr>
          <w:trHeight w:val="270"/>
        </w:trPr>
        <w:tc>
          <w:tcPr>
            <w:tcW w:w="8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3"/>
                <w:szCs w:val="23"/>
                <w:color w:val="auto"/>
              </w:rPr>
            </w:pPr>
          </w:p>
        </w:tc>
      </w:tr>
      <w:tr>
        <w:trPr>
          <w:trHeight w:val="237"/>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(AUDITED)</w:t>
            </w:r>
          </w:p>
        </w:tc>
      </w:tr>
      <w:tr>
        <w:trPr>
          <w:trHeight w:val="243"/>
        </w:trPr>
        <w:tc>
          <w:tcPr>
            <w:tcW w:w="8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(NOTE A)</w:t>
            </w:r>
          </w:p>
        </w:tc>
      </w:tr>
      <w:tr>
        <w:trPr>
          <w:trHeight w:val="243"/>
        </w:trPr>
        <w:tc>
          <w:tcPr>
            <w:tcW w:w="8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jc w:val="right"/>
              <w:ind w:right="440"/>
              <w:spacing w:after="0"/>
              <w:rPr>
                <w:sz w:val="20"/>
                <w:szCs w:val="20"/>
                <w:color w:val="auto"/>
              </w:rPr>
            </w:pPr>
            <w:r>
              <w:rPr>
                <w:rFonts w:ascii="Arial" w:cs="Arial" w:eastAsia="Arial" w:hAnsi="Arial"/>
                <w:sz w:val="18"/>
                <w:szCs w:val="18"/>
                <w:color w:val="auto"/>
                <w:w w:val="95"/>
              </w:rPr>
              <w:t>(In thousands except share data)</w:t>
            </w:r>
          </w:p>
        </w:tc>
      </w:tr>
      <w:tr>
        <w:trPr>
          <w:trHeight w:val="243"/>
        </w:trPr>
        <w:tc>
          <w:tcPr>
            <w:tcW w:w="8340" w:type="dxa"/>
            <w:vAlign w:val="bottom"/>
          </w:tcPr>
          <w:p>
            <w:pPr>
              <w:ind w:left="37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3,104</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5"/>
              </w:rPr>
              <w:t xml:space="preserve">Accounts receivable, net of allowance for doubtful </w:t>
            </w:r>
            <w:r>
              <w:rPr>
                <w:rFonts w:ascii="Arial" w:cs="Arial" w:eastAsia="Arial" w:hAnsi="Arial"/>
                <w:sz w:val="21"/>
                <w:szCs w:val="21"/>
                <w:color w:val="auto"/>
                <w:w w:val="95"/>
              </w:rPr>
              <w:t>accounts</w:t>
            </w:r>
            <w:r>
              <w:rPr>
                <w:rFonts w:ascii="Arial" w:cs="Arial" w:eastAsia="Arial" w:hAnsi="Arial"/>
                <w:sz w:val="18"/>
                <w:szCs w:val="18"/>
                <w:color w:val="auto"/>
                <w:w w:val="95"/>
              </w:rPr>
              <w:t xml:space="preserve"> of $169 at July 31 and $276 at April 30, 2007</w:t>
            </w:r>
          </w:p>
        </w:tc>
        <w:tc>
          <w:tcPr>
            <w:tcW w:w="100" w:type="dxa"/>
            <w:vAlign w:val="bottom"/>
            <w:shd w:val="clear" w:color="auto" w:fill="CCFFCC"/>
          </w:tcPr>
          <w:p>
            <w:pPr>
              <w:spacing w:after="0"/>
              <w:rPr>
                <w:sz w:val="23"/>
                <w:szCs w:val="23"/>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17,543</w:t>
            </w: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75"/>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r>
      <w:tr>
        <w:trPr>
          <w:trHeight w:val="237"/>
        </w:trPr>
        <w:tc>
          <w:tcPr>
            <w:tcW w:w="83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71,816</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67,603</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Cash surrender value of life insurance</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Investments in and loans receivable from affiliates</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7,354</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r>
      <w:tr>
        <w:trPr>
          <w:trHeight w:val="277"/>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95,599</w:t>
            </w:r>
          </w:p>
        </w:tc>
        <w:tc>
          <w:tcPr>
            <w:tcW w:w="140" w:type="dxa"/>
            <w:vAlign w:val="bottom"/>
            <w:shd w:val="clear" w:color="auto" w:fill="CCFFCC"/>
          </w:tcPr>
          <w:p>
            <w:pPr>
              <w:spacing w:after="0"/>
              <w:rPr>
                <w:sz w:val="24"/>
                <w:szCs w:val="24"/>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93,826</w:t>
            </w:r>
          </w:p>
        </w:tc>
      </w:tr>
      <w:tr>
        <w:trPr>
          <w:trHeight w:val="224"/>
        </w:trPr>
        <w:tc>
          <w:tcPr>
            <w:tcW w:w="834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340" w:type="dxa"/>
            <w:vAlign w:val="bottom"/>
            <w:shd w:val="clear" w:color="auto" w:fill="CCFFCC"/>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Short-term credit obligations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6,511</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liabilities and other</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Dividend payable</w:t>
            </w: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w:t>
            </w:r>
          </w:p>
        </w:tc>
      </w:tr>
      <w:tr>
        <w:trPr>
          <w:trHeight w:val="237"/>
        </w:trPr>
        <w:tc>
          <w:tcPr>
            <w:tcW w:w="83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8,764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8,669</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Deferred gain and other liabilities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22,408</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22,942</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47,447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47,138</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3"/>
                <w:szCs w:val="23"/>
                <w:color w:val="auto"/>
              </w:rPr>
            </w:pPr>
          </w:p>
        </w:tc>
      </w:tr>
      <w:tr>
        <w:trPr>
          <w:trHeight w:val="264"/>
        </w:trPr>
        <w:tc>
          <w:tcPr>
            <w:tcW w:w="83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71,532</w:t>
            </w: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69,843</w:t>
            </w:r>
          </w:p>
        </w:tc>
      </w:tr>
      <w:tr>
        <w:trPr>
          <w:trHeight w:val="202"/>
        </w:trPr>
        <w:tc>
          <w:tcPr>
            <w:tcW w:w="834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reacquired and held in treasury -at cost, 459,349 shares at July 31, 2007 and 474,693 shares at</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April 30, 2007</w:t>
            </w:r>
          </w:p>
        </w:tc>
        <w:tc>
          <w:tcPr>
            <w:tcW w:w="10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r>
      <w:tr>
        <w:trPr>
          <w:trHeight w:val="275"/>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3,121</w:t>
            </w:r>
          </w:p>
        </w:tc>
      </w:tr>
      <w:tr>
        <w:trPr>
          <w:trHeight w:val="264"/>
        </w:trPr>
        <w:tc>
          <w:tcPr>
            <w:tcW w:w="83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73,191</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70,884</w:t>
            </w:r>
          </w:p>
        </w:tc>
        <w:tc>
          <w:tcPr>
            <w:tcW w:w="100" w:type="dxa"/>
            <w:vAlign w:val="bottom"/>
            <w:tcBorders>
              <w:top w:val="single" w:sz="8" w:color="CCFFCC"/>
            </w:tcBorders>
          </w:tcPr>
          <w:p>
            <w:pPr>
              <w:spacing w:after="0"/>
              <w:rPr>
                <w:sz w:val="22"/>
                <w:szCs w:val="22"/>
                <w:color w:val="auto"/>
              </w:rPr>
            </w:pPr>
          </w:p>
        </w:tc>
      </w:tr>
      <w:tr>
        <w:trPr>
          <w:trHeight w:val="277"/>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95,599</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93,826</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260" w:type="dxa"/>
            <w:vAlign w:val="bottom"/>
            <w:gridSpan w:val="2"/>
          </w:tcPr>
          <w:p>
            <w:pPr>
              <w:jc w:val="center"/>
              <w:ind w:right="290"/>
              <w:spacing w:after="0"/>
              <w:rPr>
                <w:sz w:val="20"/>
                <w:szCs w:val="20"/>
                <w:color w:val="auto"/>
              </w:rPr>
            </w:pPr>
            <w:r>
              <w:rPr>
                <w:rFonts w:ascii="Arial" w:cs="Arial" w:eastAsia="Arial" w:hAnsi="Arial"/>
                <w:sz w:val="18"/>
                <w:szCs w:val="18"/>
                <w:color w:val="auto"/>
                <w:w w:val="95"/>
              </w:rPr>
              <w:t>FREQUENCY ELECTRONICS, INC. and SUBSIDIARIES</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80" w:type="dxa"/>
            <w:vAlign w:val="bottom"/>
          </w:tcPr>
          <w:p>
            <w:pPr>
              <w:spacing w:after="0"/>
              <w:rPr>
                <w:sz w:val="24"/>
                <w:szCs w:val="24"/>
                <w:color w:val="auto"/>
              </w:rPr>
            </w:pPr>
          </w:p>
        </w:tc>
        <w:tc>
          <w:tcPr>
            <w:tcW w:w="5260" w:type="dxa"/>
            <w:vAlign w:val="bottom"/>
            <w:gridSpan w:val="2"/>
          </w:tcPr>
          <w:p>
            <w:pPr>
              <w:jc w:val="center"/>
              <w:ind w:right="310"/>
              <w:spacing w:after="0"/>
              <w:rPr>
                <w:sz w:val="20"/>
                <w:szCs w:val="20"/>
                <w:color w:val="auto"/>
              </w:rPr>
            </w:pPr>
            <w:r>
              <w:rPr>
                <w:rFonts w:ascii="Arial" w:cs="Arial" w:eastAsia="Arial" w:hAnsi="Arial"/>
                <w:sz w:val="18"/>
                <w:szCs w:val="18"/>
                <w:color w:val="auto"/>
                <w:w w:val="88"/>
              </w:rPr>
              <w:t>Condensed Consolidated Statements of Operations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3280" w:type="dxa"/>
            <w:vAlign w:val="bottom"/>
          </w:tcPr>
          <w:p>
            <w:pPr>
              <w:spacing w:after="0"/>
              <w:rPr>
                <w:sz w:val="24"/>
                <w:szCs w:val="24"/>
                <w:color w:val="auto"/>
              </w:rPr>
            </w:pPr>
          </w:p>
        </w:tc>
        <w:tc>
          <w:tcPr>
            <w:tcW w:w="5260" w:type="dxa"/>
            <w:vAlign w:val="bottom"/>
            <w:gridSpan w:val="2"/>
          </w:tcPr>
          <w:p>
            <w:pPr>
              <w:jc w:val="center"/>
              <w:ind w:right="310"/>
              <w:spacing w:after="0"/>
              <w:rPr>
                <w:sz w:val="20"/>
                <w:szCs w:val="20"/>
                <w:color w:val="auto"/>
              </w:rPr>
            </w:pPr>
            <w:r>
              <w:rPr>
                <w:rFonts w:ascii="Arial" w:cs="Arial" w:eastAsia="Arial" w:hAnsi="Arial"/>
                <w:sz w:val="18"/>
                <w:szCs w:val="18"/>
                <w:color w:val="auto"/>
                <w:w w:val="90"/>
              </w:rPr>
              <w:t>Three Months Ended July 31,</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5260" w:type="dxa"/>
            <w:vAlign w:val="bottom"/>
            <w:gridSpan w:val="2"/>
          </w:tcPr>
          <w:p>
            <w:pPr>
              <w:jc w:val="center"/>
              <w:ind w:right="310"/>
              <w:spacing w:after="0"/>
              <w:rPr>
                <w:sz w:val="20"/>
                <w:szCs w:val="20"/>
                <w:color w:val="auto"/>
              </w:rPr>
            </w:pPr>
            <w:r>
              <w:rPr>
                <w:rFonts w:ascii="Arial" w:cs="Arial" w:eastAsia="Arial" w:hAnsi="Arial"/>
                <w:sz w:val="18"/>
                <w:szCs w:val="18"/>
                <w:color w:val="auto"/>
                <w:w w:val="91"/>
              </w:rPr>
              <w:t>(Unaudited)</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6"/>
          </w:tcPr>
          <w:p>
            <w:pPr>
              <w:jc w:val="right"/>
              <w:ind w:right="440"/>
              <w:spacing w:after="0"/>
              <w:rPr>
                <w:sz w:val="20"/>
                <w:szCs w:val="20"/>
                <w:color w:val="auto"/>
              </w:rPr>
            </w:pPr>
            <w:r>
              <w:rPr>
                <w:rFonts w:ascii="Arial" w:cs="Arial" w:eastAsia="Arial" w:hAnsi="Arial"/>
                <w:sz w:val="18"/>
                <w:szCs w:val="18"/>
                <w:color w:val="auto"/>
                <w:w w:val="91"/>
              </w:rPr>
              <w:t>(In thousands except share data)</w:t>
            </w:r>
          </w:p>
        </w:tc>
      </w:tr>
      <w:tr>
        <w:trPr>
          <w:trHeight w:val="243"/>
        </w:trPr>
        <w:tc>
          <w:tcPr>
            <w:tcW w:w="3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5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15,557</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14,314</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Cost of sales</w:t>
            </w: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Gross margin</w:t>
            </w:r>
          </w:p>
        </w:tc>
        <w:tc>
          <w:tcPr>
            <w:tcW w:w="5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w:t>
            </w:r>
          </w:p>
        </w:tc>
      </w:tr>
      <w:tr>
        <w:trPr>
          <w:trHeight w:val="243"/>
        </w:trPr>
        <w:tc>
          <w:tcPr>
            <w:tcW w:w="3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3,086</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2,782</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Operating (loss) profit</w:t>
            </w:r>
          </w:p>
        </w:tc>
        <w:tc>
          <w:tcPr>
            <w:tcW w:w="5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691</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Other income (expense):</w:t>
            </w: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 income</w:t>
            </w:r>
          </w:p>
        </w:tc>
        <w:tc>
          <w:tcPr>
            <w:tcW w:w="5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Equity (loss) income</w:t>
            </w:r>
          </w:p>
        </w:tc>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5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r>
      <w:tr>
        <w:trPr>
          <w:trHeight w:val="270"/>
        </w:trPr>
        <w:tc>
          <w:tcPr>
            <w:tcW w:w="32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w w:val="99"/>
              </w:rPr>
              <w:t>Income before provision for income taxes</w:t>
            </w:r>
          </w:p>
        </w:tc>
        <w:tc>
          <w:tcPr>
            <w:tcW w:w="5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1,238</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r>
      <w:tr>
        <w:trPr>
          <w:trHeight w:val="27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income</w:t>
            </w:r>
          </w:p>
        </w:tc>
        <w:tc>
          <w:tcPr>
            <w:tcW w:w="5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FFCC"/>
          </w:tcPr>
          <w:p>
            <w:pPr>
              <w:spacing w:after="0"/>
              <w:rPr>
                <w:sz w:val="24"/>
                <w:szCs w:val="24"/>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898</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FFCC"/>
          </w:tcPr>
          <w:p>
            <w:pPr>
              <w:spacing w:after="0"/>
              <w:rPr>
                <w:sz w:val="22"/>
                <w:szCs w:val="22"/>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5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8,695,027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8,576,705</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06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spacing w:after="0"/>
              <w:rPr>
                <w:sz w:val="22"/>
                <w:szCs w:val="22"/>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8,783,676</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8,719,934</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color w:val="auto"/>
        </w:rPr>
        <w:t>FREQUENCY ELECTRONICS, INC. and SUBSIDIARIES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on sale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non-cash charges to earnings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changes in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 of marketable securities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marketable securities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short-term credit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cash dividend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transactions,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0" w:lineRule="exact"/>
        <w:rPr>
          <w:sz w:val="20"/>
          <w:szCs w:val="20"/>
          <w:color w:val="auto"/>
        </w:rPr>
      </w:pPr>
    </w:p>
    <w:p>
      <w:pPr>
        <w:jc w:val="right"/>
        <w:ind w:right="4420"/>
        <w:spacing w:after="0"/>
        <w:rPr>
          <w:sz w:val="20"/>
          <w:szCs w:val="20"/>
          <w:color w:val="auto"/>
        </w:rPr>
      </w:pPr>
      <w:r>
        <w:rPr>
          <w:rFonts w:ascii="Arial" w:cs="Arial" w:eastAsia="Arial" w:hAnsi="Arial"/>
          <w:sz w:val="15"/>
          <w:szCs w:val="15"/>
          <w:color w:val="auto"/>
        </w:rPr>
        <w:t>Net increase in cash and cash equivalents</w:t>
      </w:r>
    </w:p>
    <w:p>
      <w:pPr>
        <w:spacing w:after="0" w:line="71" w:lineRule="exact"/>
        <w:rPr>
          <w:sz w:val="20"/>
          <w:szCs w:val="20"/>
          <w:color w:val="auto"/>
        </w:rPr>
      </w:pPr>
    </w:p>
    <w:p>
      <w:pPr>
        <w:jc w:val="right"/>
        <w:ind w:right="4460"/>
        <w:spacing w:after="0"/>
        <w:rPr>
          <w:sz w:val="20"/>
          <w:szCs w:val="20"/>
          <w:color w:val="auto"/>
        </w:rPr>
      </w:pPr>
      <w:r>
        <w:rPr>
          <w:rFonts w:ascii="Arial" w:cs="Arial" w:eastAsia="Arial" w:hAnsi="Arial"/>
          <w:sz w:val="16"/>
          <w:szCs w:val="16"/>
          <w:color w:val="auto"/>
        </w:rPr>
        <w:t>before 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282" w:lineRule="exact"/>
        <w:rPr>
          <w:sz w:val="20"/>
          <w:szCs w:val="20"/>
          <w:color w:val="auto"/>
        </w:rPr>
      </w:pPr>
    </w:p>
    <w:p>
      <w:pPr>
        <w:jc w:val="right"/>
        <w:ind w:right="5100"/>
        <w:spacing w:after="0"/>
        <w:rPr>
          <w:sz w:val="20"/>
          <w:szCs w:val="20"/>
          <w:color w:val="auto"/>
        </w:rPr>
      </w:pPr>
      <w:r>
        <w:rPr>
          <w:rFonts w:ascii="Arial" w:cs="Arial" w:eastAsia="Arial" w:hAnsi="Arial"/>
          <w:sz w:val="16"/>
          <w:szCs w:val="16"/>
          <w:color w:val="auto"/>
        </w:rPr>
        <w:t>Effect of exchange rate changes</w:t>
      </w:r>
    </w:p>
    <w:p>
      <w:pPr>
        <w:spacing w:after="0" w:line="59" w:lineRule="exact"/>
        <w:rPr>
          <w:sz w:val="20"/>
          <w:szCs w:val="20"/>
          <w:color w:val="auto"/>
        </w:rPr>
      </w:pPr>
    </w:p>
    <w:p>
      <w:pPr>
        <w:jc w:val="right"/>
        <w:ind w:right="5160"/>
        <w:spacing w:after="0"/>
        <w:rPr>
          <w:sz w:val="20"/>
          <w:szCs w:val="20"/>
          <w:color w:val="auto"/>
        </w:rPr>
      </w:pPr>
      <w:r>
        <w:rPr>
          <w:rFonts w:ascii="Arial" w:cs="Arial" w:eastAsia="Arial" w:hAnsi="Arial"/>
          <w:sz w:val="16"/>
          <w:szCs w:val="16"/>
          <w:color w:val="auto"/>
        </w:rPr>
        <w:t>on cash and cash equivalents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0"/>
                <w:szCs w:val="20"/>
                <w:color w:val="auto"/>
              </w:rPr>
            </w:pPr>
          </w:p>
        </w:tc>
      </w:tr>
      <w:tr>
        <w:trPr>
          <w:trHeight w:val="237"/>
        </w:trPr>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29"/>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4"/>
                <w:szCs w:val="24"/>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243"/>
        </w:trPr>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43"/>
        </w:trPr>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70"/>
        </w:trPr>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(3,777)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(2,518)</w:t>
            </w:r>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r>
      <w:tr>
        <w:trPr>
          <w:trHeight w:val="966"/>
        </w:trPr>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top w:val="single" w:sz="8" w:color="CCFFCC"/>
            </w:tcBorders>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r>
      <w:tr>
        <w:trPr>
          <w:trHeight w:val="264"/>
        </w:trPr>
        <w:tc>
          <w:tcPr>
            <w:tcW w:w="220" w:type="dxa"/>
            <w:vAlign w:val="bottom"/>
            <w:tcBorders>
              <w:bottom w:val="single" w:sz="8" w:color="CCFFC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FFCC"/>
            </w:tcBorders>
          </w:tcPr>
          <w:p>
            <w:pPr>
              <w:spacing w:after="0"/>
              <w:rPr>
                <w:sz w:val="22"/>
                <w:szCs w:val="22"/>
                <w:color w:val="auto"/>
              </w:rPr>
            </w:pPr>
          </w:p>
        </w:tc>
      </w:tr>
      <w:tr>
        <w:trPr>
          <w:trHeight w:val="723"/>
        </w:trPr>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43"/>
        </w:trPr>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r>
      <w:tr>
        <w:trPr>
          <w:trHeight w:val="270"/>
        </w:trPr>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64"/>
        </w:trPr>
        <w:tc>
          <w:tcPr>
            <w:tcW w:w="2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2"/>
                <w:szCs w:val="22"/>
                <w:color w:val="auto"/>
              </w:rPr>
            </w:pPr>
          </w:p>
        </w:tc>
      </w:tr>
      <w:tr>
        <w:trPr>
          <w:trHeight w:val="480"/>
        </w:trPr>
        <w:tc>
          <w:tcPr>
            <w:tcW w:w="22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43"/>
        </w:trPr>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3,356</w:t>
            </w:r>
          </w:p>
        </w:tc>
      </w:tr>
      <w:tr>
        <w:trPr>
          <w:trHeight w:val="486"/>
        </w:trPr>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r>
      <w:tr>
        <w:trPr>
          <w:trHeight w:val="250"/>
        </w:trPr>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w:t>
            </w:r>
          </w:p>
        </w:tc>
      </w:tr>
      <w:tr>
        <w:trPr>
          <w:trHeight w:val="20"/>
        </w:trPr>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395"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3,617</w:t>
            </w:r>
          </w:p>
        </w:tc>
      </w:tr>
      <w:tr>
        <w:trPr>
          <w:trHeight w:val="243"/>
        </w:trPr>
        <w:tc>
          <w:tcPr>
            <w:tcW w:w="8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2,639</w:t>
            </w:r>
          </w:p>
        </w:tc>
      </w:tr>
      <w:tr>
        <w:trPr>
          <w:trHeight w:val="237"/>
        </w:trPr>
        <w:tc>
          <w:tcPr>
            <w:tcW w:w="8340" w:type="dxa"/>
            <w:vAlign w:val="bottom"/>
            <w:tcBorders>
              <w:top w:val="single" w:sz="8" w:color="CCFFC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3,104</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6,256</w:t>
            </w:r>
          </w:p>
        </w:tc>
      </w:tr>
      <w:tr>
        <w:trPr>
          <w:trHeight w:val="467"/>
        </w:trPr>
        <w:tc>
          <w:tcPr>
            <w:tcW w:w="8340" w:type="dxa"/>
            <w:vAlign w:val="bottom"/>
            <w:tcBorders>
              <w:top w:val="single" w:sz="8" w:color="CCFFCC"/>
            </w:tcBorders>
          </w:tcPr>
          <w:p>
            <w:pPr>
              <w:jc w:val="center"/>
              <w:ind w:left="301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59"/>
        </w:trPr>
        <w:tc>
          <w:tcPr>
            <w:tcW w:w="8340" w:type="dxa"/>
            <w:vAlign w:val="bottom"/>
          </w:tcPr>
          <w:p>
            <w:pPr>
              <w:jc w:val="right"/>
              <w:ind w:right="249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2007 and the results of its operations and cash flows for the three months ended July 31, 2007 and 2006. The April 30, 2007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2007 Annual Report to Stockholders. The results of operations for such interim periods are not necessarily indicative of the operating results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Three months ended July 31,</w:t>
            </w:r>
          </w:p>
        </w:tc>
        <w:tc>
          <w:tcPr>
            <w:tcW w:w="100" w:type="dxa"/>
            <w:vAlign w:val="bottom"/>
          </w:tcPr>
          <w:p>
            <w:pPr>
              <w:spacing w:after="0"/>
              <w:rPr>
                <w:sz w:val="20"/>
                <w:szCs w:val="20"/>
                <w:color w:val="auto"/>
              </w:rPr>
            </w:pPr>
          </w:p>
        </w:tc>
      </w:tr>
      <w:tr>
        <w:trPr>
          <w:trHeight w:val="264"/>
        </w:trPr>
        <w:tc>
          <w:tcPr>
            <w:tcW w:w="8120" w:type="dxa"/>
            <w:vAlign w:val="bottom"/>
          </w:tcPr>
          <w:p>
            <w:pPr>
              <w:spacing w:after="0"/>
              <w:rPr>
                <w:sz w:val="22"/>
                <w:szCs w:val="22"/>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2"/>
                <w:szCs w:val="22"/>
                <w:color w:val="auto"/>
              </w:rPr>
            </w:pPr>
          </w:p>
        </w:tc>
      </w:tr>
      <w:tr>
        <w:trPr>
          <w:trHeight w:val="237"/>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 average)</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8,695,027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8,576,705</w:t>
            </w:r>
          </w:p>
        </w:tc>
      </w:tr>
      <w:tr>
        <w:trPr>
          <w:trHeight w:val="270"/>
        </w:trPr>
        <w:tc>
          <w:tcPr>
            <w:tcW w:w="8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88,649</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143,229</w:t>
            </w:r>
          </w:p>
        </w:tc>
        <w:tc>
          <w:tcPr>
            <w:tcW w:w="100" w:type="dxa"/>
            <w:vAlign w:val="bottom"/>
          </w:tcPr>
          <w:p>
            <w:pPr>
              <w:spacing w:after="0"/>
              <w:rPr>
                <w:sz w:val="23"/>
                <w:szCs w:val="23"/>
                <w:color w:val="auto"/>
              </w:rPr>
            </w:pPr>
          </w:p>
        </w:tc>
      </w:tr>
      <w:tr>
        <w:trPr>
          <w:trHeight w:val="277"/>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8,783,676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8,719,934</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for the three months ended July 31, 2007 and 2006, were 949,425 and 571,550,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C - ACCOUNTS RECEIVABLE</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receivable at July 31, 2007 and April 30, 2007 include costs and estimated earnings in excess of billings on uncompleted contracts accounted for on the percentage of completion basis of approximately $7,533,000 and $6,259,000, respectively. Such amounts represent revenue recognized on long-term contracts that had not been billed at the balance sheet dates. Such amounts are billed pursuant to contract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are reported net of reserves of $5,172,000 and $5,028,000 at July 31, 2007 and April 30, 2007, respectively,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July 31, 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April 30, 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6"/>
          </w:tcPr>
          <w:p>
            <w:pPr>
              <w:ind w:left="820"/>
              <w:spacing w:after="0"/>
              <w:rPr>
                <w:sz w:val="20"/>
                <w:szCs w:val="20"/>
                <w:color w:val="auto"/>
              </w:rPr>
            </w:pPr>
            <w:r>
              <w:rPr>
                <w:rFonts w:ascii="Arial" w:cs="Arial" w:eastAsia="Arial" w:hAnsi="Arial"/>
                <w:sz w:val="18"/>
                <w:szCs w:val="18"/>
                <w:color w:val="auto"/>
              </w:rPr>
              <w:t>(In thousands)</w:t>
            </w:r>
          </w:p>
        </w:tc>
      </w:tr>
      <w:tr>
        <w:trPr>
          <w:trHeight w:val="243"/>
        </w:trPr>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18,921</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Work in progress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13,294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4"/>
                <w:szCs w:val="24"/>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bottom w:val="single" w:sz="8" w:color="CCFFCC"/>
            </w:tcBorders>
            <w:shd w:val="clear" w:color="auto" w:fill="CCFFCC"/>
          </w:tcPr>
          <w:p>
            <w:pPr>
              <w:spacing w:after="0"/>
              <w:rPr>
                <w:sz w:val="24"/>
                <w:szCs w:val="24"/>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July 31, 2007 and 2006, total comprehensive income was $2,013,000 and $1,385,000, respectively. Comprehensive income is composed of net income or loss for the period plus the impact of foreign currency translation adjustments and the change in the valuation allowance on marketable securities.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F - EQUITY-BASED COMPENSATION</w:t>
      </w:r>
    </w:p>
    <w:p>
      <w:pPr>
        <w:spacing w:after="0" w:line="2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$143,000 and $115,000 was recognized during the three months ended July 31, 2007 and 2006, respectively,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At July 31, 2007, unrecognized compensation cost for all the Company’s stock-based compensation awards was approximately $1.1 million. The unrecognized compensation cost for stock-based compensation awards at July 31, 2007 is expected to be recognized over a weighted average period of 2.8 years.</w:t>
      </w:r>
    </w:p>
    <w:p>
      <w:pPr>
        <w:spacing w:after="0" w:line="2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the provisions of the Securities and Exchange Commission’s Staff Accounting Bulletin No. 107 (“SAB 107”), which requires that compensation be classified in the same expense line items as cash compensation, during the three months ended July 31, 2007 and 2006, stock-based compensation expense included in cost of sales was $81,000 and $53,000, respectively and the amount charged to selling, general and administrative expense was $62,000 in both periods.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weighted average fair value of each option has been estimated on the date of grant using the Black-Scholes options pricing model with the following weighted average assumptions used for grants in the three months ended July 31, 2007, and each of the years ended April 30, 2007, and 2006: dividend yield of 1.4%, 1.3%, and 1.4%, respectively; expected volatility of 40%, 40% and 59%, respectively; risk free interest rate of 4.8%, 5.0% and 4.1%, respectively, and expected lives of six and one-half years.</w:t>
      </w:r>
    </w:p>
    <w:p>
      <w:pPr>
        <w:spacing w:after="0" w:line="2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7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July 31, 2007, eligible employees had been granted awards to purchase 219,000 shares of Company stock under SARs, all of which are outstanding and 42,000 shares of which are exercisable. As of July 31, 2007, eligible employees had been granted options to purchase 1,182,500 shares of Company stock under ISO plans of which approximately 389,000 options are outstanding and approximately 303,000 of which are exercisable. Through July 31, 2007, eligible employees have been granted options to acquire 1,090,000 shares of Company stock under NQSO plans. Of the NQSO options, approximately 650,000 are both outstanding and exercisable (see tables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excess of the consideration received over the par value of the common stock or cost of treasury stock issued under both types of option plans has been recognized as an increase in additional paid-in capital prior to the adoption of FAS 123(R). Unrecognized compensation charges for nonvested awards relating to the SARs grant is approximately $815,000 which will be recognized during a weighted average period of 3.2 years. Unrecognized compensation charges for nonvested awards relating to the ISO plan is approximately $271,000 which will be recognized over a weighted average period of 1.6 years.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the Company continues to maintain a stock repurchase program, no stock repurchases will be necessary to process stock exercises during the fiscal year. Shares issued to individuals as a result of stock exercises will be taken from available treasury stock.</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these stock award plans, including the weighted average exercise prices of the options,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w w:val="92"/>
              </w:rPr>
              <w:t>Three months ended July 31, 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Wtd Avg</w:t>
            </w:r>
          </w:p>
        </w:tc>
      </w:tr>
      <w:tr>
        <w:trPr>
          <w:trHeight w:val="270"/>
        </w:trPr>
        <w:tc>
          <w:tcPr>
            <w:tcW w:w="8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1,265,587</w:t>
            </w:r>
          </w:p>
        </w:tc>
        <w:tc>
          <w:tcPr>
            <w:tcW w:w="14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46,875</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(8,312)</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9.77</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Expired or canceled</w:t>
            </w:r>
          </w:p>
        </w:tc>
        <w:tc>
          <w:tcPr>
            <w:tcW w:w="16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(45,375)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160" w:type="dxa"/>
            <w:vAlign w:val="bottom"/>
            <w:tcBorders>
              <w:top w:val="single" w:sz="8" w:color="auto"/>
              <w:bottom w:val="single" w:sz="8" w:color="auto"/>
            </w:tcBorders>
            <w:shd w:val="clear" w:color="auto" w:fill="CCFFCC"/>
          </w:tcPr>
          <w:p>
            <w:pPr>
              <w:spacing w:after="0"/>
              <w:rPr>
                <w:sz w:val="24"/>
                <w:szCs w:val="24"/>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1,258,775</w:t>
            </w:r>
          </w:p>
        </w:tc>
        <w:tc>
          <w:tcPr>
            <w:tcW w:w="14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11.58</w:t>
            </w: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995,400</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Available for grant at end of period</w:t>
            </w:r>
          </w:p>
        </w:tc>
        <w:tc>
          <w:tcPr>
            <w:tcW w:w="160" w:type="dxa"/>
            <w:vAlign w:val="bottom"/>
            <w:tcBorders>
              <w:bottom w:val="single" w:sz="8" w:color="auto"/>
            </w:tcBorders>
            <w:shd w:val="clear" w:color="auto" w:fill="CCFFCC"/>
          </w:tcPr>
          <w:p>
            <w:pPr>
              <w:spacing w:after="0"/>
              <w:rPr>
                <w:sz w:val="22"/>
                <w:szCs w:val="22"/>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179,625</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Weighted average fair value of options granted during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7"/>
          </w:tcPr>
          <w:p>
            <w:pPr>
              <w:jc w:val="right"/>
              <w:ind w:right="25"/>
              <w:spacing w:after="0"/>
              <w:rPr>
                <w:sz w:val="20"/>
                <w:szCs w:val="20"/>
                <w:color w:val="auto"/>
              </w:rPr>
            </w:pPr>
            <w:r>
              <w:rPr>
                <w:rFonts w:ascii="Arial" w:cs="Arial" w:eastAsia="Arial" w:hAnsi="Arial"/>
                <w:sz w:val="18"/>
                <w:szCs w:val="18"/>
                <w:color w:val="auto"/>
                <w:w w:val="96"/>
              </w:rPr>
              <w:t>The following table summarizes information about stock-based awards outstanding at July 31, 2007:</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5"/>
          </w:tcPr>
          <w:p>
            <w:pPr>
              <w:jc w:val="center"/>
              <w:ind w:left="890"/>
              <w:spacing w:after="0"/>
              <w:rPr>
                <w:sz w:val="20"/>
                <w:szCs w:val="20"/>
                <w:color w:val="auto"/>
              </w:rPr>
            </w:pPr>
            <w:r>
              <w:rPr>
                <w:rFonts w:ascii="Arial" w:cs="Arial" w:eastAsia="Arial" w:hAnsi="Arial"/>
                <w:sz w:val="18"/>
                <w:szCs w:val="18"/>
                <w:color w:val="auto"/>
                <w:w w:val="91"/>
              </w:rPr>
              <w:t>Options Outstanding</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Options Exercisable</w:t>
            </w: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43"/>
        </w:trPr>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Actual Range of</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Exercise</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70"/>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Exercise Prices</w:t>
            </w:r>
          </w:p>
        </w:tc>
        <w:tc>
          <w:tcPr>
            <w:tcW w:w="24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at 7/31/07</w:t>
            </w:r>
          </w:p>
        </w:tc>
        <w:tc>
          <w:tcPr>
            <w:tcW w:w="12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at 7/31/07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23"/>
                <w:szCs w:val="23"/>
                <w:color w:val="auto"/>
              </w:rPr>
            </w:pPr>
          </w:p>
        </w:tc>
      </w:tr>
      <w:tr>
        <w:trPr>
          <w:trHeight w:val="237"/>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$6.670 - 9.970</w:t>
            </w:r>
          </w:p>
        </w:tc>
        <w:tc>
          <w:tcPr>
            <w:tcW w:w="2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447,400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416,775</w:t>
            </w:r>
          </w:p>
        </w:tc>
        <w:tc>
          <w:tcPr>
            <w:tcW w:w="6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90"/>
              </w:rPr>
              <w:t>10.875 - 16.625</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729,375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12.60</w:t>
            </w:r>
          </w:p>
        </w:tc>
        <w:tc>
          <w:tcPr>
            <w:tcW w:w="1120" w:type="dxa"/>
            <w:vAlign w:val="bottom"/>
          </w:tcPr>
          <w:p>
            <w:pPr>
              <w:jc w:val="right"/>
              <w:spacing w:after="0"/>
              <w:rPr>
                <w:sz w:val="20"/>
                <w:szCs w:val="20"/>
                <w:color w:val="auto"/>
              </w:rPr>
            </w:pPr>
            <w:r>
              <w:rPr>
                <w:rFonts w:ascii="Arial" w:cs="Arial" w:eastAsia="Arial" w:hAnsi="Arial"/>
                <w:sz w:val="18"/>
                <w:szCs w:val="18"/>
                <w:color w:val="auto"/>
              </w:rPr>
              <w:t>496,625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23.75</w:t>
            </w:r>
          </w:p>
        </w:tc>
        <w:tc>
          <w:tcPr>
            <w:tcW w:w="24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23.75</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23.75</w:t>
            </w:r>
          </w:p>
        </w:tc>
      </w:tr>
      <w:tr>
        <w:trPr>
          <w:trHeight w:val="48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monitoring systems.</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6"/>
          </w:tcPr>
          <w:p>
            <w:pPr>
              <w:jc w:val="right"/>
              <w:ind w:right="560"/>
              <w:spacing w:after="0"/>
              <w:rPr>
                <w:sz w:val="20"/>
                <w:szCs w:val="20"/>
                <w:color w:val="auto"/>
              </w:rPr>
            </w:pPr>
            <w:r>
              <w:rPr>
                <w:rFonts w:ascii="Arial" w:cs="Arial" w:eastAsia="Arial" w:hAnsi="Arial"/>
                <w:sz w:val="18"/>
                <w:szCs w:val="18"/>
                <w:color w:val="auto"/>
                <w:w w:val="97"/>
              </w:rPr>
              <w:t>Three months ended July 31,</w:t>
            </w:r>
          </w:p>
        </w:tc>
      </w:tr>
      <w:tr>
        <w:trPr>
          <w:trHeight w:val="264"/>
        </w:trPr>
        <w:tc>
          <w:tcPr>
            <w:tcW w:w="8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2"/>
                <w:szCs w:val="22"/>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11,765</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1,907</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less intercompany sales</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77"/>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Consolidated Sales</w:t>
            </w: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15,557</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Operating profit (loss):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2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0"/>
        </w:trPr>
        <w:tc>
          <w:tcPr>
            <w:tcW w:w="8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Operating (Loss) Profit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691</w:t>
            </w:r>
          </w:p>
        </w:tc>
      </w:tr>
      <w:tr>
        <w:trPr>
          <w:trHeight w:val="494"/>
        </w:trPr>
        <w:tc>
          <w:tcPr>
            <w:tcW w:w="8340" w:type="dxa"/>
            <w:vAlign w:val="bottom"/>
            <w:tcBorders>
              <w:top w:val="single" w:sz="8" w:color="CCFFCC"/>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31, 2007</w:t>
            </w: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April 30, 2007</w:t>
            </w:r>
          </w:p>
        </w:tc>
        <w:tc>
          <w:tcPr>
            <w:tcW w:w="100" w:type="dxa"/>
            <w:vAlign w:val="bottom"/>
            <w:tcBorders>
              <w:top w:val="single" w:sz="8" w:color="CCFFCC"/>
            </w:tcBorders>
          </w:tcPr>
          <w:p>
            <w:pPr>
              <w:spacing w:after="0"/>
              <w:rPr>
                <w:sz w:val="24"/>
                <w:szCs w:val="24"/>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color w:val="auto"/>
              </w:rPr>
              <w:t>Identifiable assets: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53,773</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49,868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13,075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intercompany balances</w:t>
            </w:r>
          </w:p>
        </w:tc>
        <w:tc>
          <w:tcPr>
            <w:tcW w:w="2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(12,483)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(11,773)</w:t>
            </w:r>
          </w:p>
        </w:tc>
      </w:tr>
      <w:tr>
        <w:trPr>
          <w:trHeight w:val="275"/>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34,864</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36,615</w:t>
            </w:r>
          </w:p>
        </w:tc>
      </w:tr>
      <w:tr>
        <w:trPr>
          <w:trHeight w:val="237"/>
        </w:trPr>
        <w:tc>
          <w:tcPr>
            <w:tcW w:w="83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Consolidated Identifiable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95,599</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Borders>
              <w:top w:val="single" w:sz="8" w:color="CCFFCC"/>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H - RECENTLY ISSUED ACCOUNTING PRONOUNCEMENTS</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Company will comply with the provisions of FIN 48 but the impact of such adoption is not expected to have a material impact on the Company’s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now effective for the Company and, for the fiscal year ended April 30, 2007, there was no impact on the Company’s consolidated financial statements from application of this bulletin.</w:t>
      </w:r>
    </w:p>
    <w:p>
      <w:pPr>
        <w:spacing w:after="0" w:line="2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210185</wp:posOffset>
            </wp:positionV>
            <wp:extent cx="111061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2007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4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0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For contracts in the Company’s Gillam-FEI and FEI-Zyfer segments, smaller contracts or orders in the FEI-NY segment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Stock-based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$143,000 and $115,000, respectively, was recognized during the three months ended July 31, 2007 and 2006,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2008 and 2007 the percentage of consolidated net sales represented by certain items in the Company’s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color w:val="auto"/>
                <w:w w:val="89"/>
              </w:rPr>
              <w:t>Three months ended July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2007</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75.6%</w:t>
            </w:r>
          </w:p>
        </w:tc>
        <w:tc>
          <w:tcPr>
            <w:tcW w:w="94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Gillam-FEI</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9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9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w:t>
            </w:r>
          </w:p>
        </w:tc>
        <w:tc>
          <w:tcPr>
            <w:tcW w:w="94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Less Intersegment Sales</w:t>
            </w: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80" w:type="dxa"/>
            <w:vAlign w:val="bottom"/>
            <w:shd w:val="clear" w:color="auto" w:fill="CCFFCC"/>
          </w:tcPr>
          <w:p>
            <w:pPr>
              <w:spacing w:after="0"/>
              <w:rPr>
                <w:sz w:val="20"/>
                <w:szCs w:val="20"/>
                <w:color w:val="auto"/>
              </w:rPr>
            </w:pPr>
          </w:p>
        </w:tc>
        <w:tc>
          <w:tcPr>
            <w:tcW w:w="448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Gross Margin</w:t>
            </w:r>
          </w:p>
        </w:tc>
        <w:tc>
          <w:tcPr>
            <w:tcW w:w="96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FFCC"/>
          </w:tcPr>
          <w:p>
            <w:pPr>
              <w:spacing w:after="0"/>
              <w:rPr>
                <w:sz w:val="20"/>
                <w:szCs w:val="20"/>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9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w:t>
            </w:r>
          </w:p>
        </w:tc>
        <w:tc>
          <w:tcPr>
            <w:tcW w:w="94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80" w:type="dxa"/>
            <w:vAlign w:val="bottom"/>
            <w:shd w:val="clear" w:color="auto" w:fill="CCFFCC"/>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Operating (Loss) Profit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FFCC"/>
            </w:tcBorders>
            <w:shd w:val="clear" w:color="auto" w:fill="CCFFCC"/>
          </w:tcPr>
          <w:p>
            <w:pPr>
              <w:spacing w:after="0"/>
              <w:rPr>
                <w:sz w:val="23"/>
                <w:szCs w:val="23"/>
                <w:color w:val="auto"/>
              </w:rPr>
            </w:pPr>
          </w:p>
        </w:tc>
        <w:tc>
          <w:tcPr>
            <w:tcW w:w="4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19.5</w:t>
            </w:r>
          </w:p>
        </w:tc>
        <w:tc>
          <w:tcPr>
            <w:tcW w:w="94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Pretax Income</w:t>
            </w:r>
          </w:p>
        </w:tc>
        <w:tc>
          <w:tcPr>
            <w:tcW w:w="960" w:type="dxa"/>
            <w:vAlign w:val="bottom"/>
            <w:tcBorders>
              <w:top w:val="single" w:sz="8" w:color="CCFFCC"/>
            </w:tcBorders>
          </w:tcPr>
          <w:p>
            <w:pPr>
              <w:spacing w:after="0"/>
              <w:rPr>
                <w:sz w:val="20"/>
                <w:szCs w:val="20"/>
                <w:color w:val="auto"/>
              </w:rPr>
            </w:pPr>
          </w:p>
        </w:tc>
        <w:tc>
          <w:tcPr>
            <w:tcW w:w="42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1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80" w:type="dxa"/>
            <w:vAlign w:val="bottom"/>
            <w:shd w:val="clear" w:color="auto" w:fill="CCFFCC"/>
          </w:tcPr>
          <w:p>
            <w:pPr>
              <w:spacing w:after="0" w:line="20" w:lineRule="exact"/>
              <w:rPr>
                <w:sz w:val="1"/>
                <w:szCs w:val="1"/>
                <w:color w:val="auto"/>
              </w:rPr>
            </w:pPr>
          </w:p>
        </w:tc>
        <w:tc>
          <w:tcPr>
            <w:tcW w:w="4480" w:type="dxa"/>
            <w:vAlign w:val="bottom"/>
            <w:shd w:val="clear" w:color="auto" w:fill="CCFFCC"/>
          </w:tcPr>
          <w:p>
            <w:pPr>
              <w:spacing w:after="0" w:line="20" w:lineRule="exact"/>
              <w:rPr>
                <w:sz w:val="1"/>
                <w:szCs w:val="1"/>
                <w:color w:val="auto"/>
              </w:rPr>
            </w:pPr>
          </w:p>
        </w:tc>
        <w:tc>
          <w:tcPr>
            <w:tcW w:w="96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9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340" w:type="dxa"/>
            <w:vAlign w:val="bottom"/>
            <w:gridSpan w:val="9"/>
            <w:vMerge w:val="restart"/>
          </w:tcPr>
          <w:p>
            <w:pPr>
              <w:ind w:left="660"/>
              <w:spacing w:after="0"/>
              <w:rPr>
                <w:sz w:val="20"/>
                <w:szCs w:val="20"/>
                <w:color w:val="auto"/>
              </w:rPr>
            </w:pPr>
            <w:r>
              <w:rPr>
                <w:rFonts w:ascii="Arial" w:cs="Arial" w:eastAsia="Arial" w:hAnsi="Arial"/>
                <w:sz w:val="18"/>
                <w:szCs w:val="18"/>
                <w:color w:val="auto"/>
                <w:w w:val="95"/>
              </w:rPr>
              <w:t>(Note: All dollar amounts in following tables are in thousands, except Net Sales which are in millions)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340" w:type="dxa"/>
            <w:vAlign w:val="bottom"/>
            <w:gridSpan w:val="9"/>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6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(in millions)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Three months ended July 31,</w:t>
            </w: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88"/>
              </w:rPr>
              <w:t>Change</w:t>
            </w:r>
          </w:p>
        </w:tc>
        <w:tc>
          <w:tcPr>
            <w:tcW w:w="4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960" w:type="dxa"/>
            <w:vAlign w:val="bottom"/>
            <w:shd w:val="clear" w:color="auto" w:fill="CCFFCC"/>
          </w:tcPr>
          <w:p>
            <w:pPr>
              <w:jc w:val="right"/>
              <w:ind w:right="8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w:t>
            </w:r>
          </w:p>
        </w:tc>
        <w:tc>
          <w:tcPr>
            <w:tcW w:w="92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FFCC"/>
          </w:tcPr>
          <w:p>
            <w:pPr>
              <w:spacing w:after="0"/>
              <w:rPr>
                <w:sz w:val="20"/>
                <w:szCs w:val="20"/>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9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4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96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0.1</w:t>
            </w:r>
          </w:p>
        </w:tc>
        <w:tc>
          <w:tcPr>
            <w:tcW w:w="94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960" w:type="dxa"/>
            <w:vAlign w:val="bottom"/>
          </w:tcPr>
          <w:p>
            <w:pPr>
              <w:spacing w:after="0"/>
              <w:rPr>
                <w:sz w:val="23"/>
                <w:szCs w:val="2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0" w:type="dxa"/>
            <w:vAlign w:val="bottom"/>
            <w:shd w:val="clear" w:color="auto" w:fill="CCFFCC"/>
          </w:tcPr>
          <w:p>
            <w:pPr>
              <w:spacing w:after="0"/>
              <w:rPr>
                <w:sz w:val="22"/>
                <w:szCs w:val="22"/>
                <w:color w:val="auto"/>
              </w:rPr>
            </w:pPr>
          </w:p>
        </w:tc>
        <w:tc>
          <w:tcPr>
            <w:tcW w:w="4480" w:type="dxa"/>
            <w:vAlign w:val="bottom"/>
            <w:shd w:val="clear" w:color="auto" w:fill="CCFFCC"/>
          </w:tcPr>
          <w:p>
            <w:pPr>
              <w:spacing w:after="0"/>
              <w:rPr>
                <w:sz w:val="22"/>
                <w:szCs w:val="22"/>
                <w:color w:val="auto"/>
              </w:rPr>
            </w:pPr>
          </w:p>
        </w:tc>
        <w:tc>
          <w:tcPr>
            <w:tcW w:w="960" w:type="dxa"/>
            <w:vAlign w:val="bottom"/>
            <w:shd w:val="clear" w:color="auto" w:fill="CCFFCC"/>
          </w:tcPr>
          <w:p>
            <w:pPr>
              <w:jc w:val="right"/>
              <w:ind w:right="8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w:t>
            </w:r>
          </w:p>
        </w:tc>
        <w:tc>
          <w:tcPr>
            <w:tcW w:w="92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940" w:type="dxa"/>
            <w:vAlign w:val="bottom"/>
            <w:shd w:val="clear" w:color="auto" w:fill="CCFFCC"/>
          </w:tcPr>
          <w:p>
            <w:pPr>
              <w:spacing w:after="0"/>
              <w:rPr>
                <w:sz w:val="22"/>
                <w:szCs w:val="22"/>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80" w:type="dxa"/>
            <w:vAlign w:val="bottom"/>
            <w:tcBorders>
              <w:top w:val="single" w:sz="8" w:color="CCFFCC"/>
            </w:tcBorders>
            <w:shd w:val="clear" w:color="auto" w:fill="CCFFCC"/>
          </w:tcPr>
          <w:p>
            <w:pPr>
              <w:spacing w:after="0" w:line="20" w:lineRule="exact"/>
              <w:rPr>
                <w:sz w:val="1"/>
                <w:szCs w:val="1"/>
                <w:color w:val="auto"/>
              </w:rPr>
            </w:pPr>
          </w:p>
        </w:tc>
        <w:tc>
          <w:tcPr>
            <w:tcW w:w="44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growth in revenues for the three month period ended July 31, 2007, was led by a nearly 60% increase in revenues from satellite payload programs recorded in the FEI-NY segment. These gains were partially offset by weaker revenues from telecommunication customers which impacted revenues in each of the Company’s operating segments. Revenues from non-space U.S. Government programs also increased over fiscal year 2007, which benefited both the FEI-NY and FEI-Zyfer segments. During fiscal year 2008, the Company expects to realize continued growth in revenues from both U.S. Government and commercial satellite programs. Telecommunication infrastructure revenues and sales to non-space U.S. Government programs are also expected to increase over the balance of the fiscal year.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33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841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6060" w:type="dxa"/>
            <w:vAlign w:val="bottom"/>
            <w:gridSpan w:val="2"/>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4,471</w:t>
            </w:r>
          </w:p>
        </w:tc>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7"/>
              </w:rPr>
              <w:t>4,853</w:t>
            </w:r>
          </w:p>
        </w:tc>
        <w:tc>
          <w:tcPr>
            <w:tcW w:w="226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rPr>
              <w:t>($382)</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060" w:type="dxa"/>
            <w:vAlign w:val="bottom"/>
            <w:gridSpan w:val="2"/>
          </w:tcPr>
          <w:p>
            <w:pPr>
              <w:jc w:val="right"/>
              <w:ind w:right="5290"/>
              <w:spacing w:after="0"/>
              <w:rPr>
                <w:sz w:val="20"/>
                <w:szCs w:val="20"/>
                <w:color w:val="auto"/>
              </w:rPr>
            </w:pPr>
            <w:r>
              <w:rPr>
                <w:rFonts w:ascii="Arial" w:cs="Arial" w:eastAsia="Arial" w:hAnsi="Arial"/>
                <w:sz w:val="18"/>
                <w:szCs w:val="18"/>
                <w:color w:val="auto"/>
                <w:w w:val="91"/>
              </w:rPr>
              <w:t>GM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9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2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5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8% decrease in gross margin for the three months ended July 31, 2007, is due to the higher level of engineering costs on certain satellite payload programs that the Company began to experience in fiscal year 2007. The current quarter’s gross margin rate of 28.7% reflects a sequential improvement from the 20% rate recorded in the fourth quarter of fiscal year 2007. As the level of engineering effort decreases during fiscal year 2008, the Company anticipates that its gross margin rate will improve. As revenues increase, the Company expects the gross margin rate to approach and exceed its target of 40%.</w:t>
      </w:r>
    </w:p>
    <w:p>
      <w:pPr>
        <w:sectPr>
          <w:pgSz w:w="11900" w:h="16838" w:orient="portrait"/>
          <w:cols w:equalWidth="0" w:num="1">
            <w:col w:w="11420"/>
          </w:cols>
          <w:pgMar w:left="240" w:top="36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Also, for the three months ended July 31, 2007 and 2006, gross margin was reduced by $81,000 and $53,000, respectively, due to the inclusion in cost of sales of the charge for stock compensation expense as required by Financial Accounting Standard No. 123(R),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841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3,086</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2,782</w:t>
            </w:r>
          </w:p>
        </w:tc>
        <w:tc>
          <w:tcPr>
            <w:tcW w:w="80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rPr>
              <w:t>304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July 31, 2007 and 2006, selling and administrative expenses were 19.8% and 19.4%, respectively, of consolidated revenues which achieved the Company’s target for such expenses. The increases in expenses in the fiscal year 2008 period were primarily related to marketing expenses, additional property rent expense and compensation expense related to incentive compensation, normal salary increases and additional personnel.</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Included in selling and administrative expenses in each of the three month periods ended July 31, 2007 and 2006, is $62,000 related to stock compensation expense as described above and in the footnotes to the financial statements.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fiscal year 2008 revenues at current or increasing levels, the Company expects selling and administrative expenses to be incurred at 20% or less of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841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2,177</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1,380</w:t>
            </w:r>
          </w:p>
        </w:tc>
        <w:tc>
          <w:tcPr>
            <w:tcW w:w="80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770"/>
              <w:spacing w:after="0"/>
              <w:rPr>
                <w:sz w:val="20"/>
                <w:szCs w:val="20"/>
                <w:color w:val="auto"/>
              </w:rPr>
            </w:pPr>
            <w:r>
              <w:rPr>
                <w:rFonts w:ascii="Arial" w:cs="Arial" w:eastAsia="Arial" w:hAnsi="Arial"/>
                <w:sz w:val="18"/>
                <w:szCs w:val="18"/>
                <w:color w:val="auto"/>
              </w:rPr>
              <w:t>797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Research and development expenditures represent investments that keep the Company’s products at the leading edge of time and frequency technology and enhance competitiveness for future sales. The exceptional level of engineering spending and development work on the Company’s satellite payload products, which began in the second quarter of fiscal 2007, continued into fiscal year 2008. Research and development spending for the quarter ended July 31, 2007, was 14% of revenues compared to 10% of revenues for the same period of fiscal year 2007.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 Profit</w:t>
      </w: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910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($792)</w:t>
            </w:r>
          </w:p>
        </w:tc>
        <w:tc>
          <w:tcPr>
            <w:tcW w:w="1080" w:type="dxa"/>
            <w:vAlign w:val="bottom"/>
            <w:gridSpan w:val="2"/>
            <w:shd w:val="clear" w:color="auto" w:fill="CCFFCC"/>
          </w:tcPr>
          <w:p>
            <w:pPr>
              <w:jc w:val="right"/>
              <w:ind w:right="8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w:t>
            </w:r>
          </w:p>
        </w:tc>
        <w:tc>
          <w:tcPr>
            <w:tcW w:w="244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($1,483)</w:t>
            </w:r>
          </w:p>
        </w:tc>
        <w:tc>
          <w:tcPr>
            <w:tcW w:w="88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continuing level of engineering effort related to satellite payload programs and increased research and development resulted in an operating loss for the three months ended July 31, 2007, compared to the same period of fiscal year 2007. Sequentially, the operating loss was reduced from that realized in the fourth quarter of fiscal year 2007 by $1.9 million on a comparable level of sales. The Company anticipates that as engineering and development costs moderate and as sales increase from current levels, that it will generate an operating profit for the full fiscal year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561"/>
        </w:trPr>
        <w:tc>
          <w:tcPr>
            <w:tcW w:w="18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Three months ended July 31,</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8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Change</w:t>
            </w:r>
          </w:p>
        </w:tc>
        <w:tc>
          <w:tcPr>
            <w:tcW w:w="7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900" w:type="dxa"/>
            <w:vAlign w:val="bottom"/>
            <w:shd w:val="clear" w:color="auto" w:fill="CCFFCC"/>
          </w:tcPr>
          <w:p>
            <w:pPr>
              <w:jc w:val="right"/>
              <w:ind w:right="7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3,243</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299</w:t>
            </w:r>
          </w:p>
        </w:tc>
        <w:tc>
          <w:tcPr>
            <w:tcW w:w="94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0"/>
              <w:spacing w:after="0"/>
              <w:rPr>
                <w:sz w:val="20"/>
                <w:szCs w:val="20"/>
                <w:color w:val="auto"/>
              </w:rPr>
            </w:pPr>
            <w:r>
              <w:rPr>
                <w:rFonts w:ascii="Arial" w:cs="Arial" w:eastAsia="Arial" w:hAnsi="Arial"/>
                <w:sz w:val="18"/>
                <w:szCs w:val="18"/>
                <w:color w:val="auto"/>
                <w:w w:val="88"/>
              </w:rPr>
              <w:t>2,944</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985%</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940" w:type="dxa"/>
            <w:vAlign w:val="bottom"/>
          </w:tcPr>
          <w:p>
            <w:pPr>
              <w:spacing w:after="0"/>
              <w:rPr>
                <w:sz w:val="21"/>
                <w:szCs w:val="21"/>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(283)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w:t>
            </w:r>
          </w:p>
        </w:tc>
        <w:tc>
          <w:tcPr>
            <w:tcW w:w="94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74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w:t>
            </w: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820" w:type="dxa"/>
            <w:vAlign w:val="bottom"/>
            <w:shd w:val="clear" w:color="auto" w:fill="CCFFCC"/>
          </w:tcPr>
          <w:p>
            <w:pPr>
              <w:spacing w:after="0"/>
              <w:rPr>
                <w:sz w:val="20"/>
                <w:szCs w:val="20"/>
                <w:color w:val="auto"/>
              </w:rPr>
            </w:pPr>
          </w:p>
        </w:tc>
        <w:tc>
          <w:tcPr>
            <w:tcW w:w="334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74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3,032</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547</w:t>
            </w:r>
          </w:p>
        </w:tc>
        <w:tc>
          <w:tcPr>
            <w:tcW w:w="940" w:type="dxa"/>
            <w:vAlign w:val="bottom"/>
            <w:shd w:val="clear" w:color="auto" w:fill="CCFFCC"/>
          </w:tcPr>
          <w:p>
            <w:pPr>
              <w:jc w:val="right"/>
              <w:ind w:right="7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0"/>
              <w:spacing w:after="0"/>
              <w:rPr>
                <w:sz w:val="20"/>
                <w:szCs w:val="20"/>
                <w:color w:val="auto"/>
              </w:rPr>
            </w:pPr>
            <w:r>
              <w:rPr>
                <w:rFonts w:ascii="Arial" w:cs="Arial" w:eastAsia="Arial" w:hAnsi="Arial"/>
                <w:sz w:val="18"/>
                <w:szCs w:val="18"/>
                <w:color w:val="auto"/>
                <w:w w:val="88"/>
              </w:rPr>
              <w:t>2,485</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454%</w:t>
            </w: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three months ended July 31, 2007, the Company reduced its investment in Morion, Inc. from 36.6% to 8% by selling shares to a Russian government majority-owned bank. The Company received proceeds of approximately $5.8 million and realized a book gain of approximately $3.0 million. Such gain is included in investment income for the first quarter of fiscal year 2008.</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of the reduced investment in Morion, the Company no longer records its share of Morion’s earnings on the equity method, as it did in fiscal year 2007. The equity loss in the fiscal year 2008 period represents its share of the quarterly loss recorded by Elcom Technologies in which the Company acquired a 25% interest during the third quarter of fiscal year 2007.</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interest expense for the three month period ended July 31, 2007 resulted primarily from an increase in borrowings under the Company’s line of credit during the fiscal year 2008 period compared to the three month period ended July 31, 2006.</w:t>
      </w:r>
    </w:p>
    <w:p>
      <w:pPr>
        <w:spacing w:after="0" w:line="2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$88,000 for each of the three months ended July 31, 2007 and 2006. In the fiscal year 2008 period, such income was offset by certain nonrecurring expenses at the FEI-NY and Gillam-FEI segments, including certain business interruption costs and foreign currency exchange losses. Other insignificant income and expense items are also recorded under this caption.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33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841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57"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1,380</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898</w:t>
            </w:r>
          </w:p>
        </w:tc>
        <w:tc>
          <w:tcPr>
            <w:tcW w:w="80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770"/>
              <w:spacing w:after="0"/>
              <w:rPr>
                <w:sz w:val="20"/>
                <w:szCs w:val="20"/>
                <w:color w:val="auto"/>
              </w:rPr>
            </w:pPr>
            <w:r>
              <w:rPr>
                <w:rFonts w:ascii="Arial" w:cs="Arial" w:eastAsia="Arial" w:hAnsi="Arial"/>
                <w:sz w:val="18"/>
                <w:szCs w:val="18"/>
                <w:color w:val="auto"/>
              </w:rPr>
              <w:t>482</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54%</w:t>
            </w: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income for the three months ended July 31, 2007, was positively impacted by the investment gain recorded on the sale of a portion of the Company’s investment in Morion which offset the quarter’s operating loss. The Company expects to realize improved gross and operating margins in the subsequent quarters of fiscal year 2008 and anticipates that it will report a profit for the full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2007, the Company’s European subsidiaries had available net operating loss carryforwards of approximately $1.3 million and the Company’s U.S. subsidiaries had operating loss carryforwards of approximately $700,000, which will offset future taxable income. During fiscal year 2008, the Company’s effective tax rate is expected to be higher than in prior years as a result of the gain recognized on the Morion transaction. The Company’s tax basis in its Morion investment was less than its book basis resulting in greater taxable income than that recorded for financial reporting purposes.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$59 million at July 31, 2007, which is comparable to working capital at April 30, 2007. Included in working capital at July 31, 2007 is $17.4 million of cash, cash equivalents and marketable securities which are offset by $6.5 million in borrowings under its bank line of credit. The Company’s current ratio at July 31, 2007 is 5.5 to 1.</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July 31, 2007, the Company used $4.4 million in cash from operating activities compared to $872,000 used by operations in the comparable fiscal year 2007 period. The primary uses of cash in the fiscal year 2008 period were due to the growth in unbilled accounts receivable, acquisition of additional parts inventory to support current and anticipated programs and payments against accounts payable. In the three month period ended July 31, 2006, the decrease in operating cash flow was due primarily to increases in the value of the Company’s accounts receivable and inventory. For the balance of fiscal year 2008, the Company expects to generate positive cash flow from operating activities, particularly as billing milestones are achieved on certain of its large production contracts.</w:t>
      </w:r>
    </w:p>
    <w:p>
      <w:pPr>
        <w:spacing w:after="0" w:line="24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Net cash provided by investing activities for the three months ended July 31, 2007, was $4.9 million compared to $3.5 million for the same period of fiscal year 2007. During the fiscal year 2008 period, the Company received net proceeds of $5.6 million from the sale of a portion of its investment in Morion. The principal source of cash in the fiscal year 2007 period was the sale or redemption of certain marketable securities aggregating $3.9 million. During the three months ended July 31, 2007, the Company also acquired capital equipment for approximately $559,000 compared to $396,000 during the same period of the prior year. The Company may continue to acquire or sell marketable securities as dictated by its investment strategies as well as by the cash requirements for its development activities. Capital equipment purchases for all of fiscal year 2008 are expected to aggregate approximately $3.0 million. Internally generated cash is adequate to acquire this level of capital equipment.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three months ended July 31, 2007, was $629,000 compared to $770,000 during the comparable fiscal year 2007 period. Included in both fiscal periods is payment of the Company’s semiannual dividend in the amount of $869,000 and $857,000, respectively. During the three months ended July 31, 2007, the Company borrowed $1.5 million under its line of credit to fund current operations rather than liquidating additional marketable securities. In the same period of the prior fiscal year, the Company borrowed $1.6 million under the line of credit and repaid such borrowing early in the second quarter of fiscal year 2007.</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July 31, 2007, the Company acquired 7,312 shares of its stock under this authorization when it repurchased shares for treasury from certain employees upon their exercise of stock options for a like amount.</w:t>
      </w:r>
    </w:p>
    <w:p>
      <w:pPr>
        <w:spacing w:after="0" w:line="2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2008,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will be adequate to fund these development efforts.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July 31, 2007, the Company’s backlog amounted to approximately $43 million compared to $44 million at April 30, 2007. Of this backlog, approximately 80% is realizable in the next twelve months.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340"/>
              <w:spacing w:after="0"/>
              <w:rPr>
                <w:sz w:val="20"/>
                <w:szCs w:val="20"/>
                <w:color w:val="auto"/>
              </w:rPr>
            </w:pPr>
            <w:r>
              <w:rPr>
                <w:rFonts w:ascii="Arial" w:cs="Arial" w:eastAsia="Arial" w:hAnsi="Arial"/>
                <w:sz w:val="18"/>
                <w:szCs w:val="18"/>
                <w:color w:val="auto"/>
              </w:rPr>
              <w:t>As of July 31, 2007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5"/>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480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1 to 3 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3 to 5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37"/>
        </w:trPr>
        <w:tc>
          <w:tcPr>
            <w:tcW w:w="48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Operating Lease Obligations</w:t>
            </w:r>
          </w:p>
        </w:tc>
        <w:tc>
          <w:tcPr>
            <w:tcW w:w="4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6,916</w:t>
            </w:r>
          </w:p>
        </w:tc>
        <w:tc>
          <w:tcPr>
            <w:tcW w:w="220" w:type="dxa"/>
            <w:vAlign w:val="bottom"/>
            <w:tcBorders>
              <w:right w:val="single" w:sz="8" w:color="CCFFCC"/>
            </w:tcBorders>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2,528</w:t>
            </w:r>
          </w:p>
        </w:tc>
        <w:tc>
          <w:tcPr>
            <w:tcW w:w="24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1,191</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8,764</w:t>
            </w: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7,989</w:t>
            </w: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8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15,680</w:t>
            </w:r>
          </w:p>
        </w:tc>
        <w:tc>
          <w:tcPr>
            <w:tcW w:w="220" w:type="dxa"/>
            <w:vAlign w:val="bottom"/>
            <w:tcBorders>
              <w:right w:val="single" w:sz="8" w:color="CCFFCC"/>
            </w:tcBorders>
            <w:shd w:val="clear" w:color="auto" w:fill="CCFFCC"/>
          </w:tcPr>
          <w:p>
            <w:pPr>
              <w:spacing w:after="0"/>
              <w:rPr>
                <w:sz w:val="22"/>
                <w:szCs w:val="22"/>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2,681</w:t>
            </w:r>
          </w:p>
        </w:tc>
        <w:tc>
          <w:tcPr>
            <w:tcW w:w="24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9,180</w:t>
            </w:r>
          </w:p>
        </w:tc>
      </w:tr>
      <w:tr>
        <w:trPr>
          <w:trHeight w:val="20"/>
        </w:trPr>
        <w:tc>
          <w:tcPr>
            <w:tcW w:w="48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left="500" w:hanging="161"/>
        <w:spacing w:after="0" w:line="264" w:lineRule="auto"/>
        <w:rPr>
          <w:sz w:val="20"/>
          <w:szCs w:val="20"/>
          <w:color w:val="auto"/>
        </w:rPr>
      </w:pPr>
      <w:r>
        <w:rPr>
          <w:rFonts w:ascii="Arial" w:cs="Arial" w:eastAsia="Arial" w:hAnsi="Arial"/>
          <w:sz w:val="18"/>
          <w:szCs w:val="18"/>
          <w:color w:val="auto"/>
        </w:rPr>
        <w:t>*Deferred Compensation liability reflects payments due to current retirees receiving benefits. The amount of $7,989 in the more than 5 years column includes benefits due to participants in the plan who are not yet receiving benefits although some participants may opt to retire and begin receiving benefits within the next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224790</wp:posOffset>
            </wp:positionV>
            <wp:extent cx="111061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is exposed to market risk related to changes in interest rates and market values of securities. The Company's investments in fixed income and equity securities were approximately $13.8 million and $469,000, respectively, at July 31, 2007.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July 31, 2007, a 10% change in market interest rates would not have a material effect on the fair value of the Company's fixed income securities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July 31, 2007, the amount related to foreign currency exchange rates is a $3,954,000 unrealized gain.</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 (ii) 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4 and 5 are omitted because they are 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by the Chief Executive Officer Pursuant to Section 302 of the Sarbanes-Oxley Act of 2002.</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by the Chief Financial Officer Pursuant to Section 302 of the Sarbanes-Oxley Act of 2002</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Certification by the Chief Executive Officer Pursuant to 18 U.S.C. Section 1350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Certification by the Chief Financial Officer Pursuant to 18 U.S.C. Section 1350 Adopted Pursuant to Section 906 of the Sarbanes-Oxley Act of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September 14, 2007</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Alan Miller</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Treasurer</w:t>
      </w: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79"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ind w:left="660"/>
              <w:spacing w:after="0"/>
              <w:rPr>
                <w:sz w:val="20"/>
                <w:szCs w:val="20"/>
                <w:color w:val="auto"/>
              </w:rPr>
            </w:pPr>
            <w:r>
              <w:rPr>
                <w:rFonts w:ascii="Arial" w:cs="Arial" w:eastAsia="Arial" w:hAnsi="Arial"/>
                <w:sz w:val="18"/>
                <w:szCs w:val="18"/>
                <w:color w:val="auto"/>
                <w:w w:val="94"/>
              </w:rPr>
              <w:t>(b) Any fraud, whether or not material, that involves management or other employees who have a</w:t>
            </w:r>
          </w:p>
        </w:tc>
        <w:tc>
          <w:tcPr>
            <w:tcW w:w="3400" w:type="dxa"/>
            <w:vAlign w:val="bottom"/>
          </w:tcPr>
          <w:p>
            <w:pPr>
              <w:ind w:left="260"/>
              <w:spacing w:after="0"/>
              <w:rPr>
                <w:sz w:val="20"/>
                <w:szCs w:val="20"/>
                <w:color w:val="auto"/>
              </w:rPr>
            </w:pPr>
            <w:r>
              <w:rPr>
                <w:rFonts w:ascii="Arial" w:cs="Arial" w:eastAsia="Arial" w:hAnsi="Arial"/>
                <w:sz w:val="18"/>
                <w:szCs w:val="18"/>
                <w:color w:val="auto"/>
                <w:w w:val="97"/>
              </w:rPr>
              <w:t>significant role in the registrant’s internal</w:t>
            </w:r>
          </w:p>
        </w:tc>
      </w:tr>
      <w:tr>
        <w:trPr>
          <w:trHeight w:val="230"/>
        </w:trPr>
        <w:tc>
          <w:tcPr>
            <w:tcW w:w="4080" w:type="dxa"/>
            <w:vAlign w:val="bottom"/>
          </w:tcPr>
          <w:p>
            <w:pPr>
              <w:ind w:left="660"/>
              <w:spacing w:after="0"/>
              <w:rPr>
                <w:sz w:val="20"/>
                <w:szCs w:val="20"/>
                <w:color w:val="auto"/>
              </w:rPr>
            </w:pPr>
            <w:r>
              <w:rPr>
                <w:rFonts w:ascii="Arial" w:cs="Arial" w:eastAsia="Arial" w:hAnsi="Arial"/>
                <w:sz w:val="18"/>
                <w:szCs w:val="18"/>
                <w:color w:val="auto"/>
              </w:rPr>
              <w:t>control over financial reporting.</w:t>
            </w:r>
          </w:p>
        </w:tc>
        <w:tc>
          <w:tcPr>
            <w:tcW w:w="39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702"/>
        </w:trPr>
        <w:tc>
          <w:tcPr>
            <w:tcW w:w="4080" w:type="dxa"/>
            <w:vAlign w:val="bottom"/>
          </w:tcPr>
          <w:p>
            <w:pPr>
              <w:spacing w:after="0"/>
              <w:rPr>
                <w:sz w:val="20"/>
                <w:szCs w:val="20"/>
                <w:color w:val="auto"/>
              </w:rPr>
            </w:pPr>
            <w:r>
              <w:rPr>
                <w:rFonts w:ascii="Arial" w:cs="Arial" w:eastAsia="Arial" w:hAnsi="Arial"/>
                <w:sz w:val="18"/>
                <w:szCs w:val="18"/>
                <w:color w:val="auto"/>
              </w:rPr>
              <w:t>/s/ Martin Bloch</w:t>
            </w:r>
          </w:p>
        </w:tc>
        <w:tc>
          <w:tcPr>
            <w:tcW w:w="3940" w:type="dxa"/>
            <w:vAlign w:val="bottom"/>
          </w:tcPr>
          <w:p>
            <w:pPr>
              <w:ind w:left="2240"/>
              <w:spacing w:after="0"/>
              <w:rPr>
                <w:sz w:val="20"/>
                <w:szCs w:val="20"/>
                <w:color w:val="auto"/>
              </w:rPr>
            </w:pPr>
            <w:r>
              <w:rPr>
                <w:rFonts w:ascii="Arial" w:cs="Arial" w:eastAsia="Arial" w:hAnsi="Arial"/>
                <w:sz w:val="18"/>
                <w:szCs w:val="18"/>
                <w:color w:val="auto"/>
              </w:rPr>
              <w:t>September 14, 2007</w:t>
            </w:r>
          </w:p>
        </w:tc>
        <w:tc>
          <w:tcPr>
            <w:tcW w:w="3400" w:type="dxa"/>
            <w:vAlign w:val="bottom"/>
          </w:tcPr>
          <w:p>
            <w:pPr>
              <w:spacing w:after="0"/>
              <w:rPr>
                <w:sz w:val="24"/>
                <w:szCs w:val="24"/>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3400" w:type="dxa"/>
            <w:vAlign w:val="bottom"/>
          </w:tcPr>
          <w:p>
            <w:pPr>
              <w:spacing w:after="0"/>
              <w:rPr>
                <w:sz w:val="10"/>
                <w:szCs w:val="10"/>
                <w:color w:val="auto"/>
              </w:rPr>
            </w:pPr>
          </w:p>
        </w:tc>
      </w:tr>
      <w:tr>
        <w:trPr>
          <w:trHeight w:val="313"/>
        </w:trPr>
        <w:tc>
          <w:tcPr>
            <w:tcW w:w="4080" w:type="dxa"/>
            <w:vAlign w:val="bottom"/>
          </w:tcPr>
          <w:p>
            <w:pPr>
              <w:spacing w:after="0"/>
              <w:rPr>
                <w:sz w:val="20"/>
                <w:szCs w:val="20"/>
                <w:color w:val="auto"/>
              </w:rPr>
            </w:pPr>
            <w:r>
              <w:rPr>
                <w:rFonts w:ascii="Arial" w:cs="Arial" w:eastAsia="Arial" w:hAnsi="Arial"/>
                <w:sz w:val="18"/>
                <w:szCs w:val="18"/>
                <w:color w:val="auto"/>
              </w:rPr>
              <w:t>Martin B. Bloch</w:t>
            </w:r>
          </w:p>
        </w:tc>
        <w:tc>
          <w:tcPr>
            <w:tcW w:w="39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90"/>
        </w:trPr>
        <w:tc>
          <w:tcPr>
            <w:tcW w:w="40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7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ind w:left="660"/>
              <w:spacing w:after="0"/>
              <w:rPr>
                <w:sz w:val="20"/>
                <w:szCs w:val="20"/>
                <w:color w:val="auto"/>
              </w:rPr>
            </w:pPr>
            <w:r>
              <w:rPr>
                <w:rFonts w:ascii="Arial" w:cs="Arial" w:eastAsia="Arial" w:hAnsi="Arial"/>
                <w:sz w:val="18"/>
                <w:szCs w:val="18"/>
                <w:color w:val="auto"/>
                <w:w w:val="94"/>
              </w:rPr>
              <w:t>(b) Any fraud, whether or not material, that involves management or other employees who have a</w:t>
            </w:r>
          </w:p>
        </w:tc>
        <w:tc>
          <w:tcPr>
            <w:tcW w:w="3400" w:type="dxa"/>
            <w:vAlign w:val="bottom"/>
          </w:tcPr>
          <w:p>
            <w:pPr>
              <w:ind w:left="260"/>
              <w:spacing w:after="0"/>
              <w:rPr>
                <w:sz w:val="20"/>
                <w:szCs w:val="20"/>
                <w:color w:val="auto"/>
              </w:rPr>
            </w:pPr>
            <w:r>
              <w:rPr>
                <w:rFonts w:ascii="Arial" w:cs="Arial" w:eastAsia="Arial" w:hAnsi="Arial"/>
                <w:sz w:val="18"/>
                <w:szCs w:val="18"/>
                <w:color w:val="auto"/>
                <w:w w:val="97"/>
              </w:rPr>
              <w:t>significant role in the registrant’s internal</w:t>
            </w:r>
          </w:p>
        </w:tc>
      </w:tr>
      <w:tr>
        <w:trPr>
          <w:trHeight w:val="230"/>
        </w:trPr>
        <w:tc>
          <w:tcPr>
            <w:tcW w:w="4080" w:type="dxa"/>
            <w:vAlign w:val="bottom"/>
          </w:tcPr>
          <w:p>
            <w:pPr>
              <w:ind w:left="660"/>
              <w:spacing w:after="0"/>
              <w:rPr>
                <w:sz w:val="20"/>
                <w:szCs w:val="20"/>
                <w:color w:val="auto"/>
              </w:rPr>
            </w:pPr>
            <w:r>
              <w:rPr>
                <w:rFonts w:ascii="Arial" w:cs="Arial" w:eastAsia="Arial" w:hAnsi="Arial"/>
                <w:sz w:val="18"/>
                <w:szCs w:val="18"/>
                <w:color w:val="auto"/>
              </w:rPr>
              <w:t>control over financial reporting.</w:t>
            </w:r>
          </w:p>
        </w:tc>
        <w:tc>
          <w:tcPr>
            <w:tcW w:w="39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702"/>
        </w:trPr>
        <w:tc>
          <w:tcPr>
            <w:tcW w:w="4080" w:type="dxa"/>
            <w:vAlign w:val="bottom"/>
          </w:tcPr>
          <w:p>
            <w:pPr>
              <w:spacing w:after="0"/>
              <w:rPr>
                <w:sz w:val="20"/>
                <w:szCs w:val="20"/>
                <w:color w:val="auto"/>
              </w:rPr>
            </w:pPr>
            <w:r>
              <w:rPr>
                <w:rFonts w:ascii="Arial" w:cs="Arial" w:eastAsia="Arial" w:hAnsi="Arial"/>
                <w:sz w:val="18"/>
                <w:szCs w:val="18"/>
                <w:color w:val="auto"/>
              </w:rPr>
              <w:t>/s/ Alan Miller</w:t>
            </w:r>
          </w:p>
        </w:tc>
        <w:tc>
          <w:tcPr>
            <w:tcW w:w="3940" w:type="dxa"/>
            <w:vAlign w:val="bottom"/>
          </w:tcPr>
          <w:p>
            <w:pPr>
              <w:ind w:left="2240"/>
              <w:spacing w:after="0"/>
              <w:rPr>
                <w:sz w:val="20"/>
                <w:szCs w:val="20"/>
                <w:color w:val="auto"/>
              </w:rPr>
            </w:pPr>
            <w:r>
              <w:rPr>
                <w:rFonts w:ascii="Arial" w:cs="Arial" w:eastAsia="Arial" w:hAnsi="Arial"/>
                <w:sz w:val="18"/>
                <w:szCs w:val="18"/>
                <w:color w:val="auto"/>
              </w:rPr>
              <w:t>September 14, 2007</w:t>
            </w:r>
          </w:p>
        </w:tc>
        <w:tc>
          <w:tcPr>
            <w:tcW w:w="3400" w:type="dxa"/>
            <w:vAlign w:val="bottom"/>
          </w:tcPr>
          <w:p>
            <w:pPr>
              <w:spacing w:after="0"/>
              <w:rPr>
                <w:sz w:val="24"/>
                <w:szCs w:val="24"/>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3940" w:type="dxa"/>
            <w:vAlign w:val="bottom"/>
          </w:tcPr>
          <w:p>
            <w:pPr>
              <w:spacing w:after="0"/>
              <w:rPr>
                <w:sz w:val="10"/>
                <w:szCs w:val="10"/>
                <w:color w:val="auto"/>
              </w:rPr>
            </w:pPr>
          </w:p>
        </w:tc>
        <w:tc>
          <w:tcPr>
            <w:tcW w:w="3400" w:type="dxa"/>
            <w:vAlign w:val="bottom"/>
          </w:tcPr>
          <w:p>
            <w:pPr>
              <w:spacing w:after="0"/>
              <w:rPr>
                <w:sz w:val="10"/>
                <w:szCs w:val="10"/>
                <w:color w:val="auto"/>
              </w:rPr>
            </w:pPr>
          </w:p>
        </w:tc>
      </w:tr>
      <w:tr>
        <w:trPr>
          <w:trHeight w:val="313"/>
        </w:trPr>
        <w:tc>
          <w:tcPr>
            <w:tcW w:w="4080" w:type="dxa"/>
            <w:vAlign w:val="bottom"/>
          </w:tcPr>
          <w:p>
            <w:pPr>
              <w:spacing w:after="0"/>
              <w:rPr>
                <w:sz w:val="20"/>
                <w:szCs w:val="20"/>
                <w:color w:val="auto"/>
              </w:rPr>
            </w:pPr>
            <w:r>
              <w:rPr>
                <w:rFonts w:ascii="Arial" w:cs="Arial" w:eastAsia="Arial" w:hAnsi="Arial"/>
                <w:sz w:val="18"/>
                <w:szCs w:val="18"/>
                <w:color w:val="auto"/>
              </w:rPr>
              <w:t>Alan L. Miller</w:t>
            </w:r>
          </w:p>
        </w:tc>
        <w:tc>
          <w:tcPr>
            <w:tcW w:w="39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4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90"/>
        </w:trPr>
        <w:tc>
          <w:tcPr>
            <w:tcW w:w="40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-614680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2007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20"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September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25939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6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2007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35"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September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6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2019-12-13T01:34:57Z</dcterms:created>
  <dcterms:modified xsi:type="dcterms:W3CDTF">2019-12-13T01:34:57Z</dcterms:modified>
</cp:coreProperties>
</file>