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feim8k091026.htm"/>
      <w:bookmarkStart w:id="1" w:name="ksfeim8k091026"/>
      <w:bookmarkEnd w:id="0"/>
      <w:bookmarkEnd w:id="1"/>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9_edei--DocumentType_c20260910__20"/>
      <w:bookmarkEnd w:id="2"/>
      <w:r>
        <w:rPr>
          <w:rFonts w:ascii="Times New Roman;Times;Serif" w:hAnsi="Times New Roman;Times;Serif"/>
          <w:b/>
          <w:i w:val="false"/>
          <w:caps w:val="false"/>
          <w:smallCaps w:val="false"/>
          <w:sz w:val="32"/>
        </w:rPr>
        <w:t>8-K</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10, 2026</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6"/>
          <w:u w:val="single"/>
        </w:rPr>
      </w:pPr>
      <w:bookmarkStart w:id="4" w:name="xdx_909_edei--EntityRegistrantName_c2026"/>
      <w:bookmarkEnd w:id="4"/>
      <w:r>
        <w:rPr>
          <w:rFonts w:ascii="Times New Roman;Times;Serif" w:hAnsi="Times New Roman;Times;Serif"/>
          <w:b/>
          <w:i w:val="false"/>
          <w:caps w:val="false"/>
          <w:smallCaps w:val="false"/>
          <w:sz w:val="36"/>
          <w:u w:val="single"/>
        </w:rPr>
        <w:t>Frequency Electronics, Inc.</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560" w:type="dxa"/>
        <w:jc w:val="left"/>
        <w:tblInd w:w="0" w:type="dxa"/>
        <w:tblLayout w:type="fixed"/>
        <w:tblCellMar>
          <w:top w:w="0" w:type="dxa"/>
          <w:left w:w="0" w:type="dxa"/>
          <w:bottom w:w="28" w:type="dxa"/>
          <w:right w:w="0" w:type="dxa"/>
        </w:tblCellMar>
      </w:tblPr>
      <w:tblGrid>
        <w:gridCol w:w="2630"/>
        <w:gridCol w:w="60"/>
        <w:gridCol w:w="2615"/>
        <w:gridCol w:w="60"/>
        <w:gridCol w:w="2195"/>
      </w:tblGrid>
      <w:tr>
        <w:trPr/>
        <w:tc>
          <w:tcPr>
            <w:tcW w:w="2630" w:type="dxa"/>
            <w:tcBorders>
              <w:bottom w:val="single" w:sz="8" w:space="0" w:color="000000"/>
            </w:tcBorders>
            <w:vAlign w:val="center"/>
          </w:tcPr>
          <w:p>
            <w:pPr>
              <w:pStyle w:val="TableContents"/>
              <w:bidi w:val="0"/>
              <w:spacing w:before="0" w:after="283"/>
              <w:jc w:val="center"/>
              <w:rPr>
                <w:b/>
              </w:rPr>
            </w:pPr>
            <w:bookmarkStart w:id="5" w:name="xdx_901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7_edei--EntityFileNumber_c20260910"/>
            <w:bookmarkEnd w:id="6"/>
            <w:r>
              <w:rPr>
                <w:b/>
              </w:rPr>
              <w:t>1-8061</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8" w:space="0" w:color="000000"/>
            </w:tcBorders>
            <w:vAlign w:val="center"/>
          </w:tcPr>
          <w:p>
            <w:pPr>
              <w:pStyle w:val="TableContents"/>
              <w:bidi w:val="0"/>
              <w:spacing w:before="0" w:after="283"/>
              <w:jc w:val="center"/>
              <w:rPr>
                <w:b/>
              </w:rPr>
            </w:pPr>
            <w:bookmarkStart w:id="7" w:name="xdx_902_edei--EntityTaxIdentificationNum"/>
            <w:bookmarkEnd w:id="7"/>
            <w:r>
              <w:rPr>
                <w:b/>
              </w:rPr>
              <w:t>11-1986657</w:t>
            </w:r>
          </w:p>
        </w:tc>
      </w:tr>
      <w:tr>
        <w:trPr/>
        <w:tc>
          <w:tcPr>
            <w:tcW w:w="263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pPr>
            <w:r>
              <w:rPr/>
              <w:t xml:space="preserve">(IRS Employer </w:t>
              <w:br/>
              <w:t>Identification Number)</w:t>
            </w:r>
          </w:p>
        </w:tc>
      </w:tr>
    </w:tbl>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55 Charles Lindbergh Blvd.,</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Mitchel Field, </w:t>
      </w:r>
      <w:bookmarkStart w:id="10" w:name="xdx_902_edei--EntityAddressStateOrProvin"/>
      <w:bookmarkEnd w:id="10"/>
      <w:r>
        <w:rPr>
          <w:rFonts w:ascii="Times New Roman;Times;Serif" w:hAnsi="Times New Roman;Times;Serif"/>
          <w:b/>
          <w:i w:val="false"/>
          <w:caps w:val="false"/>
          <w:smallCaps w:val="false"/>
          <w:sz w:val="20"/>
        </w:rPr>
        <w:t>New York</w:t>
      </w:r>
      <w:r>
        <w:rPr>
          <w:rFonts w:ascii="Times New Roman;Times;Serif" w:hAnsi="Times New Roman;Times;Serif"/>
          <w:b w:val="false"/>
          <w:i w:val="false"/>
          <w:caps w:val="false"/>
          <w:smallCaps w:val="false"/>
          <w:sz w:val="20"/>
        </w:rPr>
        <w:t xml:space="preserve"> </w:t>
      </w:r>
      <w:bookmarkStart w:id="11" w:name="xdx_906_edei--EntityAddressPostalZipCode"/>
      <w:bookmarkEnd w:id="11"/>
      <w:r>
        <w:rPr>
          <w:rFonts w:ascii="Times New Roman;Times;Serif" w:hAnsi="Times New Roman;Times;Serif"/>
          <w:b/>
          <w:i w:val="false"/>
          <w:caps w:val="false"/>
          <w:smallCaps w:val="false"/>
          <w:sz w:val="20"/>
        </w:rPr>
        <w:t>11553</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B_edei--CityAreaCode_c20260910__20"/>
      <w:bookmarkEnd w:id="12"/>
      <w:r>
        <w:rPr>
          <w:rFonts w:ascii="Times New Roman;Times;Serif" w:hAnsi="Times New Roman;Times;Serif"/>
          <w:b/>
          <w:i w:val="false"/>
          <w:caps w:val="false"/>
          <w:smallCaps w:val="false"/>
          <w:sz w:val="20"/>
        </w:rPr>
        <w:t xml:space="preserve">516) </w:t>
      </w:r>
      <w:bookmarkStart w:id="13" w:name="xdx_903_edei--LocalPhoneNumber_c20260910"/>
      <w:bookmarkEnd w:id="13"/>
      <w:r>
        <w:rPr>
          <w:rFonts w:ascii="Times New Roman;Times;Serif" w:hAnsi="Times New Roman;Times;Serif"/>
          <w:b/>
          <w:i w:val="false"/>
          <w:caps w:val="false"/>
          <w:smallCaps w:val="false"/>
          <w:sz w:val="20"/>
        </w:rPr>
        <w:t>794-4500</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r>
        <w:rPr>
          <w:rFonts w:ascii="Times New Roman;Times;Serif" w:hAnsi="Times New Roman;Times;Serif"/>
          <w:b/>
          <w:i w:val="false"/>
          <w:caps w:val="false"/>
          <w:smallCaps w:val="false"/>
          <w:sz w:val="20"/>
        </w:rPr>
        <w:t>Not Applicable</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4" w:name="xdx_907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5" w:name="xdx_907_edei--SolicitingMaterial_c202609"/>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6" w:name="xdx_90F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7" w:name="xdx_903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35"/>
        <w:gridCol w:w="60"/>
        <w:gridCol w:w="1865"/>
        <w:gridCol w:w="60"/>
        <w:gridCol w:w="4285"/>
      </w:tblGrid>
      <w:tr>
        <w:trPr/>
        <w:tc>
          <w:tcPr>
            <w:tcW w:w="393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6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28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Name of each exchange on which registered</w:t>
            </w:r>
          </w:p>
        </w:tc>
      </w:tr>
      <w:tr>
        <w:trPr/>
        <w:tc>
          <w:tcPr>
            <w:tcW w:w="3935" w:type="dxa"/>
            <w:tcBorders/>
            <w:tcMar>
              <w:bottom w:w="0" w:type="dxa"/>
            </w:tcMar>
            <w:vAlign w:val="center"/>
          </w:tcPr>
          <w:p>
            <w:pPr>
              <w:pStyle w:val="TableContents"/>
              <w:bidi w:val="0"/>
              <w:spacing w:before="0" w:after="283"/>
              <w:jc w:val="center"/>
              <w:rPr/>
            </w:pPr>
            <w:bookmarkStart w:id="18" w:name="xdx_908_edei--Security12bTitle_c20260910"/>
            <w:bookmarkEnd w:id="18"/>
            <w:r>
              <w:rPr/>
              <w:t>Common Stock (par value $1.00 per share)</w:t>
            </w:r>
          </w:p>
        </w:tc>
        <w:tc>
          <w:tcPr>
            <w:tcW w:w="60" w:type="dxa"/>
            <w:tcBorders/>
            <w:tcMar>
              <w:bottom w:w="0" w:type="dxa"/>
            </w:tcMar>
            <w:vAlign w:val="center"/>
          </w:tcPr>
          <w:p>
            <w:pPr>
              <w:pStyle w:val="TableContents"/>
              <w:bidi w:val="0"/>
              <w:spacing w:before="0" w:after="283"/>
              <w:jc w:val="center"/>
              <w:rPr/>
            </w:pPr>
            <w:r>
              <w:rPr/>
              <w:t> </w:t>
            </w:r>
          </w:p>
        </w:tc>
        <w:tc>
          <w:tcPr>
            <w:tcW w:w="1865" w:type="dxa"/>
            <w:tcBorders/>
            <w:tcMar>
              <w:bottom w:w="0" w:type="dxa"/>
            </w:tcMar>
            <w:vAlign w:val="center"/>
          </w:tcPr>
          <w:p>
            <w:pPr>
              <w:pStyle w:val="TableContents"/>
              <w:bidi w:val="0"/>
              <w:spacing w:before="0" w:after="283"/>
              <w:jc w:val="center"/>
              <w:rPr/>
            </w:pPr>
            <w:bookmarkStart w:id="19" w:name="xdx_90A_edei--TradingSymbol_c20260910__2"/>
            <w:bookmarkEnd w:id="19"/>
            <w:r>
              <w:rPr/>
              <w:t>FEIM</w:t>
            </w:r>
          </w:p>
        </w:tc>
        <w:tc>
          <w:tcPr>
            <w:tcW w:w="60" w:type="dxa"/>
            <w:tcBorders/>
            <w:tcMar>
              <w:bottom w:w="0" w:type="dxa"/>
            </w:tcMar>
            <w:vAlign w:val="center"/>
          </w:tcPr>
          <w:p>
            <w:pPr>
              <w:pStyle w:val="TableContents"/>
              <w:bidi w:val="0"/>
              <w:spacing w:before="0" w:after="283"/>
              <w:jc w:val="center"/>
              <w:rPr/>
            </w:pPr>
            <w:r>
              <w:rPr/>
              <w:t> </w:t>
            </w:r>
          </w:p>
        </w:tc>
        <w:tc>
          <w:tcPr>
            <w:tcW w:w="4285" w:type="dxa"/>
            <w:tcBorders/>
            <w:tcMar>
              <w:bottom w:w="0" w:type="dxa"/>
            </w:tcMar>
            <w:vAlign w:val="center"/>
          </w:tcPr>
          <w:p>
            <w:pPr>
              <w:pStyle w:val="TableContents"/>
              <w:bidi w:val="0"/>
              <w:spacing w:before="0" w:after="283"/>
              <w:jc w:val="center"/>
              <w:rPr/>
            </w:pPr>
            <w:bookmarkStart w:id="20" w:name="xdx_901_edei--SecurityExchangeName_c2026"/>
            <w:bookmarkEnd w:id="20"/>
            <w:r>
              <w:rPr/>
              <w:t>NASDAQ Global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ind w:left="144" w:right="144"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Frequency Electronics, Inc. (the “Company”) issued a press release (the “Press Release”) announcing its financial results for the quarter ended July 31, 2026. A copy of the Press Release is attached as Exhibit 99.1 to this Current Report on Form 8-K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Item 2.02 of this Current Report on Form 8-K, including Exhibit 99.1 hereto, shall not be deemed “filed” for the purposes of Section 18 of the Securities Exchange Act of 1934, as amended, or otherwise subject to the liabilities of that section. The information in this Item 2.02 of this Current Report on Form 8-K, including Exhibit 99.1, shall not be incorporated by reference into any filing or other document pursuant to the Securities Act of 1933, as amended, except as shall be expressly set forth by specific reference in such filing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sz w:val="20"/>
              </w:rPr>
            </w:pPr>
            <w:r>
              <w:rPr>
                <w:sz w:val="20"/>
              </w:rPr>
              <w:t>99.1</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hyperlink w:anchor="feimex99-1.htm">
              <w:r>
                <w:rPr>
                  <w:rStyle w:val="InternetLink"/>
                  <w:sz w:val="20"/>
                </w:rPr>
                <w:t>Press release issued on September 10, 2026, by the Company announcing its financial results for the quarter ended July 31, 2026</w:t>
              </w:r>
            </w:hyperlink>
          </w:p>
        </w:tc>
      </w:tr>
      <w:tr>
        <w:trPr/>
        <w:tc>
          <w:tcPr>
            <w:tcW w:w="3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sz w:val="20"/>
              </w:rPr>
            </w:pPr>
            <w:r>
              <w:rPr>
                <w:sz w:val="20"/>
              </w:rPr>
              <w:t>Cover Page Interactive Data File (formatted in Inline XBRL)</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 w:right="144"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00" w:type="dxa"/>
        <w:jc w:val="left"/>
        <w:tblInd w:w="0" w:type="dxa"/>
        <w:tblLayout w:type="fixed"/>
        <w:tblCellMar>
          <w:top w:w="0" w:type="dxa"/>
          <w:left w:w="0" w:type="dxa"/>
          <w:bottom w:w="0" w:type="dxa"/>
          <w:right w:w="0" w:type="dxa"/>
        </w:tblCellMar>
      </w:tblPr>
      <w:tblGrid>
        <w:gridCol w:w="2135"/>
        <w:gridCol w:w="590"/>
        <w:gridCol w:w="387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10,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Steven L. Bernstein</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L. Bernstein</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feimex99-1.htm"/>
      <w:bookmarkStart w:id="23" w:name="ksfeim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Frequency Electronics, Inc. Announces First Quarter of Fiscal Year 2027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Announces Record Quarterly Revenue of $23.5 Million, Up 70% Year-over-Year and 52% Sequentially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Announces Record $129 Million Funded Backlog, up 82% Year-over-Year and 16% Sequentially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Strong Operating Leverage Demonstrated, with Operating Margin North of 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 September 10, 2026 – Frequency Electronics, Inc. (“FEI,” “Frequency,” the “Company,” “we” or “us”) (NASDAQ-FEIM) today announced its financial results for the first quarter of fiscal year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President and CEO, Tom McClelland, commented, “I am very pleased to report first quarter revenue of $23.5 million, an all-time record for FEI, up 70% year-over-year and up 52% sequentially. As we told you on our fourth quarter 2026 earnings call in July, we expect to return to growth starting in this current fiscal 2027, and this first quarter is a strong proof point of that. Further, this performance gives us increasing confidence in our ability to meet or exceed the $150 million or more in annual revenue that we previously guided to by Fiscal 2029, which ends April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Further growth is supported by our funded backlog, which reached a record $129 million at the end of our fiscal first quarter, up 82% year-over-year and 16% sequentially, as well as by our growing order book and the significantly larger end-markets that we are now selling into, all of which are based on technology that leverages our long-standing market leadership in space and defense applications. I look forward to sharing more color on exciting developments in our end-markets on our earnings call this afternoon.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strong revenue growth this quarter also allowed FEI to demonstrate significant profitability improvement, with gross margin expanding to approximately 46% and operating margin exceeding 22%. Further, we were cash-generative and expect to be so on annual basis going forward. We remain debt-free and our balance sheet was also significantly enhanced by the secondary offering we completed during the quarter, which added approximately $73 million in cash, of which approximately $14 million came in after the quarter ended. We will have more to say about this on the earnings call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 short, business is booming for FEI. We have many attractive organic growth opportunities that leverage our core strengths, and we look forward to continuing to demonstrate our ability to generate more profitable, cash-generative revenue growth for years to 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Results and Adjusted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months ended July 31, 2026, was approximately $23.5 million, compared to $13.8 million reported for the same period of fiscal year 2026. Operating income for the three months ended July 30, 2026 was $5.2 million, compared to an operating income of $0.4 million reported for the same period of the previous fiscal year. Net income from operations for the three months ended July 31, 2026, was $4.2 million or $0.41 per diluted share, compared to a net income from operations for the three months ended July 31, 2025 of $0.6 million or $0.07 per diluted share. Net cash provided by operating activities was approximately $3.0 million in the three months of fiscal year 2027, compared to net cash used in operations of $1.2 million for the same period of fiscal year 2026. Backlog at July 31, 2026 was approximately $129 million compared to $111 million at 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 will hold a conference call to discuss these results on Thursday, September 10, 2026, at 4:30 PM Eastern Time. Investors and analysts may access the call by dialing 1-888-506-0062. International callers may dial 1-973-528-0011. Callers should provide participant access code: 582877 or ask for the Frequency Electronics conference call. The archived call may be accessed by calling 1-877-481-4010 (domestic), or 1-919-882-2331 (international), for one week following the call (replay passcode: 54512). Subsequent to that, the call can be accessed via a link available on the Company’s website through December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Frequency Electronics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(FEI)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 FEI has received over 100 awards of excellence for achievements in providing high performance electronic assemblies for over 150 space and DOW programs. The Company invests significant resources in research and development to expand its capabilities and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FEI’s Mission Statement:</w:t>
      </w:r>
      <w:r>
        <w:rPr>
          <w:rFonts w:ascii="Times New Roman;Times;Serif" w:hAnsi="Times New Roman;Times;Serif"/>
          <w:b w:val="false"/>
          <w:i w:val="false"/>
          <w:caps w:val="false"/>
          <w:smallCaps w:val="false"/>
          <w:sz w:val="20"/>
        </w:rPr>
        <w:t xml:space="preserve"> “Our mission is to transform discoveries and demonstrations made in research laboratories into practical, real-world products. We are proud of a legacy which has delivered precision time and frequency generation products, for space and other world-changing applications that are unavailable from any other source. We aim to continue that legacy while adapting our products and expertise to the needs of the future. With a relentless emphasis on excellence in everything we do, we aim, in these ways, to create value for our customers, employees,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press release regarding future earnings and operations, including statements regarding our three-year gross margin target, our three-year operating margin target, our three-year revenue target and similar targets or objectives,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credit agreement, volatility in the Company’s stock price, including due to the relatively low trading volume of its common stock, and failure to maintain an effective system of internal controls over financial reporting. The factors listed above are not exhaustive and should be read in conjunction with the other cautionary statements that are included in this release and in our filings with the Securities and Exchange Commission. The Company’s Annual Report on Form 10-K for the fiscal year ended April 30, 2026, filed on July 17, 2026 with the Securities and Exchange Commission includes additional factors that could materially and adversely impact the Company’s business, financial condition and results of operations, as such factors are updated from time to time in our periodic filings with the Securities and Exchange Commission, which are accessible on the Securities and Exchange Commission’s website at www.sec.gov.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press release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1985"/>
        <w:gridCol w:w="6125"/>
      </w:tblGrid>
      <w:tr>
        <w:trPr/>
        <w:tc>
          <w:tcPr>
            <w:tcW w:w="1985" w:type="dxa"/>
            <w:tcBorders/>
            <w:vAlign w:val="center"/>
          </w:tcPr>
          <w:p>
            <w:pPr>
              <w:pStyle w:val="TableContents"/>
              <w:bidi w:val="0"/>
              <w:spacing w:before="0" w:after="283"/>
              <w:jc w:val="left"/>
              <w:rPr/>
            </w:pPr>
            <w:r>
              <w:rPr/>
              <w:t>Contact information:</w:t>
            </w:r>
          </w:p>
        </w:tc>
        <w:tc>
          <w:tcPr>
            <w:tcW w:w="6125" w:type="dxa"/>
            <w:tcBorders/>
            <w:vAlign w:val="center"/>
          </w:tcPr>
          <w:p>
            <w:pPr>
              <w:pStyle w:val="TableContents"/>
              <w:bidi w:val="0"/>
              <w:spacing w:before="0" w:after="283"/>
              <w:jc w:val="both"/>
              <w:rPr/>
            </w:pPr>
            <w:r>
              <w:rPr/>
              <w:t>Dr. Thomas McClelland, President and Chief Executive Officer;</w:t>
            </w:r>
          </w:p>
        </w:tc>
      </w:tr>
    </w:tbl>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Bernstein, Chief Financial Officer;</w:t>
      </w:r>
    </w:p>
    <w:p>
      <w:pPr>
        <w:pStyle w:val="TextBody"/>
        <w:bidi w:val="0"/>
        <w:spacing w:before="0" w:after="0"/>
        <w:ind w:left="180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3950"/>
        <w:gridCol w:w="1145"/>
        <w:gridCol w:w="1850"/>
      </w:tblGrid>
      <w:tr>
        <w:trPr/>
        <w:tc>
          <w:tcPr>
            <w:tcW w:w="3950" w:type="dxa"/>
            <w:tcBorders/>
            <w:vAlign w:val="center"/>
          </w:tcPr>
          <w:p>
            <w:pPr>
              <w:pStyle w:val="TableContents"/>
              <w:bidi w:val="0"/>
              <w:spacing w:before="0" w:after="283"/>
              <w:jc w:val="both"/>
              <w:rPr/>
            </w:pPr>
            <w:r>
              <w:rPr>
                <w:caps/>
              </w:rPr>
              <w:t>Telephone</w:t>
            </w:r>
            <w:r>
              <w:rPr/>
              <w:t>: (516) 794-4500 ext.5000</w:t>
            </w:r>
          </w:p>
        </w:tc>
        <w:tc>
          <w:tcPr>
            <w:tcW w:w="1145" w:type="dxa"/>
            <w:tcBorders/>
            <w:vAlign w:val="center"/>
          </w:tcPr>
          <w:p>
            <w:pPr>
              <w:pStyle w:val="TableContents"/>
              <w:bidi w:val="0"/>
              <w:spacing w:before="0" w:after="283"/>
              <w:jc w:val="both"/>
              <w:rPr/>
            </w:pPr>
            <w:r>
              <w:rPr>
                <w:smallCaps/>
              </w:rPr>
              <w:t>WEBSITE</w:t>
            </w:r>
            <w:r>
              <w:rPr>
                <w:b/>
              </w:rPr>
              <w:t>:</w:t>
            </w:r>
          </w:p>
        </w:tc>
        <w:tc>
          <w:tcPr>
            <w:tcW w:w="1850" w:type="dxa"/>
            <w:tcBorders/>
            <w:vAlign w:val="center"/>
          </w:tcPr>
          <w:p>
            <w:pPr>
              <w:pStyle w:val="TableContents"/>
              <w:bidi w:val="0"/>
              <w:spacing w:before="0" w:after="283"/>
              <w:jc w:val="both"/>
              <w:rPr/>
            </w:pPr>
            <w:r>
              <w:rPr/>
              <w:t>www.freqelec.com</w:t>
            </w:r>
          </w:p>
        </w:tc>
      </w:tr>
    </w:tbl>
    <w:p>
      <w:pPr>
        <w:pStyle w:val="TextBody"/>
        <w:bidi w:val="0"/>
        <w:spacing w:before="0" w:after="0"/>
        <w:ind w:left="180" w:right="0" w:hanging="180"/>
        <w:jc w:val="center"/>
        <w:rPr>
          <w:caps w:val="false"/>
          <w:smallCaps w:val="false"/>
        </w:rPr>
      </w:pPr>
      <w:r>
        <w:rPr>
          <w:caps w:val="false"/>
          <w:smallCaps w:val="false"/>
        </w:rPr>
        <w:t> </w:t>
      </w:r>
    </w:p>
    <w:p>
      <w:pPr>
        <w:pStyle w:val="TextBody"/>
        <w:bidi w:val="0"/>
        <w:spacing w:before="0" w:after="0"/>
        <w:ind w:left="180" w:right="0" w:hanging="1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180"/>
        <w:jc w:val="center"/>
        <w:rPr>
          <w:caps w:val="false"/>
          <w:smallCaps w:val="false"/>
        </w:rPr>
      </w:pPr>
      <w:r>
        <w:rPr>
          <w:caps w:val="false"/>
          <w:smallCaps w:val="false"/>
        </w:rPr>
        <w:t> </w:t>
      </w:r>
    </w:p>
    <w:p>
      <w:pPr>
        <w:pStyle w:val="TextBody"/>
        <w:bidi w:val="0"/>
        <w:spacing w:before="0" w:after="0"/>
        <w:ind w:left="18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5921" w:type="dxa"/>
        <w:jc w:val="left"/>
        <w:tblInd w:w="0" w:type="dxa"/>
        <w:tblLayout w:type="fixed"/>
        <w:tblCellMar>
          <w:top w:w="0" w:type="dxa"/>
          <w:left w:w="0" w:type="dxa"/>
          <w:bottom w:w="0" w:type="dxa"/>
          <w:right w:w="0" w:type="dxa"/>
        </w:tblCellMar>
      </w:tblPr>
      <w:tblGrid>
        <w:gridCol w:w="3545"/>
        <w:gridCol w:w="60"/>
        <w:gridCol w:w="175"/>
        <w:gridCol w:w="853"/>
        <w:gridCol w:w="75"/>
        <w:gridCol w:w="75"/>
        <w:gridCol w:w="175"/>
        <w:gridCol w:w="853"/>
        <w:gridCol w:w="110"/>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vAlign w:val="center"/>
          </w:tcPr>
          <w:p>
            <w:pPr>
              <w:pStyle w:val="TableContents"/>
              <w:bidi w:val="0"/>
              <w:spacing w:before="0" w:after="283"/>
              <w:jc w:val="center"/>
              <w:rPr>
                <w:b/>
              </w:rPr>
            </w:pPr>
            <w:r>
              <w:rPr>
                <w:b/>
              </w:rPr>
              <w:t>July 31,</w:t>
            </w:r>
          </w:p>
        </w:tc>
        <w:tc>
          <w:tcPr>
            <w:tcW w:w="11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23,451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13,812</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pPr>
            <w:r>
              <w:rPr/>
              <w:t>12,701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FFFFFF" w:val="clear"/>
            <w:tcMar>
              <w:bottom w:w="28" w:type="dxa"/>
            </w:tcMar>
            <w:vAlign w:val="center"/>
          </w:tcPr>
          <w:p>
            <w:pPr>
              <w:pStyle w:val="TableContents"/>
              <w:bidi w:val="0"/>
              <w:spacing w:before="0" w:after="283"/>
              <w:jc w:val="right"/>
              <w:rPr/>
            </w:pPr>
            <w:r>
              <w:rPr/>
              <w:t>8,730</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10,750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5,082</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4,105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3,585</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pPr>
            <w:r>
              <w:rPr/>
              <w:t>1,445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pPr>
            <w:r>
              <w:rPr/>
              <w:t>1,133</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Operating income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5,200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364</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Interest and other,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pPr>
            <w:r>
              <w:rPr/>
              <w:t>42</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pPr>
            <w:r>
              <w:rPr/>
              <w:t>193</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Income before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5,242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557</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(Benefit) provision for Income Taxes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pPr>
            <w:r>
              <w:rPr/>
              <w:t>1,026</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8" w:space="0" w:color="000000"/>
            </w:tcBorders>
            <w:shd w:fill="CCEEFF" w:val="clear"/>
            <w:tcMar>
              <w:bottom w:w="28" w:type="dxa"/>
            </w:tcMar>
            <w:vAlign w:val="center"/>
          </w:tcPr>
          <w:p>
            <w:pPr>
              <w:pStyle w:val="TableContents"/>
              <w:bidi w:val="0"/>
              <w:spacing w:before="0" w:after="283"/>
              <w:jc w:val="right"/>
              <w:rPr/>
            </w:pPr>
            <w:r>
              <w:rPr/>
              <w:t>(77</w:t>
            </w:r>
          </w:p>
        </w:tc>
        <w:tc>
          <w:tcPr>
            <w:tcW w:w="110" w:type="dxa"/>
            <w:tcBorders/>
            <w:shd w:fill="CCEEFF" w:val="clear"/>
            <w:vAlign w:val="center"/>
          </w:tcPr>
          <w:p>
            <w:pPr>
              <w:pStyle w:val="TableContents"/>
              <w:bidi w:val="0"/>
              <w:spacing w:before="0" w:after="283"/>
              <w:jc w:val="left"/>
              <w:rPr/>
            </w:pPr>
            <w:r>
              <w:rPr/>
              <w:t>)</w:t>
            </w:r>
          </w:p>
        </w:tc>
      </w:tr>
      <w:tr>
        <w:trPr/>
        <w:tc>
          <w:tcPr>
            <w:tcW w:w="354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pPr>
            <w:r>
              <w:rPr/>
              <w:t>4,216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pPr>
            <w:r>
              <w:rPr/>
              <w:t>634</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Net income per share: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Basic and diluted income per share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jc w:val="right"/>
              <w:rPr/>
            </w:pPr>
            <w:r>
              <w:rPr/>
              <w:t>0.41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jc w:val="right"/>
              <w:rPr/>
            </w:pPr>
            <w:r>
              <w:rPr/>
              <w:t>0.07</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pPr>
            <w:r>
              <w:rPr/>
              <w:t>10,232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bottom w:w="28" w:type="dxa"/>
            </w:tcMar>
            <w:vAlign w:val="center"/>
          </w:tcPr>
          <w:p>
            <w:pPr>
              <w:pStyle w:val="TableContents"/>
              <w:bidi w:val="0"/>
              <w:spacing w:before="0" w:after="283"/>
              <w:jc w:val="right"/>
              <w:rPr/>
            </w:pPr>
            <w:r>
              <w:rPr/>
              <w:t>9,723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7693" w:type="dxa"/>
        <w:jc w:val="left"/>
        <w:tblInd w:w="0" w:type="dxa"/>
        <w:tblLayout w:type="fixed"/>
        <w:tblCellMar>
          <w:top w:w="0" w:type="dxa"/>
          <w:left w:w="0" w:type="dxa"/>
          <w:bottom w:w="0" w:type="dxa"/>
          <w:right w:w="0" w:type="dxa"/>
        </w:tblCellMar>
      </w:tblPr>
      <w:tblGrid>
        <w:gridCol w:w="5315"/>
        <w:gridCol w:w="60"/>
        <w:gridCol w:w="179"/>
        <w:gridCol w:w="1025"/>
        <w:gridCol w:w="60"/>
        <w:gridCol w:w="60"/>
        <w:gridCol w:w="157"/>
        <w:gridCol w:w="762"/>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w:t>
              <w:br/>
              <w:t>2026</w:t>
              <w:b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both"/>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61,407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2" w:type="dxa"/>
            <w:tcBorders/>
            <w:shd w:fill="CCEEFF" w:val="clear"/>
            <w:vAlign w:val="center"/>
          </w:tcPr>
          <w:p>
            <w:pPr>
              <w:pStyle w:val="TableContents"/>
              <w:bidi w:val="0"/>
              <w:spacing w:before="0" w:after="283"/>
              <w:jc w:val="right"/>
              <w:rPr/>
            </w:pPr>
            <w:r>
              <w:rPr/>
              <w:t>1,603</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6,224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4,637</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19,637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17,277</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Inventories, net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22,206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22,618</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1,841</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Property, plant &amp; equipment, net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7,661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7,105</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Other 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12,801</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Deferred taxes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13,219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14,084</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Right-of-use assets – operating leases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7,409</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1,338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FFFFFF" w:val="clear"/>
            <w:tcMar>
              <w:bottom w:w="28" w:type="dxa"/>
            </w:tcMar>
            <w:vAlign w:val="center"/>
          </w:tcPr>
          <w:p>
            <w:pPr>
              <w:pStyle w:val="TableContents"/>
              <w:bidi w:val="0"/>
              <w:spacing w:before="0" w:after="283"/>
              <w:jc w:val="right"/>
              <w:rPr/>
            </w:pPr>
            <w:r>
              <w:rPr/>
              <w:t>1,331</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pPr>
            <w:r>
              <w:rPr/>
              <w:t>153,577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jc w:val="right"/>
              <w:rPr/>
            </w:pPr>
            <w:r>
              <w:rPr/>
              <w:t>90,706</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u w:val="single"/>
              </w:rPr>
            </w:pPr>
            <w:r>
              <w:rPr>
                <w:b/>
                <w:u w:val="single"/>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Lease liability - current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025" w:type="dxa"/>
            <w:tcBorders/>
            <w:shd w:fill="FFFFFF" w:val="clear"/>
            <w:vAlign w:val="center"/>
          </w:tcPr>
          <w:p>
            <w:pPr>
              <w:pStyle w:val="TableContents"/>
              <w:bidi w:val="0"/>
              <w:spacing w:before="0" w:after="283"/>
              <w:jc w:val="right"/>
              <w:rPr/>
            </w:pPr>
            <w:r>
              <w:rPr/>
              <w:t>1,679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2" w:type="dxa"/>
            <w:tcBorders/>
            <w:shd w:fill="FFFFFF" w:val="clear"/>
            <w:vAlign w:val="center"/>
          </w:tcPr>
          <w:p>
            <w:pPr>
              <w:pStyle w:val="TableContents"/>
              <w:bidi w:val="0"/>
              <w:spacing w:before="0" w:after="283"/>
              <w:jc w:val="right"/>
              <w:rPr/>
            </w:pPr>
            <w:r>
              <w:rPr/>
              <w:t>2,002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11,519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9,418</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7,612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9,564</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Other long-term obligations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7,671</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both"/>
              <w:rPr/>
            </w:pPr>
            <w:r>
              <w:rPr/>
              <w:t>Operating lease liability – non-current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5,283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pPr>
            <w:r>
              <w:rPr/>
              <w:t>5,648</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119,837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8" w:space="0" w:color="000000"/>
            </w:tcBorders>
            <w:shd w:fill="CCEEFF" w:val="clear"/>
            <w:tcMar>
              <w:bottom w:w="28" w:type="dxa"/>
            </w:tcMar>
            <w:vAlign w:val="center"/>
          </w:tcPr>
          <w:p>
            <w:pPr>
              <w:pStyle w:val="TableContents"/>
              <w:bidi w:val="0"/>
              <w:spacing w:before="0" w:after="283"/>
              <w:jc w:val="right"/>
              <w:rPr/>
            </w:pPr>
            <w:r>
              <w:rPr/>
              <w:t>56,403</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pPr>
            <w:r>
              <w:rPr/>
              <w:t>153,577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2" w:type="dxa"/>
            <w:tcBorders>
              <w:bottom w:val="double" w:sz="6" w:space="0" w:color="000000"/>
            </w:tcBorders>
            <w:shd w:fill="FFFFFF" w:val="clear"/>
            <w:tcMar>
              <w:bottom w:w="28" w:type="dxa"/>
            </w:tcMar>
            <w:vAlign w:val="center"/>
          </w:tcPr>
          <w:p>
            <w:pPr>
              <w:pStyle w:val="TableContents"/>
              <w:bidi w:val="0"/>
              <w:spacing w:before="0" w:after="283"/>
              <w:jc w:val="right"/>
              <w:rPr/>
            </w:pPr>
            <w:r>
              <w:rPr/>
              <w:t>90,706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2141</Words>
  <Characters>12013</Characters>
  <CharactersWithSpaces>14286</CharactersWithSpaces>
  <Paragraphs>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