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42"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39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163830</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9" w:lineRule="exact"/>
        <w:rPr>
          <w:sz w:val="24"/>
          <w:szCs w:val="24"/>
          <w:color w:val="auto"/>
        </w:rPr>
      </w:pPr>
    </w:p>
    <w:p>
      <w:pPr>
        <w:ind w:left="4020" w:right="1060" w:hanging="3585"/>
        <w:spacing w:after="0" w:line="498" w:lineRule="auto"/>
        <w:tabs>
          <w:tab w:leader="none" w:pos="10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April 30, 2022</w:t>
      </w:r>
    </w:p>
    <w:p>
      <w:pPr>
        <w:spacing w:after="0" w:line="1"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1000" w:hanging="565"/>
        <w:spacing w:after="0"/>
        <w:tabs>
          <w:tab w:leader="none" w:pos="10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5" w:lineRule="exact"/>
        <w:rPr>
          <w:sz w:val="24"/>
          <w:szCs w:val="24"/>
          <w:color w:val="auto"/>
        </w:rPr>
      </w:pPr>
    </w:p>
    <w:p>
      <w:pPr>
        <w:ind w:left="3220"/>
        <w:spacing w:after="0"/>
        <w:tabs>
          <w:tab w:leader="none" w:pos="65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3431540</wp:posOffset>
            </wp:positionH>
            <wp:positionV relativeFrom="paragraph">
              <wp:posOffset>-7620</wp:posOffset>
            </wp:positionV>
            <wp:extent cx="1488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8440" cy="8255"/>
                    </a:xfrm>
                    <a:prstGeom prst="rect">
                      <a:avLst/>
                    </a:prstGeom>
                    <a:noFill/>
                  </pic:spPr>
                </pic:pic>
              </a:graphicData>
            </a:graphic>
          </wp:anchor>
        </w:drawing>
      </w:r>
    </w:p>
    <w:p>
      <w:pPr>
        <w:spacing w:after="0" w:line="205"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Commission File No. 1-8061</w:t>
      </w:r>
    </w:p>
    <w:p>
      <w:pPr>
        <w:spacing w:after="0" w:line="196"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5"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6"/>
              </w:rPr>
              <w:t>11-1986657</w:t>
            </w:r>
          </w:p>
        </w:tc>
        <w:tc>
          <w:tcPr>
            <w:tcW w:w="4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8"/>
        </w:trPr>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92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20" w:type="dxa"/>
            <w:vAlign w:val="bottom"/>
            <w:gridSpan w:val="7"/>
          </w:tcPr>
          <w:p>
            <w:pPr>
              <w:jc w:val="center"/>
              <w:ind w:left="4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5980" w:type="dxa"/>
            <w:vAlign w:val="bottom"/>
            <w:gridSpan w:val="9"/>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55 CHARLES LINDBERGH BLVD., MITCHEL FIELD, N.Y.</w:t>
            </w:r>
          </w:p>
        </w:tc>
        <w:tc>
          <w:tcPr>
            <w:tcW w:w="232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11553</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4020" w:type="dxa"/>
            <w:vAlign w:val="bottom"/>
            <w:gridSpan w:val="5"/>
          </w:tcPr>
          <w:p>
            <w:pPr>
              <w:jc w:val="center"/>
              <w:ind w:left="6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60" w:type="dxa"/>
            <w:vAlign w:val="bottom"/>
            <w:gridSpan w:val="6"/>
          </w:tcPr>
          <w:p>
            <w:pPr>
              <w:jc w:val="center"/>
              <w:ind w:right="88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63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516-794-4500</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gridSpan w:val="12"/>
          </w:tcPr>
          <w:p>
            <w:pPr>
              <w:ind w:left="3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414"/>
        </w:trPr>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20" w:type="dxa"/>
            <w:vAlign w:val="bottom"/>
            <w:gridSpan w:val="7"/>
          </w:tcPr>
          <w:p>
            <w:pPr>
              <w:jc w:val="center"/>
              <w:ind w:left="1110"/>
              <w:spacing w:after="0"/>
              <w:rPr>
                <w:sz w:val="20"/>
                <w:szCs w:val="20"/>
                <w:color w:val="auto"/>
              </w:rPr>
            </w:pPr>
            <w:r>
              <w:rPr>
                <w:rFonts w:ascii="Times New Roman" w:cs="Times New Roman" w:eastAsia="Times New Roman" w:hAnsi="Times New Roman"/>
                <w:sz w:val="18"/>
                <w:szCs w:val="18"/>
                <w:color w:val="auto"/>
                <w:w w:val="99"/>
              </w:rPr>
              <w:t>Name of each exchange on</w:t>
            </w:r>
          </w:p>
        </w:tc>
      </w:tr>
      <w:tr>
        <w:trPr>
          <w:trHeight w:val="194"/>
        </w:trPr>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gridSpan w:val="4"/>
          </w:tcPr>
          <w:p>
            <w:pPr>
              <w:jc w:val="center"/>
              <w:ind w:right="1530"/>
              <w:spacing w:after="0" w:line="194"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gridSpan w:val="4"/>
          </w:tcPr>
          <w:p>
            <w:pPr>
              <w:jc w:val="center"/>
              <w:ind w:right="380"/>
              <w:spacing w:after="0" w:line="194" w:lineRule="exact"/>
              <w:rPr>
                <w:sz w:val="20"/>
                <w:szCs w:val="20"/>
                <w:color w:val="auto"/>
              </w:rPr>
            </w:pPr>
            <w:r>
              <w:rPr>
                <w:rFonts w:ascii="Times New Roman" w:cs="Times New Roman" w:eastAsia="Times New Roman" w:hAnsi="Times New Roman"/>
                <w:sz w:val="18"/>
                <w:szCs w:val="18"/>
                <w:color w:val="auto"/>
              </w:rPr>
              <w:t>Trading Symbol</w:t>
            </w:r>
          </w:p>
        </w:tc>
        <w:tc>
          <w:tcPr>
            <w:tcW w:w="1460" w:type="dxa"/>
            <w:vAlign w:val="bottom"/>
          </w:tcPr>
          <w:p>
            <w:pPr>
              <w:spacing w:after="0"/>
              <w:rPr>
                <w:sz w:val="16"/>
                <w:szCs w:val="16"/>
                <w:color w:val="auto"/>
              </w:rPr>
            </w:pPr>
          </w:p>
        </w:tc>
        <w:tc>
          <w:tcPr>
            <w:tcW w:w="1760" w:type="dxa"/>
            <w:vAlign w:val="bottom"/>
            <w:gridSpan w:val="6"/>
          </w:tcPr>
          <w:p>
            <w:pPr>
              <w:jc w:val="center"/>
              <w:ind w:right="240"/>
              <w:spacing w:after="0" w:line="194" w:lineRule="exact"/>
              <w:rPr>
                <w:sz w:val="20"/>
                <w:szCs w:val="20"/>
                <w:color w:val="auto"/>
              </w:rPr>
            </w:pPr>
            <w:r>
              <w:rPr>
                <w:rFonts w:ascii="Times New Roman" w:cs="Times New Roman" w:eastAsia="Times New Roman" w:hAnsi="Times New Roman"/>
                <w:sz w:val="18"/>
                <w:szCs w:val="18"/>
                <w:color w:val="auto"/>
              </w:rPr>
              <w:t>which registered</w:t>
            </w:r>
          </w:p>
        </w:tc>
      </w:tr>
      <w:tr>
        <w:trPr>
          <w:trHeight w:val="20"/>
        </w:trPr>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0" w:type="dxa"/>
            <w:vAlign w:val="bottom"/>
            <w:gridSpan w:val="4"/>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4020" w:type="dxa"/>
            <w:vAlign w:val="bottom"/>
            <w:gridSpan w:val="5"/>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200" w:type="dxa"/>
            <w:vAlign w:val="bottom"/>
          </w:tcPr>
          <w:p>
            <w:pPr>
              <w:spacing w:after="0"/>
              <w:rPr>
                <w:sz w:val="20"/>
                <w:szCs w:val="20"/>
                <w:color w:val="auto"/>
              </w:rPr>
            </w:pPr>
          </w:p>
        </w:tc>
        <w:tc>
          <w:tcPr>
            <w:tcW w:w="17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FEIM</w:t>
            </w:r>
          </w:p>
        </w:tc>
        <w:tc>
          <w:tcPr>
            <w:tcW w:w="3220" w:type="dxa"/>
            <w:vAlign w:val="bottom"/>
            <w:gridSpan w:val="7"/>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NASDAQ Global Market</w:t>
            </w:r>
          </w:p>
        </w:tc>
      </w:tr>
    </w:tbl>
    <w:p>
      <w:pPr>
        <w:spacing w:after="0" w:line="198"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5"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color w:val="auto"/>
        </w:rPr>
        <w:t>None</w:t>
      </w: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Section 15(d)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377190</wp:posOffset>
            </wp:positionV>
            <wp:extent cx="6960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340"/>
          </w:cols>
          <w:pgMar w:left="460" w:top="371" w:right="1099" w:bottom="1440" w:gutter="0" w:footer="0" w:header="0"/>
        </w:sectPr>
      </w:pPr>
    </w:p>
    <w:bookmarkStart w:id="1" w:name="page2"/>
    <w:bookmarkEnd w:id="1"/>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60"/>
          </w:cols>
          <w:pgMar w:left="460" w:top="553" w:right="479" w:bottom="1440" w:gutter="0" w:footer="0" w:header="0"/>
        </w:sectPr>
      </w:pPr>
    </w:p>
    <w:p>
      <w:pPr>
        <w:spacing w:after="0" w:line="14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2">
            <w:col w:w="4760" w:space="720"/>
            <w:col w:w="5480"/>
          </w:cols>
          <w:pgMar w:left="460" w:top="553" w:right="479" w:bottom="1440" w:gutter="0" w:footer="0" w:header="0"/>
          <w:type w:val="continuous"/>
        </w:sectPr>
      </w:pPr>
    </w:p>
    <w:p>
      <w:pPr>
        <w:spacing w:after="0" w:line="5"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market value of voting common equity held by non-affiliates of the registrant as of October 31, 2021 – $63,400,000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registrant’s Common Stock, par value $1.00 per share, as of July 8, 2022 – 9,296,800</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DOCUMENTS INCORPORATED BY REFERENCE: PART III incorporates information by reference from the definitive proxy statement to be filed for the Annual Meeting of Stockholders to be held on or about October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553" w:right="4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gridSpan w:val="11"/>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1220" w:type="dxa"/>
            <w:vAlign w:val="bottom"/>
          </w:tcPr>
          <w:p>
            <w:pPr>
              <w:spacing w:after="0"/>
              <w:rPr>
                <w:sz w:val="20"/>
                <w:szCs w:val="20"/>
                <w:color w:val="auto"/>
              </w:rPr>
            </w:pPr>
          </w:p>
        </w:tc>
      </w:tr>
      <w:tr>
        <w:trPr>
          <w:trHeight w:val="432"/>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60" w:type="dxa"/>
            <w:vAlign w:val="bottom"/>
            <w:gridSpan w:val="8"/>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20" w:type="dxa"/>
            <w:vAlign w:val="bottom"/>
          </w:tcPr>
          <w:p>
            <w:pPr>
              <w:spacing w:after="0"/>
              <w:rPr>
                <w:sz w:val="24"/>
                <w:szCs w:val="24"/>
                <w:color w:val="auto"/>
              </w:rPr>
            </w:pPr>
          </w:p>
        </w:tc>
      </w:tr>
      <w:tr>
        <w:trPr>
          <w:trHeight w:val="432"/>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0" w:type="dxa"/>
            <w:vAlign w:val="bottom"/>
            <w:gridSpan w:val="7"/>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220" w:type="dxa"/>
            <w:vAlign w:val="bottom"/>
          </w:tcPr>
          <w:p>
            <w:pPr>
              <w:spacing w:after="0"/>
              <w:rPr>
                <w:sz w:val="24"/>
                <w:szCs w:val="24"/>
                <w:color w:val="auto"/>
              </w:rPr>
            </w:pPr>
          </w:p>
        </w:tc>
      </w:tr>
      <w:tr>
        <w:trPr>
          <w:trHeight w:val="39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8240" w:type="dxa"/>
            <w:vAlign w:val="bottom"/>
            <w:gridSpan w:val="19"/>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7980" w:type="dxa"/>
            <w:vAlign w:val="bottom"/>
            <w:gridSpan w:val="16"/>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6840" w:type="dxa"/>
            <w:vAlign w:val="bottom"/>
            <w:gridSpan w:val="11"/>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453"/>
        </w:trPr>
        <w:tc>
          <w:tcPr>
            <w:tcW w:w="86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0" w:type="dxa"/>
            <w:vAlign w:val="bottom"/>
            <w:gridSpan w:val="7"/>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220" w:type="dxa"/>
            <w:vAlign w:val="bottom"/>
          </w:tcPr>
          <w:p>
            <w:pPr>
              <w:spacing w:after="0"/>
              <w:rPr>
                <w:sz w:val="24"/>
                <w:szCs w:val="24"/>
                <w:color w:val="auto"/>
              </w:rPr>
            </w:pPr>
          </w:p>
        </w:tc>
      </w:tr>
      <w:tr>
        <w:trPr>
          <w:trHeight w:val="39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82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420" w:type="dxa"/>
            <w:vAlign w:val="bottom"/>
            <w:gridSpan w:val="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520" w:type="dxa"/>
            <w:vAlign w:val="bottom"/>
            <w:gridSpan w:val="6"/>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8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24-50</w:t>
            </w: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420" w:type="dxa"/>
            <w:vAlign w:val="bottom"/>
            <w:gridSpan w:val="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7120" w:type="dxa"/>
            <w:vAlign w:val="bottom"/>
            <w:gridSpan w:val="1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3980" w:type="dxa"/>
            <w:vAlign w:val="bottom"/>
            <w:gridSpan w:val="5"/>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453"/>
        </w:trPr>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0" w:type="dxa"/>
            <w:vAlign w:val="bottom"/>
            <w:gridSpan w:val="7"/>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220" w:type="dxa"/>
            <w:vAlign w:val="bottom"/>
          </w:tcPr>
          <w:p>
            <w:pPr>
              <w:spacing w:after="0"/>
              <w:rPr>
                <w:sz w:val="24"/>
                <w:szCs w:val="24"/>
                <w:color w:val="auto"/>
              </w:rPr>
            </w:pPr>
          </w:p>
        </w:tc>
      </w:tr>
      <w:tr>
        <w:trPr>
          <w:trHeight w:val="39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tcBorders>
              <w:top w:val="single" w:sz="8" w:color="0000EE"/>
            </w:tcBorders>
            <w:gridSpan w:val="5"/>
          </w:tcPr>
          <w:p>
            <w:pPr>
              <w:spacing w:after="0"/>
              <w:rPr>
                <w:sz w:val="17"/>
                <w:szCs w:val="17"/>
                <w:color w:val="auto"/>
              </w:rPr>
            </w:pPr>
          </w:p>
        </w:tc>
        <w:tc>
          <w:tcPr>
            <w:tcW w:w="4800" w:type="dxa"/>
            <w:vAlign w:val="bottom"/>
            <w:gridSpan w:val="7"/>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600" w:type="dxa"/>
            <w:vAlign w:val="bottom"/>
            <w:gridSpan w:val="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3440" w:type="dxa"/>
            <w:vAlign w:val="bottom"/>
            <w:gridSpan w:val="4"/>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453"/>
        </w:trPr>
        <w:tc>
          <w:tcPr>
            <w:tcW w:w="86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0" w:type="dxa"/>
            <w:vAlign w:val="bottom"/>
            <w:gridSpan w:val="7"/>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220" w:type="dxa"/>
            <w:vAlign w:val="bottom"/>
          </w:tcPr>
          <w:p>
            <w:pPr>
              <w:spacing w:after="0"/>
              <w:rPr>
                <w:sz w:val="24"/>
                <w:szCs w:val="24"/>
                <w:color w:val="auto"/>
              </w:rPr>
            </w:pPr>
          </w:p>
        </w:tc>
      </w:tr>
      <w:tr>
        <w:trPr>
          <w:trHeight w:val="39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5720" w:type="dxa"/>
            <w:vAlign w:val="bottom"/>
            <w:gridSpan w:val="9"/>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8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7340" w:type="dxa"/>
            <w:vAlign w:val="bottom"/>
            <w:gridSpan w:val="1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97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554"/>
        </w:trPr>
        <w:tc>
          <w:tcPr>
            <w:tcW w:w="8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0960"/>
          </w:cols>
          <w:pgMar w:left="460" w:top="549" w:right="479" w:bottom="1440" w:gutter="0" w:footer="0" w:header="0"/>
        </w:sectPr>
      </w:pPr>
    </w:p>
    <w:bookmarkStart w:id="3" w:name="page4"/>
    <w:bookmarkEnd w:id="3"/>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Item 1. Business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GENERAL DISCUSSION</w:t>
      </w:r>
    </w:p>
    <w:p>
      <w:pPr>
        <w:spacing w:after="0" w:line="225" w:lineRule="exact"/>
        <w:rPr>
          <w:sz w:val="20"/>
          <w:szCs w:val="20"/>
          <w:color w:val="auto"/>
        </w:rPr>
      </w:pPr>
    </w:p>
    <w:p>
      <w:pPr>
        <w:jc w:val="both"/>
        <w:ind w:left="2" w:right="20" w:firstLine="648"/>
        <w:spacing w:after="0" w:line="261" w:lineRule="auto"/>
        <w:rPr>
          <w:sz w:val="20"/>
          <w:szCs w:val="20"/>
          <w:color w:val="auto"/>
        </w:rPr>
      </w:pPr>
      <w:r>
        <w:rPr>
          <w:rFonts w:ascii="Times New Roman" w:cs="Times New Roman" w:eastAsia="Times New Roman" w:hAnsi="Times New Roman"/>
          <w:sz w:val="18"/>
          <w:szCs w:val="18"/>
          <w:color w:val="auto"/>
        </w:rPr>
        <w:t>Frequency Electronics, Inc. (sometimes referred to as “Registrant”, “FEI”, “Frequency Electronics” or the “Company”) is a world leader in precision time and frequency generation technology, which is incorporated into commercial and Government Satellites, Command, Control, Communication, Computer, Intelligence, Surveillance and Reconnaissance (“C4ISR”), and Electronic Warfare (“EW”) systems. Its technology is used for a wide range of space and non-space applications.</w:t>
      </w:r>
    </w:p>
    <w:p>
      <w:pPr>
        <w:spacing w:after="0" w:line="180" w:lineRule="exact"/>
        <w:rPr>
          <w:sz w:val="20"/>
          <w:szCs w:val="20"/>
          <w:color w:val="auto"/>
        </w:rPr>
      </w:pPr>
    </w:p>
    <w:p>
      <w:pPr>
        <w:jc w:val="both"/>
        <w:ind w:left="2"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Unless the context indicates otherwise, references to the Registrant or the Company are to Frequency Electronics, Inc. and its subsidiaries. References to “FEI” are to the parent company alone and do not refer to any of the subsidiaries. Frequency Electronics, a Delaware corporation, has its principal executive office at 55 Charles Lindbergh Boulevard, Mitchel Field, New York 11553. Its telephone number is 516-794-4500 and its website is </w:t>
      </w:r>
      <w:r>
        <w:rPr>
          <w:rFonts w:ascii="Times New Roman" w:cs="Times New Roman" w:eastAsia="Times New Roman" w:hAnsi="Times New Roman"/>
          <w:sz w:val="18"/>
          <w:szCs w:val="18"/>
          <w:i w:val="1"/>
          <w:iCs w:val="1"/>
          <w:color w:val="auto"/>
        </w:rPr>
        <w:t>www.frequencyelectronics.com.</w:t>
      </w:r>
    </w:p>
    <w:p>
      <w:pPr>
        <w:spacing w:after="0" w:line="180" w:lineRule="exact"/>
        <w:rPr>
          <w:sz w:val="20"/>
          <w:szCs w:val="20"/>
          <w:color w:val="auto"/>
        </w:rPr>
      </w:pPr>
    </w:p>
    <w:p>
      <w:pPr>
        <w:jc w:val="both"/>
        <w:ind w:left="2" w:right="20" w:firstLine="648"/>
        <w:spacing w:after="0" w:line="258" w:lineRule="auto"/>
        <w:rPr>
          <w:sz w:val="20"/>
          <w:szCs w:val="20"/>
          <w:color w:val="auto"/>
        </w:rPr>
      </w:pPr>
      <w:r>
        <w:rPr>
          <w:rFonts w:ascii="Times New Roman" w:cs="Times New Roman" w:eastAsia="Times New Roman" w:hAnsi="Times New Roman"/>
          <w:sz w:val="18"/>
          <w:szCs w:val="18"/>
          <w:color w:val="auto"/>
        </w:rPr>
        <w:t>Frequency Electronics was founded in 1961 as a research and development firm generating proprietary precision time and frequency technology primarily under contracts for end-use by the United States (“U.S.”) Government.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spacing w:after="0" w:line="1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MARKETS</w:t>
      </w:r>
    </w:p>
    <w:p>
      <w:pPr>
        <w:spacing w:after="0" w:line="225" w:lineRule="exact"/>
        <w:rPr>
          <w:sz w:val="20"/>
          <w:szCs w:val="20"/>
          <w:color w:val="auto"/>
        </w:rPr>
      </w:pPr>
    </w:p>
    <w:p>
      <w:pPr>
        <w:jc w:val="both"/>
        <w:ind w:left="2"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principal end markets are time and frequency generation and distribution systems for use in satellite payloads and terrestrial secure command control and communications systems.</w:t>
      </w:r>
    </w:p>
    <w:p>
      <w:pPr>
        <w:spacing w:after="0" w:line="162" w:lineRule="exact"/>
        <w:rPr>
          <w:sz w:val="20"/>
          <w:szCs w:val="20"/>
          <w:color w:val="auto"/>
        </w:rPr>
      </w:pPr>
    </w:p>
    <w:p>
      <w:pPr>
        <w:jc w:val="both"/>
        <w:ind w:left="2" w:firstLine="648"/>
        <w:spacing w:after="0" w:line="256" w:lineRule="auto"/>
        <w:rPr>
          <w:sz w:val="20"/>
          <w:szCs w:val="20"/>
          <w:color w:val="auto"/>
        </w:rPr>
      </w:pPr>
      <w:r>
        <w:rPr>
          <w:rFonts w:ascii="Times New Roman" w:cs="Times New Roman" w:eastAsia="Times New Roman" w:hAnsi="Times New Roman"/>
          <w:sz w:val="18"/>
          <w:szCs w:val="18"/>
          <w:color w:val="auto"/>
        </w:rPr>
        <w:t>For the satellite market, the Company has a unique legacy of providing master timing systems, power converters, and frequency generation, synthesis and distribution systems. These products are applicable for both commercial and U.S. Government end-use. Currently, there are approximately 3,000 U.S. satellites with varying remaining useful lives operating in Geostationary, Medium and Low Earth Orbits. The number of operational satellites with emphasis on high-throughput is expected to continue to grow over the next ten years as demand for higher bandwidths and improved anti-jam-anti-spoofing increases. Furthermore, the U.S. Government is expected to contract options for additional GPS III satellites, and the Company is well positioned to compete for the onboard clock ensemble with its high-precision digital Rubidium atomic frequency standard.</w:t>
      </w:r>
    </w:p>
    <w:p>
      <w:pPr>
        <w:spacing w:after="0" w:line="187" w:lineRule="exact"/>
        <w:rPr>
          <w:sz w:val="20"/>
          <w:szCs w:val="20"/>
          <w:color w:val="auto"/>
        </w:rPr>
      </w:pPr>
    </w:p>
    <w:p>
      <w:pPr>
        <w:jc w:val="both"/>
        <w:ind w:left="2" w:right="20" w:firstLine="648"/>
        <w:spacing w:after="0" w:line="258" w:lineRule="auto"/>
        <w:rPr>
          <w:sz w:val="20"/>
          <w:szCs w:val="20"/>
          <w:color w:val="auto"/>
        </w:rPr>
      </w:pPr>
      <w:r>
        <w:rPr>
          <w:rFonts w:ascii="Times New Roman" w:cs="Times New Roman" w:eastAsia="Times New Roman" w:hAnsi="Times New Roman"/>
          <w:sz w:val="18"/>
          <w:szCs w:val="18"/>
          <w:color w:val="auto"/>
        </w:rPr>
        <w:t>For the terrestrial secure command control and communications systems market, the Company’s products support multiple C4ISR and EW applications for the U.S. Government on land, sea and air-borne platforms. Recently identified threats to the communication capabilities of U.S. Government facilities through jamming or “spoofing” global positioning systems (“GPS”) signals may be mitigated by the Company’s technologies. In addition, similar types of threats to the public and enterprise networks have been identified by the U.S. Department of Homeland Security. The Company’s high precision, ruggedized clocks combined with specialized software are essential for certain secure communication systems.</w:t>
      </w:r>
    </w:p>
    <w:p>
      <w:pPr>
        <w:spacing w:after="0" w:line="183" w:lineRule="exact"/>
        <w:rPr>
          <w:sz w:val="20"/>
          <w:szCs w:val="20"/>
          <w:color w:val="auto"/>
        </w:rPr>
      </w:pPr>
    </w:p>
    <w:p>
      <w:pPr>
        <w:jc w:val="both"/>
        <w:ind w:left="2" w:firstLine="648"/>
        <w:spacing w:after="0" w:line="266" w:lineRule="auto"/>
        <w:rPr>
          <w:sz w:val="20"/>
          <w:szCs w:val="20"/>
          <w:color w:val="auto"/>
        </w:rPr>
      </w:pPr>
      <w:r>
        <w:rPr>
          <w:rFonts w:ascii="Times New Roman" w:cs="Times New Roman" w:eastAsia="Times New Roman" w:hAnsi="Times New Roman"/>
          <w:sz w:val="18"/>
          <w:szCs w:val="18"/>
          <w:color w:val="auto"/>
        </w:rPr>
        <w:t>To address these markets, the Company has several corporate entities which operate under two reportable segments primarily based on the geographic locations of its subsidiaries. The two reportable segments are (1) FEI-NY, which includes the subsidiaries FEI Government Systems, Inc., FEI Communications, Inc., and FEI-Elcom Tech, Inc. (“FEI-Elcom”) and (2) FEI-Zyfer, Inc. (“FEI-Zyfer”).</w:t>
      </w:r>
    </w:p>
    <w:p>
      <w:pPr>
        <w:spacing w:after="0" w:line="176" w:lineRule="exact"/>
        <w:rPr>
          <w:sz w:val="20"/>
          <w:szCs w:val="20"/>
          <w:color w:val="auto"/>
        </w:rPr>
      </w:pPr>
    </w:p>
    <w:p>
      <w:pPr>
        <w:jc w:val="both"/>
        <w:ind w:left="2" w:right="20" w:firstLine="648"/>
        <w:spacing w:after="0" w:line="282" w:lineRule="auto"/>
        <w:rPr>
          <w:sz w:val="20"/>
          <w:szCs w:val="20"/>
          <w:color w:val="auto"/>
        </w:rPr>
      </w:pPr>
      <w:r>
        <w:rPr>
          <w:rFonts w:ascii="Times New Roman" w:cs="Times New Roman" w:eastAsia="Times New Roman" w:hAnsi="Times New Roman"/>
          <w:sz w:val="18"/>
          <w:szCs w:val="18"/>
          <w:color w:val="auto"/>
        </w:rPr>
        <w:t>Frequency Electronics has made a strategic decision to focus on satellite payloads, C4ISR and EW market segments, because these business areas represent significant opportunities for revenue growth.</w:t>
      </w:r>
    </w:p>
    <w:p>
      <w:pPr>
        <w:spacing w:after="0" w:line="158" w:lineRule="exact"/>
        <w:rPr>
          <w:sz w:val="20"/>
          <w:szCs w:val="20"/>
          <w:color w:val="auto"/>
        </w:rPr>
      </w:pPr>
    </w:p>
    <w:p>
      <w:pPr>
        <w:ind w:left="2" w:right="20" w:hanging="2"/>
        <w:spacing w:after="0" w:line="286" w:lineRule="auto"/>
        <w:tabs>
          <w:tab w:leader="none" w:pos="1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FEI-NY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U.S. Government and commercial satellite electronics, as well as products for the U.S. military and commercial telecom customers,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and manufactured at the Company’s Long Island, New York headquarters facility.</w:t>
      </w:r>
    </w:p>
    <w:p>
      <w:pPr>
        <w:spacing w:after="0" w:line="1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549" w:right="459" w:bottom="1440" w:gutter="0" w:footer="0" w:header="0"/>
        </w:sectPr>
      </w:pPr>
    </w:p>
    <w:bookmarkStart w:id="4" w:name="page5"/>
    <w:bookmarkEnd w:id="4"/>
    <w:p>
      <w:pPr>
        <w:ind w:left="2"/>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2" w:right="20" w:firstLine="648"/>
        <w:spacing w:after="0" w:line="255" w:lineRule="auto"/>
        <w:rPr>
          <w:sz w:val="20"/>
          <w:szCs w:val="20"/>
          <w:color w:val="auto"/>
        </w:rPr>
      </w:pPr>
      <w:r>
        <w:rPr>
          <w:rFonts w:ascii="Times New Roman" w:cs="Times New Roman" w:eastAsia="Times New Roman" w:hAnsi="Times New Roman"/>
          <w:sz w:val="18"/>
          <w:szCs w:val="18"/>
          <w:color w:val="auto"/>
        </w:rPr>
        <w:t>FEI-Elcom designs and manufactures Radio Frequency (“RF”) microwave modules, devices and subsystems up to 60 GHz including fast switching, ultra-low phase noise synthesizers, up-down converters, receivers, tuners, ceramic resonance oscillators and dielectric resonance oscillators. These instruments and components are mission critical for multiple applications in the EW market, SATCOM communication, surveillance, signal intelligence (COMINT, MASINT and ELINT), threat simulation, electronic attack (“EA”) and electronic prevention (“EP”) systems. FEI-Elcom’s RF microwave technology has also been utilized to develop new products for application in the Company’s satellite payload end market. The Company began consolidating FEI-Elcom’s manufacturing capabilities into its FEI-NY operations in 2020, in an effort to reduce costs and improve margin. These efforts continue.</w:t>
      </w:r>
    </w:p>
    <w:p>
      <w:pPr>
        <w:spacing w:after="0" w:line="185" w:lineRule="exact"/>
        <w:rPr>
          <w:sz w:val="20"/>
          <w:szCs w:val="20"/>
          <w:color w:val="auto"/>
        </w:rPr>
      </w:pPr>
    </w:p>
    <w:p>
      <w:pPr>
        <w:jc w:val="both"/>
        <w:ind w:left="2" w:right="20" w:hanging="2"/>
        <w:spacing w:after="0" w:line="268" w:lineRule="auto"/>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FEI-Zyfer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Precision time references for terrestrial secure communications and command and control, and frequency products that incorporate GPS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are manufactured by the Company’s subsidiary, FEI-Zyfer. FEI-Zyfer’s GPS capability complements the Company’s existing technologies and permits the combined entities to provide a broader range of embedded systems for a variety of timing functions and anti-spoofing applications.</w:t>
      </w:r>
    </w:p>
    <w:p>
      <w:pPr>
        <w:spacing w:after="0" w:line="17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For additional information about these reportable segments, see Item 1. Business – Reportable Segments and Products below.</w:t>
      </w:r>
    </w:p>
    <w:p>
      <w:pPr>
        <w:spacing w:after="0" w:line="225" w:lineRule="exact"/>
        <w:rPr>
          <w:sz w:val="20"/>
          <w:szCs w:val="20"/>
          <w:color w:val="auto"/>
        </w:rPr>
      </w:pPr>
    </w:p>
    <w:p>
      <w:pPr>
        <w:jc w:val="both"/>
        <w:ind w:left="2" w:firstLine="648"/>
        <w:spacing w:after="0" w:line="255" w:lineRule="auto"/>
        <w:rPr>
          <w:sz w:val="20"/>
          <w:szCs w:val="20"/>
          <w:color w:val="auto"/>
        </w:rPr>
      </w:pPr>
      <w:r>
        <w:rPr>
          <w:rFonts w:ascii="Times New Roman" w:cs="Times New Roman" w:eastAsia="Times New Roman" w:hAnsi="Times New Roman"/>
          <w:sz w:val="18"/>
          <w:szCs w:val="18"/>
          <w:color w:val="auto"/>
        </w:rPr>
        <w:t>In addition to its subsidiaries, the Company made a strategic investment in and licensed certain technology to Morion, Inc. (“Morion”), a Russian crystal oscillator manufacturer located in St. Petersburg, Russia. The Company’s relationship with Morion, which includes ownership of 4.6% of the outstanding shares of Morion’s common stock, permits the Company to secure a cost-effective source for high precision quartz resonators and crystal oscillators. The Morion investment was accounted for under the cost method. Due to the current Russian-Ukraine conflict and resulting sanctions, the future status of FEI’s equity investment in Morion is uncertain. In response to these conditions, in connection with the preparation of the audited financial statements included in this annual report on Form 10-K, the Company impaired its investment in Morion in full. For more information regarding the Company’s investment in Morion, see Note 10 to the Consolidated Financial Statements.</w:t>
      </w:r>
    </w:p>
    <w:p>
      <w:pPr>
        <w:spacing w:after="0" w:line="18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REPORTABLE SEGMENTS AND PRODUCTS</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The Company operates under two reportable segments, primarily aligned with the geographical locations of its subsidiaries: (1) FEI-NY and</w:t>
      </w:r>
    </w:p>
    <w:p>
      <w:pPr>
        <w:spacing w:after="0" w:line="27" w:lineRule="exact"/>
        <w:rPr>
          <w:sz w:val="20"/>
          <w:szCs w:val="20"/>
          <w:color w:val="auto"/>
        </w:rPr>
      </w:pPr>
    </w:p>
    <w:p>
      <w:pPr>
        <w:jc w:val="both"/>
        <w:ind w:left="2" w:hanging="2"/>
        <w:spacing w:after="0" w:line="251" w:lineRule="auto"/>
        <w:tabs>
          <w:tab w:leader="none" w:pos="2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FEI-Zyfer. Within each segment the Company designs, develops, manufactures and markets precision time and frequency control products for different markets as described below. The Company’s Chief Executive Officer measures segment performance based on total revenues and profits generated by each geographic center rather than on the specific types of customers or end-users. Consequently, the Company determined that the segments indicated above appropriately reflect the way the Company’s management views the business. The FEI-NY segment, which operates out of the Company’s Long Island, New York headquarters facility, also includes the operations of the Company’s wholly-owned subsidiary, FEI-Elcom. FEI-Elcom, in addition to its own product line, provides design and technical support for the FEI-NY segment’s business. The products manufactured by the FEI-NY segment are principally marketed to the commercial and U.S. Government satellite markets, to other U.S. Department of Defense (“DOD”) customers and to wireless communications network providers. The FEI-Zyfer segment, which operates out of California, designs and manufactures products which incorporate GPS technologies and high-precision clocks designed and manufactured at FEI-NY. FEI-Zyfer sells its products to both commercial and U.S. Government customers and collaborates with FEI-NY on joint product development activities.</w:t>
      </w:r>
    </w:p>
    <w:p>
      <w:pPr>
        <w:spacing w:after="0" w:line="193" w:lineRule="exact"/>
        <w:rPr>
          <w:sz w:val="20"/>
          <w:szCs w:val="20"/>
          <w:color w:val="auto"/>
        </w:rPr>
      </w:pPr>
    </w:p>
    <w:p>
      <w:pPr>
        <w:jc w:val="both"/>
        <w:ind w:left="2" w:right="20" w:firstLine="648"/>
        <w:spacing w:after="0" w:line="266" w:lineRule="auto"/>
        <w:rPr>
          <w:sz w:val="20"/>
          <w:szCs w:val="20"/>
          <w:color w:val="auto"/>
        </w:rPr>
      </w:pPr>
      <w:r>
        <w:rPr>
          <w:rFonts w:ascii="Times New Roman" w:cs="Times New Roman" w:eastAsia="Times New Roman" w:hAnsi="Times New Roman"/>
          <w:sz w:val="18"/>
          <w:szCs w:val="18"/>
          <w:color w:val="auto"/>
        </w:rPr>
        <w:t>During fiscal years 2022 and 2021, approximately 85% and 78%, respectively, of the Company’s consolidated revenues were from products sold by the FEI-NY segment. In fiscal years 2022 and 2021, sales for the FEI-Zyfer segment were 16% and 26% of consolidated revenues. (The sum of annual sales percentages exceeds 100% due to intersegment sales.)</w:t>
      </w:r>
    </w:p>
    <w:p>
      <w:pPr>
        <w:spacing w:after="0" w:line="176" w:lineRule="exact"/>
        <w:rPr>
          <w:sz w:val="20"/>
          <w:szCs w:val="20"/>
          <w:color w:val="auto"/>
        </w:rPr>
      </w:pPr>
    </w:p>
    <w:p>
      <w:pPr>
        <w:jc w:val="both"/>
        <w:ind w:left="2" w:right="20" w:firstLine="648"/>
        <w:spacing w:after="0" w:line="266" w:lineRule="auto"/>
        <w:rPr>
          <w:sz w:val="20"/>
          <w:szCs w:val="20"/>
          <w:color w:val="auto"/>
        </w:rPr>
      </w:pPr>
      <w:r>
        <w:rPr>
          <w:rFonts w:ascii="Times New Roman" w:cs="Times New Roman" w:eastAsia="Times New Roman" w:hAnsi="Times New Roman"/>
          <w:sz w:val="18"/>
          <w:szCs w:val="18"/>
          <w:color w:val="auto"/>
        </w:rPr>
        <w:t>Consolidated revenues include sales to end-users in countries located outside of the U.S., primarily in Europe and China. During fiscal years 2022 and 2021, foreign sales comprised 2% and 3%, respectively, of consolidated revenues. For segment information, see Note 13 to the Consolidated Financial Statements.</w:t>
      </w:r>
    </w:p>
    <w:p>
      <w:pPr>
        <w:spacing w:after="0" w:line="1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FEI-NY S</w:t>
      </w:r>
      <w:r>
        <w:rPr>
          <w:rFonts w:ascii="Times New Roman" w:cs="Times New Roman" w:eastAsia="Times New Roman" w:hAnsi="Times New Roman"/>
          <w:sz w:val="12"/>
          <w:szCs w:val="12"/>
          <w:b w:val="1"/>
          <w:bCs w:val="1"/>
          <w:color w:val="auto"/>
        </w:rPr>
        <w:t>egment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2"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provides precision time, frequency generation and synchronization products and subsystems that are found on-board satellites, in ground-based communication systems and imbedded in mobile platforms operated by the U.S. military. The Company has made a substantial investment in research and development (“R&amp;D”) to apply its core technologies to satellite payloads, non-space DOD programs and commercial and industrial markets. Revenues from satellite payloads, both for commercial and U.S. Government applications, have become the Company’s largest business area while the portion of commercial network infrastructure sales has declined relatively. The Company expects to continue to generate substantial revenues from deployment of new and replacement satellites and other U.S. Government/DOD applications including sales of ruggedized subsystems for mobile U.S. military platforms.</w:t>
      </w:r>
    </w:p>
    <w:p>
      <w:pPr>
        <w:spacing w:after="0" w:line="18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1"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Satellite Payloads</w:t>
      </w:r>
    </w:p>
    <w:p>
      <w:pPr>
        <w:spacing w:after="0" w:line="229"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The use of satellites launched for communications, navigation, weather forecasting, video and data transmissions and Internet access has expanded the need to transmit increasing amounts of voice, video, and data to earth-based receivers. This requires more precise timing and frequency control at the satellite. The Company manufactures the master timing systems (quartz, rubidium) and other significant timing and frequency generation products for navigation, communication and intelligence collection satellites, and many of the Company’s other space assemblies are used onboard spacecraft for command, control and power distribution. Efficient and reliable DC-DC power converters are also manufactured for the Company’s own assemblies and as stand-alone products for space applications. The Company’s oven-controlled quartz crystal oscillators are cost-effective precision frequency sources suited for high-end performance required in satellite communications, airborne and terrestrial datalinks and geophysical survey positioning systems. Commercial satellite programs which utilize the Company’s space-qualified products include Iridium NEXT Constellation, Intelsat EPIC, O3B, WAAS, MexSat, MSV, ICO, TerreStar, EchoStar, Inmarsat and others. The Company is also pursuing core product opportunities for planned satellite constellations that will operate in low- or mid-earth orbits.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years ahead, the Company expects that the DOD will require more secure communication capabilities, more assets in space and greater bandwidth. The Global Positioning Satellite System, the MILSTAR Satellite System and the AEHF Satellite System are examples of the programs in which the Company has participated or will participate - programs which management believes are important to the success of the U.S. Government’s communication, intelligence and Precision Navigation and Timing (“PNT”) needs. It is likely that the DOD will move to adopt smaller and less expensive satellites for LEO applications, necessitating adaptation of the Company’s products or development of new products to better suit this type of satellite architecture. The Company previously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U.S. Government- Non-space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space-based programs, the Company’s proprietary products have been used in airborne and ground-based guidance, navigation, communications, radar, sonar and electronic countermeasures and timing systems. The Company has developed and patented a low acceleration-sensitive technology which offers an approximate 100 times improvement in performance under shock, vibration and other environmental effects as compared to devices not so designed. Products are built in accordance with DOD standards and are in use on many of the U.S. Government’s important military applications. The Company anticipates that adequate funds will be provided by the U.S. Government to ensure that these programs are sustained.</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FEI-Elcom addresses RF microwave modules and subsystems up to 60 GHz including fast switching, ultra-low phase noise synthesizers, up-down converters, receivers, tuners, ceramic resonance oscillators and dielectric resonance oscillators. These instruments and components are mission critical for many applications in the EW market, including SATCOM communication, surveillance, intelligence collection (SIGINT, COMINT, MASINT, and ELINT) and threat simulation systems.</w:t>
      </w:r>
    </w:p>
    <w:p>
      <w:pPr>
        <w:spacing w:after="0" w:line="180"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Company’s sales on U.S. Government programs for both space and non-space applications are generally made under fixed price or cost-plus contracts either directly with U.S. Government agencies or indirectly through subcontracts intended for government end-use. For fixed-price contracts, the price paid to the Company is not subject to adjustment by reason of costs incurred by the Company in the performance of the contract, except for costs incurred due to contract changes ordered by the customer. These contracts are negotiated on terms under which the Company bears the risk of cost overruns and derives the benefit from cost savings. Cost-plus contracts reimburse the Company for the actual costs incurred in performance of the contract requirements.</w:t>
      </w:r>
    </w:p>
    <w:p>
      <w:pPr>
        <w:spacing w:after="0" w:line="187"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As indicated above, many of the programs and platforms for which the Company supplies products and systems, are used by the U.S. Government for maintaining secure communications world-wide, for obtaining vital intelligence and for enabling precision targeting capabilities. It is the belief of management that the future success of the mission of the U.S. military and intelligence community is dependent on successful and timely deployment of these systems. Thus, the Company anticipates that adequate funds will be provided by the U.S. Government to ensure that the programs are completed. However, the Company’s experience indicates that programs and/or product sales can be delayed or canceled due to variations associated with periodic U.S. Government appropriations cycles and shifting priorities.</w:t>
      </w:r>
    </w:p>
    <w:p>
      <w:pPr>
        <w:spacing w:after="0" w:line="18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Negotiations on U.S. Government contracts are sometimes based in part on Certificates of Current Costs. An inaccuracy in such certificates may entitle the government to an appropriate recovery. The Company’s accounts with respect to these contracts are subject to audit by the Defense Contract Audit Agency (“DCAA”). The Company’s last full incurred cost audit was performed in 2008. The Company is required to submit, for subsequent review, an Incurred Cost Report by October 31, for each year then ended. All such required reports have been filed with no adverse comments to date.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FEI has a DCAA audited and approved accounting system, which enables the Company to enter into contracts directly with U.S. Government agencies that require government certified accounting systems.</w:t>
      </w:r>
    </w:p>
    <w:p>
      <w:pPr>
        <w:sectPr>
          <w:pgSz w:w="11900" w:h="16838" w:orient="portrait"/>
          <w:cols w:equalWidth="0" w:num="1">
            <w:col w:w="10980"/>
          </w:cols>
          <w:pgMar w:left="460" w:top="121" w:right="459" w:bottom="1440" w:gutter="0" w:footer="0" w:header="0"/>
        </w:sectPr>
      </w:pP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69608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Government end-use contracts are subject to termination by the purchaser for convenience or default, as well as various other Federal Acquisition Regulations provisions. In the event of a termination for convenience, the Company is entitled to receive compensation as provided under the specific terms of such contracts. There were no end-use contracts terminated for the year ended April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FEI-Z</w:t>
      </w:r>
      <w:r>
        <w:rPr>
          <w:rFonts w:ascii="Times New Roman" w:cs="Times New Roman" w:eastAsia="Times New Roman" w:hAnsi="Times New Roman"/>
          <w:sz w:val="12"/>
          <w:szCs w:val="12"/>
          <w:b w:val="1"/>
          <w:bCs w:val="1"/>
          <w:color w:val="auto"/>
        </w:rPr>
        <w:t>yfer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egment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FEI-Zyfer designs, develops and manufactures products which provide PNT, primarily incorporating Global Navigation Satellite System(s) technology. FEI-Zyfer’s products make use of both “in-the-clear” civil and “crypto-secured” military signals for GPS. FEI-Zyfer’s products are integrated into radar systems, airborne SIGINT/COMINT platforms, information networks, test equipment, military command and control terminals, and satellite ground stations. FEI-Zyfer’s products are an important extension of FEI’s core product line, specifically in secure PNT for Command, Control, Communications, Computers, Combat Systems, Intelligence, Surveillance, and Reconnaissance (C5ISR). Recently identified threats to the communication capabilities of U.S. Government and to the public and enterprise networks through jamming, multi-path or “spoofing” GPS signals may be mitigated by FEI-Zyfer’s technologies and products. High precision, ruggedized clocks combined with specialized software are essential for the security of government communication and systems. More than 78% of FEI-Zyfer’s revenues are derived from sales where the end user is the U.S. Government.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BACKLOG</w:t>
      </w:r>
    </w:p>
    <w:p>
      <w:pPr>
        <w:spacing w:after="0" w:line="225"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As of April 30, 2022, the Company’s consolidated backlog amounted to approximately $40 million, the same as at the end of the prior fiscal year. Approximately 83% of the current backlog is expected to be filled during the Company’s fiscal year ending April 30, 2023. As of April 30, 2022, there were no amounts included in backlog under cost-plus fixed-fee contracts that had not been funded. The Company excludes from backlog those contracts or awards for which it has not received authorization to proceed. On fixed price contracts, the Company excludes any unfunded portion. The Company expects any partially funded contracts to become fully funded over time and will add the additional funding to its backlog at that time. The backlog is subject to change for various reasons, including possible cancellation of orders, change orders, change in contract terms and other factors beyond the Company’s control. Accordingly, the backlog is not necessarily indicative of the revenues or profits (losses) which may be realized when the results of such contracts are reported.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CUSTOMERS AND SUPPLIERS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markets its products both directly and through independent sales representative organizations located in the U.S., Europe and Asia. Sales to non-U.S. end-users totaled approximately 2% and 3% of net revenues in fiscal years 2022 and 2021, respectively.</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products are sold to both commercial and governmental customers. For the years ended April 30, 2022 and 2021, approximately 94% and 91%, respectively, of the Company’s sales were made under contracts to the U.S. Government or subcontracts for U.S. Government end-use.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fiscal year 2022, Northrop Grumman Company (“Northrop Grumman”), Lockheed Martin Corporation (“Lockheed Martin”) and BAE Systems each accounted for more than 10% of the Company’s consolidated revenues.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fiscal year 2021, Northrop Grumman and Lockheed Martin each accounted for more than 10% of the Company’s consolidated revenues.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loss by the Company of any one of these customers could have a material adverse effect on the Company’s business. The Company believes its relationship with these companies is mutually satisfactory. Additionally, the Company is not aware of any prospect for the cancellation or significant reduction of any of its commercial or existing U.S. Government contracts.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purchases a variety of electrical and other components and materials for use in the manufacture of its products. The Company is not dependent upon any one supplier or source of supply for any of its materials and maintains alternative sources of supply for all of its purchases. The Company has found its suppliers generally reliable and price-competitive; however, recent quotes for various parts and materials reflect significantly increased delivery schedules and price increases. Where supply chain issues have been encountered, the Company has responded by changing the source of supply or redesigning products and replacing unavailable parts and materials with alternates wherever possible. FEI is dependent on a limited number of suppliers for space qualified parts. If these suppliers were unable to deliver in reasonable time frames, then prompt qualification of alternate suppliers may not be feasible or cost effective. Consequently, the Company could experience delays in delivery of its end products or costs in excess of what was originally quoted.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technological leadership continues to be an essential factor as it pursues future growth in revenues and earnings. The Company has focused its internal R&amp;D efforts on improving the core physics and electronic performance in its time and frequency products, conducting research to develop new time and frequency technologies and capabilities, improving product manufacturability by seeking to reduce its production costs through product redesign and process improvements and other measures to take advantage of lower cost components.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continues to focus a significant portion of its own resources and efforts on developing hardware for satellite (commercial and U.S. Government) and terrestrial commercial communications systems, including wireless and GPS-related systems. During fiscal years 2022 and 2021, the Company expended $5.0 million and $4.7 million of its own funds, respectively, on such R&amp;D activity. See Item 7, Management’s Discussion and Analysis of Financial Condition and Results of Operations. Additionally, the Company receives customer funding for specific R&amp;D projects and anticipates additional funding from customers for future R&amp;D initiatives. Although funding is obtained from customers, the Company retains the rights to any products developed. During fiscal years 2022 and 2021, some of the Company’s development resources were applied to the design-stage of fixed-price satellite payload sub-system programs. For fiscal year 2023, the resources to be allocated to R&amp;D will depend on market conditions and identification of new opportunities, as was the case in fiscal year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PATENTS AND LICENSES</w:t>
      </w:r>
    </w:p>
    <w:p>
      <w:pPr>
        <w:spacing w:after="0" w:line="225"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proprietary quartz oscillator technology which the Company has incorporated into its legacy designs, and which it will incorporate into future designs, to exploit in both legacy and new applications. In 2006, the Company obtained a basic patent for its low g-sensitivity technology which management believes will permit greatly enhanced performance of devices on moving platforms and under externally imposed shock or vibration. The Company’s current patents run through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COMPETITION</w:t>
      </w:r>
    </w:p>
    <w:p>
      <w:pPr>
        <w:spacing w:after="0" w:line="225"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experiences competition in all areas of its business. Many of the Company’s competitors are larger, have greater financial resources and have larger R&amp;D and marketing staffs. The Company has a strong history of competing successfully in this environment due to the quality, reliability and outstanding record of performance its products have achieved. The Company competes primarily on the basis of the accuracy, performance and reliability of its products, the ability of its products to function under severe conditions, such as in space or in other extremely hostile environments, and the Company’s track record of prompt and responsive contract performance and technical competence. The Company has unique and broad capabilities which include quartz and rubidium based timing references and specialized RF microwave technology. With respect to very high precision products, the Company encounters fewer competitors than it does for lower precision products for which there are a significant number of suppliers.</w:t>
      </w:r>
    </w:p>
    <w:p>
      <w:pPr>
        <w:spacing w:after="0" w:line="19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Company’s principal competition for space products is the in-house capability of its major customers such as the Boeing Company, Northrop Grumman and Lockheed Martin, as well as a number of other firms capable of providing high-reliability microwave frequency generators. With respect to non-space products, such as systems for precision time for terrestrial secure communication and command and control, and products for multiple applications in the EW market, the Company competes with larger domestic companies such as Microchip Technology Inc. and Mercury Systems.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previously outsourced certain manufacturing processes to third parties and to Russia-based Morion, in which the Company is a minority shareholder. The Company believes its ability to obtain raw materials, manufacture finished products, integrate them into systems and sub-systems and interface these systems with highly sophisticated end-user applications provides a strong competitive edge.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EMPLOYEES</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Due to the specialized nature of our business, our performance depends on identifying, attracting, developing, motivating, and retaining a highly skilled workforce in multiple areas, including engineering, science, manufacturing, information technology, cybersecurity and business development. The Company develops its workforce using a broad-based recruiting process to select talented individuals and by offering competitive compensation and benefits.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currently employs approximately 197 employees, all based in the U.S. No employees are represented by labor unions. Relationships with employees are favorable as reflected in high retention rates and increasing average length of service. Due to low turnover of employees, the average age of the workforce is increasing with time. Depending on growth in total employment and the average age of newly hired employees, replacement of key technical staff may be an issue in the future due to increased retirement.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Employee health and safety is a top priority. The Company has provided all employees with detailed health and safety literature on COVID-19 and had implemented work from home policies at all locations for a period of time at the beginning of the pandemic for positions that were conducive to work from home in order to minimalize risk to the manufacturing staff that continued to work in the Company’s facilities. The Company has since returned to essentially normal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ASPECTS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business is not seasonal although it expects to experience some fluctuation in revenues during the second fiscal quarter as a result of summer holiday periods.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INFORMATION ABOUT OUR EXECUTIVE OFFICERS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executive officers hold office until the annual meeting of the Board of Directors following the annual meeting of stockholders, subject to earlier removal by the Board of Directors.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names of all executive officers of the Company and all positions and offices with the Company which they presently hold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Thomas McClelland</w:t>
            </w:r>
          </w:p>
        </w:tc>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Interim President and Chief Executive Officer and Chief Scientist</w:t>
            </w:r>
          </w:p>
        </w:tc>
      </w:tr>
      <w:tr>
        <w:trPr>
          <w:trHeight w:val="43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Oleandro Mancini</w:t>
            </w:r>
          </w:p>
        </w:tc>
        <w:tc>
          <w:tcPr>
            <w:tcW w:w="5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Senior Vice President, Business Development</w:t>
            </w:r>
          </w:p>
        </w:tc>
      </w:tr>
      <w:tr>
        <w:trPr>
          <w:trHeight w:val="43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Adrian Lalicata</w:t>
            </w: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Vice President, RF &amp; Microwave Systems</w:t>
            </w:r>
          </w:p>
        </w:tc>
      </w:tr>
      <w:tr>
        <w:trPr>
          <w:trHeight w:val="432"/>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Secretary and Treasurer</w:t>
            </w:r>
          </w:p>
        </w:tc>
      </w:tr>
    </w:tbl>
    <w:p>
      <w:pPr>
        <w:spacing w:after="0" w:line="19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Thomas McClelland, age 67, joined the Company as an engineer in 1984 and was elected Vice President, Commercial Products in March 1999. In fiscal year 2011, Dr. McClelland’s title was modified to Vice President Advanced Development to describe his expanded role in the Company. In January 2020 Dr. McClelland’s title was modified to Senior Vice President and Chief Scientist. On July 8, 2022, Dr. McClelland was appointed the Company’s Interim President and Chief Executive Officer, in addition to his existing positions and responsibilities with the Company, following the resignation of Dr. Stanton D. Sloane, the Company’s former President and Chief Executive Officer, on July 8, 2022.</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Oleandro Mancini, age 73, joined the Company in August 2000 as Vice President, Business Development and was promoted to Senior Vice President in 2010. Prior to joining the Company, Mr. Mancini served from 1998 to 2000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Adrian Lalicata, age 75, joined the Company in 2006 as Vice President, RF &amp; Microwave Systems. Prior to joining the Company, Mr. Lalicata served as Vice President of Engineering at Herley-CTI and Communication Techniques, a Dover Company. Mr. Lalicata has also served as Director of Engineering at Microphase Corp. and Adcomm, Inc. He also held leading engineering positions at Loral Electronic Systems, Cardion Electronics, and Airborne Instruments Laboratories.</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Steven L. Bernstein, age 57, joined the Company in April 2010 as its Controller and was appointed to the position of Chief Financial Officer in April 2016. Effective January 1, 2019, Mr. Bernstein was also appointed as Secretary and Treasurer of the Company, in addition to his role as Chief Financial Officer. Prior to joining the Company, Mr. Bernstein worked in the North America accounting group of Arrow Electronics, a Fortune 500 electronics distributor.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1A.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 Operations and Our Industry</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U.S. government programs for a substantial portion of our business. Accordingly, changes in U.S. government priorities or delays or reductions in spending by the U.S. government on such programs could have a material adverse effect on our business, financial position, results of operations and/or cash flows.</w:t>
      </w:r>
    </w:p>
    <w:p>
      <w:pPr>
        <w:spacing w:after="0" w:line="175"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Either as a prime contractor or as a subcontractor, we rely heavily on U.S. government programs, from which we derived approximately 94% and 91% of our sales in fiscal 2022 and fiscal 2021, respectively. These U.S government programs may be only partially or incrementally funded and are subject to potential termination, may be subject to funding reductions and/or delays due to changes in government priorities or other factors. Whether direct contracts with the U.S. government or contracts with prime contractors to the U.S. government, our contracts typically are funded at a level less than the full contract value and require periodic incremental additional funding in order to continue. Should circumstances change regarding funding and sufficient funding become unavailable, contracts may be terminated, delayed significantly or put on stop work status.</w:t>
      </w:r>
    </w:p>
    <w:p>
      <w:pPr>
        <w:spacing w:after="0" w:line="187"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U.S. government contracts are subject to congressional funding, which may be unavailable due to changes in priorities or subject to continuing resolution, which may result in funding reductions, eliminations or other effects that could impact our business. Furthermore, budget uncertainty, the risk of future budget cuts, the potential for U.S. government shutdowns, and the federal debt ceiling could also adversely affect our industry and the funding for our current and future contracts. If appropriations are delayed or a government shutdown was to occur and was to continue for an extended period of time, we could be at risk of program or contract cancellations and other disruptions and nonpayment. Finally, shifting funding priorities or federal budget changes, could also result in reductions in overall spending on our contracts and projects, which could adversely impact our business. Changes in funding priorities could reduce opportunities in existing programs and in future programs where we intend to compete. While we would expect to compete and be well positioned as the incumbent on existing programs, we may not be successful and, even if we are successful, the replacement programs may be funded at lower levels.</w:t>
      </w:r>
    </w:p>
    <w:p>
      <w:pPr>
        <w:spacing w:after="0" w:line="18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a small number of larger customers for a substantial portion of our business. The loss of one or more of our largest customers or programs could have a material adverse effect on our business, financial position, results of operations and/or cash flows.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products are sold to both commercial and governmental customers. For fiscal 2022 and fiscal 2021, approximately 94% and 91% of the Company’s sales, respectively, were made under contracts to the U.S. government or subcontracts for U.S. government end-use. As a subcontractor, the Company is reliant on a few large customers that generally hold the ultimate contract with the U.S. government. During fiscal 2022, Northrop Grumman Company, Lockheed Martin Corporation and BAE Systems each accounted for more than 10% of the Company’s consolidated revenues. These customers typically incorporate our products into larger programs. If these customers encounter technical, financial or other issues unrelated to our products that affect the larger program’s operations, the related program may be terminated or require expensive, unanticipated revisions. These issues, although unrelated to our products, could adversely impact us if our customers’ contracts with the U.S. government become subject to re-competition or are ultimately cancelled. Additionally, our larger customers are sophisticated corporations with large research and development staffs and budgets. If one or more sought to design and manufacture replacements for our products, they could potentially discontinue their need for our products. Alternatively, our larger customers could look to replace our products with the products of one or more of our competitors. The loss of the U.S. government or one or more of our other larger customers or programs could adversely affect our business, financial position, results of operations and/or cash flows</w:t>
      </w:r>
    </w:p>
    <w:p>
      <w:pPr>
        <w:spacing w:after="0" w:line="18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estimates when accounting for contracts. Changes in estimated contract revenues and/or changes in costs can affect our profitability and our overall financial position.</w:t>
      </w:r>
    </w:p>
    <w:p>
      <w:pPr>
        <w:spacing w:after="0" w:line="15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Contract accounting requires significant judgment by the Company’s management with respect to estimating contract revenues and costs. Due to the nature and complexity of many of our contracts, the estimation of total revenues and costs at completion is subject to many variables and often difficult to predict accurately. As a result, it has, and could in the future, be possible that the Company’s estimates when accounting for contracts may prove to be materially incorrect.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Company’s operating income can be adversely affected when estimated contract costs increase. Reasons for increased estimated contract costs include: design issues; changes in estimates of the nature and complexity of the work, including technical or quality issues or requests for additional work; production challenges, including those resulting from the timeliness of customer funding, unavailability or reduced productivity of qualified labor; the availability, performance, and quality of significant subcontractors; supplier issues, including the costs, timeliness and availability of materials and components; changes in laws or regulations; actions necessary for long-term customer satisfaction; and natural disasters or other matters. We have filed, and may file, requests for equitable adjustment or claims to seek recovery in whole or in part for our increased costs and aim to protect against these risks through contract terms and conditions when practical, but the prime contractor or the U.S. government may disagree with our requests or may not have funding to cover them.</w:t>
      </w:r>
    </w:p>
    <w:p>
      <w:pPr>
        <w:spacing w:after="0" w:line="1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Due to their nature, fixed price contracts inherently tend to have more financial risk than cost-type contracts, including as a result of inflationary pressures, labor shortages, and increased labor rates. In fiscal 2022, 89% of our sales were derived from fixed-price contracts. While the Company’s management uses its best judgment to estimate costs associated with fixed-price contracts, future events may require adjustments, which could ultimately adversely affect the Company’s operating income.</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cost-type contracts, allowable costs incurred by the contractor are generally subject to reimbursement plus a fee. These cost-type programs typically have award or incentive fees that are uncertain and may be earned over extended periods or towards the end of the contract. In these cases, the associated financial risks are primarily in recognizing profit, which ultimately may not be earned, or program cancellation if cost, schedule, or technical performance issues arise.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Changes in underlying assumptions, circumstances or estimates, and the failure to prevail on related claims for equitable adjustments could have a material adverse effect on our business, financial position, results of operations and/or cash flows.</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our industry, and if we fail to win future business or experience undue pricing pressures as a result of such competition, our business, financial position, results of operations and/or cash flows could be adversely affected.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operate in a highly competitive industry focused on very high-performance products. Many of our competitors are larger, have greater financial resources and have larger research and development and marketing staffs. While we also maintain a robust internal research and development program that is intended to maintain our technical edge, the Company is limited in its resources and ultimately may not be able to successfully compete. Technology is advancing rapidly, and if we are unable to respond effectively to competition, we may lose existing customers, fail to win future business or experience undue pricing pressures that could affect our financial performance. Certain of our current technologies may become subject to significant future advancements, which may make our products obsolete or non-competitive. Competitors may be able to develop new manufacturing technologies that afford them cost and/or schedule advantages compared to our products. Customers may elect a less expensive product, even where it offers lower performance, in cases where that performance difference becomes less, compared to our current products. Specifically, the emergence of numerous low earth orbit (LEO) commercial satellite systems that have significantly lower requirements for life in orbit may result in new products based on commercial parts and processes not required for the high performance and/or longer lived geo-synchronous orbit (GEO) satellites for which the Company has typically developed products. This may result in a migration to less capable, but less expensive products compared to what the Company has traditionally produced. This may result in reduced market share, lower revenues and impact our business operations and financial conditions. Additionally, competitors may have the benefit of other contracts that enable them to produce in volume with a concomitant cost advantage that affords them a price advantage. Many of our customers have in-house capability to develop products comparable to ours and may opt to do so. Accordingly, if we are unable to continue to compete successfully against our current or future competitor, we may experience declines in future revenues and market share, which could have a material adverse effect on our financial position, results of operations and/or cash flows.</w:t>
      </w:r>
    </w:p>
    <w:p>
      <w:pPr>
        <w:spacing w:after="0" w:line="19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which are often incorporated into larger systems, are technologically complex and require state-of-the-art technology and manufacturing expertise. Any defect in the design, materials or workmanship with respect to our product could result in system failure.</w:t>
      </w:r>
    </w:p>
    <w:p>
      <w:pPr>
        <w:spacing w:after="0" w:line="15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Our products are technologically complex and require state-of-the-art technology and manufacturing expertise. If a defect in design, materials or workmanship is not identified prior to delivery, the defect can result in product failure and potentially the loss of mission capability for the systems into which our products are integrated. Costly satellites cannot be recovered from orbit to repair failed sub-systems, therefore failure of a Company product incorporated into a satellite may result in the complete loss of the satellite with a significant impact to the Company’s reputation and future business prospects. Penalties and possible litigation may result from these types of problems, with potential significant impact to our financial position, results of operations and/or cash flows.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numerous suppliers for various parts, materials, test services, facility operations and infrastructure. If these suppliers fail to perform or we are unable to procure or experience significant delays with respect to needed products, materials or services, our financial position, results of operations and/or cash flows could be materially adversely effected.</w:t>
      </w:r>
    </w:p>
    <w:p>
      <w:pPr>
        <w:spacing w:after="0" w:line="175"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dependent on numerous suppliers for various parts, materials, test services, facility operations and infrastructure who may, in turn, be affected by factors such as raw material availability, skilled personnel shortages, pandemics, major weather events or natural disasters and other impacts that affect their ability to provide the goods and services we require. Disruptions or performance problems caused by our suppliers or failure to meet regulatory or contractual requirements, have had, and may continue to have, various adverse impacts on the Company, including our ability to meet our commitments to customers. The inability of our suppliers to perform adequately has resulted in and could in the future result in the need for us to transition to alternate suppliers if available, which could result in significant incremental cost and delay or the need for us to provide other resources to support our existing suppliers. The Company is reliant on suppliers who are space-qualified, limiting the ability to procure certain key materials, such as circuit boards, from other vendors. When these key suppliers experience quality issues, their products may have to be rejected, causing delays in our ability to complete projects on schedule and at projected costs. The time and cost associated with resolution of these issues may impact our financial performance. Consolidation of industry can result in elimination of suppliers or discontinuation of certain product lines upon which we are reliant, necessitating lifetime buys of components or the need to redesign electronics to incorporate different components, having a negative effect on our financial position, results of operations and/or cash flows. Furthermore, latent supply chain quality issues may affect our product performance and reliability, which may damage our reputation and impact future business.</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and financial performance is dependent on our ability to identify, attract, train and retain a highly skilled workforce.</w:t>
      </w:r>
    </w:p>
    <w:p>
      <w:pPr>
        <w:spacing w:after="0" w:line="15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We rely on very unique skill sets in our employee population. Our average employee tenure is approximately 15 years and the median age is approximately 55. Our products rely on very experienced engineers, physicists and manufacturing personnel who are trained in-house and who acquire competence only after a lengthy period of time. Given the median age of our average employee, we anticipate that a number of our key personnel will retire in the coming years. If we are unable to attract, train and retain competent and skilled replacement employees, our ability to design, develop and manufacture our products will be adversely affected. Furthermore, our operating performance is also dependent upon personnel who hold security clearances and receive substantial training to work on certain programs or tasks. If we were to experience an unanticipated attrition with respect to these employees, it will be difficult for us to replace them on a timely basis.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global economic or geopolitical conditions may adversely effect of business operations and financial condition.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Global economic and geopolitical conditions may adversely affect our business operations and financial condition. Turmoil in world financial markets may impact our supply chain resulting in unavailability of key components and materials increasing costs due to delays, need to redesign certain electronics in order to mitigate shortages or schedule impacts and costs to establish alternate qualified suppliers. These impacts may affect our business due to customer cancellations, reduced demand for our products and increased costs, which impact our financial condition. We are also subject to inflation and recessionary pressures. The current inflationary environment has and may continue to increase our cost of labor as well as our other operating costs. Likewise, deteriorating economic conditions could reduce the demand for our products, which could adversely affect our business operations and financial condition.</w:t>
      </w:r>
    </w:p>
    <w:p>
      <w:pPr>
        <w:spacing w:after="0" w:line="185"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various risks related to health epidemics, pandemics and similar outbreaks, which may have material adverse effects on our business, financial position, results of operations and/or cash flows.</w:t>
      </w:r>
    </w:p>
    <w:p>
      <w:pPr>
        <w:spacing w:after="0" w:line="159"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Health epidemics, pandemics and similar outbreaks, such as COVID-19, create substantial risk to the Company. Employees work in close proximity to one another. When an employee is positive for COVID-19 or suspected of being infected, other employees he or she has come in contact with may also be infected, with a cascading effect on the workforce. In addition to the time off to recover (or pass the CDC guideline isolation period), there is a need to clean and disinfect the areas where the employee was working and had frequented in the facility. The nature of the Company’s business requires mostly “hands-on” activities related to design, manufacturing and testing. Therefore, absenteeism resulting from infectious diseases and cleaning procedures to disinfect various areas of our facilities can have a significant impact on a contract’s schedule, with a corresponding impact to costs. The Company is not able to predict possible future pandemics, but if they manifest, they could have significant adverse effects on our business, financial position, results of operations and/or cash flows.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by various external disruptions.</w:t>
      </w:r>
    </w:p>
    <w:p>
      <w:pPr>
        <w:spacing w:after="0" w:line="229"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A natural disaster, terrorism, insider threat, workplace violence, civil unrest, damaging weather, fire, act of war, or similar acts or events could limit our access to our facilities or cause interruption in the supply of electricity, natural gas, or water or preclude delivery of various supplies or limit the movement of our workforce, which may have a significant adverse impact to our operations and financial performance. The nature of our business requires mostly “hands-on” activities at our facilities to design and manufacture our products. Additionally, our products undergo lengthy testing, and interruption of these tests for any reason can cause damage to the product and/or necessitate the need to repeat test cycles, with adverse cost and schedule impacts. Catastrophic effects that result in intrusion of damaging water or other contaminants may cause damage to sensitive capital equipment, inventory or facilities that could be material. Our ability to recover from these catastrophes may be limited. As a result, such disruptions could adversely impact our financial position, results of operations and/or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Regulatory and Compliance Matters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comply with laws, regulations and/or terms we are subject to could adversely affect our business.</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17"/>
          <w:szCs w:val="17"/>
          <w:color w:val="auto"/>
        </w:rPr>
        <w:t>We operate in a highly regulated industry and are routinely audited and reviewed by the U.S. government and its agencies. These agencies review performance under our contracts, our cost structure and accounting, and our compliance with applicable laws, regulations, terms and standards, as well as the adequacy of our systems in meeting government requirements. If an audit uncovers improper or illegal activities, we would be subject to possible civil and criminal penalties, sanctions, forfeiture of profits or suspension or debarment. Most of our contracts are subject to Federal Acquisition Regulations (FARs) or Defense Federal Acquisition Regulation Supplement (DFARS). Violation of any of these regulations can result in significant consequences, including fines, disbarments, or other punitive measures by the U.S. government. Additionally, the Company has defense department security clearance that is required for performance on several contracts. Failure to maintain compliant security procedures may result in suspension of our security clearance and inability to perform on current contracts, as well as limit our ability to be awarded future contracts. The Company is also subject to export control requirements, anti-boycott regulations and Office of Foreign Assets Control (OFAC) sanctions against business dealings with certain persons and entities, including its investment in Morion, Inc., a less than wholly-owned subsidiary of state-owned Russian bank Gazprombank. Violation of any of these requirements may have a material adverse effect on our financial position, results of operations and/or cash flows.</w:t>
      </w:r>
    </w:p>
    <w:p>
      <w:pPr>
        <w:spacing w:after="0" w:line="17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investigations, claims, disputes, enforcement actions, litigation, and other legal proceedings that could ultimately be resolved against us.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and may in the future become subject to investigations, claims, disputes, enforcement actions and administrative, civil or criminal litigation, arbitration or other legal proceedings across a broad array of matters, including government contracts, commercial transactions, false claims, false statements, compliance with government orders, mischarging, contract performance, fraud, procurement integrity, securities laws and requirements, products liability, warranties, hazardous materials, personal injury claims, environmental, stockholder derivative actions, acquisitions and divestitures, intellectual property, tax, corporate law and obligations, employment (including our prior litigation with our founder and former President, Chief Scientist and director), export/import, anti-corruption, debt and equity, labor, health and safety, the COVID-19 pandemic and the Company’s response to it, accidents, and employee benefits and plans, including plan administration, improper payments, and issues related to privacy and security (cyber and physical). These matters can divert financial and management resources; result in administrative, civil or criminal fines, penalties or other sanctions (including judgments, convictions, consent or other voluntary decrees or agreements), compensatory, treble or other damages, non-monetary relief, or other liabilities; and otherwise harm our business and our ability to obtain and retain new business. Certain allegations against us can lead to suspension or debarment from government contracts. A suspension or debarment could have a material adverse effect on the Company because of our reliance on U.S. government contracts. Additionally, an investigation, claim, dispute, enforcement action or litigation, even if pending or not ultimately substantiated or if fully indemnified or insured, can also negatively impact our reputation among our customers, and make it substantially more difficult for us to compete effectively for business in the future. Accordingly, investigations, claims, disputes, enforcement actions, litigation or other legal proceedings could have a material adverse effect on our financial position, results of operations and/or cash flows.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Intellectual Property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by significant cybersecurity attacks.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U.S. government defense industry contractor, the Company has experience cybersecurity attacks in the past and may be subjected to significant cybersecurity attacks in the future in an effort to, among other things, steal intellectual property, disrupt operations, embed ransomware, or initiate insider attacks. Although we implement various measures and controls to monitor and mitigate risks associated with these threats and to increase the cyber resiliency of our infrastructure and products, there can be no assurance that these processes will be sufficient. Our inability to defend effectively against cyberattacks may result in disruption of operations, loss of significant intellectual property, compromise of employee’s personal information or violation of government contractor requirements for information security. These could result in reputational damage, fines, litigation, operational impacts or significant costs for mitigation and/or recovery, all with adverse consequences to our financial position, results of operations and/or cash flows.</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by third parties that our products infringe their intellectual property could result in costly disputes and/or require us to develop alternate designs.</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may become subject to claims for infringement of intellectual property, which could result in litigation costs or require us to incur costs for developing alternate designs that may require extensive testing and qualification to meet contract obligations. This could result in adverse consequences to our financial position, results of operations and/or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continue to be volatile.</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continue to be volatile, which may adversely affect our investors in our common stock may experience substantial losses. This volatility may or may not be related to our operating performance. Our operating results, from time to time, may be below the expectations of public market analysts and investors, which could have a material adverse effect on the market price of our common stock.</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The relatively low trading volume of our common stock may limit your ability to sell your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our shares of common stock are listed on the Nasdaq Global Market, we have historically experienced a relatively low trading volume of approximately 13,000 shares per trading day. If our low trading volume continues, holders of shares of our common stock may have difficulty selling shares of our common stock in the manner, at the time, or at a price they desire.</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If significant existing stockholders sell large numbers of shares of our common stock, our common stock price could decline.</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Approximately 42.7% of our outstanding common stock is held by 5 individuals or entities. The market price of our common stock could decline if a large number of our shares of outstanding common stock are sold in the public market by our existing stockholders or as a result of the perception that such sales could occur. Due to the relatively low trading volume of our shares of common stock, the sale of a large number of shares of our outstanding common stock may significantly depress the price of our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1B. Unresolved Staff Comments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Properties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operates out of several facilities located around the U.S. Each facility is used for manufacturing its products and for administrative activities. The following table presents the location, size and terms of ownership/occupation:</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238"/>
        </w:trPr>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80" w:type="dxa"/>
            <w:vAlign w:val="bottom"/>
          </w:tcPr>
          <w:p>
            <w:pPr>
              <w:spacing w:after="0"/>
              <w:rPr>
                <w:sz w:val="20"/>
                <w:szCs w:val="20"/>
                <w:color w:val="auto"/>
              </w:rPr>
            </w:pPr>
          </w:p>
        </w:tc>
        <w:tc>
          <w:tcPr>
            <w:tcW w:w="26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Size (sq. ft.)</w:t>
            </w:r>
          </w:p>
        </w:tc>
        <w:tc>
          <w:tcPr>
            <w:tcW w:w="8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 or Lease</w:t>
            </w:r>
          </w:p>
        </w:tc>
      </w:tr>
      <w:tr>
        <w:trPr>
          <w:trHeight w:val="209"/>
        </w:trPr>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Mitchel Field, NY</w:t>
            </w:r>
          </w:p>
        </w:tc>
        <w:tc>
          <w:tcPr>
            <w:tcW w:w="2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93,000</w:t>
            </w: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16"/>
        </w:trPr>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Garden Grove, CA</w:t>
            </w: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27,850</w:t>
            </w:r>
          </w:p>
        </w:tc>
        <w:tc>
          <w:tcPr>
            <w:tcW w:w="8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16"/>
        </w:trPr>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Northvale, NJ</w:t>
            </w:r>
          </w:p>
        </w:tc>
        <w:tc>
          <w:tcPr>
            <w:tcW w:w="2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6,548</w:t>
            </w: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facility located in Mitchel Field, Long Island, New York, is part of the building that the Company constructed in 1981 and expanded in 1988 on land leased from Nassau County. In January 1998, the Company sold this building and the related land lease to Reckson Associates Realty Corp. (“Reckson”), leasing back the space that it presently occupies.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leases its manufacturing and office space from RA 55 CLB LLC (as successor-in-interest to Reckson). The lease expires on September 30, 2029. Pursuant to the lease agreement, the Company pays a gradually increasing annual rent of $1,046,810 in 2019 to $1,276,056 in 2029. The Company believes the leased space is adequate to meet the Company’s domestic operational needs which encompass the principal operations of the FEI-NY segment and also serves as the Company’s corporate headquarters.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Garden Grove, California facility is leased by the Company’s subsidiary, FEI-Zyfer. The facility consists of a combination office and test/assembly areas. The Company has signed a second amendment to the lease, which extended the lease an additional 88 months, beginning October 1, 2017 and expiring January 31, 2025. The average annual rent over the period of the amendment is approximately $312,000. The Company believes the leased space is adequate to meet FEI-Zyfer’s operational needs.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FEI-Elcom entered into a new lease agreement on January 12, 2022 regarding its Northvale, New Jersey facility. The facility consists of a combination office and manufacturing space. The Company has signed a third amendment to the lease, which extended the lease an additional 36 months beginning February 1, 2022 and expiring January 31, 2025, and reduced the square footage rented. The lease, as amended, requires monthly payments of $8,270. The Company believes the leased space is adequate to meet FEI-Elcom’s operational needs.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Legal Proceedings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a defendant in litigation arising out of the ordinary course of business. As of July 14, 2022, the Company is not party to any material pending legal proceedings.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Mine Safety Disclosures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Common Equity, Related Stockholder Matters and Issuer Purchases of Equity Securities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common stock of the Company is listed on The Nasdaq Global Market (“NASDAQ”) under the ticker symbol “FEIM.” As of July 11, 2022, the approximate number of holders of record of common stock was 440.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POLICY</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 dividends were declared or paid during fiscal years 2022 and 2021. The Company currently intends to retain any future earnings for use in the business. Any future determinations as to the declaration of dividends on our common stock will be made at the discretion of the Board of Directors and will depend on our earnings, operating and financial conditions, capital requirements and other factors deemed relevant by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BUYBACK PROGRAM</w:t>
      </w:r>
    </w:p>
    <w:p>
      <w:pPr>
        <w:spacing w:after="0" w:line="225"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In March 2005, the Company’s Board of Directors authorized a stock repurchase program for up to $5 million of the Company’s outstanding common stock. This program does not have an expiration date. Shares may be purchased in open market purchases, private transactions or otherwise at such times and from time to time, and at such prices and in such amounts as the Company believes appropriate and in the best interests of its shareholders. The timing and volume of repurchases will vary depending on market conditions and other factors. Purchases may be commenced or suspended at any time without notice. The Company has acquired approximately $4 million of its common stock out of the total authorization of $5 million. The Company did not make any purchases of stock for the treasury during fiscal years 2022 or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Management’s Discussion and Analysis of Financial Condition and Results of Operations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“Safe Harbor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Statement under the Private Securities Litigation Reform Act of 1995:</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health epidemics and pandemics, including the COVID-19 pandemic and similar outbreaks, such as their impact on our financial condition and results of operations and on our ability to continue manufacturing and distributing our products, and the impact of health epidemics and pandemics on general economic conditions, including any resulting recession, our inability to integrate operations and personnel, actions by significant customers or competitors, general domestic and international economic conditions, reliance on key customers, continued acceptance of the Company’s products in the marketplace, competitive factors, new products and technological changes, product prices and raw material costs, dependence upon third-party vendors, other supply chain related issues, increasing costs for materials, operating related expenses, competitive developments, changes in manufacturing and transportation costs, the availability of capital, and the outcome of any litigation and arbitration proceedings. The factors listed above are not exhaustive. Other sections of this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10-K and any other public statement made by the Company or its management may turn out to be incorrect. The Company expressly disclaims any obligation to update or revise any forward-looking statements, whether as a result of new information, future events or otherwise.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1 to the Consolidated Financial Statements. The Company believes its most critical accounting policies to be the recognition of revenue and costs on production contracts, income taxes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the government, government prime contractors and commercial companies by units sold with specific contractual performance requirements, in many cases unique to the specific customer and/or application. The Company’s contracts typically include one performance obligation which is satisfied by shipped projects and completed services/reports required in the contract. Control over these performance obligations passes to the customer over time and therefore these revenues are reported in operating results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for a contract is reflected in revenues in the period in which the change is known. Provisions for the full amount of anticipated losses on contracts are made in the period in which they become determinable.</w:t>
      </w:r>
    </w:p>
    <w:p>
      <w:pPr>
        <w:spacing w:after="0" w:line="19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For smaller contracts or orders,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 The Company’s products generally carry a one-year warranty, but may vary based on the contract terms.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Contract costs include all direct material, direct labor costs, manufacturing overhead and other direct costs related to contract performance.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costs are charged to expense as incurred.</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expectations for future business. Any changes arising from revised expectations are reflected in cost of revenues in the period the revision is made.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income tax expense, deferred tax asset and liabilities, and liabilities for unrecognized tax benefits reflect management’s best estimate of current and future taxes to be paid. Significant judgments and estimates are required in the determination of the consolidated income tax expense.</w:t>
      </w:r>
    </w:p>
    <w:p>
      <w:pPr>
        <w:spacing w:after="0" w:line="162"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 In evaluating our ability to recover deferred tax assets in the jurisdiction from which they arise, we consider all positive and negative evidence, including the reversal of deferred tax liabilities, projected future taxable income, tax planning strategies, and results of recent operations. As of April 30, 2022 and 2021, we have a full valuation allowance against our U.S. net deferred tax assets. If these estimates and assumptions change in the future, the Company may be required to reduce its existing valuation allowance resulting in less income tax expense. The Company evaluates the likelihood of realizing its deferred tax assets quarterly.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Tax benefits are recognized for an uncertain tax position when, in the Company’s judgment, it is more likely than not that the position will be sustained upon examination by a taxing authority. For a tax position that meets the more-likely-than-not recognition threshold, the tax benefit is measured as the largest amount that is judged to have a greater than 50% likelihood of being realized upon ultimate settlement with a taxing authority. The liability associated with unrecognized tax benefits is adjusted periodically due to changing circumstances and when new information becomes available. Such adjustments are recognized entirely in the period in which they are identified. The effective tax rate includes the net impact of changes in the liability for unrecognized tax benefits and subsequent adjustments as considered appropriate by the Company. While it is often difficult to predict the final outcome or the timing of resolution of any particular tax matter, the Company believes its liability for unrecognized tax benefits is adequate. Interest and penalties recognized on income taxes are recorded as income tax expense.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Update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30, 2020, the World Health Organization (“WHO”) announced a global health emergency because of a new strain of coronavirus originating in Wuhan, China (“COVID-19”) and the risks to the international community as the virus spread globally beyond its point of origin. In March 2020, the WHO classified the COVID-19 pandemic as a pandemic, based on the rapid increase in exposure globally.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priority during the COVID-19 pandemic has been to protect the health and safety of its employees while remaining operational. Within the limitations imposed by governmental health and safety procedures, the Company has continued to manufacture its full range of products at its facilities. The Company has educated employees about COVID-19 symptoms and hygiene best practices. The Company’s policies also include taking an employee’s temperature before entering facilities; mandating handwashing and use of hand sanitizer; requiring social distancing and, requiring face coverings; encouraging, and in some cases, requiring remote work for those employees who can work from home; and disinfecting facilities.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July 8, 2022, the Company was aware of eighty-three employees that have had confirmed cases of COVID-19 since the COVID-19 pandemic began, with one fatality in fiscal year 2021. Additional employees have been absent or self-quarantined due to possible COVID exposure, although not having tested positive. Since the COVID-19 pandemic began, facilities have remained open except for needing to temporarily vacate certain areas for cleaning and disinfecting following employees either testing positive for COVID or because they had been exposed or possibly exposed to third parties who were positive. Certain Company vendors have been unable to deliver materials on time due to COVID-19 related impacts to their workforces or their supply chains. These delays have impacted the Company’s production schedules, and increased costs associated with procurement of materials and services. The Company continues to monitor these and its other vendors and, if necessary, seek alternative suppliers. The Company also believes the pandemic has impacted customers, resulting in delays with respect to anticipated new orders.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full impact of the COVID-19 pandemic continues to evolve as of the date of this report. As such, it is uncertain as to the full magnitude that the pandemic may ultimately have on the Company’s financial condition, liquidity, and future financial results. Management is actively monitoring the impact of the global situation on its financial condition, liquidity, operations, suppliers, industry, and workforce. Given the changing dynamics of the pandemic and the global responses to curb its spread, including the progress on vaccine distribution, the Company is not able to estimate any future effects of the COVID-19 pandemic on its future results of operations, financial condition, or liquidity.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27, 2020, President Trump signed into law the “Coronavirus Aid, Relief, and Economic Security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The CARES Act also appropriated funds for the Small Business Administration (SBA) Paycheck Protection Program loans that are forgivable in certain situations to promote continued employment, as well as Economic Injury Disaster Loans to provide liquidity to small businesses harmed by the COVID-19 pandemic. The Company received a loan under the Paycheck Protection Program in April 2020, which it repaid in full in May 2020.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for the fiscal years ended April 30, 2022 and 2021, the percentage of consolidated net sales represented by certain items in the Company’s consolidated statements of operations:</w:t>
      </w:r>
    </w:p>
    <w:p>
      <w:pPr>
        <w:spacing w:after="0" w:line="158"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w w:val="96"/>
              </w:rPr>
              <w:t>Fiscal Years Ended April 30,</w:t>
            </w:r>
          </w:p>
        </w:tc>
        <w:tc>
          <w:tcPr>
            <w:tcW w:w="0" w:type="dxa"/>
            <w:vAlign w:val="bottom"/>
          </w:tcPr>
          <w:p>
            <w:pPr>
              <w:spacing w:after="0"/>
              <w:rPr>
                <w:sz w:val="1"/>
                <w:szCs w:val="1"/>
                <w:color w:val="auto"/>
              </w:rPr>
            </w:pPr>
          </w:p>
        </w:tc>
      </w:tr>
      <w:tr>
        <w:trPr>
          <w:trHeight w:val="210"/>
        </w:trPr>
        <w:tc>
          <w:tcPr>
            <w:tcW w:w="37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85.2%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34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Net (loss) income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3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7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8"/>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Fiscal Years Ended April 30,</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72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41,157</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(1,243)</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13,835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(6,008)</w:t>
            </w: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(1,981)</w:t>
            </w:r>
          </w:p>
        </w:tc>
        <w:tc>
          <w:tcPr>
            <w:tcW w:w="4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54,254</w:t>
            </w:r>
          </w:p>
        </w:tc>
        <w:tc>
          <w:tcPr>
            <w:tcW w:w="1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(5,958)</w:t>
            </w: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Fiscal 2022 revenues from satellite programs, one of the Company’s largest business areas, decreased by $0.9 million, or 3%, compared to the prior fiscal year. Satellite program revenues for government end-use were 52% and 42% of total revenues for fiscal years 2022 and 2021, respectively. Satellite program revenues for commercial end-use were 2% and 7% of total revenue for Fiscal 2022 and Fiscal 2021, respectively. Revenues on satellite program contracts are recorded in the FEI-NY segment and are recognized primarily under the Percentage-of-Completion (“POC”) method. Revenues from non-space U.S. Government/DOD customers decreased by approximately $5.2 million, or 21%, in Fiscal 2022 compared to Fiscal 2021. These revenues are recorded in both the FEI-NY and FEI-Zyfer segments and accounted for approximately 41% and 46% of consolidated revenues for fiscal years 2022 and 2021, respectively. For the years ended April 30, 2022 and 2021, other commercial and industrial sales accounted for approximately 5% of total revenues. Sales in this business area were $2.6 million for the year ended April 30, 2022 compared to $2.5 million for the preceding fiscal year. The majority of the decrease in sales for fiscal 2022 were in the FEI-Zyfer segment caused by two main factors. The first was a delay in bookings and the second was the relocation of manufacturing from the California facility to the New York facility. It is important to note that in both cases the revenue was not lost; instead, the Company believes has been shifted into fiscal 2023.</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u w:val="single" w:color="auto"/>
          <w:color w:val="auto"/>
        </w:rPr>
        <w:t>Gross Profit</w:t>
      </w:r>
    </w:p>
    <w:p>
      <w:pPr>
        <w:spacing w:after="0" w:line="18"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3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gridSpan w:val="5"/>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Fiscal Years Ended April 30,</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3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31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390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8,599</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16,921</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(8,322)</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(49.2)%</w:t>
            </w:r>
          </w:p>
        </w:tc>
      </w:tr>
      <w:tr>
        <w:trPr>
          <w:trHeight w:val="234"/>
        </w:trPr>
        <w:tc>
          <w:tcPr>
            <w:tcW w:w="3900" w:type="dxa"/>
            <w:vAlign w:val="bottom"/>
            <w:gridSpan w:val="2"/>
          </w:tcPr>
          <w:p>
            <w:pPr>
              <w:jc w:val="right"/>
              <w:ind w:right="2110"/>
              <w:spacing w:after="0"/>
              <w:rPr>
                <w:sz w:val="20"/>
                <w:szCs w:val="20"/>
                <w:color w:val="auto"/>
              </w:rPr>
            </w:pPr>
            <w:r>
              <w:rPr>
                <w:rFonts w:ascii="Times New Roman" w:cs="Times New Roman" w:eastAsia="Times New Roman" w:hAnsi="Times New Roman"/>
                <w:sz w:val="18"/>
                <w:szCs w:val="18"/>
                <w:color w:val="auto"/>
                <w:w w:val="98"/>
              </w:rPr>
              <w:t>Gross Profit Percentage</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fiscal year ended April 30, 2022, the gross profit and gross profit percentage decreased as the result of several factors. Decreased revenues in the FEI-NY segment, which includes FEI-Elcom, as well as at FEI-Zyfer, had a concomitant impact on absorption.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Delays in the award of anticipated contracts had a significant down-stream effect on revenue, with a resulting reduction of gross profit. Supply chain impacts resulted in delays on contract execution and caused increased engineering costs necessitated by changing suppliers or reengineering certain subassemblies to replace parts that were unavailable or which had unacceptable delivery schedules. Several developmental stage programs experienced substantially higher than anticipated engineering costs due to problems encountered in the design phase. Additionally, an anticipated settlement of a request for equitable adjustment with respect to one of these programs did not materialize, which would have had the effect of reducing the cost impact. The program is cutting edge technology with extremely challenging specifications. However, the Company believes progress continues to be made and the majority of the challenges have been overcome as of the date of this report.</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u w:val="single" w:color="auto"/>
          <w:color w:val="auto"/>
        </w:rPr>
        <w:t>Selling and Administrative Expenses</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2180" w:type="dxa"/>
        <w:tblCellMar>
          <w:top w:w="0" w:type="dxa"/>
          <w:left w:w="0" w:type="dxa"/>
          <w:bottom w:w="0" w:type="dxa"/>
          <w:right w:w="0" w:type="dxa"/>
        </w:tblCellMar>
      </w:tblPr>
      <w:tr>
        <w:trPr>
          <w:trHeight w:val="210"/>
        </w:trPr>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09"/>
        </w:trPr>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11,662</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13,189</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(1,527)</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r>
    </w:tbl>
    <w:p>
      <w:pPr>
        <w:spacing w:after="0" w:line="19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fiscal years ended April 30, 2022 and 2021, selling and administrative expenses (“SG&amp;A”) were 24% of consolidated revenues. Stock compensation expenses, which are included in total SG&amp;A, were $144,000 and $160,000 in Fiscal 2022 and Fiscal 2021, respectively. The decrease in SG&amp;A expenses was mainly due to the decrease in professional fees (relating to litigation for which the Company has received insurance reimbursement for a portion of such legal fees), bonus expenses, and commission expenses.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2180" w:type="dxa"/>
        <w:tblCellMar>
          <w:top w:w="0" w:type="dxa"/>
          <w:left w:w="0" w:type="dxa"/>
          <w:bottom w:w="0" w:type="dxa"/>
          <w:right w:w="0" w:type="dxa"/>
        </w:tblCellMar>
      </w:tblPr>
      <w:tr>
        <w:trPr>
          <w:trHeight w:val="209"/>
        </w:trPr>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4,690</w:t>
            </w:r>
          </w:p>
        </w:tc>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285</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percentage of consolidated revenue, R&amp;D expense for the years ended April 30, 2022 and 2021 was approximately 10% and 9%, respectively. The approximately $0.3 million increase in R&amp;D expense year over year was due to new and ongoing R&amp;D projects as the Company continues to invest in R&amp;D to keep its products at the state of the art.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funds received in connection with customer funded R&amp;D appears in revenues and the associated expenses are included in cost of revenues and are not included in the table above. The Company believes that internally generated cash and cash reserves are adequate to fund its R&amp;D activity.</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u w:val="single" w:color="auto"/>
          <w:color w:val="auto"/>
        </w:rPr>
        <w:t>Operating Loss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2180" w:type="dxa"/>
        <w:tblCellMar>
          <w:top w:w="0" w:type="dxa"/>
          <w:left w:w="0" w:type="dxa"/>
          <w:bottom w:w="0" w:type="dxa"/>
          <w:right w:w="0" w:type="dxa"/>
        </w:tblCellMar>
      </w:tblPr>
      <w:tr>
        <w:trPr>
          <w:trHeight w:val="209"/>
        </w:trPr>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0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(8,038)</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(7,080)</w:t>
            </w: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NM</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fiscal year ended April 30, 2022, the Company recorded an operating loss of $8.1 million compared to an operating loss of $1.0 million in the prior year. Operating loss was the result of the same factors discussed in gross profit. Of most significance was the impact of increased engineering costs incurred on the developmental programs and the delay in Zyfer bookings, including the relocation of the manufacturing from the California facility to the New York facility.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302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12"/>
        </w:trPr>
        <w:tc>
          <w:tcPr>
            <w:tcW w:w="480" w:type="dxa"/>
            <w:vAlign w:val="bottom"/>
          </w:tcPr>
          <w:p>
            <w:pPr>
              <w:spacing w:after="0"/>
              <w:rPr>
                <w:sz w:val="24"/>
                <w:szCs w:val="24"/>
                <w:color w:val="auto"/>
              </w:rPr>
            </w:pPr>
          </w:p>
        </w:tc>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0"/>
        </w:trPr>
        <w:tc>
          <w:tcPr>
            <w:tcW w:w="4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82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(56.6)%</w:t>
            </w:r>
          </w:p>
        </w:tc>
      </w:tr>
      <w:tr>
        <w:trPr>
          <w:trHeight w:val="216"/>
        </w:trPr>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on disposal of asset</w:t>
            </w:r>
          </w:p>
        </w:tc>
        <w:tc>
          <w:tcPr>
            <w:tcW w:w="8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4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impairment of Morion</w:t>
            </w:r>
          </w:p>
        </w:tc>
        <w:tc>
          <w:tcPr>
            <w:tcW w:w="82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r>
      <w:tr>
        <w:trPr>
          <w:trHeight w:val="216"/>
        </w:trPr>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(943)</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(85.5)%</w:t>
            </w:r>
          </w:p>
        </w:tc>
      </w:tr>
      <w:tr>
        <w:trPr>
          <w:trHeight w:val="20"/>
        </w:trPr>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6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6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(2,058)</w:t>
            </w:r>
          </w:p>
        </w:tc>
        <w:tc>
          <w:tcPr>
            <w:tcW w:w="4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(143.5)%</w:t>
            </w:r>
          </w:p>
        </w:tc>
      </w:tr>
      <w:tr>
        <w:trPr>
          <w:trHeight w:val="20"/>
        </w:trPr>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Investment income is derived primarily from the Company’s holdings of marketable securities, which primarily consist of fixed income securities. Earnings on securities may vary based on fluctuating interest rates, dividend payout levels, and the timing of purchases, sales, redemptions or maturities of securities. Included in other income (expense) for the fiscal year ended April 30, 2022, is a $796,000 impairment charge related to the Company’s investment in Morion. Included in other income (expenses) for the fiscal year ended April 30, 2021 was the collection of the $1 million note that was due relating to the Company’s sale of its Belgium subsidiary, Gilliam-FEI s.a., to a European entity on April 26, 2018.</w:t>
      </w:r>
    </w:p>
    <w:p>
      <w:pPr>
        <w:spacing w:after="0" w:line="170"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90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8"/>
              </w:rPr>
              <w:t>Income Tax Provision (Benefit)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30"/>
        </w:trPr>
        <w:tc>
          <w:tcPr>
            <w:tcW w:w="6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Fiscal Years Ended April 30,</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6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232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(204) $</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205</w:t>
            </w:r>
          </w:p>
        </w:tc>
        <w:tc>
          <w:tcPr>
            <w:tcW w:w="13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(100.5)%</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10"/>
        </w:trPr>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6"/>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Fiscal Years Ended April 30,</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54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 on pre-tax book income (loss):</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fiscal year ended April 30, 2022, the Company recorded an income tax provision of $1,000. For the fiscal year ended April 30, 2021, the Company recorded an income tax benefit of $(204,000) primarily due to a reduction in the uncertain tax position liability in connection with the expiration of the statute of limitations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effective tax rate of (0.0)% for Fiscal 2022 differs from the U.S. federal statutory rate of 21% primarily due to state taxes and domestic losses for which the Company is not recognizing an income tax benefit. (See Note 12 to the Consolidated Financial Statements for a reconciliation of the actual tax benefit to the expected tax provision at the federal statutory rate.)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April 30, 2022, the Company has U.S. federal net operating losses of $29.6 million of which $15.9 million begins to expire in Fiscal 2026 through Fiscal 2038, including $3.4 million which is subject to annual limitation under IRC Section 382. The remaining U.S. federal net operating losses of $13.7 million have an indefinite carry-forward period. The U.S. federal capital loss carry-forward of $9.9 million expires in Fiscal 2023. U.S. federal R&amp;D credits of $1.0 million begin to expire in Fiscal 2036 through Fiscal 2040. The Company also has state net operating loss carryforwards, and state tax credits that expire in various years and amounts.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operations was $4.0 million in fiscal year 2022 compared to cash provided by operations of $12.2 million in fiscal year 2021. The Company’s balance sheet continues to reflect a highly liquid position with working capital of $34.2 million at April 30, 2022 as compared to $40.6 million at April 30, 2021. Included in working capital at April 30, 2022 was $21.5 million consisting of cash, cash equivalents and short-term investments. The Company’s current ratio at April 30, 2022 was 2.5 to 1 compared to 3.2 to 1 at the end of the prior fiscal year.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08"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During fiscal years 2022 and 2021, the Company incurred $5.4 million and $4.7 million, respectively, in non-cash charges to earnings, including adjustments relating to net assets and liabilities for operating leases, loss provision accrual, loss on impairment of Morion, provision for a note receivable, depreciation and amortization expense, inventory adjustments, warranty and accounts receivable reserves and certain employee benefit plan expenses, including accounting for stock-based compensation. During fiscal year 2022, operating cash was increased by decreases in contract assets and inventory and increases in contract liabilities. During fiscal year 2021, operating cash was increased by decreases in inventory and increases in contract assets and contract liabilities. Contract liabilities include amounts for programs that are pre-funded for long-lead materials required to be purchased.</w:t>
      </w:r>
    </w:p>
    <w:p>
      <w:pPr>
        <w:spacing w:after="0" w:line="18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fiscal year ended April 30, 2022 was $2.3 million compared to $1.2 million used in investing activities for the fiscal year ended April 30, 2021. In fiscal year 2022, investing activities included the proceeds related to sales of marketable securities net of the purchases of marketable securities of $422,000 and purchases of capital expenditures of $1.9 million. In fiscal year 2021, investing activities included the proceeds related to sales of marketable securities net of the purchases of marketable securities of $46,000 and purchases of capital expenditures of $1.2 million. The Company may continue to invest cash equivalents as dictated by its investment and acquisition strategies.</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There was no cash used in financing activities for the fiscal year ended April 30, 2022. Cash used in financing activities for the fiscal year ended April 30, 2021 was $5.0 million related to the repayment in full of a loan acquired from JPMorgan Chase Bank, N.A. as the lender, pursuant to the Small Business Administration Paycheck Protection Program under the CARES Act. As of April 30, 2022, the Company had available credit at variable terms based on its securities holdings under an advisory arrangement. No borrowings have been made under this advisory arrangement.</w:t>
      </w:r>
    </w:p>
    <w:p>
      <w:pPr>
        <w:spacing w:after="0" w:line="180"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will continue to expend resources to develop, improve and acquire products for space and other applications, which management believes will result in future growth and profitability. During fiscal year 2022, the Company secured partial customer funding for a portion of its R&amp;D efforts. The customer funds received in connection therewith appear in revenues and are not included in R&amp;D expenses. For fiscal year 2023, the Company anticipates securing additional customer funding for a portion of its R&amp;D activities and will allocate internal funds depending on market conditions and identification of new opportunities as in fiscal 2022. The Company expects internally generated cash will be adequate to fund these R&amp;D efforts. The Company may also pursue acquisitions to expand its range of products and may use internally generated cash and external funding in connection with such acquisitions.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April 30, 2022, the Company had an accumulated deficit of $20.1 million. The Company believes that its cash and cash equivalents, as well as marketable securities as of April 30, 2022 and cash flows from operations will provide sufficient liquidity to meet its operating needs in the normal course of business through the next twelve months from the date of issuance of these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27"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Financial Accounting Standards Board (“FASB”) issued ASU No. 2017-04,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Other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350): Simplifying the Test for Goodwill Impairment </w:t>
      </w:r>
      <w:r>
        <w:rPr>
          <w:rFonts w:ascii="Times New Roman" w:cs="Times New Roman" w:eastAsia="Times New Roman" w:hAnsi="Times New Roman"/>
          <w:sz w:val="18"/>
          <w:szCs w:val="18"/>
          <w:color w:val="auto"/>
        </w:rPr>
        <w:t>(“ASU 2017-04”), which simplifies how an entity is required to test goodwill for impairment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2022, with early adoption permitted. The Company will not be adopting ASU 2017-04 early, and is in the process of determining the effect that ASU 2017-04 may have. However, the Company expects the new standard to have an immaterial effect on its consolidated financial statements.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 (Topic 326): Measurement of Credit Losses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(“ASU 2016-13”), which replaces the incurred loss impairment methodology in current U.S. GAAP with a methodology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reflects expected credit losses and requires consideration of a broader range of reasonable and supportable information to inform credit loss estimates. The new guidance is effective for fiscal years beginning after December 15, 2022. The Company is evaluating the effect, if any, the update will have on its consolidated financial statements when adopted in fiscal year 2024.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financial information reported herein is not necessarily indicative of future operating results or of the future financial condition of the Company.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Morion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an investment in Morion, a privately-held Russian company, which manufactures high precision quartz resonators and crystal oscillators. The Company has also licensed certain technology to Morion.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investment consists of 4.6% of Morion’s outstanding shares, accordingly, the Company accounted for its investment in Morion on the cost basis. During the fiscal years ended April 30, 2022 and 2021, the Company acquired product from Morion in the aggregate amount of approximately $215,000 and $710,000, respectively. During the fiscal years ended April 30, 2022 and 2021, the Company sold product and training services to Morion in the aggregate amount of approximately $23,000 and $94,000, respectively, included in revenues in the consolidated statements of operations as part of the FEI-NY segment. During the fiscal years ended April 30, 2022 and 2021, the Company received dividends from Morion in the amount of approximately $123,000 and $105,000, respectively, which is included in other income, net in the consolidated statements of operations as part of the FEI-NY segment. Purchases of materials from Morion consist mainly of quartz crystal blanks which are used in the fabrication of quartz resonators. In the event that these items become unavailable from Morion, the Company is in the process of establishing alternate sources of supply. The Company is also capable of fabricating the crystal blanks in-house.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Morion is a less than wholly-owned subsidiary of Gazprombank, a state-owned Russian bank.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previously disclosed, in light of Morion’s relationship with Gazprombank, in 2020, the Company evaluated, with the assistance of external legal counsel, certain sales to Morion and the timing of payments by Morion to the Company in connection with those sales to determine whether payments by Morion may have inadvertently constituted extensions of credit in violation of Directive 1 under Executive Order 13662. The Company determined that certain payments by Morion – the majority of which occurred more than five years ago – were not timely. Following the evaluation, on May 7, 2020, the Company voluntarily disclosed its findings to the Office of Foreign Assets Control (“OFAC”). The Company’s voluntary disclosure to OFAC related solely to delays in collection of accounts receivable that exceeded then-applicable payment windows set forth in sanctions regulations and did not relate to any other type of payment or transaction. On February 17, 2021, the Company received a Cautionary Letter from OFAC indicating that OFAC has completed its review of the matter. According to OFAC, the Cautionary Letter was issued instead of pursuing a civil monetary penalty or taking other enforcement action.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Due to the current Russia-Ukraine conflict and resulting sanctions, the future status of FEI’s equity investment in Morion is uncertain. In response to these conditions, in connection with the preparation of the audited financial statements included in this annual report on Form 10-K, the Company impaired its investment in Morion in full. The impairment of $796,000 is included in other income (expense), net, in the Consolidated Statements of Operations for the fiscal year ended April 30, 2022. The likelihood of future sales to, purchases, and dividend payments from Morion is questionable.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INFLATION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fiscal year 2022, as in fiscal year 2021, the impact of inflation on the Company’s business was due to increases for materials and services throughout fiscal year 2022. The Company believes this may continue to impact expenses in fiscal 2023 and future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7A. Quantitative and Qualitative Disclosure about Market Risk</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Financial Statements and Supplementary Data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Frequency Electronics,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Mitchel Field, New York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Frequency Electronics, Inc. and Subsidiaries (the “Company”) as of April 30, 2022 and 2021, the related consolidated statements of operations and comprehensive income (loss), changes in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April 30, 2022 and 2021,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that arose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Recognized Over Time Using Percentage-of-Completion</w:t>
      </w:r>
    </w:p>
    <w:p>
      <w:pPr>
        <w:spacing w:after="0" w:line="22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 derives revenue from contracts with customers by units sold with specific specifications and frequencies that are used by a specific customer and contracts where the end user is The United States Government. The Company’s contracts typically include one performance obligation which is satisfied by shipped projects and completed services/reports required in the contract. Control over these performance obligations passes to the customer over time and therefore these revenues are reported in operating results over time using the percentage-of-completion (“POC”) cost-to-cost method. Under this method, revenue is recorded based upon the ratio that incurred costs bear to total estimated contract costs.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identified revenue recognized over time using the POC cost-to cost method as a critical audit matter. Given the judgment necessary to make estimates regarding the revenue and total costs associated with such contracts, specifically, the estimation of costs required to complete such contracts, auditing these estimates required a high degree of auditor judgment due to the subjectivity and judgment used in evaluating management’s estimate.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 selecting a sample of contracts for testing and performing the following procedures:</w:t>
      </w:r>
    </w:p>
    <w:p>
      <w:pPr>
        <w:ind w:left="640" w:hanging="318"/>
        <w:spacing w:after="0" w:line="260"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Agreeing the key terms to contract documentation and testing the current year costs incurred to date and comparing current year costs incurred to date to the costs estimated to be incurred in the current year as of the prior year-end.</w:t>
      </w:r>
    </w:p>
    <w:p>
      <w:pPr>
        <w:spacing w:after="0" w:line="181"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mathematical accuracy of management’s calculation of revenue recognized during the year for the performance obligation.</w:t>
      </w:r>
    </w:p>
    <w:p>
      <w:pPr>
        <w:spacing w:after="0" w:line="225" w:lineRule="exact"/>
        <w:rPr>
          <w:rFonts w:ascii="Times New Roman" w:cs="Times New Roman" w:eastAsia="Times New Roman" w:hAnsi="Times New Roman"/>
          <w:sz w:val="18"/>
          <w:szCs w:val="18"/>
          <w:color w:val="auto"/>
        </w:rPr>
      </w:pPr>
    </w:p>
    <w:p>
      <w:pPr>
        <w:ind w:left="640" w:hanging="318"/>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Company’s estimated costs to complete the selected contract by performing a retrospective review to identify changes in contract gross margin and assess the reasonableness of the explanation for such changes outside of established criteria.</w:t>
      </w:r>
    </w:p>
    <w:p>
      <w:pPr>
        <w:spacing w:after="0" w:line="161" w:lineRule="exact"/>
        <w:rPr>
          <w:rFonts w:ascii="Times New Roman" w:cs="Times New Roman" w:eastAsia="Times New Roman" w:hAnsi="Times New Roman"/>
          <w:sz w:val="18"/>
          <w:szCs w:val="18"/>
          <w:color w:val="auto"/>
        </w:rPr>
      </w:pPr>
    </w:p>
    <w:p>
      <w:pPr>
        <w:ind w:left="640" w:hanging="318"/>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Company’s estimated costs to complete the selected contract by evaluating subsequent events activity for changes in conditions that may result in significant changes to estimated costs to complete the contract selected for testing.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for certain contracts we evaluated management’s ability to prepare and estimate the remaining costs to complete projects in process as of the balance sheet date by performing inquiries of certain of the Company’s operations and accounting personnel.</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14,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38"/>
        </w:trPr>
        <w:tc>
          <w:tcPr>
            <w:tcW w:w="7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407"/>
        </w:trPr>
        <w:tc>
          <w:tcPr>
            <w:tcW w:w="780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100" w:type="dxa"/>
            <w:vAlign w:val="bottom"/>
          </w:tcPr>
          <w:p>
            <w:pPr>
              <w:spacing w:after="0"/>
              <w:rPr>
                <w:sz w:val="18"/>
                <w:szCs w:val="18"/>
                <w:color w:val="auto"/>
              </w:rPr>
            </w:pPr>
          </w:p>
        </w:tc>
      </w:tr>
      <w:tr>
        <w:trPr>
          <w:trHeight w:val="198"/>
        </w:trPr>
        <w:tc>
          <w:tcPr>
            <w:tcW w:w="78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$111 at April 30, 2022 and April 30,</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00" w:type="dxa"/>
            <w:vAlign w:val="bottom"/>
            <w:shd w:val="clear" w:color="auto" w:fill="CCEEFF"/>
          </w:tcPr>
          <w:p>
            <w:pPr>
              <w:spacing w:after="0"/>
              <w:rPr>
                <w:sz w:val="20"/>
                <w:szCs w:val="20"/>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12,640</w:t>
            </w: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19,661</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income taxes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8"/>
                <w:szCs w:val="18"/>
                <w:color w:val="auto"/>
              </w:rPr>
            </w:pPr>
          </w:p>
        </w:tc>
      </w:tr>
      <w:tr>
        <w:trPr>
          <w:trHeight w:val="216"/>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59,371</w:t>
            </w: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at cost, net of accumulated depreciation and amortization</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15,396</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spacing w:after="0"/>
              <w:rPr>
                <w:sz w:val="18"/>
                <w:szCs w:val="18"/>
                <w:color w:val="auto"/>
              </w:rPr>
            </w:pPr>
          </w:p>
        </w:tc>
      </w:tr>
      <w:tr>
        <w:trPr>
          <w:trHeight w:val="216"/>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85,880</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96,708</w:t>
            </w:r>
          </w:p>
        </w:tc>
        <w:tc>
          <w:tcPr>
            <w:tcW w:w="100" w:type="dxa"/>
            <w:vAlign w:val="bottom"/>
          </w:tcPr>
          <w:p>
            <w:pPr>
              <w:spacing w:after="0"/>
              <w:rPr>
                <w:sz w:val="18"/>
                <w:szCs w:val="18"/>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0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 trade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provision accrual</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00" w:type="dxa"/>
            <w:vAlign w:val="bottom"/>
          </w:tcPr>
          <w:p>
            <w:pPr>
              <w:spacing w:after="0"/>
              <w:rPr>
                <w:sz w:val="18"/>
                <w:szCs w:val="18"/>
                <w:color w:val="auto"/>
              </w:rPr>
            </w:pPr>
          </w:p>
        </w:tc>
      </w:tr>
      <w:tr>
        <w:trPr>
          <w:trHeight w:val="210"/>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18,789</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14,017</w:t>
            </w: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non-current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100" w:type="dxa"/>
            <w:vAlign w:val="bottom"/>
          </w:tcPr>
          <w:p>
            <w:pPr>
              <w:spacing w:after="0"/>
              <w:rPr>
                <w:sz w:val="18"/>
                <w:szCs w:val="18"/>
                <w:color w:val="auto"/>
              </w:rPr>
            </w:pPr>
          </w:p>
        </w:tc>
      </w:tr>
      <w:tr>
        <w:trPr>
          <w:trHeight w:val="216"/>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41,299</w:t>
            </w:r>
          </w:p>
        </w:tc>
        <w:tc>
          <w:tcPr>
            <w:tcW w:w="100" w:type="dxa"/>
            <w:vAlign w:val="bottom"/>
          </w:tcPr>
          <w:p>
            <w:pPr>
              <w:spacing w:after="0"/>
              <w:rPr>
                <w:sz w:val="18"/>
                <w:szCs w:val="18"/>
                <w:color w:val="auto"/>
              </w:rPr>
            </w:pPr>
          </w:p>
        </w:tc>
      </w:tr>
      <w:tr>
        <w:trPr>
          <w:trHeight w:val="210"/>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 $1.00 par value; authorized 600 shares, no shares issued</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198"/>
        </w:trPr>
        <w:tc>
          <w:tcPr>
            <w:tcW w:w="78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 $1.00 par value; authorized 20,000 shares, 9,298 shares issued and 9,297 shares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at April 30, 2022; 9,226 shares issued and 9,225 shares outstanding at April 30, 2021</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00" w:type="dxa"/>
            <w:vAlign w:val="bottom"/>
          </w:tcPr>
          <w:p>
            <w:pPr>
              <w:spacing w:after="0"/>
              <w:rPr>
                <w:sz w:val="20"/>
                <w:szCs w:val="20"/>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57,355</w:t>
            </w: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(11,457)</w:t>
            </w:r>
          </w:p>
        </w:tc>
      </w:tr>
      <w:tr>
        <w:trPr>
          <w:trHeight w:val="198"/>
        </w:trPr>
        <w:tc>
          <w:tcPr>
            <w:tcW w:w="7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reacquired and held in treasury -</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at cost (1 share at April 30, 2022 and April 30, 2021)</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8"/>
                <w:szCs w:val="18"/>
                <w:color w:val="auto"/>
              </w:rPr>
            </w:pPr>
          </w:p>
        </w:tc>
      </w:tr>
      <w:tr>
        <w:trPr>
          <w:trHeight w:val="210"/>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85,880</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96,708</w:t>
            </w:r>
          </w:p>
        </w:tc>
        <w:tc>
          <w:tcPr>
            <w:tcW w:w="100" w:type="dxa"/>
            <w:vAlign w:val="bottom"/>
          </w:tcPr>
          <w:p>
            <w:pPr>
              <w:spacing w:after="0"/>
              <w:rPr>
                <w:sz w:val="18"/>
                <w:szCs w:val="18"/>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Years Ended April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17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60" w:type="dxa"/>
            <w:vAlign w:val="bottom"/>
            <w:gridSpan w:val="3"/>
            <w:vMerge w:val="continue"/>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298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4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1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1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(8,038)</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income</w:t>
            </w:r>
          </w:p>
        </w:tc>
        <w:tc>
          <w:tcPr>
            <w:tcW w:w="1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disposal of asset</w:t>
            </w:r>
          </w:p>
        </w:tc>
        <w:tc>
          <w:tcPr>
            <w:tcW w:w="1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impairment of Morion</w:t>
            </w:r>
          </w:p>
        </w:tc>
        <w:tc>
          <w:tcPr>
            <w:tcW w:w="1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7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income before provision (benefit) from income taxes</w:t>
            </w:r>
          </w:p>
        </w:tc>
        <w:tc>
          <w:tcPr>
            <w:tcW w:w="1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(8,662)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from income taxes</w:t>
            </w:r>
          </w:p>
        </w:tc>
        <w:tc>
          <w:tcPr>
            <w:tcW w:w="1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(loss) income</w:t>
            </w:r>
          </w:p>
        </w:tc>
        <w:tc>
          <w:tcPr>
            <w:tcW w:w="1740" w:type="dxa"/>
            <w:vAlign w:val="bottom"/>
          </w:tcPr>
          <w:p>
            <w:pPr>
              <w:spacing w:after="0"/>
              <w:rPr>
                <w:sz w:val="18"/>
                <w:szCs w:val="18"/>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(8,663)</w:t>
            </w:r>
          </w:p>
        </w:tc>
        <w:tc>
          <w:tcPr>
            <w:tcW w:w="9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60"/>
          </w:cols>
          <w:pgMar w:left="460" w:top="121" w:right="4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(loss)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6087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60870" cy="162560"/>
                    </a:xfrm>
                    <a:prstGeom prst="rect">
                      <a:avLst/>
                    </a:prstGeom>
                    <a:noFill/>
                  </pic:spPr>
                </pic:pic>
              </a:graphicData>
            </a:graphic>
          </wp:anchor>
        </w:drawing>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Basic and diluted (loss) earnings per share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6087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60870" cy="13716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6087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60870" cy="16256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tabs>
          <w:tab w:leader="none" w:pos="1020" w:val="left"/>
          <w:tab w:leader="none" w:pos="1620" w:val="left"/>
          <w:tab w:leader="none" w:pos="2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(0.93)</w:t>
        <w:tab/>
        <w:t>$</w:t>
      </w:r>
      <w:r>
        <w:rPr>
          <w:sz w:val="20"/>
          <w:szCs w:val="20"/>
          <w:color w:val="auto"/>
        </w:rPr>
        <w:tab/>
      </w:r>
      <w:r>
        <w:rPr>
          <w:rFonts w:ascii="Times New Roman" w:cs="Times New Roman" w:eastAsia="Times New Roman" w:hAnsi="Times New Roman"/>
          <w:sz w:val="18"/>
          <w:szCs w:val="18"/>
          <w:color w:val="auto"/>
        </w:rPr>
        <w:t>0.07</w:t>
      </w:r>
    </w:p>
    <w:p>
      <w:pPr>
        <w:spacing w:after="0" w:line="200" w:lineRule="exact"/>
        <w:rPr>
          <w:sz w:val="20"/>
          <w:szCs w:val="20"/>
          <w:color w:val="auto"/>
        </w:rPr>
      </w:pPr>
    </w:p>
    <w:p>
      <w:pPr>
        <w:spacing w:after="0" w:line="282" w:lineRule="exact"/>
        <w:rPr>
          <w:sz w:val="20"/>
          <w:szCs w:val="20"/>
          <w:color w:val="auto"/>
        </w:rPr>
      </w:pPr>
    </w:p>
    <w:p>
      <w:pPr>
        <w:jc w:val="both"/>
        <w:ind w:left="1020"/>
        <w:spacing w:after="0"/>
        <w:tabs>
          <w:tab w:leader="none" w:pos="2620" w:val="left"/>
        </w:tabs>
        <w:rPr>
          <w:sz w:val="20"/>
          <w:szCs w:val="20"/>
          <w:color w:val="auto"/>
        </w:rPr>
      </w:pPr>
      <w:r>
        <w:rPr>
          <w:rFonts w:ascii="Times New Roman" w:cs="Times New Roman" w:eastAsia="Times New Roman" w:hAnsi="Times New Roman"/>
          <w:sz w:val="18"/>
          <w:szCs w:val="18"/>
          <w:color w:val="auto"/>
        </w:rPr>
        <w:t>9,266</w:t>
      </w:r>
      <w:r>
        <w:rPr>
          <w:sz w:val="20"/>
          <w:szCs w:val="20"/>
          <w:color w:val="auto"/>
        </w:rPr>
        <w:tab/>
      </w:r>
      <w:r>
        <w:rPr>
          <w:rFonts w:ascii="Times New Roman" w:cs="Times New Roman" w:eastAsia="Times New Roman" w:hAnsi="Times New Roman"/>
          <w:sz w:val="18"/>
          <w:szCs w:val="18"/>
          <w:color w:val="auto"/>
        </w:rPr>
        <w:t>9,178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9373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30" w:lineRule="exact"/>
        <w:rPr>
          <w:sz w:val="20"/>
          <w:szCs w:val="20"/>
          <w:color w:val="auto"/>
        </w:rPr>
      </w:pPr>
    </w:p>
    <w:p>
      <w:pPr>
        <w:jc w:val="both"/>
        <w:ind w:left="1020"/>
        <w:spacing w:after="0"/>
        <w:tabs>
          <w:tab w:leader="none" w:pos="2620" w:val="left"/>
        </w:tabs>
        <w:rPr>
          <w:sz w:val="20"/>
          <w:szCs w:val="20"/>
          <w:color w:val="auto"/>
        </w:rPr>
      </w:pPr>
      <w:r>
        <w:rPr>
          <w:rFonts w:ascii="Times New Roman" w:cs="Times New Roman" w:eastAsia="Times New Roman" w:hAnsi="Times New Roman"/>
          <w:sz w:val="18"/>
          <w:szCs w:val="18"/>
          <w:color w:val="auto"/>
        </w:rPr>
        <w:t>9,266</w:t>
      </w:r>
      <w:r>
        <w:rPr>
          <w:sz w:val="20"/>
          <w:szCs w:val="20"/>
          <w:color w:val="auto"/>
        </w:rPr>
        <w:tab/>
      </w:r>
      <w:r>
        <w:rPr>
          <w:rFonts w:ascii="Times New Roman" w:cs="Times New Roman" w:eastAsia="Times New Roman" w:hAnsi="Times New Roman"/>
          <w:sz w:val="18"/>
          <w:szCs w:val="18"/>
          <w:color w:val="auto"/>
        </w:rPr>
        <w:t>9,248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19373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7080" w:space="720"/>
            <w:col w:w="3160"/>
          </w:cols>
          <w:pgMar w:left="460" w:top="121" w:right="47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tc>
        <w:tc>
          <w:tcPr>
            <w:tcW w:w="2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4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76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(8,663)</w:t>
            </w:r>
          </w:p>
        </w:tc>
        <w:tc>
          <w:tcPr>
            <w:tcW w:w="6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2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Change in market value of marketable securities before</w:t>
            </w:r>
          </w:p>
        </w:tc>
        <w:tc>
          <w:tcPr>
            <w:tcW w:w="2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2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gains included in</w:t>
            </w:r>
          </w:p>
        </w:tc>
        <w:tc>
          <w:tcPr>
            <w:tcW w:w="2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net of tax</w:t>
            </w:r>
          </w:p>
        </w:tc>
        <w:tc>
          <w:tcPr>
            <w:tcW w:w="28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unrealized loss on marketable securities, net of tax</w:t>
            </w:r>
          </w:p>
        </w:tc>
        <w:tc>
          <w:tcPr>
            <w:tcW w:w="2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860" w:type="dxa"/>
            <w:vAlign w:val="bottom"/>
          </w:tcPr>
          <w:p>
            <w:pPr>
              <w:spacing w:after="0"/>
              <w:rPr>
                <w:sz w:val="18"/>
                <w:szCs w:val="18"/>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(9,394)</w:t>
            </w:r>
          </w:p>
        </w:tc>
        <w:tc>
          <w:tcPr>
            <w:tcW w:w="6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680" w:type="dxa"/>
            <w:vAlign w:val="bottom"/>
            <w:gridSpan w:val="4"/>
          </w:tcPr>
          <w:p>
            <w:pPr>
              <w:jc w:val="center"/>
              <w:ind w:left="215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6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27</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4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1" w:right="47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Years Ended April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income</w:t>
            </w:r>
          </w:p>
        </w:tc>
        <w:tc>
          <w:tcPr>
            <w:tcW w:w="138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(8,663)</w:t>
            </w:r>
          </w:p>
        </w:tc>
        <w:tc>
          <w:tcPr>
            <w:tcW w:w="9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losses on accounts receivable, inventories, other assets and warranty reserve</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marketable securities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sale of fixed and other assets, net</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impairment of Morion</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benefit plans expense</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Accounts receivable</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Contract assets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Inventories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payable - trade</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Accrued liabilities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Contract liabilities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Loss provision accrual</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Income taxes refundable</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(5,996)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8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(2,511)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or redemption of marketable securities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PPP loan</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4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equivalents at end of year</w:t>
            </w:r>
          </w:p>
        </w:tc>
        <w:tc>
          <w:tcPr>
            <w:tcW w:w="480" w:type="dxa"/>
            <w:vAlign w:val="bottom"/>
          </w:tcPr>
          <w:p>
            <w:pPr>
              <w:spacing w:after="0"/>
              <w:rPr>
                <w:sz w:val="18"/>
                <w:szCs w:val="18"/>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40" w:type="dxa"/>
            <w:vAlign w:val="bottom"/>
          </w:tcPr>
          <w:p>
            <w:pPr>
              <w:spacing w:after="0"/>
              <w:rPr>
                <w:sz w:val="18"/>
                <w:szCs w:val="18"/>
                <w:color w:val="auto"/>
              </w:rPr>
            </w:pPr>
          </w:p>
        </w:tc>
        <w:tc>
          <w:tcPr>
            <w:tcW w:w="9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680" w:type="dxa"/>
            <w:vAlign w:val="bottom"/>
            <w:gridSpan w:val="3"/>
          </w:tcPr>
          <w:p>
            <w:pPr>
              <w:jc w:val="center"/>
              <w:ind w:left="215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jc w:val="right"/>
              <w:ind w:right="1650"/>
              <w:spacing w:after="0"/>
              <w:rPr>
                <w:sz w:val="20"/>
                <w:szCs w:val="20"/>
                <w:color w:val="auto"/>
              </w:rPr>
            </w:pPr>
            <w:r>
              <w:rPr>
                <w:rFonts w:ascii="Times New Roman" w:cs="Times New Roman" w:eastAsia="Times New Roman" w:hAnsi="Times New Roman"/>
                <w:sz w:val="18"/>
                <w:szCs w:val="18"/>
                <w:color w:val="auto"/>
              </w:rPr>
              <w:t>28</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1"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Years Ended April 30,</w:t>
            </w:r>
          </w:p>
        </w:tc>
        <w:tc>
          <w:tcPr>
            <w:tcW w:w="0" w:type="dxa"/>
            <w:vAlign w:val="bottom"/>
          </w:tcPr>
          <w:p>
            <w:pPr>
              <w:spacing w:after="0"/>
              <w:rPr>
                <w:sz w:val="1"/>
                <w:szCs w:val="1"/>
                <w:color w:val="auto"/>
              </w:rPr>
            </w:pPr>
          </w:p>
        </w:tc>
      </w:tr>
      <w:tr>
        <w:trPr>
          <w:trHeight w:val="210"/>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0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760" w:type="dxa"/>
            <w:vAlign w:val="bottom"/>
            <w:vMerge w:val="continue"/>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20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Income taxes</w:t>
            </w:r>
          </w:p>
        </w:tc>
        <w:tc>
          <w:tcPr>
            <w:tcW w:w="20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5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refund during the year for:</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0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April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6"/>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2900" w:type="dxa"/>
            <w:vAlign w:val="bottom"/>
          </w:tcPr>
          <w:p>
            <w:pPr>
              <w:spacing w:after="0"/>
              <w:rPr>
                <w:sz w:val="18"/>
                <w:szCs w:val="18"/>
                <w:color w:val="auto"/>
              </w:rPr>
            </w:pPr>
          </w:p>
        </w:tc>
        <w:tc>
          <w:tcPr>
            <w:tcW w:w="172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60" w:type="dxa"/>
            <w:vAlign w:val="bottom"/>
            <w:gridSpan w:val="6"/>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9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30, 2020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9,163,940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9,164</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56,914</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(12,137)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42,696</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(195)</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54,236</w:t>
            </w:r>
          </w:p>
        </w:tc>
        <w:tc>
          <w:tcPr>
            <w:tcW w:w="100" w:type="dxa"/>
            <w:vAlign w:val="bottom"/>
            <w:shd w:val="clear" w:color="auto" w:fill="CCEEFF"/>
          </w:tcPr>
          <w:p>
            <w:pPr>
              <w:spacing w:after="0"/>
              <w:rPr>
                <w:sz w:val="17"/>
                <w:szCs w:val="17"/>
                <w:color w:val="auto"/>
              </w:rPr>
            </w:pPr>
          </w:p>
        </w:tc>
      </w:tr>
      <w:tr>
        <w:trPr>
          <w:trHeight w:val="189"/>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of stock to</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401(k) plan</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(14,926)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8"/>
                <w:szCs w:val="18"/>
                <w:color w:val="auto"/>
              </w:rPr>
            </w:pPr>
          </w:p>
        </w:tc>
      </w:tr>
      <w:tr>
        <w:trPr>
          <w:trHeight w:val="19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8"/>
                <w:szCs w:val="18"/>
                <w:color w:val="auto"/>
              </w:rPr>
            </w:pPr>
          </w:p>
        </w:tc>
      </w:tr>
      <w:tr>
        <w:trPr>
          <w:trHeight w:val="189"/>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and stock appreciation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rights - net of shares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tendered for exercise price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31,936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(26,395)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19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net of tax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(199)</w:t>
            </w: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7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2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tcPr>
          <w:p>
            <w:pPr>
              <w:spacing w:after="0"/>
              <w:rPr>
                <w:sz w:val="17"/>
                <w:szCs w:val="17"/>
                <w:color w:val="auto"/>
              </w:rPr>
            </w:pPr>
          </w:p>
        </w:tc>
      </w:tr>
      <w:tr>
        <w:trPr>
          <w:trHeight w:val="19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30, 2021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9,226,268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9,226</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57,355</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(11,457)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55,409</w:t>
            </w:r>
          </w:p>
        </w:tc>
        <w:tc>
          <w:tcPr>
            <w:tcW w:w="100" w:type="dxa"/>
            <w:vAlign w:val="bottom"/>
            <w:shd w:val="clear" w:color="auto" w:fill="CCEEFF"/>
          </w:tcPr>
          <w:p>
            <w:pPr>
              <w:spacing w:after="0"/>
              <w:rPr>
                <w:sz w:val="17"/>
                <w:szCs w:val="17"/>
                <w:color w:val="auto"/>
              </w:rPr>
            </w:pPr>
          </w:p>
        </w:tc>
      </w:tr>
      <w:tr>
        <w:trPr>
          <w:trHeight w:val="189"/>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of stock to</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401(k) plan</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18"/>
                <w:szCs w:val="18"/>
                <w:color w:val="auto"/>
              </w:rPr>
            </w:pPr>
          </w:p>
        </w:tc>
      </w:tr>
      <w:tr>
        <w:trPr>
          <w:trHeight w:val="19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shd w:val="clear" w:color="auto" w:fill="CCEEFF"/>
          </w:tcPr>
          <w:p>
            <w:pPr>
              <w:spacing w:after="0"/>
              <w:rPr>
                <w:sz w:val="18"/>
                <w:szCs w:val="18"/>
                <w:color w:val="auto"/>
              </w:rPr>
            </w:pPr>
          </w:p>
        </w:tc>
      </w:tr>
      <w:tr>
        <w:trPr>
          <w:trHeight w:val="189"/>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and stock appreciation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rights - net of shares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tendered for exercise price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19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net of tax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(731)</w:t>
            </w:r>
          </w:p>
        </w:tc>
      </w:tr>
      <w:tr>
        <w:trPr>
          <w:trHeight w:val="203"/>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(8,663)</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(8,663)</w:t>
            </w:r>
          </w:p>
        </w:tc>
      </w:tr>
      <w:tr>
        <w:trPr>
          <w:trHeight w:val="20"/>
        </w:trPr>
        <w:tc>
          <w:tcPr>
            <w:tcW w:w="2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30, 2022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9,298,178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(20,120)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46,688</w:t>
            </w:r>
          </w:p>
        </w:tc>
        <w:tc>
          <w:tcPr>
            <w:tcW w:w="100" w:type="dxa"/>
            <w:vAlign w:val="bottom"/>
            <w:shd w:val="clear" w:color="auto" w:fill="CCEEFF"/>
          </w:tcPr>
          <w:p>
            <w:pPr>
              <w:spacing w:after="0"/>
              <w:rPr>
                <w:sz w:val="18"/>
                <w:szCs w:val="18"/>
                <w:color w:val="auto"/>
              </w:rPr>
            </w:pPr>
          </w:p>
        </w:tc>
      </w:tr>
      <w:tr>
        <w:trPr>
          <w:trHeight w:val="20"/>
        </w:trPr>
        <w:tc>
          <w:tcPr>
            <w:tcW w:w="29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30" w:name="page31"/>
    <w:bookmarkEnd w:id="30"/>
    <w:p>
      <w:pPr>
        <w:ind w:left="2"/>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7" w:lineRule="exact"/>
        <w:rPr>
          <w:sz w:val="20"/>
          <w:szCs w:val="20"/>
          <w:color w:val="auto"/>
        </w:rPr>
      </w:pPr>
    </w:p>
    <w:p>
      <w:pPr>
        <w:ind w:left="182" w:hanging="182"/>
        <w:spacing w:after="0"/>
        <w:tabs>
          <w:tab w:leader="none" w:pos="1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Summary of Accounting Policies</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2" w:right="20" w:firstLine="648"/>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Frequency Electronics, Inc. and its wholly-owned subsidiaries (the “Company” or “Registrant”). References to “FEI” are to the parent company alone and do not refer to any of its subsidiaries. The Company is principally engaged in the design, development and manufacture of precision time and frequency control products and components for microwave integrated circuit applications. See Note 13 for information regarding the Company’s business segments: (1) FEI-NY (which includes the subsidiaries FEI Government Systems, Inc., FEI Communications, Inc., and FEI-Elcom Tech, Inc. (“FEI-Elcom”)), and (2) FEI-Zyfer, Inc. (“FEI-Zyfer”). Intercompany accounts and transactions are eliminated in consolidation.</w:t>
      </w:r>
    </w:p>
    <w:p>
      <w:pPr>
        <w:spacing w:after="0" w:line="187" w:lineRule="exact"/>
        <w:rPr>
          <w:sz w:val="20"/>
          <w:szCs w:val="20"/>
          <w:color w:val="auto"/>
        </w:rPr>
      </w:pPr>
    </w:p>
    <w:p>
      <w:pPr>
        <w:jc w:val="both"/>
        <w:ind w:left="2" w:firstLine="648"/>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conformity with United States generally accepted accounting principles (“U.S. GAAP”) and require management to make estimates and assumptions that affect amounts reported and disclosed in the consolidated financial statements and related notes. Actual results could differ from these estimates.</w:t>
      </w:r>
    </w:p>
    <w:p>
      <w:pPr>
        <w:spacing w:after="0" w:line="1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COVID-19 Pandemic and the CARES Act</w:t>
      </w:r>
    </w:p>
    <w:p>
      <w:pPr>
        <w:spacing w:after="0" w:line="229" w:lineRule="exact"/>
        <w:rPr>
          <w:sz w:val="20"/>
          <w:szCs w:val="20"/>
          <w:color w:val="auto"/>
        </w:rPr>
      </w:pPr>
    </w:p>
    <w:p>
      <w:pPr>
        <w:jc w:val="both"/>
        <w:ind w:left="2" w:right="20" w:firstLine="648"/>
        <w:spacing w:after="0" w:line="266" w:lineRule="auto"/>
        <w:rPr>
          <w:sz w:val="20"/>
          <w:szCs w:val="20"/>
          <w:color w:val="auto"/>
        </w:rPr>
      </w:pPr>
      <w:r>
        <w:rPr>
          <w:rFonts w:ascii="Times New Roman" w:cs="Times New Roman" w:eastAsia="Times New Roman" w:hAnsi="Times New Roman"/>
          <w:sz w:val="18"/>
          <w:szCs w:val="18"/>
          <w:color w:val="auto"/>
        </w:rPr>
        <w:t>On January 30, 2020, the World Health Organization (“WHO”) announced a global health emergency because of a new strain of coronavirus originating in Wuhan, China (“COVID-19”) and the risks to the international community as the virus spread globally beyond its point of origin. In March 2020, the WHO classified COVID-19 as a pandemic, based on the rapid increase in exposure globally.</w:t>
      </w:r>
    </w:p>
    <w:p>
      <w:pPr>
        <w:spacing w:after="0" w:line="176" w:lineRule="exact"/>
        <w:rPr>
          <w:sz w:val="20"/>
          <w:szCs w:val="20"/>
          <w:color w:val="auto"/>
        </w:rPr>
      </w:pPr>
    </w:p>
    <w:p>
      <w:pPr>
        <w:jc w:val="both"/>
        <w:ind w:left="2" w:firstLine="648"/>
        <w:spacing w:after="0" w:line="254" w:lineRule="auto"/>
        <w:rPr>
          <w:sz w:val="20"/>
          <w:szCs w:val="20"/>
          <w:color w:val="auto"/>
        </w:rPr>
      </w:pPr>
      <w:r>
        <w:rPr>
          <w:rFonts w:ascii="Times New Roman" w:cs="Times New Roman" w:eastAsia="Times New Roman" w:hAnsi="Times New Roman"/>
          <w:sz w:val="18"/>
          <w:szCs w:val="18"/>
          <w:color w:val="auto"/>
        </w:rPr>
        <w:t>The full impact of the COVID-19 pandemic continues to evolve as of the date of this report. As such, it is uncertain as to the full magnitude that the pandemic may ultimately have on the Company’s financial condition, liquidity, and future financial results. For the fiscal year ended April 30, 2022, the Company had been impacted by employee absenteeism related to direct or indirect effects of the COVID pandemic, delays in the receipt of anticipated new contracts from customers administratively affected by the pandemic and limited availability or delivery delays of parts and materials from vendors affected by the pandemic. FEI-Zyfer’s operations were particularly affected as evidenced by decreases in sales and gross margin during the fiscal year. Management is actively monitoring the impact of the global situation on its financial condition, liquidity, operations, suppliers, industry, and workforce. Given the continuing changing dynamics of the pandemic the Company is not able to estimate the potential adverse effects on its operations, financial condition, or liquidity for fiscal year 2023. As of April 30, 2022, the Company has returned to essentially normal operations and will continue to follow CDC and state guidelines with an emphasis on employee safety.</w:t>
      </w:r>
    </w:p>
    <w:p>
      <w:pPr>
        <w:spacing w:after="0" w:line="188" w:lineRule="exact"/>
        <w:rPr>
          <w:sz w:val="20"/>
          <w:szCs w:val="20"/>
          <w:color w:val="auto"/>
        </w:rPr>
      </w:pPr>
    </w:p>
    <w:p>
      <w:pPr>
        <w:jc w:val="both"/>
        <w:ind w:left="2"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faces various future COVID-19 related risks. The Company is dependent on its workforce to design and manufacture its products. If significant portions of the Company’s workforce are unable to work effectively, or if the U.S. Government, state and/or other customers or supplier operations are curtailed due to illness, quarantines, government actions, facility closures, or other restrictions, the Company’s operations may be impacted. If so, the Company may be unable to perform fully on its contracts and costs may increase. These cost increases may not be fully recoverable or adequately covered by insurance. In the latter part of fiscal year 2021, the Company did experience some operational disruptions due to the need to vacate certain areas of the facilities for cleaning and disinfecting resulting from employees being potentially exposed to COVID-19 or following positive COVID-19 test results. Also, certain Company vendors have been unable to deliver materials on time due to COVID-19 related impacts to their workforces or their supply chains. These delays impacted the Company’s production costs and schedules. Vendor delivery performance is being closely monitored and alternate sources of supply are generally available and, in some cases, are being established.</w:t>
      </w:r>
    </w:p>
    <w:p>
      <w:pPr>
        <w:spacing w:after="0" w:line="188" w:lineRule="exact"/>
        <w:rPr>
          <w:sz w:val="20"/>
          <w:szCs w:val="20"/>
          <w:color w:val="auto"/>
        </w:rPr>
      </w:pPr>
    </w:p>
    <w:p>
      <w:pPr>
        <w:jc w:val="both"/>
        <w:ind w:left="2" w:right="20" w:firstLine="648"/>
        <w:spacing w:after="0" w:line="255" w:lineRule="auto"/>
        <w:rPr>
          <w:sz w:val="20"/>
          <w:szCs w:val="20"/>
          <w:color w:val="auto"/>
        </w:rPr>
      </w:pPr>
      <w:r>
        <w:rPr>
          <w:rFonts w:ascii="Times New Roman" w:cs="Times New Roman" w:eastAsia="Times New Roman" w:hAnsi="Times New Roman"/>
          <w:sz w:val="18"/>
          <w:szCs w:val="18"/>
          <w:color w:val="auto"/>
        </w:rPr>
        <w:t>On March 27, 2020, President Trump signed into law the “Coronavirus Aid, Relief, and Economic Security (“CARES”) Act.” The CARES Act, among other things, included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The CARES Act also appropriated funds for the Small Business Administration (SBA) Paycheck Protection Program loans that are forgivable in certain situations to promote continued employment, as well as Economic Injury Disaster Loans to provide liquidity to small businesses harmed by the COVID-19 pandemic. The Company received a loan under the Paycheck Protection Program (“PPP”) in April 2020, which it repaid in full in May 2020.</w:t>
      </w:r>
    </w:p>
    <w:p>
      <w:pPr>
        <w:spacing w:after="0" w:line="18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1"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considers certificates of deposit and other highly liquid investments with maturities of three months or less when purchased to be cash equivalents. The Company places its temporary cash investments with high credit quality financial institutions. Such investments may at times be in excess of the Federal Deposit Insurance Corporation (“FDIC”) and Securities Investor Protection Corporation insurance limits. No losses have been experienced on such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Marketable securities consist of corporate debt securities, certificates-of-deposit, and debt securities of U.S. Government agencies. All marketable securities were held in the custody of one financial institution at April 30, 2022 and 2021. Investments in debt securities are categorized as available-for-sale and are carried at fair value, with unrealized gains and losses excluded from income and recorded directly to stockholders’ equity. The Company recognizes gains or losses when securities are sold using the specific identification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Losses from uncollectible accounts receivable are provided for by utilizing the allowance for doubtful accounts method based upon management’s estimate of uncollectible accounts. Management analyzes accounts receivable and the potential for bad debts, customer concentrations, credit worthiness, current economic trends and changes in customer payment terms when evaluating the amount recorded for the allowance for doubtful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Property, plant and equipment is recorded at cost and include interest on funds borrowed to finance construction. Expenditures for renewals and betterments are capitalized; maintenance and repairs are charged to income when incurred. When fixed assets are sold or retired, the cost and related accumulated depreciation and amortization are eliminated from the respective accounts and any gain or loss is credited or charged to income.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No impairment losses have been recognized in the years ended April 30, 2022 and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Inventories, which consist of finished goods, work-in-process, raw materials and components, are accounted for at the lower of cost (specific and average) and net realizable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of property, plant and equipment is computed on the straight-line method based upon the estimated useful lives of the assets (40 years for buildings and 3 to 10 years for other depreciable assets). Leasehold improvements and equipment acquired under capital leases are amortized on the straight-line method over the shorter of the term of the lease or the useful life of the related asset.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records goodwill as the excess of purchase price over the fair value of identifiable net assets acquired. Goodwill is tested for impairment, on a reporting unit level qualitatively, on at least an annual basis at year end to determine whether it is more likely than not that the reporting unit’s fair value is less than its carrying amount. If it is determined that the carrying value of goodwill may not be recoverable, the Company will write down the goodwill to an amount to commensurate with the revised value of the acquired assets. The Company measures impairment based on revenue projections, recent transactions involving similar businesses and price/revenue multiples at which they were bought and sold, price/revenue multiples of competitors, and the present market value of publicly-traded companies in the Company’s industry. Management has determined that goodwill is not impaired as of April 30, 2022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Cost Recognition: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Revenue is recognized when a performance obligation is satisfied, which is when the expected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 The Company derives revenue from contracts with customers by units sold with specific specifications and frequencies that are used by a specific customer and contracts where the end user is The United States Government. The Company’s contracts typically include one performance obligation which is satisfied by shipped projects and completed services/reports required in the contract. Control over these performance obligations passes to the customer over time and therefore these revenues are reported in operating results over time using the percentage-of-completion (“POC”)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rate for a contract is reflected in revenues in the period in which the change is known. Provisions for the full amount of anticipated losses on contracts are made in the period in which they become determinable.</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smaller contracts or orders sales of products and services to customers are reported in operating results based upon passage-of-title (“POT”) (i) shipment of the product or (ii) performance of the services pursuant to terms of the customer order. When payment is contingent upon customer acceptance of the installed system, revenue is deferred until such acceptance is received and installation completed. The Company’s products generally carry a one-year warranty, but may vary based on the contract terms.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Some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Contract costs include all direct material, direct labor costs, manufacturing overhead and other direct costs related to contract performance.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costs are charged to expense as incurred.</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Practical Expedients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expenses sales commissions as sales and marketing expenses in the period they are incurred if the expected amortization period is one year or less.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expenses costs, other than sales commissions, to obtain a contract in the period for which they are incurred as these amounts would have been incurred even if the contract had not been obtained.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revenue recognized over time as POC method was approximately $46.4 million and $50.2 million of the $48.3 million and $54.3 million reported for the years ended April 30, 2022 and 2021, respectively. The amounts by segment and product line were as follows:</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Year Ended April 30, 2022</w:t>
            </w:r>
          </w:p>
        </w:tc>
        <w:tc>
          <w:tcPr>
            <w:tcW w:w="13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POC</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POT Revenue</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Total Revenue</w:t>
            </w: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4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Year Ended April 30, 2021</w:t>
            </w:r>
          </w:p>
        </w:tc>
        <w:tc>
          <w:tcPr>
            <w:tcW w:w="1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POC</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POT Revenue</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Total Revenue</w:t>
            </w: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4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39,225</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(1,971)</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(1,981)</w:t>
            </w:r>
          </w:p>
        </w:tc>
        <w:tc>
          <w:tcPr>
            <w:tcW w:w="0" w:type="dxa"/>
            <w:vAlign w:val="bottom"/>
          </w:tcPr>
          <w:p>
            <w:pPr>
              <w:spacing w:after="0"/>
              <w:rPr>
                <w:sz w:val="1"/>
                <w:szCs w:val="1"/>
                <w:color w:val="auto"/>
              </w:rPr>
            </w:pPr>
          </w:p>
        </w:tc>
      </w:tr>
      <w:tr>
        <w:trPr>
          <w:trHeight w:val="20"/>
        </w:trPr>
        <w:tc>
          <w:tcPr>
            <w:tcW w:w="34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Years Ended April 30,</w:t>
            </w: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020" w:type="dxa"/>
            <w:vAlign w:val="bottom"/>
            <w:tcBorders>
              <w:top w:val="single" w:sz="8" w:color="auto"/>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 by Product Line:</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Revenue</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26,092</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Government Non-Space Revenue</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 &amp; Industrial Revenue</w:t>
            </w: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Comprehensive income (loss) consists of net income or loss and other comprehensive income/loss. Other comprehensive income/loss includes changes in unrealized gains or losses, net of tax, on securities (for Fiscal 2022 and Fiscal 2021, debt securities) available for sale during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engages in R&amp;D activities to identify new applications for its core technologies, to improve existing products and to improve manufacturing processes to achieve cost reductions and manufacturing efficiencies. R&amp;D costs include direct labor, manufacturing overhead, direct materials and contracted services. Such costs are expensed as incurred. The Company also engages in customer-funded R&amp;D activity. The customer funds received in connection therewith appear in revenues and the associated expenses are included in cost of revenues and are not included in R&amp;D expenses.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and adjusted when necessary to increase or reduce deferred tax assets to the amount expected to be realized.</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analyzes its tax positions under accounting standards which prescribe recognition thresholds that must be met before a tax benefit is recognized in the financial statements and provides guidance on de-recognition, classification, interest and penalties, accounting in interim periods, disclosure, and transition. An entity may only recognize or continue to recognize tax positions that meet a “more likely than not” threshold. Interest and penalties recognized on income taxes are recorded as income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Earnings/Loss per Share:</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Basic earnings/loss per share are computed by dividing net earnings/loss by the weighted average number of shares of common stock outstanding. Diluted earnings per share are computed by dividing net earnings by the sum of the weighted average number of shares of common stock and the if-converted effect of unexercised stock options and stock appreciation rights (“SARs”). Diluted earnings per share are not computed where the if-converted effect of such items would be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Financial Instruments:</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Cash and cash equivalents, marketable securities, short-term credit obligations and debt and cash surrender value of life insurance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 The Company also has an investment in a privately-held Russian company, Morion, Inc. (“Morion”). The Company is unable to reasonably estimate a fair value for this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cost of employee services received in exchange for awards of equity instruments are based on the grant-date fair value of the award. We recognize the fair value of the award as compensation expense over the period during which an employee is required to provide service in exchange for the award.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principally of cash and cash equivalents and trade receivables. The Company maintains cash accounts at several commercial banks at which the balances exceed FDIC limits. The Company has not experienced any losses on such amounts. Concentration of credit risk with respect to trade receivables is generally diversified due to the large number of entities comprising the Company’s customer base and their dispersion across geographic areas, principally within the U.S. The Company routinely addresses the financial strength of its customers and, as a consequence, believes that its receivable credit risk exposure is limited. The Company does not require customers to post collateral.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Other (Topic 350): Simplifying the Test for 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Impairment </w:t>
      </w:r>
      <w:r>
        <w:rPr>
          <w:rFonts w:ascii="Times New Roman" w:cs="Times New Roman" w:eastAsia="Times New Roman" w:hAnsi="Times New Roman"/>
          <w:sz w:val="18"/>
          <w:szCs w:val="18"/>
          <w:color w:val="auto"/>
        </w:rPr>
        <w:t>(“ASU 2017-04”), which simplifies how an entity is required to test goodwill for impairment by eliminating Step 2 from the goodwill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2022, with early adoption permitted. The Company will not be adopting ASU 2017-04 early, and is in the process of determining the effect that ASU 2017-04 may have. However, the Company expects the new standard to have an immaterial effect on its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5" w:name="page36"/>
    <w:bookmarkEnd w:id="35"/>
    <w:p>
      <w:pPr>
        <w:ind w:left="2"/>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5" w:lineRule="exact"/>
        <w:rPr>
          <w:sz w:val="20"/>
          <w:szCs w:val="20"/>
          <w:color w:val="auto"/>
        </w:rPr>
      </w:pPr>
    </w:p>
    <w:p>
      <w:pPr>
        <w:jc w:val="both"/>
        <w:ind w:left="2"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 (Topic 326): Measurement of Credit Losses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(“ASU 2016-13”) which replaces the incurred loss impairment methodology in current U.S. GAAP with a methodology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reflects expected credit losses and requires consideration of a broader range of reasonable and supportable information to inform credit loss estimates. The new guidance is effective for fiscal years beginning after December 15, 2022. The Company is evaluating the effect, if any, the update will have on its consolidated financial statements when adopted in fiscal year 2024.</w:t>
      </w:r>
    </w:p>
    <w:p>
      <w:pPr>
        <w:spacing w:after="0" w:line="185" w:lineRule="exact"/>
        <w:rPr>
          <w:sz w:val="20"/>
          <w:szCs w:val="20"/>
          <w:color w:val="auto"/>
        </w:rPr>
      </w:pPr>
    </w:p>
    <w:p>
      <w:pPr>
        <w:ind w:left="182" w:hanging="182"/>
        <w:spacing w:after="0"/>
        <w:tabs>
          <w:tab w:leader="none" w:pos="1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ind w:left="2" w:right="20" w:firstLine="648"/>
        <w:spacing w:after="0" w:line="282" w:lineRule="auto"/>
        <w:rPr>
          <w:sz w:val="20"/>
          <w:szCs w:val="20"/>
          <w:color w:val="auto"/>
        </w:rPr>
      </w:pPr>
      <w:r>
        <w:rPr>
          <w:rFonts w:ascii="Times New Roman" w:cs="Times New Roman" w:eastAsia="Times New Roman" w:hAnsi="Times New Roman"/>
          <w:sz w:val="18"/>
          <w:szCs w:val="18"/>
          <w:color w:val="auto"/>
        </w:rPr>
        <w:t>Reconciliations of the weighted average shares outstanding for basic and diluted (loss) income per share for the years ended April 30, 2022 and 2021, respectively, were as follows:</w:t>
      </w:r>
    </w:p>
    <w:p>
      <w:pPr>
        <w:sectPr>
          <w:pgSz w:w="11900" w:h="16838" w:orient="portrait"/>
          <w:cols w:equalWidth="0" w:num="1">
            <w:col w:w="10982"/>
          </w:cols>
          <w:pgMar w:left="458"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102"/>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17145</wp:posOffset>
            </wp:positionV>
            <wp:extent cx="557212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2125" cy="137160"/>
                    </a:xfrm>
                    <a:prstGeom prst="rect">
                      <a:avLst/>
                    </a:prstGeom>
                    <a:noFill/>
                  </pic:spPr>
                </pic:pic>
              </a:graphicData>
            </a:graphic>
          </wp:anchor>
        </w:drawing>
      </w:r>
    </w:p>
    <w:p>
      <w:pPr>
        <w:spacing w:after="0" w:line="7" w:lineRule="exact"/>
        <w:rPr>
          <w:sz w:val="20"/>
          <w:szCs w:val="20"/>
          <w:color w:val="auto"/>
        </w:rPr>
      </w:pPr>
    </w:p>
    <w:p>
      <w:pPr>
        <w:ind w:left="1642"/>
        <w:spacing w:after="0"/>
        <w:rPr>
          <w:sz w:val="20"/>
          <w:szCs w:val="20"/>
          <w:color w:val="auto"/>
        </w:rPr>
      </w:pPr>
      <w:r>
        <w:rPr>
          <w:rFonts w:ascii="Times New Roman" w:cs="Times New Roman" w:eastAsia="Times New Roman" w:hAnsi="Times New Roman"/>
          <w:sz w:val="17"/>
          <w:szCs w:val="17"/>
          <w:color w:val="auto"/>
        </w:rPr>
        <w:t>Basic EPS Shares outstanding (weighted average)</w:t>
      </w:r>
    </w:p>
    <w:p>
      <w:pPr>
        <w:spacing w:after="0" w:line="21" w:lineRule="exact"/>
        <w:rPr>
          <w:sz w:val="20"/>
          <w:szCs w:val="20"/>
          <w:color w:val="auto"/>
        </w:rPr>
      </w:pPr>
    </w:p>
    <w:p>
      <w:pPr>
        <w:ind w:left="1642"/>
        <w:spacing w:after="0"/>
        <w:rPr>
          <w:sz w:val="20"/>
          <w:szCs w:val="20"/>
          <w:color w:val="auto"/>
        </w:rPr>
      </w:pPr>
      <w:r>
        <w:rPr>
          <w:rFonts w:ascii="Times New Roman" w:cs="Times New Roman" w:eastAsia="Times New Roman" w:hAnsi="Times New Roman"/>
          <w:sz w:val="18"/>
          <w:szCs w:val="18"/>
          <w:color w:val="auto"/>
        </w:rPr>
        <w:t>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14605</wp:posOffset>
            </wp:positionV>
            <wp:extent cx="5572125"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72125" cy="163195"/>
                    </a:xfrm>
                    <a:prstGeom prst="rect">
                      <a:avLst/>
                    </a:prstGeom>
                    <a:noFill/>
                  </pic:spPr>
                </pic:pic>
              </a:graphicData>
            </a:graphic>
          </wp:anchor>
        </w:drawing>
      </w:r>
    </w:p>
    <w:p>
      <w:pPr>
        <w:spacing w:after="0" w:line="25" w:lineRule="exact"/>
        <w:rPr>
          <w:sz w:val="20"/>
          <w:szCs w:val="20"/>
          <w:color w:val="auto"/>
        </w:rPr>
      </w:pPr>
    </w:p>
    <w:p>
      <w:pPr>
        <w:ind w:left="1642"/>
        <w:spacing w:after="0"/>
        <w:rPr>
          <w:sz w:val="20"/>
          <w:szCs w:val="20"/>
          <w:color w:val="auto"/>
        </w:rPr>
      </w:pPr>
      <w:r>
        <w:rPr>
          <w:rFonts w:ascii="Times New Roman" w:cs="Times New Roman" w:eastAsia="Times New Roman" w:hAnsi="Times New Roman"/>
          <w:sz w:val="18"/>
          <w:szCs w:val="18"/>
          <w:color w:val="auto"/>
        </w:rPr>
        <w:t>Diluted EPS Shares outstanding</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7"/>
          <w:szCs w:val="17"/>
          <w:b w:val="1"/>
          <w:bCs w:val="1"/>
          <w:color w:val="auto"/>
        </w:rPr>
        <w:t>For the Years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27305</wp:posOffset>
            </wp:positionV>
            <wp:extent cx="19970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3" w:lineRule="exact"/>
        <w:rPr>
          <w:sz w:val="20"/>
          <w:szCs w:val="20"/>
          <w:color w:val="auto"/>
        </w:rPr>
      </w:pPr>
    </w:p>
    <w:p>
      <w:pPr>
        <w:ind w:left="16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14605</wp:posOffset>
            </wp:positionV>
            <wp:extent cx="19970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14" w:lineRule="exact"/>
        <w:rPr>
          <w:sz w:val="20"/>
          <w:szCs w:val="20"/>
          <w:color w:val="auto"/>
        </w:rPr>
      </w:pPr>
    </w:p>
    <w:p>
      <w:pPr>
        <w:ind w:left="360"/>
        <w:spacing w:after="0"/>
        <w:tabs>
          <w:tab w:leader="none" w:pos="1980" w:val="left"/>
        </w:tabs>
        <w:rPr>
          <w:sz w:val="20"/>
          <w:szCs w:val="20"/>
          <w:color w:val="auto"/>
        </w:rPr>
      </w:pPr>
      <w:r>
        <w:rPr>
          <w:rFonts w:ascii="Times New Roman" w:cs="Times New Roman" w:eastAsia="Times New Roman" w:hAnsi="Times New Roman"/>
          <w:sz w:val="18"/>
          <w:szCs w:val="18"/>
          <w:color w:val="auto"/>
        </w:rPr>
        <w:t>9,265,934</w:t>
      </w:r>
      <w:r>
        <w:rPr>
          <w:sz w:val="20"/>
          <w:szCs w:val="20"/>
          <w:color w:val="auto"/>
        </w:rPr>
        <w:tab/>
      </w:r>
      <w:r>
        <w:rPr>
          <w:rFonts w:ascii="Times New Roman" w:cs="Times New Roman" w:eastAsia="Times New Roman" w:hAnsi="Times New Roman"/>
          <w:sz w:val="18"/>
          <w:szCs w:val="18"/>
          <w:color w:val="auto"/>
        </w:rPr>
        <w:t>9,177,537</w:t>
      </w:r>
    </w:p>
    <w:p>
      <w:pPr>
        <w:spacing w:after="0" w:line="27" w:lineRule="exact"/>
        <w:rPr>
          <w:sz w:val="20"/>
          <w:szCs w:val="20"/>
          <w:color w:val="auto"/>
        </w:rPr>
      </w:pPr>
    </w:p>
    <w:p>
      <w:pPr>
        <w:ind w:left="2240" w:hanging="1338"/>
        <w:spacing w:after="0"/>
        <w:tabs>
          <w:tab w:leader="none" w:pos="2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70,888</w:t>
      </w:r>
    </w:p>
    <w:p>
      <w:pPr>
        <w:spacing w:after="0" w:line="20" w:lineRule="exact"/>
        <w:rPr>
          <w:rFonts w:ascii="Times New Roman" w:cs="Times New Roman" w:eastAsia="Times New Roman" w:hAnsi="Times New Roman"/>
          <w:sz w:val="17"/>
          <w:szCs w:val="17"/>
          <w:color w:val="auto"/>
        </w:rPr>
      </w:pPr>
    </w:p>
    <w:p>
      <w:pPr>
        <w:ind w:left="3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9,265,9349,248,425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-130810</wp:posOffset>
            </wp:positionV>
            <wp:extent cx="19970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6342" w:space="720"/>
            <w:col w:w="3920"/>
          </w:cols>
          <w:pgMar w:left="458" w:top="121" w:right="459" w:bottom="1440" w:gutter="0" w:footer="0" w:header="0"/>
          <w:type w:val="continuous"/>
        </w:sectPr>
      </w:pPr>
    </w:p>
    <w:p>
      <w:pPr>
        <w:spacing w:after="0" w:line="25" w:lineRule="exact"/>
        <w:rPr>
          <w:sz w:val="20"/>
          <w:szCs w:val="20"/>
          <w:color w:val="auto"/>
        </w:rPr>
      </w:pPr>
    </w:p>
    <w:p>
      <w:pPr>
        <w:jc w:val="both"/>
        <w:ind w:left="2" w:right="20" w:firstLine="646"/>
        <w:spacing w:after="0" w:line="266" w:lineRule="auto"/>
        <w:tabs>
          <w:tab w:leader="none" w:pos="8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April 30, 2022, dilutive securities noted in the above table are excluded from the calculation of earnings per share since the inclusion of such shares would be antidilutive due to the net loss for the period. Additionally, there are anti-dilutive shares excluded in the above table for fiscal years ended April 30, 2022 and 2021 of 193,000 and 345,800, respectively.</w:t>
      </w:r>
    </w:p>
    <w:p>
      <w:pPr>
        <w:spacing w:after="0" w:line="175" w:lineRule="exact"/>
        <w:rPr>
          <w:rFonts w:ascii="Times New Roman" w:cs="Times New Roman" w:eastAsia="Times New Roman" w:hAnsi="Times New Roman"/>
          <w:sz w:val="18"/>
          <w:szCs w:val="18"/>
          <w:color w:val="auto"/>
        </w:rPr>
      </w:pPr>
    </w:p>
    <w:p>
      <w:pPr>
        <w:ind w:left="182" w:hanging="182"/>
        <w:spacing w:after="0"/>
        <w:tabs>
          <w:tab w:leader="none" w:pos="1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 (Liabilities) Assets, Net</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At April 30, 2022 and 2021, contract assets (liabilities), net, consisted of the following (in thousands):</w:t>
      </w:r>
    </w:p>
    <w:p>
      <w:pPr>
        <w:spacing w:after="0" w:line="221" w:lineRule="exact"/>
        <w:rPr>
          <w:sz w:val="20"/>
          <w:szCs w:val="20"/>
          <w:color w:val="auto"/>
        </w:rPr>
      </w:pPr>
    </w:p>
    <w:tbl>
      <w:tblPr>
        <w:tblLayout w:type="fixed"/>
        <w:tblInd w:w="1102"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2021</w:t>
            </w:r>
          </w:p>
        </w:tc>
        <w:tc>
          <w:tcPr>
            <w:tcW w:w="80" w:type="dxa"/>
            <w:vAlign w:val="bottom"/>
          </w:tcPr>
          <w:p>
            <w:pPr>
              <w:spacing w:after="0"/>
              <w:rPr>
                <w:sz w:val="20"/>
                <w:szCs w:val="20"/>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w:t>
            </w:r>
          </w:p>
        </w:tc>
        <w:tc>
          <w:tcPr>
            <w:tcW w:w="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(12,218)</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(10,692)</w:t>
            </w:r>
          </w:p>
        </w:tc>
      </w:tr>
      <w:tr>
        <w:trPr>
          <w:trHeight w:val="20"/>
        </w:trPr>
        <w:tc>
          <w:tcPr>
            <w:tcW w:w="3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(liability) asset</w:t>
            </w:r>
          </w:p>
        </w:tc>
        <w:tc>
          <w:tcPr>
            <w:tcW w:w="2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80" w:type="dxa"/>
            <w:vAlign w:val="bottom"/>
            <w:shd w:val="clear" w:color="auto" w:fill="CCEEFF"/>
          </w:tcPr>
          <w:p>
            <w:pPr>
              <w:spacing w:after="0"/>
              <w:rPr>
                <w:sz w:val="19"/>
                <w:szCs w:val="19"/>
                <w:color w:val="auto"/>
              </w:rPr>
            </w:pPr>
          </w:p>
        </w:tc>
      </w:tr>
      <w:tr>
        <w:trPr>
          <w:trHeight w:val="20"/>
        </w:trPr>
        <w:tc>
          <w:tcPr>
            <w:tcW w:w="346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2" w:right="20" w:firstLine="648"/>
        <w:spacing w:after="0" w:line="256" w:lineRule="auto"/>
        <w:rPr>
          <w:sz w:val="20"/>
          <w:szCs w:val="20"/>
          <w:color w:val="auto"/>
        </w:rPr>
      </w:pPr>
      <w:r>
        <w:rPr>
          <w:rFonts w:ascii="Times New Roman" w:cs="Times New Roman" w:eastAsia="Times New Roman" w:hAnsi="Times New Roman"/>
          <w:sz w:val="18"/>
          <w:szCs w:val="18"/>
          <w:color w:val="auto"/>
        </w:rPr>
        <w:t>Such amounts represent revenue recognized on long-term contracts that have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dates. Revenue on these long-term contracts are accounted for on the POC basis. During the years ended April 30, 2022 and 2021, revenue recognized under POC contracts was approximately $46.4 million and $50.2 million, respectively. If contract losses are anticipated, a loss provision is recorded for the full amount of such losses when they are determinable. Total contract losses for the fiscal years ended April 30, 2022 and 2021 were approximately $4.2 million and $1.0 million, respectively.</w:t>
      </w:r>
    </w:p>
    <w:p>
      <w:pPr>
        <w:spacing w:after="0" w:line="187"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1" w:right="459" w:bottom="1440" w:gutter="0" w:footer="0" w:header="0"/>
          <w:type w:val="continuous"/>
        </w:sectPr>
      </w:pPr>
    </w:p>
    <w:bookmarkStart w:id="36" w:name="page37"/>
    <w:bookmarkEnd w:id="36"/>
    <w:p>
      <w:pPr>
        <w:ind w:left="2"/>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7" w:lineRule="exact"/>
        <w:rPr>
          <w:sz w:val="20"/>
          <w:szCs w:val="20"/>
          <w:color w:val="auto"/>
        </w:rPr>
      </w:pPr>
    </w:p>
    <w:p>
      <w:pPr>
        <w:ind w:left="182" w:hanging="182"/>
        <w:spacing w:after="0"/>
        <w:tabs>
          <w:tab w:leader="none" w:pos="1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Inventories, Net</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Inventories, net at April 30, 2022 and 2021, respectively, consisted of the following (in thousands):</w:t>
      </w:r>
    </w:p>
    <w:p>
      <w:pPr>
        <w:spacing w:after="0" w:line="221" w:lineRule="exact"/>
        <w:rPr>
          <w:sz w:val="20"/>
          <w:szCs w:val="20"/>
          <w:color w:val="auto"/>
        </w:rPr>
      </w:pPr>
    </w:p>
    <w:tbl>
      <w:tblPr>
        <w:tblLayout w:type="fixed"/>
        <w:tblInd w:w="1102"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2021</w:t>
            </w:r>
          </w:p>
        </w:tc>
        <w:tc>
          <w:tcPr>
            <w:tcW w:w="80" w:type="dxa"/>
            <w:vAlign w:val="bottom"/>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 Parts</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11,683</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12,386</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80" w:type="dxa"/>
            <w:vAlign w:val="bottom"/>
          </w:tcPr>
          <w:p>
            <w:pPr>
              <w:spacing w:after="0"/>
              <w:rPr>
                <w:sz w:val="18"/>
                <w:szCs w:val="18"/>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19,661</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Inventory reserves included in inventory were $7.5 million and $7.3 million for the fiscal years ended April 30, 2022 and 2021, respectively.</w:t>
      </w:r>
    </w:p>
    <w:p>
      <w:pPr>
        <w:spacing w:after="0" w:line="225" w:lineRule="exact"/>
        <w:rPr>
          <w:sz w:val="20"/>
          <w:szCs w:val="20"/>
          <w:color w:val="auto"/>
        </w:rPr>
      </w:pPr>
    </w:p>
    <w:p>
      <w:pPr>
        <w:ind w:left="182" w:hanging="182"/>
        <w:spacing w:after="0"/>
        <w:tabs>
          <w:tab w:leader="none" w:pos="1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 Plant and Equipment, Net</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Property, plant and equipment, net at April 30, 2022 and 2021, consisted of the following (in thousands):</w:t>
      </w:r>
    </w:p>
    <w:p>
      <w:pPr>
        <w:spacing w:after="0" w:line="221" w:lineRule="exact"/>
        <w:rPr>
          <w:sz w:val="20"/>
          <w:szCs w:val="20"/>
          <w:color w:val="auto"/>
        </w:rPr>
      </w:pPr>
    </w:p>
    <w:tbl>
      <w:tblPr>
        <w:tblLayout w:type="fixed"/>
        <w:tblInd w:w="1102"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April 30, 2021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Machinery, equipment and furniture</w:t>
            </w:r>
          </w:p>
        </w:tc>
        <w:tc>
          <w:tcPr>
            <w:tcW w:w="1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59,948</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(53,960)</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Depreciation and amortization expense were $2.8 million and $2.9 million for the fiscal years ended April 30, 2022 and 2021, respectively.</w:t>
      </w:r>
    </w:p>
    <w:p>
      <w:pPr>
        <w:spacing w:after="0" w:line="225" w:lineRule="exact"/>
        <w:rPr>
          <w:sz w:val="20"/>
          <w:szCs w:val="20"/>
          <w:color w:val="auto"/>
        </w:rPr>
      </w:pPr>
    </w:p>
    <w:p>
      <w:pPr>
        <w:ind w:left="2" w:firstLine="648"/>
        <w:spacing w:after="0" w:line="282" w:lineRule="auto"/>
        <w:rPr>
          <w:sz w:val="20"/>
          <w:szCs w:val="20"/>
          <w:color w:val="auto"/>
        </w:rPr>
      </w:pPr>
      <w:r>
        <w:rPr>
          <w:rFonts w:ascii="Times New Roman" w:cs="Times New Roman" w:eastAsia="Times New Roman" w:hAnsi="Times New Roman"/>
          <w:sz w:val="18"/>
          <w:szCs w:val="18"/>
          <w:color w:val="auto"/>
        </w:rPr>
        <w:t>Maintenance and repairs charged to operations was approximately $677,000 and $827,000 for the fiscal years ended April 30, 2022 and 2021, respectively.</w:t>
      </w:r>
    </w:p>
    <w:p>
      <w:pPr>
        <w:spacing w:after="0" w:line="162" w:lineRule="exact"/>
        <w:rPr>
          <w:sz w:val="20"/>
          <w:szCs w:val="20"/>
          <w:color w:val="auto"/>
        </w:rPr>
      </w:pPr>
    </w:p>
    <w:p>
      <w:pPr>
        <w:ind w:left="182" w:hanging="182"/>
        <w:spacing w:after="0"/>
        <w:tabs>
          <w:tab w:leader="none" w:pos="1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Right-of-Use Assets and Lease Liabilities</w:t>
      </w:r>
    </w:p>
    <w:p>
      <w:pPr>
        <w:spacing w:after="0" w:line="225" w:lineRule="exact"/>
        <w:rPr>
          <w:sz w:val="20"/>
          <w:szCs w:val="20"/>
          <w:color w:val="auto"/>
        </w:rPr>
      </w:pPr>
    </w:p>
    <w:p>
      <w:pPr>
        <w:jc w:val="both"/>
        <w:ind w:left="2" w:firstLine="648"/>
        <w:spacing w:after="0" w:line="256" w:lineRule="auto"/>
        <w:rPr>
          <w:sz w:val="20"/>
          <w:szCs w:val="20"/>
          <w:color w:val="auto"/>
        </w:rPr>
      </w:pPr>
      <w:r>
        <w:rPr>
          <w:rFonts w:ascii="Times New Roman" w:cs="Times New Roman" w:eastAsia="Times New Roman" w:hAnsi="Times New Roman"/>
          <w:sz w:val="18"/>
          <w:szCs w:val="18"/>
          <w:color w:val="auto"/>
        </w:rPr>
        <w:t>The Company’s leases primarily represent offices, warehouses, vehicles, manufacturing and R&amp;D facilities which expire at various times through 2029 and are operating leases. Contractual arrangements are evaluated at inception to determine if the agreement contains a lease. Certain lease agreements contain renewal options, rent abatement, and escalation clauses that are factored into our determination of lease payments when appropriate.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 Lease terms may factor in options to extend or terminate the lease.</w:t>
      </w:r>
    </w:p>
    <w:p>
      <w:pPr>
        <w:spacing w:after="0" w:line="187" w:lineRule="exact"/>
        <w:rPr>
          <w:sz w:val="20"/>
          <w:szCs w:val="20"/>
          <w:color w:val="auto"/>
        </w:rPr>
      </w:pPr>
    </w:p>
    <w:p>
      <w:pPr>
        <w:jc w:val="both"/>
        <w:ind w:left="2" w:firstLine="648"/>
        <w:spacing w:after="0" w:line="282" w:lineRule="auto"/>
        <w:rPr>
          <w:sz w:val="20"/>
          <w:szCs w:val="20"/>
          <w:color w:val="auto"/>
        </w:rPr>
      </w:pPr>
      <w:r>
        <w:rPr>
          <w:rFonts w:ascii="Times New Roman" w:cs="Times New Roman" w:eastAsia="Times New Roman" w:hAnsi="Times New Roman"/>
          <w:sz w:val="18"/>
          <w:szCs w:val="18"/>
          <w:color w:val="auto"/>
        </w:rPr>
        <w:t>The Company elected the practical expedient for short-term leases which allows leases with terms of twelve months or less to be recorded on a straight-line basis over the lease term without being recognized on the consolidated balance sheet.</w:t>
      </w:r>
    </w:p>
    <w:p>
      <w:pPr>
        <w:spacing w:after="0" w:line="1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2"/>
          </w:cols>
          <w:pgMar w:left="458" w:top="121"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presents ROU assets and lease liabilities recorded on the consolidated balance sheets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1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April 30, 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64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74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39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Right-of-Use assets leases</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(short-term)</w:t>
            </w:r>
          </w:p>
        </w:tc>
        <w:tc>
          <w:tcPr>
            <w:tcW w:w="39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Lease liability, current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394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8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operating lease expense was approximately $1.6 million for the fiscal years ended April 30, 2022 and 2021, the majority of which is included in cost of revenues and the remaining amount in selling and administrative expenses on the consolidated statements of operations. In addition, we made cash payments of $2.0 million for operating leases during the fiscal years ended April 30, 2022 and 2021, which are included in cash flows from operating activities in our consolidated statement of cash flows. As of April 30, 2022, the Company had no operating lease liabilities that had not commenced.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fiscal years and total of the remaining fiscal years to the operating lease liabilities recorded on the consolidated balance sheet as of April 30, 2022:</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740" w:type="dxa"/>
            <w:vAlign w:val="bottom"/>
            <w:gridSpan w:val="2"/>
          </w:tcPr>
          <w:p>
            <w:pPr>
              <w:jc w:val="right"/>
              <w:ind w:right="2300"/>
              <w:spacing w:after="0"/>
              <w:rPr>
                <w:sz w:val="20"/>
                <w:szCs w:val="20"/>
                <w:color w:val="auto"/>
              </w:rPr>
            </w:pPr>
            <w:r>
              <w:rPr>
                <w:rFonts w:ascii="Times New Roman" w:cs="Times New Roman" w:eastAsia="Times New Roman" w:hAnsi="Times New Roman"/>
                <w:sz w:val="18"/>
                <w:szCs w:val="18"/>
                <w:b w:val="1"/>
                <w:bCs w:val="1"/>
                <w:color w:val="auto"/>
              </w:rPr>
              <w:t>Fiscal Year Ending April 30,</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740" w:type="dxa"/>
            <w:vAlign w:val="bottom"/>
            <w:gridSpan w:val="2"/>
          </w:tcPr>
          <w:p>
            <w:pPr>
              <w:jc w:val="right"/>
              <w:ind w:right="28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 thousands</w:t>
            </w:r>
            <w:r>
              <w:rPr>
                <w:rFonts w:ascii="Times New Roman" w:cs="Times New Roman" w:eastAsia="Times New Roman" w:hAnsi="Times New Roman"/>
                <w:sz w:val="18"/>
                <w:szCs w:val="18"/>
                <w:b w:val="1"/>
                <w:bCs w:val="1"/>
                <w:color w:val="auto"/>
              </w:rPr>
              <w:t>)</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42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4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47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April 30, 2022, the weighted-average remaining lease term for all operating leases was 6.3 years. The Company does not generally have access to the rate implicit in the leases and therefore utilized the Company’s borrowing rate as the discount rate. The weighted average discount rate for operating leases as of April 30, 2022 was 6.16%.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38" w:name="page39"/>
    <w:bookmarkEnd w:id="38"/>
    <w:p>
      <w:pPr>
        <w:ind w:left="2"/>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7" w:lineRule="exact"/>
        <w:rPr>
          <w:sz w:val="20"/>
          <w:szCs w:val="20"/>
          <w:color w:val="auto"/>
        </w:rPr>
      </w:pPr>
    </w:p>
    <w:p>
      <w:pPr>
        <w:ind w:left="182" w:hanging="182"/>
        <w:spacing w:after="0"/>
        <w:tabs>
          <w:tab w:leader="none" w:pos="1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Marketable Securities</w:t>
      </w:r>
    </w:p>
    <w:p>
      <w:pPr>
        <w:spacing w:after="0" w:line="225" w:lineRule="exact"/>
        <w:rPr>
          <w:sz w:val="20"/>
          <w:szCs w:val="20"/>
          <w:color w:val="auto"/>
        </w:rPr>
      </w:pPr>
    </w:p>
    <w:p>
      <w:pPr>
        <w:jc w:val="both"/>
        <w:ind w:left="2" w:right="20" w:firstLine="648"/>
        <w:spacing w:after="0" w:line="282" w:lineRule="auto"/>
        <w:rPr>
          <w:sz w:val="20"/>
          <w:szCs w:val="20"/>
          <w:color w:val="auto"/>
        </w:rPr>
      </w:pPr>
      <w:r>
        <w:rPr>
          <w:rFonts w:ascii="Times New Roman" w:cs="Times New Roman" w:eastAsia="Times New Roman" w:hAnsi="Times New Roman"/>
          <w:sz w:val="18"/>
          <w:szCs w:val="18"/>
          <w:color w:val="auto"/>
        </w:rPr>
        <w:t>The cost, gross unrealized gains, gross unrealized losses and fair market value of available-for-sale securities at April 30, 2022 and 2021, respectively, were as follows (in thousands):</w:t>
      </w:r>
    </w:p>
    <w:p>
      <w:pPr>
        <w:spacing w:after="0" w:line="158" w:lineRule="exact"/>
        <w:rPr>
          <w:sz w:val="20"/>
          <w:szCs w:val="20"/>
          <w:color w:val="auto"/>
        </w:rPr>
      </w:pPr>
    </w:p>
    <w:tbl>
      <w:tblPr>
        <w:tblLayout w:type="fixed"/>
        <w:tblInd w:w="2"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220" w:type="dxa"/>
            <w:vAlign w:val="bottom"/>
          </w:tcPr>
          <w:p>
            <w:pPr>
              <w:spacing w:after="0"/>
              <w:rPr>
                <w:sz w:val="16"/>
                <w:szCs w:val="16"/>
                <w:color w:val="auto"/>
              </w:rPr>
            </w:pPr>
          </w:p>
        </w:tc>
        <w:tc>
          <w:tcPr>
            <w:tcW w:w="156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Fair Market</w:t>
            </w:r>
          </w:p>
        </w:tc>
        <w:tc>
          <w:tcPr>
            <w:tcW w:w="100" w:type="dxa"/>
            <w:vAlign w:val="bottom"/>
          </w:tcPr>
          <w:p>
            <w:pPr>
              <w:spacing w:after="0"/>
              <w:rPr>
                <w:sz w:val="16"/>
                <w:szCs w:val="16"/>
                <w:color w:val="auto"/>
              </w:rPr>
            </w:pPr>
          </w:p>
        </w:tc>
      </w:tr>
      <w:tr>
        <w:trPr>
          <w:trHeight w:val="238"/>
        </w:trPr>
        <w:tc>
          <w:tcPr>
            <w:tcW w:w="3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2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3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00" w:type="dxa"/>
            <w:vAlign w:val="bottom"/>
            <w:shd w:val="clear" w:color="auto" w:fill="CCEEFF"/>
          </w:tcPr>
          <w:p>
            <w:pPr>
              <w:spacing w:after="0"/>
              <w:rPr>
                <w:sz w:val="19"/>
                <w:szCs w:val="19"/>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 2021</w:t>
            </w: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220" w:type="dxa"/>
            <w:vAlign w:val="bottom"/>
          </w:tcPr>
          <w:p>
            <w:pPr>
              <w:spacing w:after="0"/>
              <w:rPr>
                <w:sz w:val="16"/>
                <w:szCs w:val="16"/>
                <w:color w:val="auto"/>
              </w:rPr>
            </w:pPr>
          </w:p>
        </w:tc>
        <w:tc>
          <w:tcPr>
            <w:tcW w:w="1560" w:type="dxa"/>
            <w:vAlign w:val="bottom"/>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Fair Market</w:t>
            </w:r>
          </w:p>
        </w:tc>
        <w:tc>
          <w:tcPr>
            <w:tcW w:w="100" w:type="dxa"/>
            <w:vAlign w:val="bottom"/>
          </w:tcPr>
          <w:p>
            <w:pPr>
              <w:spacing w:after="0"/>
              <w:rPr>
                <w:sz w:val="16"/>
                <w:szCs w:val="16"/>
                <w:color w:val="auto"/>
              </w:rPr>
            </w:pPr>
          </w:p>
        </w:tc>
      </w:tr>
      <w:tr>
        <w:trPr>
          <w:trHeight w:val="238"/>
        </w:trPr>
        <w:tc>
          <w:tcPr>
            <w:tcW w:w="3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2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34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6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100" w:type="dxa"/>
            <w:vAlign w:val="bottom"/>
            <w:shd w:val="clear" w:color="auto" w:fill="CCEEFF"/>
          </w:tcPr>
          <w:p>
            <w:pPr>
              <w:spacing w:after="0"/>
              <w:rPr>
                <w:sz w:val="19"/>
                <w:szCs w:val="19"/>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2"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64"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6"/>
                <w:szCs w:val="16"/>
                <w:color w:val="auto"/>
              </w:rPr>
            </w:pPr>
          </w:p>
        </w:tc>
      </w:tr>
      <w:tr>
        <w:trPr>
          <w:trHeight w:val="212"/>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199"/>
        </w:trPr>
        <w:tc>
          <w:tcPr>
            <w:tcW w:w="30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April 30, 2022</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Fixed Income Securities</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5,573</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(316)</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7,922</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(462)</w:t>
            </w:r>
          </w:p>
        </w:tc>
      </w:tr>
      <w:tr>
        <w:trPr>
          <w:trHeight w:val="383"/>
        </w:trPr>
        <w:tc>
          <w:tcPr>
            <w:tcW w:w="3080" w:type="dxa"/>
            <w:vAlign w:val="bottom"/>
            <w:tcBorders>
              <w:top w:val="single" w:sz="8" w:color="CCEEFF"/>
              <w:bottom w:val="single" w:sz="8" w:color="auto"/>
            </w:tcBorders>
          </w:tcPr>
          <w:p>
            <w:pPr>
              <w:ind w:left="1060"/>
              <w:spacing w:after="0"/>
              <w:rPr>
                <w:sz w:val="20"/>
                <w:szCs w:val="20"/>
                <w:color w:val="auto"/>
              </w:rPr>
            </w:pPr>
            <w:r>
              <w:rPr>
                <w:rFonts w:ascii="Times New Roman" w:cs="Times New Roman" w:eastAsia="Times New Roman" w:hAnsi="Times New Roman"/>
                <w:sz w:val="16"/>
                <w:szCs w:val="16"/>
                <w:color w:val="auto"/>
              </w:rPr>
              <w:t>April 30, 2021</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Fixed Income Securities</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(102)</w:t>
            </w:r>
          </w:p>
        </w:tc>
      </w:tr>
      <w:tr>
        <w:trPr>
          <w:trHeight w:val="20"/>
        </w:trPr>
        <w:tc>
          <w:tcPr>
            <w:tcW w:w="3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2"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April 30, 2022 were other-than-temporary due to market volatility of the security’s fair value, analysts’ expectations and the Company’s ability to hold the securities for a period of time sufficient to allow for any anticipated recoveries in market value.</w:t>
      </w:r>
    </w:p>
    <w:p>
      <w:pPr>
        <w:spacing w:after="0" w:line="180" w:lineRule="exact"/>
        <w:rPr>
          <w:sz w:val="20"/>
          <w:szCs w:val="20"/>
          <w:color w:val="auto"/>
        </w:rPr>
      </w:pPr>
    </w:p>
    <w:p>
      <w:pPr>
        <w:jc w:val="both"/>
        <w:ind w:left="2" w:firstLine="648"/>
        <w:spacing w:after="0" w:line="282" w:lineRule="auto"/>
        <w:rPr>
          <w:sz w:val="20"/>
          <w:szCs w:val="20"/>
          <w:color w:val="auto"/>
        </w:rPr>
      </w:pPr>
      <w:r>
        <w:rPr>
          <w:rFonts w:ascii="Times New Roman" w:cs="Times New Roman" w:eastAsia="Times New Roman" w:hAnsi="Times New Roman"/>
          <w:sz w:val="18"/>
          <w:szCs w:val="18"/>
          <w:color w:val="auto"/>
        </w:rPr>
        <w:t>Proceeds from the sale or redemption of available-for-sale securities and the resulting gross realized gains and losses included in the determination of net income (loss) for the years ended April 30, 2022 and 2021, respectively, were as follows (in thousands):</w:t>
      </w:r>
    </w:p>
    <w:p>
      <w:pPr>
        <w:spacing w:after="0" w:line="158" w:lineRule="exact"/>
        <w:rPr>
          <w:sz w:val="20"/>
          <w:szCs w:val="20"/>
          <w:color w:val="auto"/>
        </w:rPr>
      </w:pPr>
    </w:p>
    <w:tbl>
      <w:tblPr>
        <w:tblLayout w:type="fixed"/>
        <w:tblInd w:w="2"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years ended April 30,</w:t>
            </w:r>
          </w:p>
        </w:tc>
        <w:tc>
          <w:tcPr>
            <w:tcW w:w="1080" w:type="dxa"/>
            <w:vAlign w:val="bottom"/>
          </w:tcPr>
          <w:p>
            <w:pPr>
              <w:spacing w:after="0"/>
              <w:rPr>
                <w:sz w:val="20"/>
                <w:szCs w:val="20"/>
                <w:color w:val="auto"/>
              </w:rPr>
            </w:pPr>
          </w:p>
        </w:tc>
      </w:tr>
      <w:tr>
        <w:trPr>
          <w:trHeight w:val="210"/>
        </w:trPr>
        <w:tc>
          <w:tcPr>
            <w:tcW w:w="1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w:t>
            </w:r>
          </w:p>
        </w:tc>
        <w:tc>
          <w:tcPr>
            <w:tcW w:w="2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80" w:type="dxa"/>
            <w:vAlign w:val="bottom"/>
            <w:shd w:val="clear" w:color="auto" w:fill="CCEEFF"/>
          </w:tcPr>
          <w:p>
            <w:pPr>
              <w:spacing w:after="0"/>
              <w:rPr>
                <w:sz w:val="19"/>
                <w:szCs w:val="19"/>
                <w:color w:val="auto"/>
              </w:rPr>
            </w:pPr>
          </w:p>
        </w:tc>
        <w:tc>
          <w:tcPr>
            <w:tcW w:w="108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7"/>
        </w:trPr>
        <w:tc>
          <w:tcPr>
            <w:tcW w:w="4000" w:type="dxa"/>
            <w:vAlign w:val="bottom"/>
            <w:gridSpan w:val="2"/>
          </w:tcPr>
          <w:p>
            <w:pPr>
              <w:ind w:left="1100"/>
              <w:spacing w:after="0" w:line="196" w:lineRule="exact"/>
              <w:rPr>
                <w:sz w:val="20"/>
                <w:szCs w:val="20"/>
                <w:color w:val="auto"/>
              </w:rPr>
            </w:pPr>
            <w:r>
              <w:rPr>
                <w:rFonts w:ascii="Times New Roman" w:cs="Times New Roman" w:eastAsia="Times New Roman" w:hAnsi="Times New Roman"/>
                <w:sz w:val="18"/>
                <w:szCs w:val="18"/>
                <w:color w:val="auto"/>
              </w:rPr>
              <w:t>Gross realized gains</w:t>
            </w:r>
          </w:p>
        </w:tc>
        <w:tc>
          <w:tcPr>
            <w:tcW w:w="29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50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6"/>
        </w:trPr>
        <w:tc>
          <w:tcPr>
            <w:tcW w:w="1100" w:type="dxa"/>
            <w:vAlign w:val="bottom"/>
          </w:tcPr>
          <w:p>
            <w:pPr>
              <w:spacing w:after="0"/>
              <w:rPr>
                <w:sz w:val="20"/>
                <w:szCs w:val="20"/>
                <w:color w:val="auto"/>
              </w:rPr>
            </w:pPr>
          </w:p>
        </w:tc>
        <w:tc>
          <w:tcPr>
            <w:tcW w:w="2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realized losses</w:t>
            </w:r>
          </w:p>
        </w:tc>
        <w:tc>
          <w:tcPr>
            <w:tcW w:w="2900" w:type="dxa"/>
            <w:vAlign w:val="bottom"/>
            <w:gridSpan w:val="2"/>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tcPr>
          <w:p>
            <w:pPr>
              <w:spacing w:after="0"/>
              <w:rPr>
                <w:sz w:val="20"/>
                <w:szCs w:val="20"/>
                <w:color w:val="auto"/>
              </w:rPr>
            </w:pPr>
          </w:p>
        </w:tc>
      </w:tr>
      <w:tr>
        <w:trPr>
          <w:trHeight w:val="413"/>
        </w:trPr>
        <w:tc>
          <w:tcPr>
            <w:tcW w:w="1100" w:type="dxa"/>
            <w:vAlign w:val="bottom"/>
          </w:tcPr>
          <w:p>
            <w:pPr>
              <w:spacing w:after="0"/>
              <w:rPr>
                <w:sz w:val="24"/>
                <w:szCs w:val="24"/>
                <w:color w:val="auto"/>
              </w:rPr>
            </w:pPr>
          </w:p>
        </w:tc>
        <w:tc>
          <w:tcPr>
            <w:tcW w:w="2900" w:type="dxa"/>
            <w:vAlign w:val="bottom"/>
            <w:tcBorders>
              <w:top w:val="single" w:sz="8" w:color="CCEEFF"/>
            </w:tcBorders>
          </w:tcPr>
          <w:p>
            <w:pPr>
              <w:spacing w:after="0"/>
              <w:rPr>
                <w:sz w:val="24"/>
                <w:szCs w:val="24"/>
                <w:color w:val="auto"/>
              </w:rPr>
            </w:pPr>
          </w:p>
        </w:tc>
        <w:tc>
          <w:tcPr>
            <w:tcW w:w="2640" w:type="dxa"/>
            <w:vAlign w:val="bottom"/>
            <w:tcBorders>
              <w:top w:val="single" w:sz="8" w:color="CCEEFF"/>
            </w:tcBorders>
          </w:tcPr>
          <w:p>
            <w:pPr>
              <w:jc w:val="right"/>
              <w:ind w:right="97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82"/>
          </w:cols>
          <w:pgMar w:left="458" w:top="121" w:right="459" w:bottom="1440" w:gutter="0" w:footer="0" w:header="0"/>
        </w:sectPr>
      </w:pPr>
    </w:p>
    <w:bookmarkStart w:id="39" w:name="page40"/>
    <w:bookmarkEnd w:id="39"/>
    <w:p>
      <w:pPr>
        <w:ind w:left="2"/>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7"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Maturities of fixed income securities classified as available-for-sale at April 30, 2022 were as follows (at cost, in thousands):</w:t>
      </w:r>
    </w:p>
    <w:p>
      <w:pPr>
        <w:spacing w:after="0" w:line="243" w:lineRule="exact"/>
        <w:rPr>
          <w:sz w:val="20"/>
          <w:szCs w:val="20"/>
          <w:color w:val="auto"/>
        </w:rPr>
      </w:pPr>
    </w:p>
    <w:tbl>
      <w:tblPr>
        <w:tblLayout w:type="fixed"/>
        <w:tblInd w:w="1102" w:type="dxa"/>
        <w:tblCellMar>
          <w:top w:w="0" w:type="dxa"/>
          <w:left w:w="0" w:type="dxa"/>
          <w:bottom w:w="0" w:type="dxa"/>
          <w:right w:w="0" w:type="dxa"/>
        </w:tblCellMar>
      </w:tblP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80" w:type="dxa"/>
            <w:vAlign w:val="bottom"/>
          </w:tcPr>
          <w:p>
            <w:pPr>
              <w:spacing w:after="0"/>
              <w:rPr>
                <w:sz w:val="18"/>
                <w:szCs w:val="18"/>
                <w:color w:val="auto"/>
              </w:rPr>
            </w:pPr>
          </w:p>
        </w:tc>
      </w:tr>
      <w:tr>
        <w:trPr>
          <w:trHeight w:val="216"/>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200" w:type="dxa"/>
            <w:vAlign w:val="bottom"/>
          </w:tcPr>
          <w:p>
            <w:pPr>
              <w:spacing w:after="0"/>
              <w:rPr>
                <w:sz w:val="18"/>
                <w:szCs w:val="18"/>
                <w:color w:val="auto"/>
              </w:rPr>
            </w:pP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80" w:type="dxa"/>
            <w:vAlign w:val="bottom"/>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 w:right="20" w:firstLine="648"/>
        <w:spacing w:after="0" w:line="266" w:lineRule="auto"/>
        <w:rPr>
          <w:sz w:val="20"/>
          <w:szCs w:val="20"/>
          <w:color w:val="auto"/>
        </w:rPr>
      </w:pPr>
      <w:r>
        <w:rPr>
          <w:rFonts w:ascii="Times New Roman" w:cs="Times New Roman" w:eastAsia="Times New Roman" w:hAnsi="Times New Roman"/>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76"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The levels of the fair value hierarchy are described below:</w:t>
      </w:r>
    </w:p>
    <w:p>
      <w:pPr>
        <w:spacing w:after="0" w:line="225" w:lineRule="exact"/>
        <w:rPr>
          <w:sz w:val="20"/>
          <w:szCs w:val="20"/>
          <w:color w:val="auto"/>
        </w:rPr>
      </w:pPr>
    </w:p>
    <w:p>
      <w:pPr>
        <w:ind w:left="1022" w:right="20" w:hanging="836"/>
        <w:spacing w:after="0" w:line="282" w:lineRule="auto"/>
        <w:tabs>
          <w:tab w:leader="none" w:pos="1002"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to the valuation methodology are unadjusted quoted prices for identical assets or liabilities in active markets that the Company has the ability to access.</w:t>
      </w:r>
    </w:p>
    <w:p>
      <w:pPr>
        <w:spacing w:after="0" w:line="162" w:lineRule="exact"/>
        <w:rPr>
          <w:sz w:val="20"/>
          <w:szCs w:val="20"/>
          <w:color w:val="auto"/>
        </w:rPr>
      </w:pPr>
    </w:p>
    <w:p>
      <w:pPr>
        <w:ind w:left="202"/>
        <w:spacing w:after="0"/>
        <w:tabs>
          <w:tab w:leader="none" w:pos="1002"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to the valuation methodology include:</w:t>
      </w:r>
    </w:p>
    <w:p>
      <w:pPr>
        <w:spacing w:after="0" w:line="27" w:lineRule="exact"/>
        <w:rPr>
          <w:sz w:val="20"/>
          <w:szCs w:val="20"/>
          <w:color w:val="auto"/>
        </w:rPr>
      </w:pPr>
    </w:p>
    <w:p>
      <w:pPr>
        <w:ind w:left="1022"/>
        <w:spacing w:after="0"/>
        <w:rPr>
          <w:sz w:val="20"/>
          <w:szCs w:val="20"/>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9" w:lineRule="exact"/>
        <w:rPr>
          <w:sz w:val="20"/>
          <w:szCs w:val="20"/>
          <w:color w:val="auto"/>
        </w:rPr>
      </w:pPr>
    </w:p>
    <w:p>
      <w:pPr>
        <w:ind w:left="1022"/>
        <w:spacing w:after="0"/>
        <w:rPr>
          <w:sz w:val="20"/>
          <w:szCs w:val="20"/>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9" w:lineRule="exact"/>
        <w:rPr>
          <w:sz w:val="20"/>
          <w:szCs w:val="20"/>
          <w:color w:val="auto"/>
        </w:rPr>
      </w:pPr>
    </w:p>
    <w:p>
      <w:pPr>
        <w:ind w:left="1022"/>
        <w:spacing w:after="0"/>
        <w:rPr>
          <w:sz w:val="20"/>
          <w:szCs w:val="20"/>
          <w:color w:val="auto"/>
        </w:rPr>
      </w:pPr>
      <w:r>
        <w:rPr>
          <w:rFonts w:ascii="Times New Roman" w:cs="Times New Roman" w:eastAsia="Times New Roman" w:hAnsi="Times New Roman"/>
          <w:sz w:val="18"/>
          <w:szCs w:val="18"/>
          <w:color w:val="auto"/>
        </w:rPr>
        <w:t>-Inputs other than quoted prices that are observable for the asset or liability; and</w:t>
      </w:r>
    </w:p>
    <w:p>
      <w:pPr>
        <w:spacing w:after="0" w:line="9" w:lineRule="exact"/>
        <w:rPr>
          <w:sz w:val="20"/>
          <w:szCs w:val="20"/>
          <w:color w:val="auto"/>
        </w:rPr>
      </w:pPr>
    </w:p>
    <w:p>
      <w:pPr>
        <w:ind w:left="1022"/>
        <w:spacing w:after="0"/>
        <w:rPr>
          <w:sz w:val="20"/>
          <w:szCs w:val="20"/>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207" w:lineRule="exact"/>
        <w:rPr>
          <w:sz w:val="20"/>
          <w:szCs w:val="20"/>
          <w:color w:val="auto"/>
        </w:rPr>
      </w:pPr>
    </w:p>
    <w:p>
      <w:pPr>
        <w:ind w:left="202"/>
        <w:spacing w:after="0"/>
        <w:tabs>
          <w:tab w:leader="none" w:pos="1002"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to the valuation methodology are unobservable and significant to the fair value measurement.</w:t>
      </w:r>
    </w:p>
    <w:p>
      <w:pPr>
        <w:spacing w:after="0" w:line="225" w:lineRule="exact"/>
        <w:rPr>
          <w:sz w:val="20"/>
          <w:szCs w:val="20"/>
          <w:color w:val="auto"/>
        </w:rPr>
      </w:pPr>
    </w:p>
    <w:p>
      <w:pPr>
        <w:jc w:val="both"/>
        <w:ind w:left="2" w:right="20" w:firstLine="648"/>
        <w:spacing w:after="0" w:line="258"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The Company’s money market, business account, and U.S. securities are valued on a Level 1 basis. The Company’s fixed income corporate debt securities and certificates of deposit are valued on a Level 2 basis. Level 2 securities are valued at the closing prices and are consistent with quoted prices of similar assets reported in active markets.</w:t>
      </w:r>
    </w:p>
    <w:p>
      <w:pPr>
        <w:spacing w:after="0" w:line="183" w:lineRule="exact"/>
        <w:rPr>
          <w:sz w:val="20"/>
          <w:szCs w:val="20"/>
          <w:color w:val="auto"/>
        </w:rPr>
      </w:pPr>
    </w:p>
    <w:p>
      <w:pPr>
        <w:ind w:left="182" w:hanging="182"/>
        <w:spacing w:after="0"/>
        <w:tabs>
          <w:tab w:leader="none" w:pos="1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 Obligations</w:t>
      </w:r>
    </w:p>
    <w:p>
      <w:pPr>
        <w:spacing w:after="0" w:line="225" w:lineRule="exact"/>
        <w:rPr>
          <w:sz w:val="20"/>
          <w:szCs w:val="20"/>
          <w:color w:val="auto"/>
        </w:rPr>
      </w:pPr>
    </w:p>
    <w:p>
      <w:pPr>
        <w:ind w:left="2" w:firstLine="648"/>
        <w:spacing w:after="0" w:line="282" w:lineRule="auto"/>
        <w:rPr>
          <w:sz w:val="20"/>
          <w:szCs w:val="20"/>
          <w:color w:val="auto"/>
        </w:rPr>
      </w:pPr>
      <w:r>
        <w:rPr>
          <w:rFonts w:ascii="Times New Roman" w:cs="Times New Roman" w:eastAsia="Times New Roman" w:hAnsi="Times New Roman"/>
          <w:sz w:val="18"/>
          <w:szCs w:val="18"/>
          <w:color w:val="auto"/>
        </w:rPr>
        <w:t>As of April 30, 2022 and 2021, the Company had available credit with UBS Bank USA at variable terms based on its securities holdings under an advisory arrangement, under which no borrowings have been made.</w:t>
      </w:r>
    </w:p>
    <w:p>
      <w:pPr>
        <w:spacing w:after="0" w:line="162" w:lineRule="exact"/>
        <w:rPr>
          <w:sz w:val="20"/>
          <w:szCs w:val="20"/>
          <w:color w:val="auto"/>
        </w:rPr>
      </w:pPr>
    </w:p>
    <w:p>
      <w:pPr>
        <w:ind w:left="182" w:hanging="182"/>
        <w:spacing w:after="0"/>
        <w:tabs>
          <w:tab w:leader="none" w:pos="1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Liabilities</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Accrued liabilities at April 30, 2022 and 2021, respectively, consisted of the following (in thousands):</w:t>
      </w:r>
    </w:p>
    <w:p>
      <w:pPr>
        <w:spacing w:after="0" w:line="221" w:lineRule="exact"/>
        <w:rPr>
          <w:sz w:val="20"/>
          <w:szCs w:val="20"/>
          <w:color w:val="auto"/>
        </w:rPr>
      </w:pPr>
    </w:p>
    <w:tbl>
      <w:tblPr>
        <w:tblLayout w:type="fixed"/>
        <w:tblInd w:w="2"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and other compensation</w:t>
            </w:r>
          </w:p>
        </w:tc>
        <w:tc>
          <w:tcPr>
            <w:tcW w:w="320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Incentive compensation</w:t>
            </w: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taxes</w:t>
            </w:r>
          </w:p>
        </w:tc>
        <w:tc>
          <w:tcPr>
            <w:tcW w:w="2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w:t>
            </w:r>
          </w:p>
        </w:tc>
        <w:tc>
          <w:tcPr>
            <w:tcW w:w="2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payable</w:t>
            </w:r>
          </w:p>
        </w:tc>
        <w:tc>
          <w:tcPr>
            <w:tcW w:w="2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20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82"/>
          </w:cols>
          <w:pgMar w:left="458" w:top="121" w:right="459" w:bottom="1440" w:gutter="0" w:footer="0" w:header="0"/>
        </w:sectPr>
      </w:pPr>
    </w:p>
    <w:bookmarkStart w:id="40" w:name="page41"/>
    <w:bookmarkEnd w:id="40"/>
    <w:p>
      <w:pPr>
        <w:ind w:left="2"/>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7" w:lineRule="exact"/>
        <w:rPr>
          <w:sz w:val="20"/>
          <w:szCs w:val="20"/>
          <w:color w:val="auto"/>
        </w:rPr>
      </w:pPr>
    </w:p>
    <w:p>
      <w:pPr>
        <w:ind w:left="262" w:hanging="262"/>
        <w:spacing w:after="0"/>
        <w:tabs>
          <w:tab w:leader="none" w:pos="2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in Morion, Inc.</w:t>
      </w:r>
    </w:p>
    <w:p>
      <w:pPr>
        <w:spacing w:after="0" w:line="225" w:lineRule="exact"/>
        <w:rPr>
          <w:sz w:val="20"/>
          <w:szCs w:val="20"/>
          <w:color w:val="auto"/>
        </w:rPr>
      </w:pPr>
    </w:p>
    <w:p>
      <w:pPr>
        <w:jc w:val="both"/>
        <w:ind w:left="2"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an investment in Morion, a privately-held Russian company, which manufactures high precision quartz resonators and crystal oscillators. The Company has also licensed certain technology to Morion.</w:t>
      </w:r>
    </w:p>
    <w:p>
      <w:pPr>
        <w:spacing w:after="0" w:line="162" w:lineRule="exact"/>
        <w:rPr>
          <w:sz w:val="20"/>
          <w:szCs w:val="20"/>
          <w:color w:val="auto"/>
        </w:rPr>
      </w:pPr>
    </w:p>
    <w:p>
      <w:pPr>
        <w:jc w:val="both"/>
        <w:ind w:left="2"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Company’s investment consists of 4.6% of Morion’s outstanding shares, accordingly, the Company accounted for its investment in Morion on the cost basis. During the fiscal years ended April 30, 2022 and 2021, the Company acquired product from Morion in the aggregate amount of approximately $215,000 and $710,000, respectively. During the fiscal years ended April 30, 2022 and 2021, the Company sold product and training services to Morion in the aggregate amount of approximately $23,000 and $94,000, respectively, included in revenues in the consolidated statements of operations as part of the FEI-NY segment. During the fiscal years ended April 30, 2022 and 2021, the Company received dividends from Morion in the amount of approximately $123,000 and $105,000, respectively, which is included in other income, net in the consolidated statements of operations as part of the FEI-NY segment. Purchases of materials from Morion consist mainly of quartz crystal blanks which are used in the fabrication of quartz resonators. In the event that these items become unavailable from Morion, the Company is in the process of establishing alternate sources of supply. The Company is also capable of fabricating the crystal blanks in-house.</w:t>
      </w:r>
    </w:p>
    <w:p>
      <w:pPr>
        <w:spacing w:after="0" w:line="188" w:lineRule="exact"/>
        <w:rPr>
          <w:sz w:val="20"/>
          <w:szCs w:val="20"/>
          <w:color w:val="auto"/>
        </w:rPr>
      </w:pPr>
    </w:p>
    <w:p>
      <w:pPr>
        <w:jc w:val="both"/>
        <w:ind w:left="2" w:right="20" w:firstLine="648"/>
        <w:spacing w:after="0" w:line="261" w:lineRule="auto"/>
        <w:rPr>
          <w:sz w:val="20"/>
          <w:szCs w:val="20"/>
          <w:color w:val="auto"/>
        </w:rPr>
      </w:pPr>
      <w:r>
        <w:rPr>
          <w:rFonts w:ascii="Times New Roman" w:cs="Times New Roman" w:eastAsia="Times New Roman" w:hAnsi="Times New Roman"/>
          <w:sz w:val="18"/>
          <w:szCs w:val="18"/>
          <w:color w:val="auto"/>
        </w:rPr>
        <w:t>Morion is a less than wholly-owned subsidiary of Gazprombank, a state-owned Russian bank. The U.S. Ukraine-related sanctions regime has since 2014 included a list of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spacing w:after="0" w:line="180" w:lineRule="exact"/>
        <w:rPr>
          <w:sz w:val="20"/>
          <w:szCs w:val="20"/>
          <w:color w:val="auto"/>
        </w:rPr>
      </w:pPr>
    </w:p>
    <w:p>
      <w:pPr>
        <w:jc w:val="both"/>
        <w:ind w:left="2" w:right="20" w:firstLine="648"/>
        <w:spacing w:after="0" w:line="254" w:lineRule="auto"/>
        <w:rPr>
          <w:sz w:val="20"/>
          <w:szCs w:val="20"/>
          <w:color w:val="auto"/>
        </w:rPr>
      </w:pPr>
      <w:r>
        <w:rPr>
          <w:rFonts w:ascii="Times New Roman" w:cs="Times New Roman" w:eastAsia="Times New Roman" w:hAnsi="Times New Roman"/>
          <w:sz w:val="18"/>
          <w:szCs w:val="18"/>
          <w:color w:val="auto"/>
        </w:rPr>
        <w:t>As previously disclosed, in light of Morion’s relationship with Gazprombank, in 2020, the Company evaluated, with the assistance of external legal counsel, certain sales to Morion and the timing of payments by Morion to the Company in connection with those sales to determine whether payments by Morion may have inadvertently constituted extensions of credit in violation of Directive 1 under Executive Order 13662. The Company determined that certain payments by Morion – the majority of which occurred more than five years ago – were not timely. Following the evaluation, on May 7, 2020, the Company voluntarily disclosed its findings to the Office of Foreign Assets Control (“OFAC”). The Company’s voluntary disclosure to OFAC related solely to delays in collection of accounts receivable that exceeded then-applicable payment windows set forth in sanctions regulations and did not relate to any other type of payment or transaction. On February 17, 2021, the Company received a Cautionary Letter from OFAC indicating that OFAC has completed its review of the matter. According to OFAC, the Cautionary Letter was issued instead of pursuing a civil monetary penalty or taking other enforcement action.</w:t>
      </w:r>
    </w:p>
    <w:p>
      <w:pPr>
        <w:spacing w:after="0" w:line="188" w:lineRule="exact"/>
        <w:rPr>
          <w:sz w:val="20"/>
          <w:szCs w:val="20"/>
          <w:color w:val="auto"/>
        </w:rPr>
      </w:pPr>
    </w:p>
    <w:p>
      <w:pPr>
        <w:jc w:val="both"/>
        <w:ind w:left="2" w:right="20" w:firstLine="648"/>
        <w:spacing w:after="0" w:line="258" w:lineRule="auto"/>
        <w:rPr>
          <w:sz w:val="20"/>
          <w:szCs w:val="20"/>
          <w:color w:val="auto"/>
        </w:rPr>
      </w:pPr>
      <w:r>
        <w:rPr>
          <w:rFonts w:ascii="Times New Roman" w:cs="Times New Roman" w:eastAsia="Times New Roman" w:hAnsi="Times New Roman"/>
          <w:sz w:val="18"/>
          <w:szCs w:val="18"/>
          <w:color w:val="auto"/>
        </w:rPr>
        <w:t>Due to the current Russia-Ukraine conflict and resulting sanctions, the future status of FEI’s equity investment in Morion is uncertain. In response to these conditions, in connection with the preparation of the audited financial statements included in this annual report on Form 10-K, the Company impaired its investment in Morion in full. The impairment of $796,000 is included in other income (expense), net, in the consolidated statements of operations for the fiscal year ended April 30, 2022. The likelihood of future sales to, purchases, and dividend payments from Morion is questionable.</w:t>
      </w:r>
    </w:p>
    <w:p>
      <w:pPr>
        <w:spacing w:after="0" w:line="183" w:lineRule="exact"/>
        <w:rPr>
          <w:sz w:val="20"/>
          <w:szCs w:val="20"/>
          <w:color w:val="auto"/>
        </w:rPr>
      </w:pPr>
    </w:p>
    <w:p>
      <w:pPr>
        <w:ind w:left="262" w:hanging="262"/>
        <w:spacing w:after="0"/>
        <w:tabs>
          <w:tab w:leader="none" w:pos="2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 Plans</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Profit Sharing Plan:</w:t>
      </w:r>
    </w:p>
    <w:p>
      <w:pPr>
        <w:spacing w:after="0" w:line="229" w:lineRule="exact"/>
        <w:rPr>
          <w:sz w:val="20"/>
          <w:szCs w:val="20"/>
          <w:color w:val="auto"/>
        </w:rPr>
      </w:pPr>
    </w:p>
    <w:p>
      <w:pPr>
        <w:jc w:val="both"/>
        <w:ind w:left="2" w:firstLine="648"/>
        <w:spacing w:after="0" w:line="254" w:lineRule="auto"/>
        <w:rPr>
          <w:sz w:val="20"/>
          <w:szCs w:val="20"/>
          <w:color w:val="auto"/>
        </w:rPr>
      </w:pPr>
      <w:r>
        <w:rPr>
          <w:rFonts w:ascii="Times New Roman" w:cs="Times New Roman" w:eastAsia="Times New Roman" w:hAnsi="Times New Roman"/>
          <w:sz w:val="18"/>
          <w:szCs w:val="18"/>
          <w:color w:val="auto"/>
        </w:rPr>
        <w:t>The Company provides its U.S.-based employees with a profit-sharing plan and trust under § 401(k) of the IRC. This plan allows all eligible employees to defer a portion of their income through voluntary contributions to the plan. In accordance with the provisions of the plan, the Company can make discretionary matching contributions in the form of cash or common stock. For the years ended April 30, 2022 and 2021, the Company contributed 44,224 and 41,118 shares of common stock, respectively. The approximate value of these shares at the date of contribution was $426,000 and $419,000 in fiscal years 2022 and 2021, respectively. Contributed shares are drawn from the Company’s common stock held in treasury, and are removed at the Company’s original cost of acquisition of such shares on a specific identification basis, and from the Company’s common stock. In addition to changes in the treasury stock accounts, during fiscal years 2022 and 2021, such transactions increased additional paid in capital by $382,000 and $325,000, respectively. As of April 30, 2022, the plan held a total of 499,738 shares, which were allocated to the accounts of the individual participants. As of April 30, 2021, the plan held a total of 498,115 shares, which were allocated to the accounts of the individual participants.</w:t>
      </w:r>
    </w:p>
    <w:p>
      <w:pPr>
        <w:spacing w:after="0" w:line="18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1"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Incentive Pool:</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incentive bonus programs for certain employees which are based on operating profits of the individual subsidiaries to which the employees are assigned. The Company also adopted a plan for the President and Chief Executive Officer of the Company, which the formula is based on consolidated pre-tax profits. The incentive bonus recorded for the fiscal year ended April 30, 2022 was $100,000. The incentive bonus recorded for the fiscal year ended April 30, 2021 was $550,000.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Plans:</w:t>
      </w:r>
    </w:p>
    <w:p>
      <w:pPr>
        <w:spacing w:after="0" w:line="229"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7"/>
          <w:szCs w:val="17"/>
          <w:color w:val="auto"/>
        </w:rPr>
        <w:t>The Company has various stock plans, some of which have been approved by the Company’s stockholders, for key management employees, including officers and directors who are employees, certain consultants and independent members of the Board of Directors. The plans are Nonqualified Stock Options (“NQSO”) plans, Incentive Stock Option (“ISO”) plans, and SAR plans. Under these plans, options or SARs are granted at the discretion of the Stock Option Committee at an exercise price not less than the fair market value of the Company’s common stock on the date of grant.</w:t>
      </w:r>
    </w:p>
    <w:p>
      <w:pPr>
        <w:spacing w:after="0" w:line="164"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Typically, options and SARs vest over a four-year period from the date of grant. The options and SARs generally expire ten years after the date of grant (the most recent SARs awards, beginning in fiscal year 2017, expire in five years) and are subject to certain restrictions on transferability of the shares obtained on exercise. Under the Company’s 2005 Stock Award Plan (“Plan”) the Company provided option holders the opportunity to exercise stock options either by paying the exercise price for the shares or to do a cashless exercise whereby the individual receives the net number of shares of stock equal in value to the exercised number of shares times the difference between the current market value of the Company’s stock and the exercise price. Under the Plan, instruments granted under other plans which expire, are canceled, or are tendered in the exercise of such instruments, increase the shares available under the Plan.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April 30, 2022, eligible employees and directors had been granted total SARs representing approximately 2,385,000 shares of the Company’s common stock, of which approximately 429,000 shares were outstanding and approximately 394,000 shares with a weighted average exercise price of $10.06 were exercisable. There were no SARs granted during the fiscal year 2022. When the SARs become exercisable, the Company will settle the SARs by issuing to exercising recipients the number of shares of stock from common stock or treasury stock, if available, equal to the appreciated value of the Company’s stock between the grant date and exercise date. At the time of exercise, the quantity of shares under the SARs grant equal to the exercise value divided by the then market value of the shares will be returned to the pool of available shares for future grant under the Plan. During the year ended April 30, 2022, employees exercised SARs representing 42,875 shares of the Company’s common stock and received 11,470 shares of Company stock. The difference of 31,405 shares was returned to the pool of available shares and may be used for future grants.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excess of the consideration received over the par value of the common stock or cost of treasury stock issued under both types of option plans is recognized as an increase in additional paid-in capital.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 and SARs activity for the years ended April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 and Stock Appreciation Rights</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9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9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0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38"/>
        </w:trPr>
        <w:tc>
          <w:tcPr>
            <w:tcW w:w="3980" w:type="dxa"/>
            <w:vAlign w:val="bottom"/>
          </w:tcPr>
          <w:p>
            <w:pPr>
              <w:spacing w:after="0"/>
              <w:rPr>
                <w:sz w:val="20"/>
                <w:szCs w:val="20"/>
                <w:color w:val="auto"/>
              </w:rPr>
            </w:pPr>
          </w:p>
        </w:tc>
        <w:tc>
          <w:tcPr>
            <w:tcW w:w="16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100" w:type="dxa"/>
            <w:vAlign w:val="bottom"/>
          </w:tcPr>
          <w:p>
            <w:pPr>
              <w:spacing w:after="0"/>
              <w:rPr>
                <w:sz w:val="20"/>
                <w:szCs w:val="20"/>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April 30, 2020</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1,059,500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2.2 years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5,416,783</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573,418</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Expired or Canceled</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April 30, 2021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1.8 years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2,141,905</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34,660</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Expired or Canceled</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April 30, 2022</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429,125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19"/>
                <w:szCs w:val="19"/>
                <w:color w:val="auto"/>
              </w:rPr>
            </w:pPr>
          </w:p>
        </w:tc>
        <w:tc>
          <w:tcPr>
            <w:tcW w:w="164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1.3 years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3,278,704</w:t>
            </w:r>
          </w:p>
        </w:tc>
        <w:tc>
          <w:tcPr>
            <w:tcW w:w="100" w:type="dxa"/>
            <w:vAlign w:val="bottom"/>
            <w:shd w:val="clear" w:color="auto" w:fill="CCEEFF"/>
          </w:tcPr>
          <w:p>
            <w:pPr>
              <w:spacing w:after="0"/>
              <w:rPr>
                <w:sz w:val="19"/>
                <w:szCs w:val="19"/>
                <w:color w:val="auto"/>
              </w:rPr>
            </w:pPr>
          </w:p>
        </w:tc>
      </w:tr>
      <w:tr>
        <w:trPr>
          <w:trHeight w:val="20"/>
        </w:trPr>
        <w:tc>
          <w:tcPr>
            <w:tcW w:w="39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3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w:t>
            </w:r>
          </w:p>
        </w:tc>
        <w:tc>
          <w:tcPr>
            <w:tcW w:w="1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393,500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1.4 years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2,989,785</w:t>
            </w:r>
          </w:p>
        </w:tc>
        <w:tc>
          <w:tcPr>
            <w:tcW w:w="100" w:type="dxa"/>
            <w:vAlign w:val="bottom"/>
          </w:tcPr>
          <w:p>
            <w:pPr>
              <w:spacing w:after="0"/>
              <w:rPr>
                <w:sz w:val="17"/>
                <w:szCs w:val="17"/>
                <w:color w:val="auto"/>
              </w:rPr>
            </w:pPr>
          </w:p>
        </w:tc>
      </w:tr>
      <w:tr>
        <w:trPr>
          <w:trHeight w:val="20"/>
        </w:trPr>
        <w:tc>
          <w:tcPr>
            <w:tcW w:w="39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Available for future grants</w:t>
            </w:r>
          </w:p>
        </w:tc>
        <w:tc>
          <w:tcPr>
            <w:tcW w:w="1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906,653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April 30, 2022, total unrecognized compensation cost related to non-vested options and SARs under the plans was approximately $7,000. These costs are expected to be recognized over a weighted average period of less than 1.0 years.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April 30, 2022 and 2021, 41,875 and 85,625 shares, respectively, vested, the fair value of which was approximately $123,000 and $274,000, respectively.</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costs capitalized as part of work in process inventory or included in the cost of sales of programs on which the Company recognizes revenue under the POC method were approximately $92,000 and $103,000 for the years ended April 30, 2022 and 2021, respectively. Selling and administrative expenses included stock-based compensation expense of approximately $144,000 and $160,000 for the years ended April 30, 2022 and 2021, respectively.</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classifies cash flows resulting from the tax benefits from tax deductions recognized upon the exercise of stock options or SARs (tax benefits) as operating cash flows. The Company did not recognize any tax benefits from the exercise of stock options and SARs for the fiscal years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Plan and Other Issuances: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fiscal year 1990, the Company adopted a Restricted Stock Plan which provided that key management employees could be granted rights to purchase an aggregate of 375,000 shares of the Company’s common stock. The grants, transferability restrictions and purchase price were determined at the discretion of a special committee of the Board of Directors. The purchase price could not be less than the par value of the common stock. Transferability of shares is restricted for a four-year period, except in the event of a change in control as defined therein. As a result of the adoption by the Company’s stockholders of the 2005 Stock Award Plan, the Restricted Stock Plan was discontinued. No additional grants will be made under this plan. As of April 30, 2021, there are no outstanding shares available for purchase.</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the 2005 Stock Award Plan the Company begin issuing Restricted Stock Units (“RSUs”) to eligible employees in fiscal 2020. The fair value of these awards is equivalent to the market value of the Company’s common stock on the grant date and vests over a period of time. On the applicable vesting date, the holder of a RSU becomes entitled to share of the Company’s common stock. A portion of the RSUs awarded will vest annually until fiscal 2026.</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April 30, 2022 and 2021, the Company issued 1,150 shares from common stock and 950 shares from common stock, respectively, to select employees for milestone years of service to the Company. These shares were issued under the 2005 Stock Award Plan, are shares of the Company’s common stock, and are fully vested at time of issuance.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fiscal year 2021 the Company elected to issue Performance Stock Units (“PSUs”) to an officer of the Company. The fair value of these awards is equivalent to the market value of the Company’s common stock on the grant date and requires an assessment of the probability that the specified performance criteria will be achieved, which is updated at each reporting date. PSUs are not shares of the Company’s common stock and do not have any rights or privileges thereof, including voting or dividend rights. On the applicable vesting date, subject to the attainment of the specified performance criteria, the holder of a PSU becomes entitled to a share of the Company’s common stock. PSUs are subject to certain restrictions and forfeiture provisions, in addition to performance vesting conditions, prior to vesting. A portion of the PSUs awarded will vest annually until fiscal 2025.</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for the RSUs and PSUs awards that reduce available capacity under the 2005 Stock Award Plan for the years ended April 30, 2022 and 2021:</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38"/>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April 30, 2020</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6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47,250</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April 30, 2021</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16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(15,066)</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Balance – April 30, 2022</w:t>
            </w: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65,609</w:t>
            </w:r>
          </w:p>
        </w:tc>
        <w:tc>
          <w:tcPr>
            <w:tcW w:w="160" w:type="dxa"/>
            <w:vAlign w:val="bottom"/>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10.09</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Agreements: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a series of agreements with key employees providing for the payment of benefits upon retirement or death. Under these agreements, each key employee receives specified retirement payments for the remainder of the employee’s life with a minimum payment of ten years’ benefits to either the employee or his or her beneficiaries. The agreements also provide for lump sum payments upon termination of employment without cause and reduced benefits upon early retirement. The Company pays the benefits out of its working capital but has also purchased whole life or term life insurance policies on the lives of certain of the participants to cover the optional lump sum obligations of the agreements upon the death of the participant. Deferred compensation expense charged to selling and administrative expenses during the years ended April 30, 2022 and 2021 was approximately $1.1 million each fiscal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 Insurance Policies and Cash Held in Trust:</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a change of control.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44" w:name="page45"/>
    <w:bookmarkEnd w:id="44"/>
    <w:p>
      <w:pPr>
        <w:ind w:left="2"/>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7" w:lineRule="exact"/>
        <w:rPr>
          <w:sz w:val="20"/>
          <w:szCs w:val="20"/>
          <w:color w:val="auto"/>
        </w:rPr>
      </w:pPr>
    </w:p>
    <w:p>
      <w:pPr>
        <w:ind w:left="262" w:hanging="262"/>
        <w:spacing w:after="0"/>
        <w:tabs>
          <w:tab w:leader="none" w:pos="2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The (benefit) provision for income taxes consisted of the following (in thousands):</w:t>
      </w:r>
    </w:p>
    <w:p>
      <w:pPr>
        <w:spacing w:after="0" w:line="221" w:lineRule="exact"/>
        <w:rPr>
          <w:sz w:val="20"/>
          <w:szCs w:val="20"/>
          <w:color w:val="auto"/>
        </w:rPr>
      </w:pPr>
    </w:p>
    <w:tbl>
      <w:tblPr>
        <w:tblLayout w:type="fixed"/>
        <w:tblInd w:w="1102"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April 30,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1580" w:type="dxa"/>
            <w:vAlign w:val="bottom"/>
          </w:tcPr>
          <w:p>
            <w:pPr>
              <w:spacing w:after="0"/>
              <w:rPr>
                <w:sz w:val="18"/>
                <w:szCs w:val="18"/>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78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1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(benefit) provision</w:t>
            </w:r>
          </w:p>
        </w:tc>
        <w:tc>
          <w:tcPr>
            <w:tcW w:w="1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158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15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(benefit) provision</w:t>
            </w:r>
          </w:p>
        </w:tc>
        <w:tc>
          <w:tcPr>
            <w:tcW w:w="15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(benefit) provision</w:t>
            </w:r>
          </w:p>
        </w:tc>
        <w:tc>
          <w:tcPr>
            <w:tcW w:w="278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 w:right="100" w:firstLine="402"/>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reported income tax (benefit) provision, recorded primarily due to the (i) recognition of previously unrecognized tax benefits, (ii) state and local taxes, (iii) and a change in the valuation allowance, with the amount computed using the federal statutory income tax rate (in thousands):</w:t>
      </w:r>
    </w:p>
    <w:p>
      <w:pPr>
        <w:spacing w:after="0" w:line="172" w:lineRule="exact"/>
        <w:rPr>
          <w:sz w:val="20"/>
          <w:szCs w:val="20"/>
          <w:color w:val="auto"/>
        </w:rPr>
      </w:pPr>
    </w:p>
    <w:tbl>
      <w:tblPr>
        <w:tblLayout w:type="fixed"/>
        <w:tblInd w:w="2"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0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April 30,</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274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(1,819)</w:t>
            </w:r>
          </w:p>
        </w:tc>
        <w:tc>
          <w:tcPr>
            <w:tcW w:w="110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w:t>
            </w: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1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Nontaxable life insurance cash value increase</w:t>
            </w: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life insurance gain</w:t>
            </w:r>
          </w:p>
        </w:tc>
        <w:tc>
          <w:tcPr>
            <w:tcW w:w="1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rate</w:t>
            </w: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w:t>
            </w:r>
          </w:p>
        </w:tc>
        <w:tc>
          <w:tcPr>
            <w:tcW w:w="17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Total (benefit) provision</w:t>
            </w:r>
          </w:p>
        </w:tc>
        <w:tc>
          <w:tcPr>
            <w:tcW w:w="274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6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45</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2"/>
          </w:cols>
          <w:pgMar w:left="458" w:top="121"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deferred taxes are as follows (in thousands):</w:t>
            </w: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8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Year Ended April 30,</w:t>
            </w: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Deferred tax assets:</w:t>
            </w: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16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Loss carry-forward</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7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7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21,781</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(2,211)</w:t>
            </w: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Deferred state income tax</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(943)</w:t>
            </w: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7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18,083</w:t>
            </w: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(18,091)</w:t>
            </w: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(16,863)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0" w:type="dxa"/>
            <w:vAlign w:val="bottom"/>
          </w:tcPr>
          <w:p>
            <w:pPr>
              <w:spacing w:after="0"/>
              <w:rPr>
                <w:sz w:val="19"/>
                <w:szCs w:val="19"/>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 asset</w:t>
            </w:r>
          </w:p>
        </w:tc>
        <w:tc>
          <w:tcPr>
            <w:tcW w:w="16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assessing the potential for realization of deferred tax assets, the Company considers whether it is more-likely-than-not that some portion or all of the deferred tax assets will be realized. A valuation allowance, if needed, reduces the deferred tax assets to the amounts expected to be realized. The ultimate realization of deferred tax assets is dependent upon the generation of future taxable income in those periods in which temporary differences become deductible and/or net operating loss carryforwards can be utilized. We assess all positive and negative evidence when determining the amount of the net deferred tax assets that are more likely than not to be realized. This evidence includes, but is not limited to, prior earnings history, scheduled reversal of taxable temporary differences, tax planning strategies and projected future taxable income. Significant weight is given to positive and negative evidence that is objectively verifiable. As of April 30, 2022 and 2021, we have a full valuation allowance against our U.S. net deferred tax assets. If these estimates and assumptions change in the future, the Company may be required to reduce its existing valuation allowance resulting in less income tax expense.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April 30, 2022, the valuation allowance increased by approximately $1.2 million from the prior year primarily due an increase in the net deferred tax asset for which no tax benefit was provided.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 net deferred tax liability related to the tax effect of differences between financial reporting and tax basis of intangible assets that are not expected to reverse within the Company’s net operating loss carryforward periods. The utilization of indefinite lived net operating losses are limited to 80% of taxable income in an annual period.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April 30, 2022, the Company has U.S. federal net operating losses of $29.6 million of which $15.9 million begins to expire in fiscal years 2026 through 2038, including $3.4 million which is subject to annual limitation under IRC § 382. The remaining U.S. federal net operating losses of $13.7 million have an indefinite carry-forward period. The U.S. federal capital loss carry-forward of $9.9 million expires in fiscal year 2023. U.S. federal R&amp;D credits of $1.0 million begin to expire in fiscal years 2036 through 2040. The Company also has state net operating loss carryforwards, and state tax credits that expire in various years and amounts.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46" w:name="page47"/>
    <w:bookmarkEnd w:id="46"/>
    <w:p>
      <w:pPr>
        <w:ind w:left="2"/>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7"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is as follows (in thousands):</w:t>
      </w:r>
    </w:p>
    <w:p>
      <w:pPr>
        <w:spacing w:after="0" w:line="221" w:lineRule="exact"/>
        <w:rPr>
          <w:sz w:val="20"/>
          <w:szCs w:val="20"/>
          <w:color w:val="auto"/>
        </w:rPr>
      </w:pPr>
    </w:p>
    <w:tbl>
      <w:tblPr>
        <w:tblLayout w:type="fixed"/>
        <w:tblInd w:w="1102"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0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10"/>
        </w:trPr>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fiscal year</w:t>
            </w:r>
          </w:p>
        </w:tc>
        <w:tc>
          <w:tcPr>
            <w:tcW w:w="106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positions taken in the current year</w:t>
            </w: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positions taken in prior years</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Decreases based on positions taken in prior years</w:t>
            </w: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in statute of limitations</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(1,235)</w:t>
            </w:r>
          </w:p>
        </w:tc>
      </w:tr>
      <w:tr>
        <w:trPr>
          <w:trHeight w:val="20"/>
        </w:trPr>
        <w:tc>
          <w:tcPr>
            <w:tcW w:w="5540" w:type="dxa"/>
            <w:vAlign w:val="bottom"/>
            <w:tcBorders>
              <w:right w:val="single" w:sz="8" w:color="CCEEFF"/>
            </w:tcBorders>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fiscal year</w:t>
            </w:r>
          </w:p>
        </w:tc>
        <w:tc>
          <w:tcPr>
            <w:tcW w:w="1060" w:type="dxa"/>
            <w:vAlign w:val="bottom"/>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 w:right="20" w:firstLine="648"/>
        <w:spacing w:after="0" w:line="258" w:lineRule="auto"/>
        <w:rPr>
          <w:sz w:val="20"/>
          <w:szCs w:val="20"/>
          <w:color w:val="auto"/>
        </w:rPr>
      </w:pPr>
      <w:r>
        <w:rPr>
          <w:rFonts w:ascii="Times New Roman" w:cs="Times New Roman" w:eastAsia="Times New Roman" w:hAnsi="Times New Roman"/>
          <w:sz w:val="18"/>
          <w:szCs w:val="18"/>
          <w:color w:val="auto"/>
        </w:rPr>
        <w:t>The entire amount reflected in the above table at April 30, 2022, if recognized, would reduce our effective tax rate. As of April 30, 2022, and 2021, the Company had $1,176 and $0, respectively, accrued for the payment of interest and penalties. For the fiscal years ended April 30, 2022 and 2021, the Company recognized interest (income) and expense of $1,176 and $(119,000), respectively. Although it is difficult to predict or estimate the change in the Company’s unrecognized tax benefits over the next twelve months, the Company believes no additional amounts will be recognized in the next twelve months.</w:t>
      </w:r>
    </w:p>
    <w:p>
      <w:pPr>
        <w:spacing w:after="0" w:line="183" w:lineRule="exact"/>
        <w:rPr>
          <w:sz w:val="20"/>
          <w:szCs w:val="20"/>
          <w:color w:val="auto"/>
        </w:rPr>
      </w:pPr>
    </w:p>
    <w:p>
      <w:pPr>
        <w:jc w:val="both"/>
        <w:ind w:left="2"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taxation in the U.S. federal, various state and local, and foreign jurisdictions. The Company is no longer subject to examination of its U.S. federal income tax returns by the Internal Revenue Service for fiscal years 2018 and prior. The Company is no longer subject to examination by the taxing authorities in foreign jurisdictions for fiscal years 2018 and prior. Net operating losses and tax attributes generated in closed years and utilized in open years are subject to adjustment by the tax authorities.</w:t>
      </w:r>
    </w:p>
    <w:p>
      <w:pPr>
        <w:spacing w:after="0" w:line="180" w:lineRule="exact"/>
        <w:rPr>
          <w:sz w:val="20"/>
          <w:szCs w:val="20"/>
          <w:color w:val="auto"/>
        </w:rPr>
      </w:pPr>
    </w:p>
    <w:p>
      <w:pPr>
        <w:ind w:left="262" w:hanging="262"/>
        <w:spacing w:after="0"/>
        <w:tabs>
          <w:tab w:leader="none" w:pos="2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Segment Information</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582" w:right="20" w:hanging="532"/>
        <w:spacing w:after="0" w:line="266" w:lineRule="auto"/>
        <w:tabs>
          <w:tab w:leader="none" w:pos="58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75" w:lineRule="exact"/>
        <w:rPr>
          <w:rFonts w:ascii="Times New Roman" w:cs="Times New Roman" w:eastAsia="Times New Roman" w:hAnsi="Times New Roman"/>
          <w:sz w:val="18"/>
          <w:szCs w:val="18"/>
          <w:color w:val="auto"/>
        </w:rPr>
      </w:pPr>
    </w:p>
    <w:p>
      <w:pPr>
        <w:ind w:left="582"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FEI-NY segment also includes the operations of the Company’s wholly-owned subsidiary, FEI-Elcom. FEI-Elcom, in addition to its own product line, provides design and technical support for the FEI-NY segment’s satellite business.</w:t>
      </w:r>
    </w:p>
    <w:p>
      <w:pPr>
        <w:spacing w:after="0" w:line="161" w:lineRule="exact"/>
        <w:rPr>
          <w:rFonts w:ascii="Times New Roman" w:cs="Times New Roman" w:eastAsia="Times New Roman" w:hAnsi="Times New Roman"/>
          <w:sz w:val="18"/>
          <w:szCs w:val="18"/>
          <w:color w:val="auto"/>
        </w:rPr>
      </w:pPr>
    </w:p>
    <w:p>
      <w:pPr>
        <w:jc w:val="both"/>
        <w:ind w:left="582" w:right="20" w:hanging="577"/>
        <w:spacing w:after="0" w:line="266" w:lineRule="auto"/>
        <w:tabs>
          <w:tab w:leader="none" w:pos="58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U.S. market.</w:t>
      </w:r>
    </w:p>
    <w:p>
      <w:pPr>
        <w:spacing w:after="0" w:line="176" w:lineRule="exact"/>
        <w:rPr>
          <w:sz w:val="20"/>
          <w:szCs w:val="20"/>
          <w:color w:val="auto"/>
        </w:rPr>
      </w:pPr>
    </w:p>
    <w:p>
      <w:pPr>
        <w:jc w:val="both"/>
        <w:ind w:left="2"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76" w:lineRule="exact"/>
        <w:rPr>
          <w:sz w:val="20"/>
          <w:szCs w:val="20"/>
          <w:color w:val="auto"/>
        </w:rPr>
      </w:pPr>
    </w:p>
    <w:p>
      <w:pPr>
        <w:jc w:val="both"/>
        <w:ind w:left="2" w:right="20" w:firstLine="648"/>
        <w:spacing w:after="0" w:line="266" w:lineRule="auto"/>
        <w:rPr>
          <w:sz w:val="20"/>
          <w:szCs w:val="20"/>
          <w:color w:val="auto"/>
        </w:rPr>
      </w:pPr>
      <w:r>
        <w:rPr>
          <w:rFonts w:ascii="Times New Roman" w:cs="Times New Roman" w:eastAsia="Times New Roman" w:hAnsi="Times New Roman"/>
          <w:sz w:val="18"/>
          <w:szCs w:val="18"/>
          <w:color w:val="auto"/>
        </w:rPr>
        <w:t>The accounting policies of the two segments are the same as those described in Note 1. The Company evaluates the performance of its segments and allocates resources to them based on operating profit which is defined as income before investment income, interest expense and taxes. All acquired assets, including intangible assets, are included in the assets of both reporting segments.</w:t>
      </w:r>
    </w:p>
    <w:p>
      <w:pPr>
        <w:spacing w:after="0" w:line="17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1"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presents information about reported segments for each of the years ended April 30, 2022 and 2021, respectively, with reconciliation of segment amounts to consolidated amounts as reported in the consolidated statements of operations or the consolidated balance sheets for each of the years (in thousands):</w:t>
      </w:r>
    </w:p>
    <w:p>
      <w:pPr>
        <w:spacing w:after="0" w:line="172"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324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Years Ended April 30,</w:t>
            </w:r>
          </w:p>
        </w:tc>
        <w:tc>
          <w:tcPr>
            <w:tcW w:w="0" w:type="dxa"/>
            <w:vAlign w:val="bottom"/>
          </w:tcPr>
          <w:p>
            <w:pPr>
              <w:spacing w:after="0"/>
              <w:rPr>
                <w:sz w:val="1"/>
                <w:szCs w:val="1"/>
                <w:color w:val="auto"/>
              </w:rPr>
            </w:pPr>
          </w:p>
        </w:tc>
      </w:tr>
      <w:tr>
        <w:trPr>
          <w:trHeight w:val="209"/>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FEI-NY</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41,157</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FEI-Zyfer</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9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(1,981)</w:t>
            </w:r>
          </w:p>
        </w:tc>
        <w:tc>
          <w:tcPr>
            <w:tcW w:w="0" w:type="dxa"/>
            <w:vAlign w:val="bottom"/>
          </w:tcPr>
          <w:p>
            <w:pPr>
              <w:spacing w:after="0"/>
              <w:rPr>
                <w:sz w:val="1"/>
                <w:szCs w:val="1"/>
                <w:color w:val="auto"/>
              </w:rPr>
            </w:pPr>
          </w:p>
        </w:tc>
      </w:tr>
      <w:tr>
        <w:trPr>
          <w:trHeight w:val="20"/>
        </w:trPr>
        <w:tc>
          <w:tcPr>
            <w:tcW w:w="554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revenues</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48,296</w:t>
            </w:r>
          </w:p>
        </w:tc>
        <w:tc>
          <w:tcPr>
            <w:tcW w:w="1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FEI-NY</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(5,679)</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FEI-Zyfer</w:t>
            </w:r>
          </w:p>
        </w:tc>
        <w:tc>
          <w:tcPr>
            <w:tcW w:w="9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(2,104)</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w:t>
            </w:r>
          </w:p>
        </w:tc>
        <w:tc>
          <w:tcPr>
            <w:tcW w:w="9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(334)</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operating loss</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(8,038)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40" w:type="dxa"/>
            <w:vAlign w:val="bottom"/>
          </w:tcPr>
          <w:p>
            <w:pPr>
              <w:spacing w:after="0"/>
              <w:rPr>
                <w:sz w:val="24"/>
                <w:szCs w:val="24"/>
                <w:color w:val="auto"/>
              </w:rPr>
            </w:pPr>
          </w:p>
        </w:tc>
        <w:tc>
          <w:tcPr>
            <w:tcW w:w="324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For the Years Ended April 30,</w:t>
            </w:r>
          </w:p>
        </w:tc>
        <w:tc>
          <w:tcPr>
            <w:tcW w:w="0" w:type="dxa"/>
            <w:vAlign w:val="bottom"/>
          </w:tcPr>
          <w:p>
            <w:pPr>
              <w:spacing w:after="0"/>
              <w:rPr>
                <w:sz w:val="1"/>
                <w:szCs w:val="1"/>
                <w:color w:val="auto"/>
              </w:rPr>
            </w:pPr>
          </w:p>
        </w:tc>
      </w:tr>
      <w:tr>
        <w:trPr>
          <w:trHeight w:val="21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FEI-NY</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42,008</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FEI-Zyfer</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intersegment balances</w:t>
            </w:r>
          </w:p>
        </w:tc>
        <w:tc>
          <w:tcPr>
            <w:tcW w:w="9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33,476</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identifiable assets</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85,880</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 (allocated):</w:t>
            </w:r>
          </w:p>
        </w:tc>
        <w:tc>
          <w:tcPr>
            <w:tcW w:w="9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FEI-NY</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FEI-Zyfer</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depreciation and amortization expense</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Major Customers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products are sold to both commercial and governmental customers. For the fiscal years ended April 30, 2022 and 2021, approximately 94% and 91%, respectively, of the Company’s sales were made under contracts to the U.S. Government or subcontracts for U.S. Government end-use.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fiscal years ended April 30, 2022 and 2021, revenues to four and three customers, respectively, of the FEI-NY segment accounted for more than 10% of that segment’s revenues. In the FEI-Zyfer segment, two and three customers, respectively, accounted for more than 10% of that segment’s revenues in the fiscal years ended April 30, 2022 and 2021.</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loss by the Company of any one of these customers would have a material adverse effect on the Company’s business. The Company believes its relationship with these customers is mutually satisfactory. Sales to the major customers referenced above can include commercial and governmental end users.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Sales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in each of the Company’s segments include sales to foreign governments or to companies located in foreign countries. For the years ended April 30, 2022 and 2021, revenues, based on the location of the procurement entity and excluding intersegment sales, were derived from the following countries (in thousands):</w:t>
      </w:r>
    </w:p>
    <w:p>
      <w:pPr>
        <w:spacing w:after="0" w:line="172"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Belgium</w:t>
            </w:r>
          </w:p>
        </w:tc>
        <w:tc>
          <w:tcPr>
            <w:tcW w:w="324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2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w:t>
            </w:r>
          </w:p>
        </w:tc>
        <w:tc>
          <w:tcPr>
            <w:tcW w:w="2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2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c>
          <w:tcPr>
            <w:tcW w:w="2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2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Taiwan</w:t>
            </w:r>
          </w:p>
        </w:tc>
        <w:tc>
          <w:tcPr>
            <w:tcW w:w="2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8"/>
                <w:szCs w:val="18"/>
                <w:color w:val="auto"/>
              </w:rPr>
            </w:pPr>
          </w:p>
        </w:tc>
      </w:tr>
      <w:tr>
        <w:trPr>
          <w:trHeight w:val="230"/>
        </w:trPr>
        <w:tc>
          <w:tcPr>
            <w:tcW w:w="336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80" w:type="dxa"/>
            <w:vAlign w:val="bottom"/>
            <w:shd w:val="clear" w:color="auto" w:fill="CCEEFF"/>
          </w:tcPr>
          <w:p>
            <w:pPr>
              <w:spacing w:after="0"/>
              <w:rPr>
                <w:sz w:val="19"/>
                <w:szCs w:val="19"/>
                <w:color w:val="auto"/>
              </w:rPr>
            </w:pPr>
          </w:p>
        </w:tc>
      </w:tr>
      <w:tr>
        <w:trPr>
          <w:trHeight w:val="20"/>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Product Warranties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As of April 30, 2022 and 2021, respectively, changes in the carrying amount of accrued product warranty costs, reported in accrued expenses on the consolidated balance sheets,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439</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Warranty costs incurred</w:t>
            </w:r>
          </w:p>
        </w:tc>
        <w:tc>
          <w:tcPr>
            <w:tcW w:w="2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(587)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(619)</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warranty accrual</w:t>
            </w:r>
          </w:p>
        </w:tc>
        <w:tc>
          <w:tcPr>
            <w:tcW w:w="23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667</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Balance at end of year</w:t>
            </w:r>
          </w:p>
        </w:tc>
        <w:tc>
          <w:tcPr>
            <w:tcW w:w="340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519</w:t>
            </w:r>
          </w:p>
        </w:tc>
        <w:tc>
          <w:tcPr>
            <w:tcW w:w="120" w:type="dxa"/>
            <w:vAlign w:val="bottom"/>
          </w:tcPr>
          <w:p>
            <w:pPr>
              <w:spacing w:after="0"/>
              <w:rPr>
                <w:sz w:val="18"/>
                <w:szCs w:val="18"/>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36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49</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1" w:right="479" w:bottom="1440" w:gutter="0" w:footer="0" w:header="0"/>
        </w:sectPr>
      </w:pPr>
    </w:p>
    <w:bookmarkStart w:id="49" w:name="page50"/>
    <w:bookmarkEnd w:id="49"/>
    <w:p>
      <w:pPr>
        <w:ind w:left="2"/>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April 30, 2022 and 2021</w:t>
      </w:r>
    </w:p>
    <w:p>
      <w:pPr>
        <w:spacing w:after="0" w:line="207" w:lineRule="exact"/>
        <w:rPr>
          <w:sz w:val="20"/>
          <w:szCs w:val="20"/>
          <w:color w:val="auto"/>
        </w:rPr>
      </w:pPr>
    </w:p>
    <w:p>
      <w:pPr>
        <w:ind w:left="262" w:hanging="262"/>
        <w:spacing w:after="0"/>
        <w:tabs>
          <w:tab w:leader="none" w:pos="26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Comprehensive Income (Loss)</w:t>
      </w:r>
    </w:p>
    <w:p>
      <w:pPr>
        <w:spacing w:after="0" w:line="225" w:lineRule="exact"/>
        <w:rPr>
          <w:sz w:val="20"/>
          <w:szCs w:val="20"/>
          <w:color w:val="auto"/>
        </w:rPr>
      </w:pPr>
    </w:p>
    <w:p>
      <w:pPr>
        <w:ind w:left="2" w:right="20" w:firstLine="648"/>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Income (Loss) (“AOCI”) by component and reclassifications from AOCI to Other income (expense), net, for the years ended April 30, 2022 and 2021, respectively, were as follows (in thousands):</w:t>
      </w:r>
    </w:p>
    <w:p>
      <w:pPr>
        <w:spacing w:after="0" w:line="158" w:lineRule="exact"/>
        <w:rPr>
          <w:sz w:val="20"/>
          <w:szCs w:val="20"/>
          <w:color w:val="auto"/>
        </w:rPr>
      </w:pPr>
    </w:p>
    <w:tbl>
      <w:tblPr>
        <w:tblLayout w:type="fixed"/>
        <w:tblInd w:w="110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4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4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Market Value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4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of Marketable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48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April 30, 2020, net of taxes</w:t>
            </w:r>
          </w:p>
        </w:tc>
        <w:tc>
          <w:tcPr>
            <w:tcW w:w="248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Items of other comprehensive income (loss) before reclassification, pretax</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20" w:type="dxa"/>
            <w:vAlign w:val="bottom"/>
            <w:tcBorders>
              <w:top w:val="single" w:sz="8" w:color="CCEEFF"/>
            </w:tcBorders>
          </w:tcPr>
          <w:p>
            <w:pPr>
              <w:spacing w:after="0" w:line="191" w:lineRule="exact"/>
              <w:rPr>
                <w:sz w:val="20"/>
                <w:szCs w:val="20"/>
                <w:color w:val="auto"/>
              </w:rPr>
            </w:pPr>
            <w:r>
              <w:rPr>
                <w:rFonts w:ascii="Times New Roman" w:cs="Times New Roman" w:eastAsia="Times New Roman" w:hAnsi="Times New Roman"/>
                <w:sz w:val="18"/>
                <w:szCs w:val="18"/>
                <w:color w:val="auto"/>
              </w:rPr>
              <w:t>Items of other comprehensive income (loss) before reclassification, net of</w:t>
            </w:r>
          </w:p>
        </w:tc>
        <w:tc>
          <w:tcPr>
            <w:tcW w:w="14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 pretax **</w:t>
            </w: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Tax effect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April 30, 2021, net of taxes</w:t>
            </w: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of other comprehensive income (loss) before reclassification, pretax</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Tax effect</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Items of other comprehensive income (loss) before reclassification, net of</w:t>
            </w:r>
          </w:p>
        </w:tc>
        <w:tc>
          <w:tcPr>
            <w:tcW w:w="1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adjustments, pretax **</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April 30, 2022, net of taxes</w:t>
            </w:r>
          </w:p>
        </w:tc>
        <w:tc>
          <w:tcPr>
            <w:tcW w:w="1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 w:right="20"/>
        <w:spacing w:after="0" w:line="282" w:lineRule="auto"/>
        <w:rPr>
          <w:sz w:val="20"/>
          <w:szCs w:val="20"/>
          <w:color w:val="auto"/>
        </w:rPr>
      </w:pPr>
      <w:r>
        <w:rPr>
          <w:rFonts w:ascii="Times New Roman" w:cs="Times New Roman" w:eastAsia="Times New Roman" w:hAnsi="Times New Roman"/>
          <w:sz w:val="18"/>
          <w:szCs w:val="18"/>
          <w:color w:val="auto"/>
        </w:rPr>
        <w:t>**The reclassification adjustments represent net realized gains on the sale or redemption of available-for-sale marketable securities that were reclassified from AOCI to Other income (expense), net.</w:t>
      </w:r>
    </w:p>
    <w:p>
      <w:pPr>
        <w:spacing w:after="0" w:line="162" w:lineRule="exact"/>
        <w:rPr>
          <w:sz w:val="20"/>
          <w:szCs w:val="20"/>
          <w:color w:val="auto"/>
        </w:rPr>
      </w:pPr>
    </w:p>
    <w:p>
      <w:pPr>
        <w:ind w:left="262" w:hanging="262"/>
        <w:spacing w:after="0"/>
        <w:tabs>
          <w:tab w:leader="none" w:pos="26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Contingencies</w:t>
      </w:r>
    </w:p>
    <w:p>
      <w:pPr>
        <w:spacing w:after="0" w:line="225" w:lineRule="exact"/>
        <w:rPr>
          <w:sz w:val="20"/>
          <w:szCs w:val="20"/>
          <w:color w:val="auto"/>
        </w:rPr>
      </w:pPr>
    </w:p>
    <w:p>
      <w:pPr>
        <w:jc w:val="both"/>
        <w:ind w:left="2" w:firstLine="648"/>
        <w:spacing w:after="0" w:line="256" w:lineRule="auto"/>
        <w:rPr>
          <w:sz w:val="20"/>
          <w:szCs w:val="20"/>
          <w:color w:val="auto"/>
        </w:rPr>
      </w:pPr>
      <w:r>
        <w:rPr>
          <w:rFonts w:ascii="Times New Roman" w:cs="Times New Roman" w:eastAsia="Times New Roman" w:hAnsi="Times New Roman"/>
          <w:sz w:val="18"/>
          <w:szCs w:val="18"/>
          <w:color w:val="auto"/>
        </w:rPr>
        <w:t>On August 25, 2021, the Company settled disputes with Mr. Bloch. Under the Agreement on Material Terms of Settlement (the “Settlement Terms”), dated August 25, 2021, between and among the Company, Jonathan Brolin, Lance W. Lord, Russell M. Sarachek, Richard Schwartz and Stanton D. Sloane, each in their capacity as members of the Board, and the Compensation Committee of the Company’s Board, in its capacity as administrator under the deferred compensation agreements, and Mr. Bloch and certain members of Mr. Bloch’s family, in full and complete settlement of all claims asserted and all sums sought by Mr. Bloch in the litigation and arbitration proceedings, the Company agreed to pay Mr. Bloch $6 million on or before September 24, 2021. The final settlement occurred on September 21, 2021.</w:t>
      </w:r>
    </w:p>
    <w:p>
      <w:pPr>
        <w:spacing w:after="0" w:line="18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1"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Changes in and Disagreements with Accountants on Accounting and Financial Disclosure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9A. Controls and Procedures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have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April 30, 2022, the Company’s disclosure controls and procedures were effective at a reasonable assurance level.</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Annual Report on Internal Control over Financial Reporting</w:t>
      </w:r>
    </w:p>
    <w:p>
      <w:pPr>
        <w:spacing w:after="0" w:line="225"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has assessed the effectiveness of the Company’s internal control over financial reporting as of April 30, 2022. In making this assessment, management used the criteria established in Internal Control—Integrated Framework (2013) issued by the Committee of Sponsoring Organizations of the Treadway Commission. Based on this evaluation, management has concluded that the Company’s internal control over financial reporting was effective as of April 30, 2022.</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Financial Reporting</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result of a provision of the Dodd-Frank Wall Street Reform and Consumer Protection Act of 2010, which, among other things, permanently exempted non-accelerated filers, such as us, from complying with the requirements of Section 404(b) of the Sarbanes-Oxley Act of 2002, which requires an issuer to include an attestation report from an issuer’s independent registered public accounting firm on the issuer’s internal control over financial reporting, this annual report on Form 10-K does not include an attestation report of our registered public accounting firm regarding our internal control over financial reporting.</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such term is defined in Rules 13a-15(f) and 15d-15(f) under the Exchange Act) during the fiscal quarter ended April 30, 2022 that have materially affected, or are reasonably likely to materially affect,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9B. Other Information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9C. Disclosure Regarding Foreign Jurisdictions that Prevent Inspections.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Directors, Executive Officers and Corporate Governance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information required to be furnished pursuant to this item with respect to Directors of the Company, compliance with Section 16(a) of the Exchange Act, the Company’s code of ethics and certain corporate governance matters is incorporated herein by reference from the Company’s definitive proxy statement to be filed no later than 120 days after April 30, 2022, for the annual meeting of stockholders to be held on or about October 6, 2022 (the “2022 Proxy Statement”). See “Election of Directors,” “Delinquent Section 16(a) Reports,” “Corporate Governance Matters – Code of Ethics,” and “Certain Information as to Committees and Meetings of the Board” from the Company’s 2022 Proxy Statement. The information required to be furnished pursuant to this item with respect to Executive Officers is set forth, pursuant to General Instruction G(3) of Form 10-K, under Part I of this annual report on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11. Executive Compensation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item is incorporated herein by reference from the Company’s 2022 Proxy Statement under “Election of Directors” and “Executive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12. Security Ownership of Certain Beneficial Owners and Management and Related Stockholder Matters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item is incorporated herein by reference from the Company’s 2022 Proxy Statement under “Executive Compensation” and “Stock Ownership of Certain Beneficial Owners and Management.”</w:t>
      </w:r>
    </w:p>
    <w:p>
      <w:pPr>
        <w:sectPr>
          <w:pgSz w:w="11900" w:h="16838" w:orient="portrait"/>
          <w:cols w:equalWidth="0" w:num="1">
            <w:col w:w="10960"/>
          </w:cols>
          <w:pgMar w:left="460" w:top="121" w:right="47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7857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Equity Compensation Plans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Approved by Security Holders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r>
      <w:tr>
        <w:trPr>
          <w:trHeight w:val="203"/>
        </w:trPr>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 be issued upon exercise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available for</w:t>
            </w:r>
          </w:p>
        </w:tc>
      </w:tr>
      <w:tr>
        <w:trPr>
          <w:trHeight w:val="203"/>
        </w:trPr>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outstanding options,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future issuance under</w:t>
            </w:r>
          </w:p>
        </w:tc>
      </w:tr>
      <w:tr>
        <w:trPr>
          <w:trHeight w:val="203"/>
        </w:trPr>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exercise price of</w:t>
            </w:r>
          </w:p>
        </w:tc>
        <w:tc>
          <w:tcPr>
            <w:tcW w:w="2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equity compensation plans</w:t>
            </w:r>
          </w:p>
        </w:tc>
      </w:tr>
      <w:tr>
        <w:trPr>
          <w:trHeight w:val="203"/>
        </w:trPr>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and vesting of</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2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(excluding securities</w:t>
            </w:r>
          </w:p>
        </w:tc>
      </w:tr>
      <w:tr>
        <w:trPr>
          <w:trHeight w:val="212"/>
        </w:trPr>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RSU's and PSU's</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warrants and rights</w:t>
            </w:r>
          </w:p>
        </w:tc>
        <w:tc>
          <w:tcPr>
            <w:tcW w:w="22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reflected in column (a))</w:t>
            </w:r>
          </w:p>
        </w:tc>
      </w:tr>
      <w:tr>
        <w:trPr>
          <w:trHeight w:val="212"/>
        </w:trPr>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(b)</w:t>
            </w: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392"/>
        </w:trPr>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494,734</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906,653</w:t>
            </w:r>
          </w:p>
        </w:tc>
      </w:tr>
      <w:tr>
        <w:trPr>
          <w:trHeight w:val="20"/>
        </w:trPr>
        <w:tc>
          <w:tcPr>
            <w:tcW w:w="1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-153670</wp:posOffset>
            </wp:positionV>
            <wp:extent cx="696087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6087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900" w:space="620"/>
            <w:col w:w="6440"/>
          </w:cols>
          <w:pgMar w:left="460" w:top="121" w:right="479" w:bottom="1440" w:gutter="0" w:footer="0" w:header="0"/>
          <w:type w:val="continuous"/>
        </w:sectPr>
      </w:pPr>
    </w:p>
    <w:p>
      <w:pPr>
        <w:ind w:right="2640" w:firstLine="3"/>
        <w:spacing w:after="0" w:line="500" w:lineRule="auto"/>
        <w:tabs>
          <w:tab w:leader="none" w:pos="38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equity compensation plans are described in Note 11 to the Consolidated Financial Statements. </w:t>
      </w:r>
      <w:r>
        <w:rPr>
          <w:rFonts w:ascii="Times New Roman" w:cs="Times New Roman" w:eastAsia="Times New Roman" w:hAnsi="Times New Roman"/>
          <w:sz w:val="18"/>
          <w:szCs w:val="18"/>
          <w:u w:val="single" w:color="auto"/>
          <w:color w:val="auto"/>
        </w:rPr>
        <w:t>Item 13. Certain Relationships and Related Transactions, and Director Independence</w:t>
      </w:r>
    </w:p>
    <w:p>
      <w:pPr>
        <w:spacing w:after="0" w:line="1" w:lineRule="exact"/>
        <w:rPr>
          <w:rFonts w:ascii="Times New Roman" w:cs="Times New Roman" w:eastAsia="Times New Roman" w:hAnsi="Times New Roman"/>
          <w:sz w:val="18"/>
          <w:szCs w:val="18"/>
          <w:color w:val="auto"/>
        </w:rPr>
      </w:pPr>
    </w:p>
    <w:p>
      <w:pPr>
        <w:ind w:right="1700" w:firstLine="648"/>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item is incorporated herein by reference from the Company’s 2022 Proxy Statement under “Election of Directors.” </w:t>
      </w:r>
      <w:r>
        <w:rPr>
          <w:rFonts w:ascii="Times New Roman" w:cs="Times New Roman" w:eastAsia="Times New Roman" w:hAnsi="Times New Roman"/>
          <w:sz w:val="18"/>
          <w:szCs w:val="18"/>
          <w:u w:val="single" w:color="auto"/>
          <w:color w:val="auto"/>
        </w:rPr>
        <w:t>Item 14. Principal Accountant Fees and Services</w:t>
      </w:r>
    </w:p>
    <w:p>
      <w:pPr>
        <w:spacing w:after="0" w:line="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item is incorporated herein by reference from the Company’s 2022 Proxy Statement under “Appointment of Independent Registered Public Accounting Firm” and “Report of the Audit Committee.”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15. Exhibits and Financial Statement Schedules</w:t>
      </w:r>
    </w:p>
    <w:p>
      <w:pPr>
        <w:spacing w:after="0" w:line="225" w:lineRule="exact"/>
        <w:rPr>
          <w:sz w:val="20"/>
          <w:szCs w:val="20"/>
          <w:color w:val="auto"/>
        </w:rPr>
      </w:pPr>
    </w:p>
    <w:p>
      <w:pPr>
        <w:ind w:left="580" w:hanging="577"/>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Index to 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00" w:hanging="254"/>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Part II of this report: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Page(s)</w:t>
            </w:r>
          </w:p>
        </w:tc>
      </w:tr>
      <w:tr>
        <w:trPr>
          <w:trHeight w:val="210"/>
        </w:trPr>
        <w:tc>
          <w:tcPr>
            <w:tcW w:w="9500" w:type="dxa"/>
            <w:vAlign w:val="bottom"/>
            <w:gridSpan w:val="10"/>
          </w:tcPr>
          <w:p>
            <w:pPr>
              <w:ind w:left="66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 (BDO USA, LLP; Melville, NY; PCAOB ID#243)</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20" w:type="dxa"/>
            <w:vAlign w:val="bottom"/>
          </w:tcPr>
          <w:p>
            <w:pPr>
              <w:spacing w:after="0"/>
              <w:rPr>
                <w:sz w:val="18"/>
                <w:szCs w:val="18"/>
                <w:color w:val="auto"/>
              </w:rPr>
            </w:pPr>
          </w:p>
        </w:tc>
      </w:tr>
      <w:tr>
        <w:trPr>
          <w:trHeight w:val="383"/>
        </w:trPr>
        <w:tc>
          <w:tcPr>
            <w:tcW w:w="9500" w:type="dxa"/>
            <w:vAlign w:val="bottom"/>
            <w:gridSpan w:val="10"/>
          </w:tcPr>
          <w:p>
            <w:pPr>
              <w:ind w:left="660"/>
              <w:spacing w:after="0"/>
              <w:rPr>
                <w:sz w:val="20"/>
                <w:szCs w:val="20"/>
                <w:color w:val="auto"/>
              </w:rPr>
            </w:pPr>
            <w:r>
              <w:rPr>
                <w:rFonts w:ascii="Times New Roman" w:cs="Times New Roman" w:eastAsia="Times New Roman" w:hAnsi="Times New Roman"/>
                <w:sz w:val="16"/>
                <w:szCs w:val="16"/>
                <w:color w:val="auto"/>
              </w:rPr>
              <w:t>Consolidated Balance Sheets</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9500" w:type="dxa"/>
            <w:vAlign w:val="bottom"/>
            <w:gridSpan w:val="10"/>
          </w:tcPr>
          <w:p>
            <w:pPr>
              <w:ind w:left="660"/>
              <w:spacing w:after="0"/>
              <w:rPr>
                <w:sz w:val="20"/>
                <w:szCs w:val="20"/>
                <w:color w:val="auto"/>
              </w:rPr>
            </w:pPr>
            <w:r>
              <w:rPr>
                <w:rFonts w:ascii="Times New Roman" w:cs="Times New Roman" w:eastAsia="Times New Roman" w:hAnsi="Times New Roman"/>
                <w:sz w:val="16"/>
                <w:szCs w:val="16"/>
                <w:color w:val="auto"/>
              </w:rPr>
              <w:t>- April 30, 2022 and 2021</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8"/>
                <w:szCs w:val="18"/>
                <w:color w:val="auto"/>
              </w:rPr>
            </w:pPr>
          </w:p>
        </w:tc>
      </w:tr>
      <w:tr>
        <w:trPr>
          <w:trHeight w:val="397"/>
        </w:trPr>
        <w:tc>
          <w:tcPr>
            <w:tcW w:w="9500" w:type="dxa"/>
            <w:vAlign w:val="bottom"/>
            <w:gridSpan w:val="10"/>
          </w:tcPr>
          <w:p>
            <w:pPr>
              <w:ind w:left="660"/>
              <w:spacing w:after="0"/>
              <w:rPr>
                <w:sz w:val="20"/>
                <w:szCs w:val="20"/>
                <w:color w:val="auto"/>
              </w:rPr>
            </w:pPr>
            <w:r>
              <w:rPr>
                <w:rFonts w:ascii="Times New Roman" w:cs="Times New Roman" w:eastAsia="Times New Roman" w:hAnsi="Times New Roman"/>
                <w:sz w:val="16"/>
                <w:szCs w:val="16"/>
                <w:color w:val="auto"/>
              </w:rPr>
              <w:t>Consolidated Statements of Operations and Comprehensive Income (Loss)</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9500" w:type="dxa"/>
            <w:vAlign w:val="bottom"/>
            <w:gridSpan w:val="10"/>
          </w:tcPr>
          <w:p>
            <w:pPr>
              <w:ind w:left="660"/>
              <w:spacing w:after="0"/>
              <w:rPr>
                <w:sz w:val="20"/>
                <w:szCs w:val="20"/>
                <w:color w:val="auto"/>
              </w:rPr>
            </w:pPr>
            <w:r>
              <w:rPr>
                <w:rFonts w:ascii="Times New Roman" w:cs="Times New Roman" w:eastAsia="Times New Roman" w:hAnsi="Times New Roman"/>
                <w:sz w:val="16"/>
                <w:szCs w:val="16"/>
                <w:color w:val="auto"/>
              </w:rPr>
              <w:t>- Years ended April 30, 2022 and 2021</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8"/>
                <w:szCs w:val="18"/>
                <w:color w:val="auto"/>
              </w:rPr>
            </w:pPr>
          </w:p>
        </w:tc>
      </w:tr>
      <w:tr>
        <w:trPr>
          <w:trHeight w:val="397"/>
        </w:trPr>
        <w:tc>
          <w:tcPr>
            <w:tcW w:w="9500" w:type="dxa"/>
            <w:vAlign w:val="bottom"/>
            <w:gridSpan w:val="10"/>
          </w:tcPr>
          <w:p>
            <w:pPr>
              <w:ind w:left="660"/>
              <w:spacing w:after="0"/>
              <w:rPr>
                <w:sz w:val="20"/>
                <w:szCs w:val="20"/>
                <w:color w:val="auto"/>
              </w:rPr>
            </w:pPr>
            <w:r>
              <w:rPr>
                <w:rFonts w:ascii="Times New Roman" w:cs="Times New Roman" w:eastAsia="Times New Roman" w:hAnsi="Times New Roman"/>
                <w:sz w:val="16"/>
                <w:szCs w:val="16"/>
                <w:color w:val="auto"/>
              </w:rPr>
              <w:t>Consolidated Statements of Cash Flows</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9500" w:type="dxa"/>
            <w:vAlign w:val="bottom"/>
            <w:gridSpan w:val="10"/>
          </w:tcPr>
          <w:p>
            <w:pPr>
              <w:ind w:left="660"/>
              <w:spacing w:after="0"/>
              <w:rPr>
                <w:sz w:val="20"/>
                <w:szCs w:val="20"/>
                <w:color w:val="auto"/>
              </w:rPr>
            </w:pPr>
            <w:r>
              <w:rPr>
                <w:rFonts w:ascii="Times New Roman" w:cs="Times New Roman" w:eastAsia="Times New Roman" w:hAnsi="Times New Roman"/>
                <w:sz w:val="16"/>
                <w:szCs w:val="16"/>
                <w:color w:val="auto"/>
              </w:rPr>
              <w:t>- Years ended April 30, 2022 and 2021</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28-29</w:t>
            </w:r>
          </w:p>
        </w:tc>
      </w:tr>
      <w:tr>
        <w:trPr>
          <w:trHeight w:val="397"/>
        </w:trPr>
        <w:tc>
          <w:tcPr>
            <w:tcW w:w="9500" w:type="dxa"/>
            <w:vAlign w:val="bottom"/>
            <w:gridSpan w:val="10"/>
          </w:tcPr>
          <w:p>
            <w:pPr>
              <w:ind w:left="660"/>
              <w:spacing w:after="0"/>
              <w:rPr>
                <w:sz w:val="20"/>
                <w:szCs w:val="20"/>
                <w:color w:val="auto"/>
              </w:rPr>
            </w:pPr>
            <w:r>
              <w:rPr>
                <w:rFonts w:ascii="Times New Roman" w:cs="Times New Roman" w:eastAsia="Times New Roman" w:hAnsi="Times New Roman"/>
                <w:sz w:val="16"/>
                <w:szCs w:val="16"/>
                <w:color w:val="auto"/>
              </w:rPr>
              <w:t>Consolidated Statements of Changes in Stockholders’ Equity</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9500" w:type="dxa"/>
            <w:vAlign w:val="bottom"/>
            <w:gridSpan w:val="10"/>
          </w:tcPr>
          <w:p>
            <w:pPr>
              <w:ind w:left="660"/>
              <w:spacing w:after="0"/>
              <w:rPr>
                <w:sz w:val="20"/>
                <w:szCs w:val="20"/>
                <w:color w:val="auto"/>
              </w:rPr>
            </w:pPr>
            <w:r>
              <w:rPr>
                <w:rFonts w:ascii="Times New Roman" w:cs="Times New Roman" w:eastAsia="Times New Roman" w:hAnsi="Times New Roman"/>
                <w:sz w:val="16"/>
                <w:szCs w:val="16"/>
                <w:color w:val="auto"/>
              </w:rPr>
              <w:t>- Years ended April 30, 2022 and 2021</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8"/>
                <w:szCs w:val="18"/>
                <w:color w:val="auto"/>
              </w:rPr>
            </w:pPr>
          </w:p>
        </w:tc>
      </w:tr>
      <w:tr>
        <w:trPr>
          <w:trHeight w:val="405"/>
        </w:trPr>
        <w:tc>
          <w:tcPr>
            <w:tcW w:w="9500" w:type="dxa"/>
            <w:vAlign w:val="bottom"/>
            <w:gridSpan w:val="10"/>
          </w:tcPr>
          <w:p>
            <w:pPr>
              <w:ind w:left="660"/>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31-50</w:t>
            </w:r>
          </w:p>
        </w:tc>
      </w:tr>
      <w:tr>
        <w:trPr>
          <w:trHeight w:val="438"/>
        </w:trPr>
        <w:tc>
          <w:tcPr>
            <w:tcW w:w="950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(2) EXHIBITS</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3"/>
        </w:trPr>
        <w:tc>
          <w:tcPr>
            <w:tcW w:w="1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 in</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this Form 10-K</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5740" w:type="dxa"/>
            <w:vAlign w:val="bottom"/>
            <w:tcBorders>
              <w:bottom w:val="single" w:sz="8" w:color="auto"/>
            </w:tcBorders>
            <w:gridSpan w:val="4"/>
          </w:tcPr>
          <w:p>
            <w:pPr>
              <w:ind w:left="118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NOTE</w:t>
            </w:r>
          </w:p>
        </w:tc>
        <w:tc>
          <w:tcPr>
            <w:tcW w:w="20" w:type="dxa"/>
            <w:vAlign w:val="bottom"/>
          </w:tcPr>
          <w:p>
            <w:pPr>
              <w:spacing w:after="0"/>
              <w:rPr>
                <w:sz w:val="18"/>
                <w:szCs w:val="18"/>
                <w:color w:val="auto"/>
              </w:rPr>
            </w:pPr>
          </w:p>
        </w:tc>
      </w:tr>
      <w:tr>
        <w:trPr>
          <w:trHeight w:val="361"/>
        </w:trPr>
        <w:tc>
          <w:tcPr>
            <w:tcW w:w="13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Pr>
          <w:p>
            <w:pPr>
              <w:spacing w:after="0"/>
              <w:rPr>
                <w:sz w:val="24"/>
                <w:szCs w:val="24"/>
                <w:color w:val="auto"/>
              </w:rPr>
            </w:pPr>
          </w:p>
        </w:tc>
        <w:tc>
          <w:tcPr>
            <w:tcW w:w="7580" w:type="dxa"/>
            <w:vAlign w:val="bottom"/>
            <w:tcBorders>
              <w:bottom w:val="single" w:sz="8" w:color="0000EE"/>
            </w:tcBorders>
            <w:gridSpan w:val="5"/>
          </w:tcPr>
          <w:p>
            <w:pPr>
              <w:spacing w:after="0"/>
              <w:rPr>
                <w:rFonts w:ascii="Times New Roman" w:cs="Times New Roman" w:eastAsia="Times New Roman" w:hAnsi="Times New Roman"/>
                <w:sz w:val="16"/>
                <w:szCs w:val="16"/>
                <w:color w:val="0000EE"/>
              </w:rPr>
            </w:pPr>
            <w:hyperlink r:id="rId70">
              <w:r>
                <w:rPr>
                  <w:rFonts w:ascii="Times New Roman" w:cs="Times New Roman" w:eastAsia="Times New Roman" w:hAnsi="Times New Roman"/>
                  <w:sz w:val="16"/>
                  <w:szCs w:val="16"/>
                  <w:color w:val="0000EE"/>
                </w:rPr>
                <w:t>Stock Purchase Agreement, dated as of February 21, 2012, by and among the Registrant, Elcom Technologies Inc.</w:t>
              </w:r>
            </w:hyperlink>
          </w:p>
        </w:tc>
        <w:tc>
          <w:tcPr>
            <w:tcW w:w="400" w:type="dxa"/>
            <w:vAlign w:val="bottom"/>
            <w:gridSpan w:val="3"/>
          </w:tcPr>
          <w:p>
            <w:pPr>
              <w:spacing w:after="0"/>
              <w:rPr>
                <w:sz w:val="24"/>
                <w:szCs w:val="24"/>
                <w:color w:val="auto"/>
              </w:rPr>
            </w:pPr>
          </w:p>
        </w:tc>
        <w:tc>
          <w:tcPr>
            <w:tcW w:w="14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24"/>
                <w:szCs w:val="24"/>
                <w:color w:val="auto"/>
              </w:rPr>
            </w:pPr>
          </w:p>
        </w:tc>
      </w:tr>
      <w:tr>
        <w:trPr>
          <w:trHeight w:val="183"/>
        </w:trPr>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80" w:type="dxa"/>
            <w:vAlign w:val="bottom"/>
            <w:gridSpan w:val="8"/>
          </w:tcPr>
          <w:p>
            <w:pPr>
              <w:spacing w:after="0" w:line="183" w:lineRule="exact"/>
              <w:rPr>
                <w:rFonts w:ascii="Times New Roman" w:cs="Times New Roman" w:eastAsia="Times New Roman" w:hAnsi="Times New Roman"/>
                <w:sz w:val="16"/>
                <w:szCs w:val="16"/>
                <w:color w:val="0000EE"/>
              </w:rPr>
            </w:pPr>
            <w:hyperlink r:id="rId70">
              <w:r>
                <w:rPr>
                  <w:rFonts w:ascii="Times New Roman" w:cs="Times New Roman" w:eastAsia="Times New Roman" w:hAnsi="Times New Roman"/>
                  <w:sz w:val="16"/>
                  <w:szCs w:val="16"/>
                  <w:color w:val="0000EE"/>
                </w:rPr>
                <w:t>and the stockholders of Elcom Technologies Inc. identified on the signature pages thereto</w:t>
              </w:r>
            </w:hyperlink>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0"/>
        </w:trPr>
        <w:tc>
          <w:tcPr>
            <w:tcW w:w="13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3.1</w:t>
            </w:r>
          </w:p>
        </w:tc>
        <w:tc>
          <w:tcPr>
            <w:tcW w:w="200" w:type="dxa"/>
            <w:vAlign w:val="bottom"/>
          </w:tcPr>
          <w:p>
            <w:pPr>
              <w:spacing w:after="0"/>
              <w:rPr>
                <w:sz w:val="24"/>
                <w:szCs w:val="24"/>
                <w:color w:val="auto"/>
              </w:rPr>
            </w:pPr>
          </w:p>
        </w:tc>
        <w:tc>
          <w:tcPr>
            <w:tcW w:w="79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Copy of Certificate of Incorporation of the Registrant filed with the Secretary of State of Delaware</w:t>
            </w:r>
          </w:p>
        </w:tc>
        <w:tc>
          <w:tcPr>
            <w:tcW w:w="14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24"/>
                <w:szCs w:val="24"/>
                <w:color w:val="auto"/>
              </w:rPr>
            </w:pPr>
          </w:p>
        </w:tc>
      </w:tr>
      <w:tr>
        <w:trPr>
          <w:trHeight w:val="397"/>
        </w:trPr>
        <w:tc>
          <w:tcPr>
            <w:tcW w:w="13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3.2</w:t>
            </w:r>
          </w:p>
        </w:tc>
        <w:tc>
          <w:tcPr>
            <w:tcW w:w="200" w:type="dxa"/>
            <w:vAlign w:val="bottom"/>
          </w:tcPr>
          <w:p>
            <w:pPr>
              <w:spacing w:after="0"/>
              <w:rPr>
                <w:sz w:val="24"/>
                <w:szCs w:val="24"/>
                <w:color w:val="auto"/>
              </w:rPr>
            </w:pPr>
          </w:p>
        </w:tc>
        <w:tc>
          <w:tcPr>
            <w:tcW w:w="79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Amendment to Certificate of Incorporation of the Registrant filed with the Secretary of State of Delaware on March</w:t>
            </w:r>
          </w:p>
        </w:tc>
        <w:tc>
          <w:tcPr>
            <w:tcW w:w="14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24"/>
                <w:szCs w:val="24"/>
                <w:color w:val="auto"/>
              </w:rPr>
            </w:pPr>
          </w:p>
        </w:tc>
      </w:tr>
      <w:tr>
        <w:trPr>
          <w:trHeight w:val="210"/>
        </w:trPr>
        <w:tc>
          <w:tcPr>
            <w:tcW w:w="1320" w:type="dxa"/>
            <w:vAlign w:val="bottom"/>
          </w:tcPr>
          <w:p>
            <w:pPr>
              <w:spacing w:after="0"/>
              <w:rPr>
                <w:sz w:val="18"/>
                <w:szCs w:val="18"/>
                <w:color w:val="auto"/>
              </w:rPr>
            </w:pPr>
          </w:p>
        </w:tc>
        <w:tc>
          <w:tcPr>
            <w:tcW w:w="20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27, 1981</w:t>
            </w:r>
          </w:p>
        </w:tc>
        <w:tc>
          <w:tcPr>
            <w:tcW w:w="2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7"/>
        </w:trPr>
        <w:tc>
          <w:tcPr>
            <w:tcW w:w="13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tcPr>
          <w:p>
            <w:pPr>
              <w:spacing w:after="0"/>
              <w:rPr>
                <w:sz w:val="24"/>
                <w:szCs w:val="24"/>
                <w:color w:val="auto"/>
              </w:rPr>
            </w:pPr>
          </w:p>
        </w:tc>
        <w:tc>
          <w:tcPr>
            <w:tcW w:w="79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Amendment to Certificate of Incorporation of the Registrant filed with Secretary of State of Delaware on October</w:t>
            </w:r>
          </w:p>
        </w:tc>
        <w:tc>
          <w:tcPr>
            <w:tcW w:w="14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24"/>
                <w:szCs w:val="24"/>
                <w:color w:val="auto"/>
              </w:rPr>
            </w:pPr>
          </w:p>
        </w:tc>
      </w:tr>
      <w:tr>
        <w:trPr>
          <w:trHeight w:val="210"/>
        </w:trPr>
        <w:tc>
          <w:tcPr>
            <w:tcW w:w="1320" w:type="dxa"/>
            <w:vAlign w:val="bottom"/>
          </w:tcPr>
          <w:p>
            <w:pPr>
              <w:spacing w:after="0"/>
              <w:rPr>
                <w:sz w:val="18"/>
                <w:szCs w:val="18"/>
                <w:color w:val="auto"/>
              </w:rPr>
            </w:pPr>
          </w:p>
        </w:tc>
        <w:tc>
          <w:tcPr>
            <w:tcW w:w="20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26, 1984</w:t>
            </w:r>
          </w:p>
        </w:tc>
        <w:tc>
          <w:tcPr>
            <w:tcW w:w="2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7"/>
        </w:trPr>
        <w:tc>
          <w:tcPr>
            <w:tcW w:w="13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spacing w:after="0"/>
              <w:rPr>
                <w:sz w:val="24"/>
                <w:szCs w:val="24"/>
                <w:color w:val="auto"/>
              </w:rPr>
            </w:pPr>
          </w:p>
        </w:tc>
        <w:tc>
          <w:tcPr>
            <w:tcW w:w="79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Amendment to Certificate of Incorporation of the Registrant filed with the Secretary of State of Delaware on</w:t>
            </w:r>
          </w:p>
        </w:tc>
        <w:tc>
          <w:tcPr>
            <w:tcW w:w="14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24"/>
                <w:szCs w:val="24"/>
                <w:color w:val="auto"/>
              </w:rPr>
            </w:pPr>
          </w:p>
        </w:tc>
      </w:tr>
      <w:tr>
        <w:trPr>
          <w:trHeight w:val="210"/>
        </w:trPr>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October 22, 1986</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7"/>
        </w:trPr>
        <w:tc>
          <w:tcPr>
            <w:tcW w:w="13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Pr>
          <w:p>
            <w:pPr>
              <w:spacing w:after="0"/>
              <w:rPr>
                <w:sz w:val="24"/>
                <w:szCs w:val="24"/>
                <w:color w:val="auto"/>
              </w:rPr>
            </w:pPr>
          </w:p>
        </w:tc>
        <w:tc>
          <w:tcPr>
            <w:tcW w:w="79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Amended and Restated Certificate of Incorporation of the Registrant filed with the Secretary of State of Delaware</w:t>
            </w:r>
          </w:p>
        </w:tc>
        <w:tc>
          <w:tcPr>
            <w:tcW w:w="14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24"/>
                <w:szCs w:val="24"/>
                <w:color w:val="auto"/>
              </w:rPr>
            </w:pPr>
          </w:p>
        </w:tc>
      </w:tr>
      <w:tr>
        <w:trPr>
          <w:trHeight w:val="210"/>
        </w:trPr>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on October 26, 1987</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7"/>
        </w:trPr>
        <w:tc>
          <w:tcPr>
            <w:tcW w:w="13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Pr>
          <w:p>
            <w:pPr>
              <w:spacing w:after="0"/>
              <w:rPr>
                <w:sz w:val="24"/>
                <w:szCs w:val="24"/>
                <w:color w:val="auto"/>
              </w:rPr>
            </w:pPr>
          </w:p>
        </w:tc>
        <w:tc>
          <w:tcPr>
            <w:tcW w:w="798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Amended Certificate of Incorporation of the Company filed with the Secretary of State of Delaware on November 2,</w:t>
            </w:r>
          </w:p>
        </w:tc>
        <w:tc>
          <w:tcPr>
            <w:tcW w:w="14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24"/>
                <w:szCs w:val="24"/>
                <w:color w:val="auto"/>
              </w:rPr>
            </w:pPr>
          </w:p>
        </w:tc>
      </w:tr>
      <w:tr>
        <w:trPr>
          <w:trHeight w:val="210"/>
        </w:trPr>
        <w:tc>
          <w:tcPr>
            <w:tcW w:w="1320" w:type="dxa"/>
            <w:vAlign w:val="bottom"/>
          </w:tcPr>
          <w:p>
            <w:pPr>
              <w:spacing w:after="0"/>
              <w:rPr>
                <w:sz w:val="18"/>
                <w:szCs w:val="18"/>
                <w:color w:val="auto"/>
              </w:rPr>
            </w:pPr>
          </w:p>
        </w:tc>
        <w:tc>
          <w:tcPr>
            <w:tcW w:w="20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1989</w:t>
            </w:r>
          </w:p>
        </w:tc>
        <w:tc>
          <w:tcPr>
            <w:tcW w:w="2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1"/>
        </w:trPr>
        <w:tc>
          <w:tcPr>
            <w:tcW w:w="13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3.7</w:t>
            </w:r>
          </w:p>
        </w:tc>
        <w:tc>
          <w:tcPr>
            <w:tcW w:w="200" w:type="dxa"/>
            <w:vAlign w:val="bottom"/>
          </w:tcPr>
          <w:p>
            <w:pPr>
              <w:spacing w:after="0"/>
              <w:rPr>
                <w:sz w:val="24"/>
                <w:szCs w:val="24"/>
                <w:color w:val="auto"/>
              </w:rPr>
            </w:pPr>
          </w:p>
        </w:tc>
        <w:tc>
          <w:tcPr>
            <w:tcW w:w="7980" w:type="dxa"/>
            <w:vAlign w:val="bottom"/>
            <w:gridSpan w:val="8"/>
          </w:tcPr>
          <w:p>
            <w:pPr>
              <w:spacing w:after="0"/>
              <w:rPr>
                <w:rFonts w:ascii="Times New Roman" w:cs="Times New Roman" w:eastAsia="Times New Roman" w:hAnsi="Times New Roman"/>
                <w:sz w:val="16"/>
                <w:szCs w:val="16"/>
                <w:color w:val="0000EE"/>
              </w:rPr>
            </w:pPr>
            <w:hyperlink r:id="rId71">
              <w:r>
                <w:rPr>
                  <w:rFonts w:ascii="Times New Roman" w:cs="Times New Roman" w:eastAsia="Times New Roman" w:hAnsi="Times New Roman"/>
                  <w:sz w:val="16"/>
                  <w:szCs w:val="16"/>
                  <w:color w:val="0000EE"/>
                </w:rPr>
                <w:t>Amended and Restated By-Laws of the Registrant, as amended</w:t>
              </w:r>
            </w:hyperlink>
          </w:p>
        </w:tc>
        <w:tc>
          <w:tcPr>
            <w:tcW w:w="14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24"/>
                <w:szCs w:val="24"/>
                <w:color w:val="auto"/>
              </w:rPr>
            </w:pPr>
          </w:p>
        </w:tc>
      </w:tr>
      <w:tr>
        <w:trPr>
          <w:trHeight w:val="419"/>
        </w:trPr>
        <w:tc>
          <w:tcPr>
            <w:tcW w:w="13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tcPr>
          <w:p>
            <w:pPr>
              <w:spacing w:after="0"/>
              <w:rPr>
                <w:sz w:val="24"/>
                <w:szCs w:val="24"/>
                <w:color w:val="auto"/>
              </w:rPr>
            </w:pPr>
          </w:p>
        </w:tc>
        <w:tc>
          <w:tcPr>
            <w:tcW w:w="41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auto"/>
              </w:rPr>
              <w:t>Specimen of Common Stock certificate</w:t>
            </w:r>
          </w:p>
        </w:tc>
        <w:tc>
          <w:tcPr>
            <w:tcW w:w="3880" w:type="dxa"/>
            <w:vAlign w:val="bottom"/>
            <w:gridSpan w:val="5"/>
          </w:tcPr>
          <w:p>
            <w:pPr>
              <w:spacing w:after="0"/>
              <w:rPr>
                <w:sz w:val="24"/>
                <w:szCs w:val="24"/>
                <w:color w:val="auto"/>
              </w:rPr>
            </w:pPr>
          </w:p>
        </w:tc>
        <w:tc>
          <w:tcPr>
            <w:tcW w:w="14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24"/>
                <w:szCs w:val="24"/>
                <w:color w:val="auto"/>
              </w:rPr>
            </w:pPr>
          </w:p>
        </w:tc>
      </w:tr>
      <w:tr>
        <w:trPr>
          <w:trHeight w:val="370"/>
        </w:trPr>
        <w:tc>
          <w:tcPr>
            <w:tcW w:w="13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tcPr>
          <w:p>
            <w:pPr>
              <w:spacing w:after="0"/>
              <w:rPr>
                <w:sz w:val="24"/>
                <w:szCs w:val="24"/>
                <w:color w:val="auto"/>
              </w:rPr>
            </w:pPr>
          </w:p>
        </w:tc>
        <w:tc>
          <w:tcPr>
            <w:tcW w:w="7980" w:type="dxa"/>
            <w:vAlign w:val="bottom"/>
            <w:gridSpan w:val="8"/>
          </w:tcPr>
          <w:p>
            <w:pPr>
              <w:spacing w:after="0"/>
              <w:rPr>
                <w:rFonts w:ascii="Times New Roman" w:cs="Times New Roman" w:eastAsia="Times New Roman" w:hAnsi="Times New Roman"/>
                <w:sz w:val="16"/>
                <w:szCs w:val="16"/>
                <w:color w:val="0000EE"/>
              </w:rPr>
            </w:pPr>
            <w:hyperlink r:id="rId72">
              <w:r>
                <w:rPr>
                  <w:rFonts w:ascii="Times New Roman" w:cs="Times New Roman" w:eastAsia="Times New Roman" w:hAnsi="Times New Roman"/>
                  <w:sz w:val="16"/>
                  <w:szCs w:val="16"/>
                  <w:color w:val="0000EE"/>
                </w:rPr>
                <w:t>Description of Capital Stock</w:t>
              </w:r>
            </w:hyperlink>
          </w:p>
        </w:tc>
        <w:tc>
          <w:tcPr>
            <w:tcW w:w="14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24"/>
                <w:szCs w:val="24"/>
                <w:color w:val="auto"/>
              </w:rPr>
            </w:pPr>
          </w:p>
        </w:tc>
      </w:tr>
      <w:tr>
        <w:trPr>
          <w:trHeight w:val="453"/>
        </w:trPr>
        <w:tc>
          <w:tcPr>
            <w:tcW w:w="132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1840" w:type="dxa"/>
            <w:vAlign w:val="bottom"/>
            <w:tcBorders>
              <w:top w:val="single" w:sz="8" w:color="0000EE"/>
            </w:tcBorders>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bl>
    <w:p>
      <w:pPr>
        <w:sectPr>
          <w:pgSz w:w="11900" w:h="16838" w:orient="portrait"/>
          <w:cols w:equalWidth="0" w:num="1">
            <w:col w:w="10960"/>
          </w:cols>
          <w:pgMar w:left="460" w:top="121"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 in</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this Form 10-K</w:t>
            </w:r>
          </w:p>
        </w:tc>
        <w:tc>
          <w:tcPr>
            <w:tcW w:w="2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gridSpan w:val="10"/>
          </w:tcPr>
          <w:p>
            <w:pPr>
              <w:ind w:left="140"/>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22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NOTE</w:t>
            </w:r>
          </w:p>
        </w:tc>
      </w:tr>
      <w:tr>
        <w:trPr>
          <w:trHeight w:val="361"/>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200" w:type="dxa"/>
            <w:vAlign w:val="bottom"/>
          </w:tcPr>
          <w:p>
            <w:pPr>
              <w:spacing w:after="0"/>
              <w:rPr>
                <w:sz w:val="24"/>
                <w:szCs w:val="24"/>
                <w:color w:val="auto"/>
              </w:rPr>
            </w:pPr>
          </w:p>
        </w:tc>
        <w:tc>
          <w:tcPr>
            <w:tcW w:w="7580" w:type="dxa"/>
            <w:vAlign w:val="bottom"/>
            <w:tcBorders>
              <w:bottom w:val="single" w:sz="8" w:color="0000EE"/>
            </w:tcBorders>
            <w:gridSpan w:val="16"/>
          </w:tcPr>
          <w:p>
            <w:pPr>
              <w:spacing w:after="0"/>
              <w:rPr>
                <w:rFonts w:ascii="Times New Roman" w:cs="Times New Roman" w:eastAsia="Times New Roman" w:hAnsi="Times New Roman"/>
                <w:sz w:val="16"/>
                <w:szCs w:val="16"/>
                <w:color w:val="0000EE"/>
              </w:rPr>
            </w:pPr>
            <w:hyperlink r:id="rId73">
              <w:r>
                <w:rPr>
                  <w:rFonts w:ascii="Times New Roman" w:cs="Times New Roman" w:eastAsia="Times New Roman" w:hAnsi="Times New Roman"/>
                  <w:sz w:val="16"/>
                  <w:szCs w:val="16"/>
                  <w:color w:val="0000EE"/>
                </w:rPr>
                <w:t>Settlement Agreement dated as of September 13, 2016, by and among Registrant, Privet Fund LP, Privet Fund</w:t>
              </w:r>
            </w:hyperlink>
          </w:p>
        </w:tc>
        <w:tc>
          <w:tcPr>
            <w:tcW w:w="186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(14)</w:t>
            </w:r>
          </w:p>
        </w:tc>
      </w:tr>
      <w:tr>
        <w:trPr>
          <w:trHeight w:val="183"/>
        </w:trPr>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gridSpan w:val="16"/>
          </w:tcPr>
          <w:p>
            <w:pPr>
              <w:spacing w:after="0" w:line="183" w:lineRule="exact"/>
              <w:rPr>
                <w:rFonts w:ascii="Times New Roman" w:cs="Times New Roman" w:eastAsia="Times New Roman" w:hAnsi="Times New Roman"/>
                <w:sz w:val="16"/>
                <w:szCs w:val="16"/>
                <w:color w:val="0000EE"/>
              </w:rPr>
            </w:pPr>
            <w:hyperlink r:id="rId73">
              <w:r>
                <w:rPr>
                  <w:rFonts w:ascii="Times New Roman" w:cs="Times New Roman" w:eastAsia="Times New Roman" w:hAnsi="Times New Roman"/>
                  <w:sz w:val="16"/>
                  <w:szCs w:val="16"/>
                  <w:color w:val="0000EE"/>
                </w:rPr>
                <w:t>Management LLC, Ryan J. Levenson and General Lance W. Lord</w:t>
              </w:r>
            </w:hyperlink>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8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200" w:type="dxa"/>
            <w:vAlign w:val="bottom"/>
          </w:tcPr>
          <w:p>
            <w:pPr>
              <w:spacing w:after="0"/>
              <w:rPr>
                <w:sz w:val="24"/>
                <w:szCs w:val="24"/>
                <w:color w:val="auto"/>
              </w:rPr>
            </w:pPr>
          </w:p>
        </w:tc>
        <w:tc>
          <w:tcPr>
            <w:tcW w:w="290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6"/>
                <w:szCs w:val="16"/>
                <w:color w:val="0000EE"/>
              </w:rPr>
            </w:pPr>
            <w:hyperlink r:id="rId74">
              <w:r>
                <w:rPr>
                  <w:rFonts w:ascii="Times New Roman" w:cs="Times New Roman" w:eastAsia="Times New Roman" w:hAnsi="Times New Roman"/>
                  <w:sz w:val="16"/>
                  <w:szCs w:val="16"/>
                  <w:color w:val="0000EE"/>
                </w:rPr>
                <w:t>Frequency Electronics, Inc. 2005 Stock Plan</w:t>
              </w:r>
            </w:hyperlink>
          </w:p>
        </w:tc>
        <w:tc>
          <w:tcPr>
            <w:tcW w:w="1360" w:type="dxa"/>
            <w:vAlign w:val="bottom"/>
            <w:tcBorders>
              <w:top w:val="single" w:sz="8" w:color="0000EE"/>
            </w:tcBorders>
            <w:gridSpan w:val="3"/>
          </w:tcPr>
          <w:p>
            <w:pPr>
              <w:spacing w:after="0"/>
              <w:rPr>
                <w:sz w:val="24"/>
                <w:szCs w:val="24"/>
                <w:color w:val="auto"/>
              </w:rPr>
            </w:pPr>
          </w:p>
        </w:tc>
        <w:tc>
          <w:tcPr>
            <w:tcW w:w="3320" w:type="dxa"/>
            <w:vAlign w:val="bottom"/>
            <w:gridSpan w:val="7"/>
          </w:tcPr>
          <w:p>
            <w:pPr>
              <w:spacing w:after="0"/>
              <w:rPr>
                <w:sz w:val="24"/>
                <w:szCs w:val="24"/>
                <w:color w:val="auto"/>
              </w:rPr>
            </w:pPr>
          </w:p>
        </w:tc>
        <w:tc>
          <w:tcPr>
            <w:tcW w:w="186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(16)</w:t>
            </w:r>
          </w:p>
        </w:tc>
      </w:tr>
      <w:tr>
        <w:trPr>
          <w:trHeight w:val="38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200" w:type="dxa"/>
            <w:vAlign w:val="bottom"/>
          </w:tcPr>
          <w:p>
            <w:pPr>
              <w:spacing w:after="0"/>
              <w:rPr>
                <w:sz w:val="24"/>
                <w:szCs w:val="24"/>
                <w:color w:val="auto"/>
              </w:rPr>
            </w:pPr>
          </w:p>
        </w:tc>
        <w:tc>
          <w:tcPr>
            <w:tcW w:w="6560" w:type="dxa"/>
            <w:vAlign w:val="bottom"/>
            <w:tcBorders>
              <w:bottom w:val="single" w:sz="8" w:color="0000EE"/>
            </w:tcBorders>
            <w:gridSpan w:val="12"/>
          </w:tcPr>
          <w:p>
            <w:pPr>
              <w:spacing w:after="0"/>
              <w:rPr>
                <w:rFonts w:ascii="Times New Roman" w:cs="Times New Roman" w:eastAsia="Times New Roman" w:hAnsi="Times New Roman"/>
                <w:sz w:val="16"/>
                <w:szCs w:val="16"/>
                <w:color w:val="0000EE"/>
              </w:rPr>
            </w:pPr>
            <w:hyperlink r:id="rId75">
              <w:r>
                <w:rPr>
                  <w:rFonts w:ascii="Times New Roman" w:cs="Times New Roman" w:eastAsia="Times New Roman" w:hAnsi="Times New Roman"/>
                  <w:sz w:val="16"/>
                  <w:szCs w:val="16"/>
                  <w:color w:val="0000EE"/>
                </w:rPr>
                <w:t>Lease Agreement between Registrant and Reckson Operating Partnership, L.P. dated January 6, 1998</w:t>
              </w:r>
            </w:hyperlink>
          </w:p>
        </w:tc>
        <w:tc>
          <w:tcPr>
            <w:tcW w:w="1020" w:type="dxa"/>
            <w:vAlign w:val="bottom"/>
            <w:gridSpan w:val="4"/>
          </w:tcPr>
          <w:p>
            <w:pPr>
              <w:spacing w:after="0"/>
              <w:rPr>
                <w:sz w:val="24"/>
                <w:szCs w:val="24"/>
                <w:color w:val="auto"/>
              </w:rPr>
            </w:pPr>
          </w:p>
        </w:tc>
        <w:tc>
          <w:tcPr>
            <w:tcW w:w="186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(15)</w:t>
            </w:r>
          </w:p>
        </w:tc>
      </w:tr>
      <w:tr>
        <w:trPr>
          <w:trHeight w:val="38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200" w:type="dxa"/>
            <w:vAlign w:val="bottom"/>
          </w:tcPr>
          <w:p>
            <w:pPr>
              <w:spacing w:after="0"/>
              <w:rPr>
                <w:sz w:val="24"/>
                <w:szCs w:val="24"/>
                <w:color w:val="auto"/>
              </w:rPr>
            </w:pPr>
          </w:p>
        </w:tc>
        <w:tc>
          <w:tcPr>
            <w:tcW w:w="7580" w:type="dxa"/>
            <w:vAlign w:val="bottom"/>
            <w:tcBorders>
              <w:bottom w:val="single" w:sz="8" w:color="0000EE"/>
            </w:tcBorders>
            <w:gridSpan w:val="16"/>
          </w:tcPr>
          <w:p>
            <w:pPr>
              <w:spacing w:after="0"/>
              <w:rPr>
                <w:rFonts w:ascii="Times New Roman" w:cs="Times New Roman" w:eastAsia="Times New Roman" w:hAnsi="Times New Roman"/>
                <w:sz w:val="16"/>
                <w:szCs w:val="16"/>
                <w:color w:val="0000EE"/>
              </w:rPr>
            </w:pPr>
            <w:hyperlink r:id="rId76">
              <w:r>
                <w:rPr>
                  <w:rFonts w:ascii="Times New Roman" w:cs="Times New Roman" w:eastAsia="Times New Roman" w:hAnsi="Times New Roman"/>
                  <w:sz w:val="16"/>
                  <w:szCs w:val="16"/>
                  <w:color w:val="0000EE"/>
                </w:rPr>
                <w:t>First Amendment to Lease Amendment between Registrant and RA 55 CLB LLC (as successor-in-interest to</w:t>
              </w:r>
            </w:hyperlink>
          </w:p>
        </w:tc>
        <w:tc>
          <w:tcPr>
            <w:tcW w:w="186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(17)</w:t>
            </w:r>
          </w:p>
        </w:tc>
      </w:tr>
      <w:tr>
        <w:trPr>
          <w:trHeight w:val="183"/>
        </w:trPr>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gridSpan w:val="16"/>
          </w:tcPr>
          <w:p>
            <w:pPr>
              <w:spacing w:after="0" w:line="183" w:lineRule="exact"/>
              <w:rPr>
                <w:rFonts w:ascii="Times New Roman" w:cs="Times New Roman" w:eastAsia="Times New Roman" w:hAnsi="Times New Roman"/>
                <w:sz w:val="16"/>
                <w:szCs w:val="16"/>
                <w:color w:val="0000EE"/>
              </w:rPr>
            </w:pPr>
            <w:hyperlink r:id="rId76">
              <w:r>
                <w:rPr>
                  <w:rFonts w:ascii="Times New Roman" w:cs="Times New Roman" w:eastAsia="Times New Roman" w:hAnsi="Times New Roman"/>
                  <w:sz w:val="16"/>
                  <w:szCs w:val="16"/>
                  <w:color w:val="0000EE"/>
                </w:rPr>
                <w:t>Reckson Operating Partnership, L.P.) dated July 25, 2018</w:t>
              </w:r>
            </w:hyperlink>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412"/>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200" w:type="dxa"/>
            <w:vAlign w:val="bottom"/>
          </w:tcPr>
          <w:p>
            <w:pPr>
              <w:spacing w:after="0"/>
              <w:rPr>
                <w:sz w:val="24"/>
                <w:szCs w:val="24"/>
                <w:color w:val="auto"/>
              </w:rPr>
            </w:pPr>
          </w:p>
        </w:tc>
        <w:tc>
          <w:tcPr>
            <w:tcW w:w="75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Registrant’s Cash or Deferral Profit Sharing Plan and Trust under Internal Revenue Code Section 401, dated April 1,</w:t>
            </w:r>
          </w:p>
        </w:tc>
        <w:tc>
          <w:tcPr>
            <w:tcW w:w="186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(6)</w:t>
            </w:r>
          </w:p>
        </w:tc>
      </w:tr>
      <w:tr>
        <w:trPr>
          <w:trHeight w:val="210"/>
        </w:trPr>
        <w:tc>
          <w:tcPr>
            <w:tcW w:w="1320" w:type="dxa"/>
            <w:vAlign w:val="bottom"/>
          </w:tcPr>
          <w:p>
            <w:pPr>
              <w:spacing w:after="0"/>
              <w:rPr>
                <w:sz w:val="18"/>
                <w:szCs w:val="18"/>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1985</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97"/>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200" w:type="dxa"/>
            <w:vAlign w:val="bottom"/>
          </w:tcPr>
          <w:p>
            <w:pPr>
              <w:spacing w:after="0"/>
              <w:rPr>
                <w:sz w:val="24"/>
                <w:szCs w:val="24"/>
                <w:color w:val="auto"/>
              </w:rPr>
            </w:pPr>
          </w:p>
        </w:tc>
        <w:tc>
          <w:tcPr>
            <w:tcW w:w="75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Amendment dated Jan. 1, 1988 to Registrant’s Cash or Deferred Profit Sharing Plan and Trust under Section 401 of</w:t>
            </w:r>
          </w:p>
        </w:tc>
        <w:tc>
          <w:tcPr>
            <w:tcW w:w="186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(8)</w:t>
            </w:r>
          </w:p>
        </w:tc>
      </w:tr>
      <w:tr>
        <w:trPr>
          <w:trHeight w:val="210"/>
        </w:trPr>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Internal Revenue Code</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70"/>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200" w:type="dxa"/>
            <w:vAlign w:val="bottom"/>
          </w:tcPr>
          <w:p>
            <w:pPr>
              <w:spacing w:after="0"/>
              <w:rPr>
                <w:sz w:val="24"/>
                <w:szCs w:val="24"/>
                <w:color w:val="auto"/>
              </w:rPr>
            </w:pPr>
          </w:p>
        </w:tc>
        <w:tc>
          <w:tcPr>
            <w:tcW w:w="7580" w:type="dxa"/>
            <w:vAlign w:val="bottom"/>
            <w:gridSpan w:val="16"/>
          </w:tcPr>
          <w:p>
            <w:pPr>
              <w:spacing w:after="0"/>
              <w:rPr>
                <w:rFonts w:ascii="Times New Roman" w:cs="Times New Roman" w:eastAsia="Times New Roman" w:hAnsi="Times New Roman"/>
                <w:sz w:val="16"/>
                <w:szCs w:val="16"/>
                <w:color w:val="0000EE"/>
              </w:rPr>
            </w:pPr>
            <w:hyperlink r:id="rId77">
              <w:r>
                <w:rPr>
                  <w:rFonts w:ascii="Times New Roman" w:cs="Times New Roman" w:eastAsia="Times New Roman" w:hAnsi="Times New Roman"/>
                  <w:sz w:val="16"/>
                  <w:szCs w:val="16"/>
                  <w:color w:val="0000EE"/>
                </w:rPr>
                <w:t>Form of Deferred Compensation Agreement</w:t>
              </w:r>
            </w:hyperlink>
          </w:p>
        </w:tc>
        <w:tc>
          <w:tcPr>
            <w:tcW w:w="186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(18)</w:t>
            </w: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38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200" w:type="dxa"/>
            <w:vAlign w:val="bottom"/>
          </w:tcPr>
          <w:p>
            <w:pPr>
              <w:spacing w:after="0"/>
              <w:rPr>
                <w:sz w:val="24"/>
                <w:szCs w:val="24"/>
                <w:color w:val="auto"/>
              </w:rPr>
            </w:pPr>
          </w:p>
        </w:tc>
        <w:tc>
          <w:tcPr>
            <w:tcW w:w="3060" w:type="dxa"/>
            <w:vAlign w:val="bottom"/>
            <w:tcBorders>
              <w:bottom w:val="single" w:sz="8" w:color="0000EE"/>
            </w:tcBorders>
            <w:gridSpan w:val="7"/>
          </w:tcPr>
          <w:p>
            <w:pPr>
              <w:spacing w:after="0"/>
              <w:rPr>
                <w:rFonts w:ascii="Times New Roman" w:cs="Times New Roman" w:eastAsia="Times New Roman" w:hAnsi="Times New Roman"/>
                <w:sz w:val="16"/>
                <w:szCs w:val="16"/>
                <w:color w:val="0000EE"/>
              </w:rPr>
            </w:pPr>
            <w:hyperlink r:id="rId78">
              <w:r>
                <w:rPr>
                  <w:rFonts w:ascii="Times New Roman" w:cs="Times New Roman" w:eastAsia="Times New Roman" w:hAnsi="Times New Roman"/>
                  <w:sz w:val="16"/>
                  <w:szCs w:val="16"/>
                  <w:color w:val="0000EE"/>
                </w:rPr>
                <w:t>Form of Stock Appreciation Rights Agreement</w:t>
              </w:r>
            </w:hyperlink>
          </w:p>
        </w:tc>
        <w:tc>
          <w:tcPr>
            <w:tcW w:w="4520" w:type="dxa"/>
            <w:vAlign w:val="bottom"/>
            <w:gridSpan w:val="9"/>
          </w:tcPr>
          <w:p>
            <w:pPr>
              <w:spacing w:after="0"/>
              <w:rPr>
                <w:sz w:val="24"/>
                <w:szCs w:val="24"/>
                <w:color w:val="auto"/>
              </w:rPr>
            </w:pPr>
          </w:p>
        </w:tc>
        <w:tc>
          <w:tcPr>
            <w:tcW w:w="186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(19)</w:t>
            </w:r>
          </w:p>
        </w:tc>
      </w:tr>
      <w:tr>
        <w:trPr>
          <w:trHeight w:val="38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200" w:type="dxa"/>
            <w:vAlign w:val="bottom"/>
          </w:tcPr>
          <w:p>
            <w:pPr>
              <w:spacing w:after="0"/>
              <w:rPr>
                <w:sz w:val="24"/>
                <w:szCs w:val="24"/>
                <w:color w:val="auto"/>
              </w:rPr>
            </w:pPr>
          </w:p>
        </w:tc>
        <w:tc>
          <w:tcPr>
            <w:tcW w:w="628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rPr>
            </w:pPr>
            <w:hyperlink r:id="rId79">
              <w:r>
                <w:rPr>
                  <w:rFonts w:ascii="Times New Roman" w:cs="Times New Roman" w:eastAsia="Times New Roman" w:hAnsi="Times New Roman"/>
                  <w:sz w:val="16"/>
                  <w:szCs w:val="16"/>
                  <w:color w:val="0000EE"/>
                </w:rPr>
                <w:t>Employment Agreement effective as of May 1, 2018, between Stanton Sloane and the Registrant</w:t>
              </w:r>
            </w:hyperlink>
          </w:p>
        </w:tc>
        <w:tc>
          <w:tcPr>
            <w:tcW w:w="1300" w:type="dxa"/>
            <w:vAlign w:val="bottom"/>
            <w:gridSpan w:val="6"/>
          </w:tcPr>
          <w:p>
            <w:pPr>
              <w:spacing w:after="0"/>
              <w:rPr>
                <w:sz w:val="24"/>
                <w:szCs w:val="24"/>
                <w:color w:val="auto"/>
              </w:rPr>
            </w:pPr>
          </w:p>
        </w:tc>
        <w:tc>
          <w:tcPr>
            <w:tcW w:w="186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(21)</w:t>
            </w:r>
          </w:p>
        </w:tc>
      </w:tr>
      <w:tr>
        <w:trPr>
          <w:trHeight w:val="38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10.10</w:t>
            </w:r>
          </w:p>
        </w:tc>
        <w:tc>
          <w:tcPr>
            <w:tcW w:w="200" w:type="dxa"/>
            <w:vAlign w:val="bottom"/>
          </w:tcPr>
          <w:p>
            <w:pPr>
              <w:spacing w:after="0"/>
              <w:rPr>
                <w:sz w:val="24"/>
                <w:szCs w:val="24"/>
                <w:color w:val="auto"/>
              </w:rPr>
            </w:pPr>
          </w:p>
        </w:tc>
        <w:tc>
          <w:tcPr>
            <w:tcW w:w="7580" w:type="dxa"/>
            <w:vAlign w:val="bottom"/>
            <w:gridSpan w:val="16"/>
          </w:tcPr>
          <w:p>
            <w:pPr>
              <w:spacing w:after="0"/>
              <w:rPr>
                <w:rFonts w:ascii="Times New Roman" w:cs="Times New Roman" w:eastAsia="Times New Roman" w:hAnsi="Times New Roman"/>
                <w:sz w:val="16"/>
                <w:szCs w:val="16"/>
                <w:color w:val="0000EE"/>
              </w:rPr>
            </w:pPr>
            <w:hyperlink r:id="rId80">
              <w:r>
                <w:rPr>
                  <w:rFonts w:ascii="Times New Roman" w:cs="Times New Roman" w:eastAsia="Times New Roman" w:hAnsi="Times New Roman"/>
                  <w:sz w:val="16"/>
                  <w:szCs w:val="16"/>
                  <w:color w:val="0000EE"/>
                </w:rPr>
                <w:t>Promissory Note, dated April 12, 2020, by and between Registrant and JPMorgan Chase Bank, N.A.</w:t>
              </w:r>
            </w:hyperlink>
          </w:p>
        </w:tc>
        <w:tc>
          <w:tcPr>
            <w:tcW w:w="186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(23)</w:t>
            </w: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360" w:type="dxa"/>
            <w:vAlign w:val="bottom"/>
            <w:gridSpan w:val="7"/>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38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10.11*</w:t>
            </w:r>
          </w:p>
        </w:tc>
        <w:tc>
          <w:tcPr>
            <w:tcW w:w="200" w:type="dxa"/>
            <w:vAlign w:val="bottom"/>
          </w:tcPr>
          <w:p>
            <w:pPr>
              <w:spacing w:after="0"/>
              <w:rPr>
                <w:sz w:val="24"/>
                <w:szCs w:val="24"/>
                <w:color w:val="auto"/>
              </w:rPr>
            </w:pPr>
          </w:p>
        </w:tc>
        <w:tc>
          <w:tcPr>
            <w:tcW w:w="7580" w:type="dxa"/>
            <w:vAlign w:val="bottom"/>
            <w:tcBorders>
              <w:bottom w:val="single" w:sz="8" w:color="0000EE"/>
            </w:tcBorders>
            <w:gridSpan w:val="16"/>
          </w:tcPr>
          <w:p>
            <w:pPr>
              <w:spacing w:after="0"/>
              <w:rPr>
                <w:rFonts w:ascii="Times New Roman" w:cs="Times New Roman" w:eastAsia="Times New Roman" w:hAnsi="Times New Roman"/>
                <w:sz w:val="16"/>
                <w:szCs w:val="16"/>
                <w:color w:val="0000EE"/>
              </w:rPr>
            </w:pPr>
            <w:hyperlink r:id="rId81">
              <w:r>
                <w:rPr>
                  <w:rFonts w:ascii="Times New Roman" w:cs="Times New Roman" w:eastAsia="Times New Roman" w:hAnsi="Times New Roman"/>
                  <w:sz w:val="16"/>
                  <w:szCs w:val="16"/>
                  <w:color w:val="0000EE"/>
                </w:rPr>
                <w:t>Settlement and Release Agreement, dated September 21, 2021, by and among Martin B. Bloch, Tatiana Bloch, Anna</w:t>
              </w:r>
            </w:hyperlink>
          </w:p>
        </w:tc>
        <w:tc>
          <w:tcPr>
            <w:tcW w:w="1860" w:type="dxa"/>
            <w:vAlign w:val="bottom"/>
            <w:gridSpan w:val="2"/>
          </w:tcPr>
          <w:p>
            <w:pPr>
              <w:jc w:val="center"/>
              <w:ind w:left="139"/>
              <w:spacing w:after="0"/>
              <w:rPr>
                <w:sz w:val="20"/>
                <w:szCs w:val="20"/>
                <w:color w:val="auto"/>
              </w:rPr>
            </w:pPr>
            <w:r>
              <w:rPr>
                <w:rFonts w:ascii="Times New Roman" w:cs="Times New Roman" w:eastAsia="Times New Roman" w:hAnsi="Times New Roman"/>
                <w:sz w:val="16"/>
                <w:szCs w:val="16"/>
                <w:color w:val="auto"/>
              </w:rPr>
              <w:t>(25)</w:t>
            </w:r>
          </w:p>
        </w:tc>
      </w:tr>
      <w:tr>
        <w:trPr>
          <w:trHeight w:val="183"/>
        </w:trPr>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gridSpan w:val="16"/>
          </w:tcPr>
          <w:p>
            <w:pPr>
              <w:spacing w:after="0" w:line="183" w:lineRule="exact"/>
              <w:rPr>
                <w:rFonts w:ascii="Times New Roman" w:cs="Times New Roman" w:eastAsia="Times New Roman" w:hAnsi="Times New Roman"/>
                <w:sz w:val="16"/>
                <w:szCs w:val="16"/>
                <w:color w:val="0000EE"/>
              </w:rPr>
            </w:pPr>
            <w:hyperlink r:id="rId81">
              <w:r>
                <w:rPr>
                  <w:rFonts w:ascii="Times New Roman" w:cs="Times New Roman" w:eastAsia="Times New Roman" w:hAnsi="Times New Roman"/>
                  <w:sz w:val="16"/>
                  <w:szCs w:val="16"/>
                  <w:color w:val="0000EE"/>
                </w:rPr>
                <w:t>Sophia Bloch, a minor, by her guardian Martin B. Bloch, Anna Kochurova, Valery Kacharau, Jerry Bloch, Helen</w:t>
              </w:r>
            </w:hyperlink>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500" w:type="dxa"/>
            <w:vAlign w:val="bottom"/>
            <w:gridSpan w:val="9"/>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83"/>
        </w:trPr>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tcBorders>
              <w:bottom w:val="single" w:sz="8" w:color="0000EE"/>
            </w:tcBorders>
            <w:gridSpan w:val="16"/>
          </w:tcPr>
          <w:p>
            <w:pPr>
              <w:spacing w:after="0" w:line="183" w:lineRule="exact"/>
              <w:rPr>
                <w:rFonts w:ascii="Times New Roman" w:cs="Times New Roman" w:eastAsia="Times New Roman" w:hAnsi="Times New Roman"/>
                <w:sz w:val="16"/>
                <w:szCs w:val="16"/>
                <w:color w:val="0000EE"/>
              </w:rPr>
            </w:pPr>
            <w:hyperlink r:id="rId81">
              <w:r>
                <w:rPr>
                  <w:rFonts w:ascii="Times New Roman" w:cs="Times New Roman" w:eastAsia="Times New Roman" w:hAnsi="Times New Roman"/>
                  <w:sz w:val="16"/>
                  <w:szCs w:val="16"/>
                  <w:color w:val="0000EE"/>
                </w:rPr>
                <w:t>Bloch, Marlon Bishop, Chloe Bishop, Megan Wylie, the Company, the Compensation Committee of the Board of</w:t>
              </w:r>
            </w:hyperlink>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tcBorders>
              <w:bottom w:val="single" w:sz="8" w:color="0000EE"/>
            </w:tcBorders>
            <w:gridSpan w:val="16"/>
          </w:tcPr>
          <w:p>
            <w:pPr>
              <w:spacing w:after="0" w:line="183" w:lineRule="exact"/>
              <w:rPr>
                <w:rFonts w:ascii="Times New Roman" w:cs="Times New Roman" w:eastAsia="Times New Roman" w:hAnsi="Times New Roman"/>
                <w:sz w:val="16"/>
                <w:szCs w:val="16"/>
                <w:color w:val="0000EE"/>
              </w:rPr>
            </w:pPr>
            <w:hyperlink r:id="rId81">
              <w:r>
                <w:rPr>
                  <w:rFonts w:ascii="Times New Roman" w:cs="Times New Roman" w:eastAsia="Times New Roman" w:hAnsi="Times New Roman"/>
                  <w:sz w:val="16"/>
                  <w:szCs w:val="16"/>
                  <w:color w:val="0000EE"/>
                </w:rPr>
                <w:t>Directors of the Company, Dr. Stanton D. Sloane, Richard Schwartz, Gen. Lance W. Lord, USAF (ret.), Jonathan</w:t>
              </w:r>
            </w:hyperlink>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tcBorders>
              <w:bottom w:val="single" w:sz="8" w:color="0000EE"/>
            </w:tcBorders>
            <w:gridSpan w:val="3"/>
          </w:tcPr>
          <w:p>
            <w:pPr>
              <w:spacing w:after="0" w:line="183" w:lineRule="exact"/>
              <w:rPr>
                <w:rFonts w:ascii="Times New Roman" w:cs="Times New Roman" w:eastAsia="Times New Roman" w:hAnsi="Times New Roman"/>
                <w:sz w:val="16"/>
                <w:szCs w:val="16"/>
                <w:color w:val="0000EE"/>
              </w:rPr>
            </w:pPr>
            <w:hyperlink r:id="rId81">
              <w:r>
                <w:rPr>
                  <w:rFonts w:ascii="Times New Roman" w:cs="Times New Roman" w:eastAsia="Times New Roman" w:hAnsi="Times New Roman"/>
                  <w:sz w:val="16"/>
                  <w:szCs w:val="16"/>
                  <w:color w:val="0000EE"/>
                </w:rPr>
                <w:t>Brolin, and Russell M. Sarachek</w:t>
              </w:r>
            </w:hyperlink>
          </w:p>
        </w:tc>
        <w:tc>
          <w:tcPr>
            <w:tcW w:w="5460" w:type="dxa"/>
            <w:vAlign w:val="bottom"/>
            <w:gridSpan w:val="13"/>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38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200" w:type="dxa"/>
            <w:vAlign w:val="bottom"/>
          </w:tcPr>
          <w:p>
            <w:pPr>
              <w:spacing w:after="0"/>
              <w:rPr>
                <w:sz w:val="24"/>
                <w:szCs w:val="24"/>
                <w:color w:val="auto"/>
              </w:rPr>
            </w:pPr>
          </w:p>
        </w:tc>
        <w:tc>
          <w:tcPr>
            <w:tcW w:w="21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List of Subsidiaries of Registrant</w:t>
            </w:r>
          </w:p>
        </w:tc>
        <w:tc>
          <w:tcPr>
            <w:tcW w:w="5420" w:type="dxa"/>
            <w:vAlign w:val="bottom"/>
            <w:gridSpan w:val="12"/>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Filed herewith</w:t>
            </w:r>
          </w:p>
        </w:tc>
      </w:tr>
      <w:tr>
        <w:trPr>
          <w:trHeight w:val="38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23.1</w:t>
            </w:r>
          </w:p>
        </w:tc>
        <w:tc>
          <w:tcPr>
            <w:tcW w:w="200" w:type="dxa"/>
            <w:vAlign w:val="bottom"/>
          </w:tcPr>
          <w:p>
            <w:pPr>
              <w:spacing w:after="0"/>
              <w:rPr>
                <w:sz w:val="24"/>
                <w:szCs w:val="24"/>
                <w:color w:val="auto"/>
              </w:rPr>
            </w:pPr>
          </w:p>
        </w:tc>
        <w:tc>
          <w:tcPr>
            <w:tcW w:w="18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rPr>
              <w:t>Consent of BDO USA, LLP</w:t>
            </w:r>
          </w:p>
        </w:tc>
        <w:tc>
          <w:tcPr>
            <w:tcW w:w="5740" w:type="dxa"/>
            <w:vAlign w:val="bottom"/>
            <w:gridSpan w:val="14"/>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Filed herewith</w:t>
            </w:r>
          </w:p>
        </w:tc>
      </w:tr>
      <w:tr>
        <w:trPr>
          <w:trHeight w:val="38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200" w:type="dxa"/>
            <w:vAlign w:val="bottom"/>
          </w:tcPr>
          <w:p>
            <w:pPr>
              <w:spacing w:after="0"/>
              <w:rPr>
                <w:sz w:val="24"/>
                <w:szCs w:val="24"/>
                <w:color w:val="auto"/>
              </w:rPr>
            </w:pPr>
          </w:p>
        </w:tc>
        <w:tc>
          <w:tcPr>
            <w:tcW w:w="67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0000EE"/>
              </w:rPr>
              <w:t>Certification of the Chief Executive Officer pursuant to Section 302 of the Sarbanes-Oxley Act of 2002</w:t>
            </w:r>
          </w:p>
        </w:tc>
        <w:tc>
          <w:tcPr>
            <w:tcW w:w="8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Filed herewith</w:t>
            </w:r>
          </w:p>
        </w:tc>
      </w:tr>
      <w:tr>
        <w:trPr>
          <w:trHeight w:val="38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200" w:type="dxa"/>
            <w:vAlign w:val="bottom"/>
          </w:tcPr>
          <w:p>
            <w:pPr>
              <w:spacing w:after="0"/>
              <w:rPr>
                <w:sz w:val="24"/>
                <w:szCs w:val="24"/>
                <w:color w:val="auto"/>
              </w:rPr>
            </w:pPr>
          </w:p>
        </w:tc>
        <w:tc>
          <w:tcPr>
            <w:tcW w:w="7580" w:type="dxa"/>
            <w:vAlign w:val="bottom"/>
            <w:gridSpan w:val="16"/>
          </w:tcPr>
          <w:p>
            <w:pPr>
              <w:spacing w:after="0"/>
              <w:rPr>
                <w:sz w:val="20"/>
                <w:szCs w:val="20"/>
                <w:color w:val="auto"/>
              </w:rPr>
            </w:pPr>
            <w:r>
              <w:rPr>
                <w:rFonts w:ascii="Times New Roman" w:cs="Times New Roman" w:eastAsia="Times New Roman" w:hAnsi="Times New Roman"/>
                <w:sz w:val="16"/>
                <w:szCs w:val="16"/>
                <w:color w:val="0000EE"/>
              </w:rPr>
              <w:t>Certification of the Chief Financial Officer pursuant to Section 302 of the Sarbanes-Oxley Act of 2002</w:t>
            </w:r>
          </w:p>
        </w:tc>
        <w:tc>
          <w:tcPr>
            <w:tcW w:w="2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Filed herewith</w:t>
            </w: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440" w:type="dxa"/>
            <w:vAlign w:val="bottom"/>
            <w:gridSpan w:val="12"/>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85"/>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200" w:type="dxa"/>
            <w:vAlign w:val="bottom"/>
          </w:tcPr>
          <w:p>
            <w:pPr>
              <w:spacing w:after="0"/>
              <w:rPr>
                <w:sz w:val="24"/>
                <w:szCs w:val="24"/>
                <w:color w:val="auto"/>
              </w:rPr>
            </w:pPr>
          </w:p>
        </w:tc>
        <w:tc>
          <w:tcPr>
            <w:tcW w:w="75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6"/>
                <w:szCs w:val="16"/>
                <w:color w:val="0000EE"/>
              </w:rPr>
              <w:t>Certifications of the Chief Executive Officer and Chief Financial Officer pursuant to Section 906 of the Sarbanes-</w:t>
            </w:r>
          </w:p>
        </w:tc>
        <w:tc>
          <w:tcPr>
            <w:tcW w:w="2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Filed herewith</w:t>
            </w:r>
          </w:p>
        </w:tc>
      </w:tr>
      <w:tr>
        <w:trPr>
          <w:trHeight w:val="183"/>
        </w:trPr>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bottom w:val="single" w:sz="8" w:color="0000EE"/>
            </w:tcBorders>
          </w:tcPr>
          <w:p>
            <w:pPr>
              <w:spacing w:after="0" w:line="183" w:lineRule="exact"/>
              <w:rPr>
                <w:sz w:val="20"/>
                <w:szCs w:val="20"/>
                <w:color w:val="auto"/>
              </w:rPr>
            </w:pPr>
            <w:r>
              <w:rPr>
                <w:rFonts w:ascii="Times New Roman" w:cs="Times New Roman" w:eastAsia="Times New Roman" w:hAnsi="Times New Roman"/>
                <w:sz w:val="16"/>
                <w:szCs w:val="16"/>
                <w:color w:val="0000EE"/>
              </w:rPr>
              <w:t>Oxley Act of 2002</w:t>
            </w:r>
          </w:p>
        </w:tc>
        <w:tc>
          <w:tcPr>
            <w:tcW w:w="6360" w:type="dxa"/>
            <w:vAlign w:val="bottom"/>
            <w:gridSpan w:val="15"/>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r>
    </w:tbl>
    <w:p>
      <w:pPr>
        <w:spacing w:after="0" w:line="216" w:lineRule="exact"/>
        <w:rPr>
          <w:sz w:val="20"/>
          <w:szCs w:val="20"/>
          <w:color w:val="auto"/>
        </w:rPr>
      </w:pPr>
    </w:p>
    <w:p>
      <w:pPr>
        <w:jc w:val="both"/>
        <w:ind w:left="1520" w:right="1860" w:hanging="984"/>
        <w:spacing w:after="0" w:line="272" w:lineRule="auto"/>
        <w:tabs>
          <w:tab w:leader="none" w:pos="15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materials from the Frequency Electronics, Inc. Annual Report on Form 10-K for the fiscal year ended April 30, 2022 formatted in Inline eXtensible Business Reporting Language (XBRL): (i) Consolidated Balance Sheets, (ii) Consolidated Statements of Operations and Comprehensive Income (loss), (iii) Consolidated Statements of Cash Flows, (iv) Consolidated Statements of Changes in Stockholders’ Equity and (v) Notes to Consolidated Financial Statements</w:t>
      </w:r>
    </w:p>
    <w:p>
      <w:pPr>
        <w:spacing w:after="0" w:line="172" w:lineRule="exact"/>
        <w:rPr>
          <w:sz w:val="20"/>
          <w:szCs w:val="20"/>
          <w:color w:val="auto"/>
        </w:rPr>
      </w:pPr>
    </w:p>
    <w:p>
      <w:pPr>
        <w:ind w:left="1520" w:hanging="984"/>
        <w:spacing w:after="0"/>
        <w:tabs>
          <w:tab w:leader="none" w:pos="15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Interaction Data File (formatted as inline XBRL and contained in Exhibit 101)</w:t>
      </w:r>
    </w:p>
    <w:p>
      <w:pPr>
        <w:spacing w:after="0" w:line="230" w:lineRule="exact"/>
        <w:rPr>
          <w:rFonts w:ascii="Times New Roman" w:cs="Times New Roman" w:eastAsia="Times New Roman" w:hAnsi="Times New Roman"/>
          <w:sz w:val="16"/>
          <w:szCs w:val="16"/>
          <w:color w:val="auto"/>
        </w:rPr>
      </w:pPr>
    </w:p>
    <w:p>
      <w:pPr>
        <w:ind w:left="54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54" w:name="page55"/>
    <w:bookmarkEnd w:id="54"/>
    <w:p>
      <w:pPr>
        <w:ind w:left="2"/>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42" w:hanging="142"/>
        <w:spacing w:after="0"/>
        <w:tabs>
          <w:tab w:leader="none" w:pos="14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Denoted compensatory plans or arrangements or management contracts</w:t>
      </w:r>
    </w:p>
    <w:p>
      <w:pPr>
        <w:spacing w:after="0" w:line="225" w:lineRule="exact"/>
        <w:rPr>
          <w:rFonts w:ascii="Times New Roman" w:cs="Times New Roman" w:eastAsia="Times New Roman" w:hAnsi="Times New Roman"/>
          <w:sz w:val="18"/>
          <w:szCs w:val="18"/>
          <w:color w:val="auto"/>
        </w:rPr>
      </w:pPr>
    </w:p>
    <w:p>
      <w:pPr>
        <w:ind w:left="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w:t>
      </w:r>
    </w:p>
    <w:p>
      <w:pPr>
        <w:spacing w:after="0" w:line="229" w:lineRule="exact"/>
        <w:rPr>
          <w:rFonts w:ascii="Times New Roman" w:cs="Times New Roman" w:eastAsia="Times New Roman" w:hAnsi="Times New Roman"/>
          <w:sz w:val="18"/>
          <w:szCs w:val="18"/>
          <w:color w:val="auto"/>
        </w:rPr>
      </w:pPr>
    </w:p>
    <w:p>
      <w:pPr>
        <w:ind w:left="1482" w:hanging="640"/>
        <w:spacing w:after="0" w:line="269"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an exhibit, numbered as indicated above, to the registration statement of Registrant on Form S-1, File No. 2-29609, which exhibit is incorporated herein by reference.</w:t>
      </w:r>
    </w:p>
    <w:p>
      <w:pPr>
        <w:ind w:left="1482" w:hanging="640"/>
        <w:spacing w:after="0" w:line="264"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Exhibit 3.2 to the registration statement of Registrant on Form S-1, File No. 2-71727, which exhibit is incorporated herein by reference.</w:t>
      </w:r>
    </w:p>
    <w:p>
      <w:pPr>
        <w:ind w:left="1482" w:hanging="640"/>
        <w:spacing w:after="0"/>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[Intentionally Omitted]</w:t>
      </w:r>
    </w:p>
    <w:p>
      <w:pPr>
        <w:spacing w:after="0" w:line="18" w:lineRule="exact"/>
        <w:rPr>
          <w:rFonts w:ascii="Times New Roman" w:cs="Times New Roman" w:eastAsia="Times New Roman" w:hAnsi="Times New Roman"/>
          <w:sz w:val="16"/>
          <w:szCs w:val="16"/>
          <w:color w:val="auto"/>
        </w:rPr>
      </w:pPr>
    </w:p>
    <w:p>
      <w:pPr>
        <w:ind w:left="1482" w:hanging="640"/>
        <w:spacing w:after="0"/>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[Intentionally Omitted]</w:t>
      </w:r>
    </w:p>
    <w:p>
      <w:pPr>
        <w:spacing w:after="0" w:line="18" w:lineRule="exact"/>
        <w:rPr>
          <w:rFonts w:ascii="Times New Roman" w:cs="Times New Roman" w:eastAsia="Times New Roman" w:hAnsi="Times New Roman"/>
          <w:sz w:val="16"/>
          <w:szCs w:val="16"/>
          <w:color w:val="auto"/>
        </w:rPr>
      </w:pPr>
    </w:p>
    <w:p>
      <w:pPr>
        <w:ind w:left="1482" w:hanging="640"/>
        <w:spacing w:after="0" w:line="264"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Exhibit 3.3 to the annual report of Registrant on Form 10-K, File No. 1-8061, for the year ended April 30, 1985, which exhibit is incorporated herein by reference.</w:t>
      </w:r>
    </w:p>
    <w:p>
      <w:pPr>
        <w:ind w:left="1482" w:hanging="640"/>
        <w:spacing w:after="0" w:line="264"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Exhibit 10.16 to the annual report of Registrant on Form 10-K, File No. 1-8061, for the year ended April 30, 1986, which exhibit is incorporated herein by reference.</w:t>
      </w:r>
    </w:p>
    <w:p>
      <w:pPr>
        <w:ind w:left="1482" w:hanging="640"/>
        <w:spacing w:after="0" w:line="264"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Exhibit 3.4 to the annual report of Registrant on Form 10-K, File No. 1-8061, for the year ended April 30, 1987, which exhibit is incorporated herein by reference.</w:t>
      </w:r>
    </w:p>
    <w:p>
      <w:pPr>
        <w:ind w:left="1482" w:hanging="640"/>
        <w:spacing w:after="0" w:line="264"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Exhibit 10.24 to the annual report of Registrant on Form 10-K, File No. 1-8061, for the year ended April 30, 1989, which exhibit is incorporated herein by reference.</w:t>
      </w:r>
    </w:p>
    <w:p>
      <w:pPr>
        <w:ind w:left="1482" w:hanging="640"/>
        <w:spacing w:after="0" w:line="264"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an exhibit, numbered as indicated above, to the annual report of Registrant on Form 10-K, File No. 1-8061, for the year ended April 30, 1990, which exhibit is incorporated herein by reference.</w:t>
      </w:r>
    </w:p>
    <w:p>
      <w:pPr>
        <w:ind w:left="1482" w:hanging="640"/>
        <w:spacing w:after="0"/>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[Intentionally Omitted]</w:t>
      </w:r>
    </w:p>
    <w:p>
      <w:pPr>
        <w:spacing w:after="0" w:line="18" w:lineRule="exact"/>
        <w:rPr>
          <w:rFonts w:ascii="Times New Roman" w:cs="Times New Roman" w:eastAsia="Times New Roman" w:hAnsi="Times New Roman"/>
          <w:sz w:val="16"/>
          <w:szCs w:val="16"/>
          <w:color w:val="auto"/>
        </w:rPr>
      </w:pPr>
    </w:p>
    <w:p>
      <w:pPr>
        <w:ind w:left="1482" w:hanging="640"/>
        <w:spacing w:after="0" w:line="264"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Exhibit 2.1 to the current report of Registrant on Form 8-K, File No. 1-8061, on February 27, 2012, which exhibit is incorporated herein by reference.</w:t>
      </w:r>
    </w:p>
    <w:p>
      <w:pPr>
        <w:ind w:left="1482" w:hanging="640"/>
        <w:spacing w:after="0"/>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[Intentionally Omitted]</w:t>
      </w:r>
    </w:p>
    <w:p>
      <w:pPr>
        <w:spacing w:after="0" w:line="18" w:lineRule="exact"/>
        <w:rPr>
          <w:rFonts w:ascii="Times New Roman" w:cs="Times New Roman" w:eastAsia="Times New Roman" w:hAnsi="Times New Roman"/>
          <w:sz w:val="16"/>
          <w:szCs w:val="16"/>
          <w:color w:val="auto"/>
        </w:rPr>
      </w:pPr>
    </w:p>
    <w:p>
      <w:pPr>
        <w:ind w:left="1482" w:hanging="640"/>
        <w:spacing w:after="0" w:line="264"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Exhibit 3.1 to a current report of the Registrant on Form 8-K, File No. 1-8061, on June 25, 2020, which exhibit is incorporated herein by reference.</w:t>
      </w:r>
    </w:p>
    <w:p>
      <w:pPr>
        <w:ind w:left="1482" w:hanging="640"/>
        <w:spacing w:after="0" w:line="264"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Exhibit 10.1 to a current report of the Registrant on Form 8-K, File No. 1-8061, on September 16, 2016, which exhibit is incorporated herein by reference.</w:t>
      </w:r>
    </w:p>
    <w:p>
      <w:pPr>
        <w:ind w:left="1482" w:hanging="640"/>
        <w:spacing w:after="0" w:line="264"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Exhibit 10.13 to the annual report of Registrant on Form 10-K, File No. 1-8061, for the year ended April 30, 1998, which exhibit is incorporated herein by reference.</w:t>
      </w:r>
    </w:p>
    <w:p>
      <w:pPr>
        <w:ind w:left="1482" w:hanging="640"/>
        <w:spacing w:after="0" w:line="264"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Exhibit 10.1 to a current report of the Registrant on Form 8-K, File No. 1-8061, on October 4, 2005, which exhibit is incorporated herein by reference.</w:t>
      </w:r>
    </w:p>
    <w:p>
      <w:pPr>
        <w:ind w:left="1482" w:hanging="640"/>
        <w:spacing w:after="0" w:line="264"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Exhibit 10.13 to the annual report of Registrant on Form 10-K, File No. 1-8061, for the year ended April 30, 2018, which exhibit is incorporated herein by reference.</w:t>
      </w:r>
    </w:p>
    <w:p>
      <w:pPr>
        <w:ind w:left="1482" w:hanging="640"/>
        <w:spacing w:after="0" w:line="264"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Exhibit 10.17 to Amendment No. 1 on Form 10-K/A to the annual report of Registrant on Form 10-K, File No. 1-8061, for the year ended April 30, 2018, which exhibit is incorporated herein by reference.</w:t>
      </w:r>
    </w:p>
    <w:p>
      <w:pPr>
        <w:ind w:left="1482" w:hanging="640"/>
        <w:spacing w:after="0" w:line="264"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Exhibit 10.18 to Amendment No. 1 on Form 10-K/A to the annual report of Registrant on Form 10-K, File No. 1-8061, for the year ended April 30, 2018, which exhibit is incorporated herein by reference.</w:t>
      </w:r>
    </w:p>
    <w:p>
      <w:pPr>
        <w:ind w:left="1482" w:hanging="640"/>
        <w:spacing w:after="0"/>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[Intentionally Omitted]</w:t>
      </w:r>
    </w:p>
    <w:p>
      <w:pPr>
        <w:spacing w:after="0" w:line="18" w:lineRule="exact"/>
        <w:rPr>
          <w:rFonts w:ascii="Times New Roman" w:cs="Times New Roman" w:eastAsia="Times New Roman" w:hAnsi="Times New Roman"/>
          <w:sz w:val="16"/>
          <w:szCs w:val="16"/>
          <w:color w:val="auto"/>
        </w:rPr>
      </w:pPr>
    </w:p>
    <w:p>
      <w:pPr>
        <w:ind w:left="1482" w:right="360" w:hanging="640"/>
        <w:spacing w:after="0" w:line="264"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Exhibit 10.11 to the annual report of the Registrant on Form 10-K, File No. 1-8061, for the year ended April 30, 2019, which exhibit is incorporated herein by reference.</w:t>
      </w:r>
    </w:p>
    <w:p>
      <w:pPr>
        <w:ind w:left="1482" w:hanging="640"/>
        <w:spacing w:after="0" w:line="264"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Exhibit 16.1 to a current report of the Registrant on Form 8-K, File No. 1-8061, on July 30, 2019, which exhibit is incorporated herein by reference.</w:t>
      </w:r>
    </w:p>
    <w:p>
      <w:pPr>
        <w:ind w:left="1482" w:hanging="640"/>
        <w:spacing w:after="0" w:line="264"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Exhibit 10.11 to the annual report of the Registrant on Form 10-K, File No. 1-8061, for the year ended April 30, 2020, which exhibit is incorporated herein by reference.</w:t>
      </w:r>
    </w:p>
    <w:p>
      <w:pPr>
        <w:ind w:left="1482" w:hanging="640"/>
        <w:spacing w:after="0" w:line="264"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Exhibit 4.2 to the annual report of the Registrant on Form 10-K, File No. 1-8061, for the year ended April 30, 2021, which exhibit is incorporated herein by reference.</w:t>
      </w:r>
    </w:p>
    <w:p>
      <w:pPr>
        <w:ind w:left="1482" w:hanging="640"/>
        <w:spacing w:after="0" w:line="288" w:lineRule="auto"/>
        <w:tabs>
          <w:tab w:leader="none" w:pos="1482"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the SEC as Exhibit 10.1 to the quarterly report of the Registrant on Form 10-Q, File No. 1-8061, for the quarter ended October 31, 2021, which exhibit is incorporated herein by reference.</w:t>
      </w:r>
    </w:p>
    <w:p>
      <w:pPr>
        <w:spacing w:after="0" w:line="16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Item 16. Form 10-K Summary.</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2"/>
          </w:cols>
          <w:pgMar w:left="458" w:top="121"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p>
      <w:pPr>
        <w:spacing w:after="0" w:line="22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By: /s/ Thomas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4176395</wp:posOffset>
            </wp:positionH>
            <wp:positionV relativeFrom="paragraph">
              <wp:posOffset>17145</wp:posOffset>
            </wp:positionV>
            <wp:extent cx="2785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Thomas McClelland</w:t>
      </w:r>
    </w:p>
    <w:p>
      <w:pPr>
        <w:spacing w:after="0" w:line="2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Interim President and CEO and Chief Scientist</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By: /s/ 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4176395</wp:posOffset>
            </wp:positionH>
            <wp:positionV relativeFrom="paragraph">
              <wp:posOffset>17145</wp:posOffset>
            </wp:positionV>
            <wp:extent cx="27857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Steven L. Bernstein</w:t>
      </w:r>
    </w:p>
    <w:p>
      <w:pPr>
        <w:spacing w:after="0" w:line="2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14, 2022</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40" w:type="dxa"/>
            <w:vAlign w:val="bottom"/>
          </w:tcPr>
          <w:p>
            <w:pPr>
              <w:spacing w:after="0"/>
              <w:rPr>
                <w:sz w:val="20"/>
                <w:szCs w:val="20"/>
                <w:color w:val="auto"/>
              </w:rPr>
            </w:pPr>
          </w:p>
        </w:tc>
        <w:tc>
          <w:tcPr>
            <w:tcW w:w="460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20" w:type="dxa"/>
            <w:vAlign w:val="bottom"/>
          </w:tcPr>
          <w:p>
            <w:pPr>
              <w:spacing w:after="0"/>
              <w:rPr>
                <w:sz w:val="20"/>
                <w:szCs w:val="20"/>
                <w:color w:val="auto"/>
              </w:rPr>
            </w:pPr>
          </w:p>
        </w:tc>
        <w:tc>
          <w:tcPr>
            <w:tcW w:w="17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641"/>
        </w:trPr>
        <w:tc>
          <w:tcPr>
            <w:tcW w:w="39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 Jonathan Brolin</w:t>
            </w:r>
          </w:p>
        </w:tc>
        <w:tc>
          <w:tcPr>
            <w:tcW w:w="3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06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7/14/2022</w:t>
            </w: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Jonathan Brolin</w:t>
            </w:r>
          </w:p>
        </w:tc>
        <w:tc>
          <w:tcPr>
            <w:tcW w:w="3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4"/>
        </w:trPr>
        <w:tc>
          <w:tcPr>
            <w:tcW w:w="39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 Richard Schwartz</w:t>
            </w:r>
          </w:p>
        </w:tc>
        <w:tc>
          <w:tcPr>
            <w:tcW w:w="3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7/14/2022</w:t>
            </w: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Richard Schwartz</w:t>
            </w:r>
          </w:p>
        </w:tc>
        <w:tc>
          <w:tcPr>
            <w:tcW w:w="3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4"/>
        </w:trPr>
        <w:tc>
          <w:tcPr>
            <w:tcW w:w="39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 Russell M. Sarachek</w:t>
            </w:r>
          </w:p>
        </w:tc>
        <w:tc>
          <w:tcPr>
            <w:tcW w:w="3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206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7/14/2022</w:t>
            </w: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Russell M. Sarachek</w:t>
            </w:r>
          </w:p>
        </w:tc>
        <w:tc>
          <w:tcPr>
            <w:tcW w:w="3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14"/>
        </w:trPr>
        <w:tc>
          <w:tcPr>
            <w:tcW w:w="39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 GEN Lance W. Lord, USAF, ret</w:t>
            </w:r>
          </w:p>
        </w:tc>
        <w:tc>
          <w:tcPr>
            <w:tcW w:w="34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7/14/2022</w:t>
            </w:r>
          </w:p>
        </w:tc>
      </w:tr>
      <w:tr>
        <w:trPr>
          <w:trHeight w:val="22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Lance W. Lord</w:t>
            </w:r>
          </w:p>
        </w:tc>
        <w:tc>
          <w:tcPr>
            <w:tcW w:w="3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60"/>
          </w:cols>
          <w:pgMar w:left="460" w:top="121" w:right="47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FREQUENCY ELECTRONICS, INC.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List of Subsidiaries of Registrant</w:t>
            </w:r>
          </w:p>
        </w:tc>
      </w:tr>
      <w:tr>
        <w:trPr>
          <w:trHeight w:val="410"/>
        </w:trPr>
        <w:tc>
          <w:tcPr>
            <w:tcW w:w="416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Subsidiary &amp; Name under</w:t>
            </w:r>
          </w:p>
        </w:tc>
        <w:tc>
          <w:tcPr>
            <w:tcW w:w="7080" w:type="dxa"/>
            <w:vAlign w:val="bottom"/>
          </w:tcPr>
          <w:p>
            <w:pPr>
              <w:spacing w:after="0"/>
              <w:rPr>
                <w:sz w:val="24"/>
                <w:szCs w:val="24"/>
                <w:color w:val="auto"/>
              </w:rPr>
            </w:pPr>
          </w:p>
        </w:tc>
      </w:tr>
      <w:tr>
        <w:trPr>
          <w:trHeight w:val="238"/>
        </w:trPr>
        <w:tc>
          <w:tcPr>
            <w:tcW w:w="4160" w:type="dxa"/>
            <w:vAlign w:val="bottom"/>
            <w:tcBorders>
              <w:bottom w:val="single" w:sz="8" w:color="auto"/>
            </w:tcBorders>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which business is performed</w:t>
            </w:r>
          </w:p>
        </w:tc>
        <w:tc>
          <w:tcPr>
            <w:tcW w:w="7080" w:type="dxa"/>
            <w:vAlign w:val="bottom"/>
            <w:tcBorders>
              <w:bottom w:val="single" w:sz="8" w:color="auto"/>
            </w:tcBorders>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426"/>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FEI Zyfer, Inc.</w:t>
            </w:r>
          </w:p>
        </w:tc>
        <w:tc>
          <w:tcPr>
            <w:tcW w:w="708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Delaware</w:t>
            </w:r>
          </w:p>
        </w:tc>
      </w:tr>
      <w:tr>
        <w:trPr>
          <w:trHeight w:val="432"/>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FEI-Elcom Tech, Inc.</w:t>
            </w:r>
          </w:p>
        </w:tc>
        <w:tc>
          <w:tcPr>
            <w:tcW w:w="708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1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Frequency Electronics,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Mitchel Field, New York</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333-08901, 333-40506, 333-140938, 333-156600, 333-42233 and 333-188952) of Frequency Electronics, Inc. of our report dated July 14, 2022, relating to the consolidated financial statements which appears in this Annual Report on Form 10-K.</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14, 2022</w:t>
      </w:r>
    </w:p>
    <w:p>
      <w:pPr>
        <w:sectPr>
          <w:pgSz w:w="11900" w:h="16838" w:orient="portrait"/>
          <w:cols w:equalWidth="0" w:num="1">
            <w:col w:w="11240"/>
          </w:cols>
          <w:pgMar w:left="320" w:top="11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McClelland, certify that:</w:t>
      </w:r>
    </w:p>
    <w:p>
      <w:pPr>
        <w:spacing w:after="0" w:line="225"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Frequency Electronics,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25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5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sz w:val="20"/>
          <w:szCs w:val="20"/>
          <w:color w:val="auto"/>
        </w:rPr>
      </w:pPr>
    </w:p>
    <w:p>
      <w:pPr>
        <w:ind w:firstLine="8"/>
        <w:spacing w:after="0" w:line="282" w:lineRule="auto"/>
        <w:tabs>
          <w:tab w:leader="none" w:pos="2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4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Thomas McClelland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McClelland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President and Chief Executive Officer and Chief Scientist</w:t>
      </w:r>
    </w:p>
    <w:p>
      <w:pPr>
        <w:sectPr>
          <w:pgSz w:w="11900" w:h="16838" w:orient="portrait"/>
          <w:cols w:equalWidth="0" w:num="1">
            <w:col w:w="11240"/>
          </w:cols>
          <w:pgMar w:left="320" w:top="11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Bernstein, certify that:</w:t>
      </w:r>
    </w:p>
    <w:p>
      <w:pPr>
        <w:spacing w:after="0" w:line="225" w:lineRule="exact"/>
        <w:rPr>
          <w:sz w:val="20"/>
          <w:szCs w:val="20"/>
          <w:color w:val="auto"/>
        </w:rPr>
      </w:pPr>
    </w:p>
    <w:p>
      <w:pPr>
        <w:ind w:left="180" w:hanging="172"/>
        <w:spacing w:after="0"/>
        <w:tabs>
          <w:tab w:leader="none" w:pos="1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Frequency Electronics,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25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sz w:val="20"/>
          <w:szCs w:val="20"/>
          <w:color w:val="auto"/>
        </w:rPr>
      </w:pPr>
    </w:p>
    <w:p>
      <w:pPr>
        <w:ind w:firstLine="8"/>
        <w:spacing w:after="0" w:line="282" w:lineRule="auto"/>
        <w:tabs>
          <w:tab w:leader="none" w:pos="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4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Steven L. Bernstein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L.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CEO</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Annual Report of Frequency Electronics, Inc. (the “Company”) on Form 10-K for the year ended April 30, 2022 as filed with the Securities and Exchange Commission on the date hereof (the “Report”), I, Thomas McClelland, Interim President and Chief Executive Officer and Chief Scientist of the Company, certify, pursuant to Section 18 U.S.C. 1350, as adopted pursuant to Section 906 of the Sarbanes-Oxley Act of 2002, that:</w:t>
      </w:r>
    </w:p>
    <w:p>
      <w:pPr>
        <w:spacing w:after="0" w:line="1" w:lineRule="exact"/>
        <w:rPr>
          <w:sz w:val="20"/>
          <w:szCs w:val="20"/>
          <w:color w:val="auto"/>
        </w:rPr>
      </w:pPr>
    </w:p>
    <w:p>
      <w:pPr>
        <w:ind w:left="600" w:hanging="592"/>
        <w:spacing w:after="0"/>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Thomas McClelland</w:t>
            </w:r>
          </w:p>
        </w:tc>
        <w:tc>
          <w:tcPr>
            <w:tcW w:w="1020" w:type="dxa"/>
            <w:vAlign w:val="bottom"/>
          </w:tcPr>
          <w:p>
            <w:pPr>
              <w:spacing w:after="0"/>
              <w:rPr>
                <w:sz w:val="17"/>
                <w:szCs w:val="17"/>
                <w:color w:val="auto"/>
              </w:rPr>
            </w:pPr>
          </w:p>
        </w:tc>
        <w:tc>
          <w:tcPr>
            <w:tcW w:w="20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8"/>
              </w:rPr>
              <w:t>July 14, 2022</w:t>
            </w:r>
          </w:p>
        </w:tc>
      </w:tr>
      <w:tr>
        <w:trPr>
          <w:trHeight w:val="237"/>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McClelland</w:t>
            </w:r>
          </w:p>
        </w:tc>
        <w:tc>
          <w:tcPr>
            <w:tcW w:w="2000" w:type="dxa"/>
            <w:vAlign w:val="bottom"/>
          </w:tcPr>
          <w:p>
            <w:pPr>
              <w:spacing w:after="0"/>
              <w:rPr>
                <w:sz w:val="20"/>
                <w:szCs w:val="20"/>
                <w:color w:val="auto"/>
              </w:rPr>
            </w:pPr>
          </w:p>
        </w:tc>
      </w:tr>
    </w:tbl>
    <w:p>
      <w:pPr>
        <w:ind w:left="340"/>
        <w:spacing w:after="0"/>
        <w:rPr>
          <w:sz w:val="20"/>
          <w:szCs w:val="20"/>
          <w:color w:val="auto"/>
        </w:rPr>
      </w:pPr>
      <w:r>
        <w:rPr>
          <w:rFonts w:ascii="Times New Roman" w:cs="Times New Roman" w:eastAsia="Times New Roman" w:hAnsi="Times New Roman"/>
          <w:sz w:val="18"/>
          <w:szCs w:val="18"/>
          <w:color w:val="auto"/>
        </w:rPr>
        <w:t>Interim President and Chief Executive Officer and Chief Scientist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CFO</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Annual Report of Frequency Electronics, Inc. (the “Company”) on Form 10-K for the year ended April 30, 2022 as filed with the Securities and Exchange Commission on the date hereof (the “Report”), I, Steven L. Bernstein, Chief Financial Officer of the Company, certify, pursuant to Section 18 U.S.C. 1350, as adopted pursuant to Section 906 of the Sarbanes-Oxley Act of 2002, that:</w:t>
      </w:r>
    </w:p>
    <w:p>
      <w:pPr>
        <w:spacing w:after="0" w:line="1" w:lineRule="exact"/>
        <w:rPr>
          <w:sz w:val="20"/>
          <w:szCs w:val="20"/>
          <w:color w:val="auto"/>
        </w:rPr>
      </w:pPr>
    </w:p>
    <w:p>
      <w:pPr>
        <w:ind w:left="600" w:hanging="592"/>
        <w:spacing w:after="0"/>
        <w:tabs>
          <w:tab w:leader="none" w:pos="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188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8"/>
              </w:rPr>
              <w:t>July 14, 2022</w:t>
            </w:r>
          </w:p>
        </w:tc>
      </w:tr>
      <w:tr>
        <w:trPr>
          <w:trHeight w:val="218"/>
        </w:trPr>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4"/>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88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 w:cs="Times New Roman" w:eastAsia="Times New Roman" w:hAnsi="Times New Roman"/>
          <w:sz w:val="18"/>
          <w:szCs w:val="18"/>
          <w:b w:val="1"/>
          <w:bCs w:val="1"/>
          <w:color w:val="auto"/>
        </w:rPr>
        <w: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2"/>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2"/>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1."/>
      <w:numFmt w:val="decimal"/>
      <w:start w:val="2"/>
    </w:lvl>
    <w:lvl w:ilvl="1">
      <w:lvlJc w:val="left"/>
      <w:lvlText w:val="**"/>
      <w:numFmt w:val="bullet"/>
      <w:start w:val="1"/>
    </w:lvl>
  </w:abstractNum>
  <w:abstractNum w:abstractNumId="10">
    <w:nsid w:val="4353D0CD"/>
    <w:multiLevelType w:val="hybridMultilevel"/>
    <w:lvl w:ilvl="0">
      <w:lvlJc w:val="left"/>
      <w:lvlText w:val="%1."/>
      <w:numFmt w:val="decimal"/>
      <w:start w:val="4"/>
    </w:lvl>
  </w:abstractNum>
  <w:abstractNum w:abstractNumId="11">
    <w:nsid w:val="B03E0C6"/>
    <w:multiLevelType w:val="hybridMultilevel"/>
    <w:lvl w:ilvl="0">
      <w:lvlJc w:val="left"/>
      <w:lvlText w:val="%1."/>
      <w:numFmt w:val="decimal"/>
      <w:start w:val="5"/>
    </w:lvl>
  </w:abstractNum>
  <w:abstractNum w:abstractNumId="12">
    <w:nsid w:val="189A769B"/>
    <w:multiLevelType w:val="hybridMultilevel"/>
    <w:lvl w:ilvl="0">
      <w:lvlJc w:val="left"/>
      <w:lvlText w:val="%1."/>
      <w:numFmt w:val="decimal"/>
      <w:start w:val="6"/>
    </w:lvl>
  </w:abstractNum>
  <w:abstractNum w:abstractNumId="13">
    <w:nsid w:val="54E49EB4"/>
    <w:multiLevelType w:val="hybridMultilevel"/>
    <w:lvl w:ilvl="0">
      <w:lvlJc w:val="left"/>
      <w:lvlText w:val="%1."/>
      <w:numFmt w:val="decimal"/>
      <w:start w:val="7"/>
    </w:lvl>
  </w:abstractNum>
  <w:abstractNum w:abstractNumId="14">
    <w:nsid w:val="71F32454"/>
    <w:multiLevelType w:val="hybridMultilevel"/>
    <w:lvl w:ilvl="0">
      <w:lvlJc w:val="left"/>
      <w:lvlText w:val="%1."/>
      <w:numFmt w:val="decimal"/>
      <w:start w:val="8"/>
    </w:lvl>
  </w:abstractNum>
  <w:abstractNum w:abstractNumId="15">
    <w:nsid w:val="2CA88611"/>
    <w:multiLevelType w:val="hybridMultilevel"/>
    <w:lvl w:ilvl="0">
      <w:lvlJc w:val="left"/>
      <w:lvlText w:val="%1."/>
      <w:numFmt w:val="decimal"/>
      <w:start w:val="9"/>
    </w:lvl>
  </w:abstractNum>
  <w:abstractNum w:abstractNumId="16">
    <w:nsid w:val="836C40E"/>
    <w:multiLevelType w:val="hybridMultilevel"/>
    <w:lvl w:ilvl="0">
      <w:lvlJc w:val="left"/>
      <w:lvlText w:val="%1."/>
      <w:numFmt w:val="decimal"/>
      <w:start w:val="10"/>
    </w:lvl>
  </w:abstractNum>
  <w:abstractNum w:abstractNumId="17">
    <w:nsid w:val="2901D82"/>
    <w:multiLevelType w:val="hybridMultilevel"/>
    <w:lvl w:ilvl="0">
      <w:lvlJc w:val="left"/>
      <w:lvlText w:val="%1."/>
      <w:numFmt w:val="decimal"/>
      <w:start w:val="11"/>
    </w:lvl>
  </w:abstractNum>
  <w:abstractNum w:abstractNumId="18">
    <w:nsid w:val="3A95F874"/>
    <w:multiLevelType w:val="hybridMultilevel"/>
    <w:lvl w:ilvl="0">
      <w:lvlJc w:val="left"/>
      <w:lvlText w:val="%1."/>
      <w:numFmt w:val="decimal"/>
      <w:start w:val="12"/>
    </w:lvl>
  </w:abstractNum>
  <w:abstractNum w:abstractNumId="19">
    <w:nsid w:val="8138641"/>
    <w:multiLevelType w:val="hybridMultilevel"/>
    <w:lvl w:ilvl="0">
      <w:lvlJc w:val="left"/>
      <w:lvlText w:val="%1."/>
      <w:numFmt w:val="decimal"/>
      <w:start w:val="13"/>
    </w:lvl>
  </w:abstractNum>
  <w:abstractNum w:abstractNumId="20">
    <w:nsid w:val="1E7FF521"/>
    <w:multiLevelType w:val="hybridMultilevel"/>
    <w:lvl w:ilvl="0">
      <w:lvlJc w:val="left"/>
      <w:lvlText w:val="%1"/>
      <w:numFmt w:val="decimal"/>
      <w:start w:val="1"/>
    </w:lvl>
    <w:lvl w:ilvl="1">
      <w:lvlJc w:val="left"/>
      <w:lvlText w:val="(%2)"/>
      <w:numFmt w:val="decimal"/>
      <w:start w:val="1"/>
    </w:lvl>
  </w:abstractNum>
  <w:abstractNum w:abstractNumId="21">
    <w:nsid w:val="7C3DBD3D"/>
    <w:multiLevelType w:val="hybridMultilevel"/>
    <w:lvl w:ilvl="0">
      <w:lvlJc w:val="left"/>
      <w:lvlText w:val="(%1)"/>
      <w:numFmt w:val="decimal"/>
      <w:start w:val="2"/>
    </w:lvl>
    <w:lvl w:ilvl="1">
      <w:lvlJc w:val="left"/>
      <w:lvlText w:val="%2"/>
      <w:numFmt w:val="decimal"/>
      <w:start w:val="1"/>
    </w:lvl>
  </w:abstractNum>
  <w:abstractNum w:abstractNumId="22">
    <w:nsid w:val="737B8DDC"/>
    <w:multiLevelType w:val="hybridMultilevel"/>
    <w:lvl w:ilvl="0">
      <w:lvlJc w:val="left"/>
      <w:lvlText w:val="%1."/>
      <w:numFmt w:val="decimal"/>
      <w:start w:val="15"/>
    </w:lvl>
  </w:abstractNum>
  <w:abstractNum w:abstractNumId="23">
    <w:nsid w:val="6CEAF087"/>
    <w:multiLevelType w:val="hybridMultilevel"/>
    <w:lvl w:ilvl="0">
      <w:lvlJc w:val="left"/>
      <w:lvlText w:val="%1."/>
      <w:numFmt w:val="decimal"/>
      <w:start w:val="16"/>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01"/>
    </w:lvl>
  </w:abstractNum>
  <w:abstractNum w:abstractNumId="28">
    <w:nsid w:val="419AC241"/>
    <w:multiLevelType w:val="hybridMultilevel"/>
    <w:lvl w:ilvl="0">
      <w:lvlJc w:val="left"/>
      <w:lvlText w:val="%1"/>
      <w:numFmt w:val="decimal"/>
      <w:start w:val="104"/>
    </w:lvl>
  </w:abstractNum>
  <w:abstractNum w:abstractNumId="29">
    <w:nsid w:val="5577F8E1"/>
    <w:multiLevelType w:val="hybridMultilevel"/>
    <w:lvl w:ilvl="0">
      <w:lvlJc w:val="left"/>
      <w:lvlText w:val="*"/>
      <w:numFmt w:val="bullet"/>
      <w:start w:val="1"/>
    </w:lvl>
    <w:lvl w:ilvl="1">
      <w:lvlJc w:val="left"/>
      <w:lvlText w:val="(%2)"/>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decimal"/>
      <w:start w:val="5"/>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5"/>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70" Type="http://schemas.openxmlformats.org/officeDocument/2006/relationships/hyperlink" Target="http://www.sec.gov/Archives/edgar/data/39020/000114420412011172/v303671_8k.htm" TargetMode="External"/><Relationship Id="rId71" Type="http://schemas.openxmlformats.org/officeDocument/2006/relationships/hyperlink" Target="http://www.sec.gov/Archives/edgar/data/39020/000118518520000896/ex_191621.htm" TargetMode="External"/><Relationship Id="rId72" Type="http://schemas.openxmlformats.org/officeDocument/2006/relationships/hyperlink" Target="http://www.sec.gov/Archives/edgar/data/0000039020/000118518521000886/ex_260110.htm" TargetMode="External"/><Relationship Id="rId73" Type="http://schemas.openxmlformats.org/officeDocument/2006/relationships/hyperlink" Target="http://www.sec.gov/Archives/edgar/data/39020/000118518516005440/ex10-1.htm" TargetMode="External"/><Relationship Id="rId74" Type="http://schemas.openxmlformats.org/officeDocument/2006/relationships/hyperlink" Target="http://www.sec.gov/Archives/edgar/data/39020/000003902005000049/stockplan8k.txt" TargetMode="External"/><Relationship Id="rId75" Type="http://schemas.openxmlformats.org/officeDocument/2006/relationships/hyperlink" Target="http://www.sec.gov/Archives/edgar/data/39020/0000039020-98-000011.txt" TargetMode="External"/><Relationship Id="rId76" Type="http://schemas.openxmlformats.org/officeDocument/2006/relationships/hyperlink" Target="http://www.sec.gov/Archives/edgar/data/39020/000118518518001293/ex10-13.htm" TargetMode="External"/><Relationship Id="rId77" Type="http://schemas.openxmlformats.org/officeDocument/2006/relationships/hyperlink" Target="http://www.sec.gov/Archives/edgar/data/39020/000118518518001564/ex_122723.htm" TargetMode="External"/><Relationship Id="rId78" Type="http://schemas.openxmlformats.org/officeDocument/2006/relationships/hyperlink" Target="http://www.sec.gov/Archives/edgar/data/39020/000118518518001564/ex_122724.htm" TargetMode="External"/><Relationship Id="rId79" Type="http://schemas.openxmlformats.org/officeDocument/2006/relationships/hyperlink" Target="http://www.sec.gov/Archives/edgar/data/39020/000118518519001020/ex_151317.htm" TargetMode="External"/><Relationship Id="rId80" Type="http://schemas.openxmlformats.org/officeDocument/2006/relationships/hyperlink" Target="http://www.sec.gov/Archives/edgar/data/39020/000118518520001054/ex_195828.htm" TargetMode="External"/><Relationship Id="rId81" Type="http://schemas.openxmlformats.org/officeDocument/2006/relationships/hyperlink" Target="http://www.sec.gov/Archives/edgar/data/39020/000118518521001837/ex_31535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2022-07-14T14:26:18Z</dcterms:created>
  <dcterms:modified xsi:type="dcterms:W3CDTF">2022-07-14T14:26:18Z</dcterms:modified>
</cp:coreProperties>
</file>