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feim8k102126.htm"/>
      <w:bookmarkStart w:id="1" w:name="ksfeim8k102126"/>
      <w:bookmarkEnd w:id="0"/>
      <w:bookmarkEnd w:id="1"/>
      <w:r>
        <w:rPr>
          <w:bdr w:val="single" w:sz="16"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 w:right="144"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r>
    </w:p>
    <w:p>
      <w:pPr>
        <w:pStyle w:val="TextBody"/>
        <w:bidi w:val="0"/>
        <w:spacing w:before="0" w:after="0"/>
        <w:ind w:left="144" w:right="144"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spacing w:before="0" w:after="0"/>
        <w:ind w:left="144" w:right="144"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144" w:right="144"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144" w:right="144" w:hanging="0"/>
        <w:jc w:val="center"/>
        <w:rPr>
          <w:caps w:val="false"/>
          <w:smallCaps w:val="false"/>
        </w:rPr>
      </w:pPr>
      <w:r>
        <w:rPr>
          <w:caps w:val="false"/>
          <w:smallCaps w:val="false"/>
        </w:rPr>
        <w:t> </w:t>
      </w:r>
    </w:p>
    <w:p>
      <w:pPr>
        <w:pStyle w:val="TextBody"/>
        <w:bidi w:val="0"/>
        <w:spacing w:before="0" w:after="0"/>
        <w:ind w:left="144" w:right="144"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 xml:space="preserve">FORM </w:t>
      </w:r>
      <w:bookmarkStart w:id="2" w:name="xdx_90D_edei--DocumentType_c20261015__20"/>
      <w:bookmarkEnd w:id="2"/>
      <w:r>
        <w:rPr>
          <w:rFonts w:ascii="Times New Roman;Times;Serif" w:hAnsi="Times New Roman;Times;Serif"/>
          <w:b/>
          <w:i w:val="false"/>
          <w:caps w:val="false"/>
          <w:smallCaps w:val="false"/>
          <w:sz w:val="32"/>
        </w:rPr>
        <w:t>8-K</w:t>
      </w:r>
    </w:p>
    <w:p>
      <w:pPr>
        <w:pStyle w:val="TextBody"/>
        <w:bidi w:val="0"/>
        <w:spacing w:before="0" w:after="0"/>
        <w:ind w:left="144" w:right="144"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144" w:right="144"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EXCHANGE ACT OF 1934</w:t>
      </w:r>
    </w:p>
    <w:p>
      <w:pPr>
        <w:pStyle w:val="TextBody"/>
        <w:bidi w:val="0"/>
        <w:spacing w:before="0" w:after="0"/>
        <w:ind w:left="144" w:right="144" w:hanging="0"/>
        <w:jc w:val="center"/>
        <w:rPr>
          <w:caps w:val="false"/>
          <w:smallCaps w:val="false"/>
        </w:rPr>
      </w:pPr>
      <w:r>
        <w:rPr>
          <w:caps w:val="false"/>
          <w:smallCaps w:val="false"/>
        </w:rPr>
        <w:t> </w:t>
      </w:r>
    </w:p>
    <w:p>
      <w:pPr>
        <w:pStyle w:val="TextBody"/>
        <w:bidi w:val="0"/>
        <w:spacing w:before="0" w:after="0"/>
        <w:ind w:left="144" w:right="144"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val="false"/>
          <w:i w:val="false"/>
          <w:caps w:val="false"/>
          <w:smallCaps w:val="false"/>
          <w:sz w:val="20"/>
        </w:rPr>
        <w:t>October 15, 2026</w:t>
      </w:r>
    </w:p>
    <w:p>
      <w:pPr>
        <w:pStyle w:val="TextBody"/>
        <w:bidi w:val="0"/>
        <w:spacing w:before="0" w:after="0"/>
        <w:ind w:left="144" w:right="144" w:hanging="0"/>
        <w:jc w:val="center"/>
        <w:rPr>
          <w:caps w:val="false"/>
          <w:smallCaps w:val="false"/>
        </w:rPr>
      </w:pPr>
      <w:r>
        <w:rPr>
          <w:caps w:val="false"/>
          <w:smallCaps w:val="false"/>
        </w:rPr>
        <w:t> </w:t>
      </w:r>
    </w:p>
    <w:p>
      <w:pPr>
        <w:pStyle w:val="TextBody"/>
        <w:bidi w:val="0"/>
        <w:spacing w:before="0" w:after="0"/>
        <w:ind w:left="144" w:right="144" w:hanging="0"/>
        <w:jc w:val="center"/>
        <w:rPr>
          <w:rFonts w:ascii="Times New Roman;Times;Serif" w:hAnsi="Times New Roman;Times;Serif"/>
          <w:b/>
          <w:i w:val="false"/>
          <w:caps w:val="false"/>
          <w:smallCaps w:val="false"/>
          <w:sz w:val="36"/>
          <w:u w:val="single"/>
        </w:rPr>
      </w:pPr>
      <w:bookmarkStart w:id="4" w:name="xdx_90C_edei--EntityRegistrantName_c2026"/>
      <w:bookmarkEnd w:id="4"/>
      <w:r>
        <w:rPr>
          <w:rFonts w:ascii="Times New Roman;Times;Serif" w:hAnsi="Times New Roman;Times;Serif"/>
          <w:b/>
          <w:i w:val="false"/>
          <w:caps w:val="false"/>
          <w:smallCaps w:val="false"/>
          <w:sz w:val="36"/>
          <w:u w:val="single"/>
        </w:rPr>
        <w:t>FREQUENCY ELECTRONICS, INC.</w:t>
      </w:r>
    </w:p>
    <w:p>
      <w:pPr>
        <w:pStyle w:val="TextBody"/>
        <w:bidi w:val="0"/>
        <w:spacing w:before="0" w:after="0"/>
        <w:ind w:left="144" w:right="144"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7050" w:type="dxa"/>
        <w:jc w:val="left"/>
        <w:tblInd w:w="0" w:type="dxa"/>
        <w:tblLayout w:type="fixed"/>
        <w:tblCellMar>
          <w:top w:w="0" w:type="dxa"/>
          <w:left w:w="0" w:type="dxa"/>
          <w:bottom w:w="28" w:type="dxa"/>
          <w:right w:w="0" w:type="dxa"/>
        </w:tblCellMar>
      </w:tblPr>
      <w:tblGrid>
        <w:gridCol w:w="2540"/>
        <w:gridCol w:w="60"/>
        <w:gridCol w:w="2615"/>
        <w:gridCol w:w="60"/>
        <w:gridCol w:w="1775"/>
      </w:tblGrid>
      <w:tr>
        <w:trPr/>
        <w:tc>
          <w:tcPr>
            <w:tcW w:w="2540" w:type="dxa"/>
            <w:tcBorders>
              <w:bottom w:val="single" w:sz="8" w:space="0" w:color="000000"/>
            </w:tcBorders>
            <w:vAlign w:val="center"/>
          </w:tcPr>
          <w:p>
            <w:pPr>
              <w:pStyle w:val="TableContents"/>
              <w:bidi w:val="0"/>
              <w:spacing w:before="0" w:after="283"/>
              <w:jc w:val="center"/>
              <w:rPr>
                <w:b/>
              </w:rPr>
            </w:pPr>
            <w:bookmarkStart w:id="5" w:name="xdx_901_edei--EntityIncorporationStateCo"/>
            <w:bookmarkEnd w:id="5"/>
            <w:r>
              <w:rPr>
                <w:b/>
              </w:rPr>
              <w:t>Delaware</w:t>
            </w:r>
          </w:p>
        </w:tc>
        <w:tc>
          <w:tcPr>
            <w:tcW w:w="60" w:type="dxa"/>
            <w:tcBorders/>
            <w:tcMar>
              <w:bottom w:w="0" w:type="dxa"/>
            </w:tcMar>
            <w:vAlign w:val="center"/>
          </w:tcPr>
          <w:p>
            <w:pPr>
              <w:pStyle w:val="TableContents"/>
              <w:bidi w:val="0"/>
              <w:spacing w:before="0" w:after="283"/>
              <w:jc w:val="center"/>
              <w:rPr/>
            </w:pPr>
            <w:r>
              <w:rPr/>
              <w:t> </w:t>
            </w:r>
          </w:p>
        </w:tc>
        <w:tc>
          <w:tcPr>
            <w:tcW w:w="2615" w:type="dxa"/>
            <w:tcBorders>
              <w:bottom w:val="single" w:sz="8" w:space="0" w:color="000000"/>
            </w:tcBorders>
            <w:vAlign w:val="center"/>
          </w:tcPr>
          <w:p>
            <w:pPr>
              <w:pStyle w:val="TableContents"/>
              <w:bidi w:val="0"/>
              <w:spacing w:before="0" w:after="283"/>
              <w:jc w:val="center"/>
              <w:rPr>
                <w:b/>
              </w:rPr>
            </w:pPr>
            <w:bookmarkStart w:id="6" w:name="xdx_90F_edei--EntityFileNumber_c20261015"/>
            <w:bookmarkEnd w:id="6"/>
            <w:r>
              <w:rPr>
                <w:b/>
              </w:rPr>
              <w:t>1-8061</w:t>
            </w:r>
          </w:p>
        </w:tc>
        <w:tc>
          <w:tcPr>
            <w:tcW w:w="60" w:type="dxa"/>
            <w:tcBorders/>
            <w:tcMar>
              <w:bottom w:w="0" w:type="dxa"/>
            </w:tcMar>
            <w:vAlign w:val="center"/>
          </w:tcPr>
          <w:p>
            <w:pPr>
              <w:pStyle w:val="TableContents"/>
              <w:bidi w:val="0"/>
              <w:spacing w:before="0" w:after="283"/>
              <w:jc w:val="center"/>
              <w:rPr/>
            </w:pPr>
            <w:r>
              <w:rPr/>
              <w:t> </w:t>
            </w:r>
          </w:p>
        </w:tc>
        <w:tc>
          <w:tcPr>
            <w:tcW w:w="1775" w:type="dxa"/>
            <w:tcBorders>
              <w:bottom w:val="single" w:sz="8" w:space="0" w:color="000000"/>
            </w:tcBorders>
            <w:vAlign w:val="center"/>
          </w:tcPr>
          <w:p>
            <w:pPr>
              <w:pStyle w:val="TableContents"/>
              <w:bidi w:val="0"/>
              <w:spacing w:before="0" w:after="283"/>
              <w:jc w:val="center"/>
              <w:rPr>
                <w:b/>
              </w:rPr>
            </w:pPr>
            <w:bookmarkStart w:id="7" w:name="xdx_90D_edei--EntityTaxIdentificationNum"/>
            <w:bookmarkEnd w:id="7"/>
            <w:r>
              <w:rPr>
                <w:b/>
              </w:rPr>
              <w:t>11-1986657</w:t>
            </w:r>
          </w:p>
        </w:tc>
      </w:tr>
      <w:tr>
        <w:trPr/>
        <w:tc>
          <w:tcPr>
            <w:tcW w:w="2540" w:type="dxa"/>
            <w:tcBorders/>
            <w:tcMar>
              <w:bottom w:w="0" w:type="dxa"/>
            </w:tcMar>
            <w:vAlign w:val="center"/>
          </w:tcPr>
          <w:p>
            <w:pPr>
              <w:pStyle w:val="TableContents"/>
              <w:bidi w:val="0"/>
              <w:spacing w:before="0" w:after="283"/>
              <w:jc w:val="center"/>
              <w:rPr/>
            </w:pPr>
            <w:r>
              <w:rPr/>
              <w:t xml:space="preserve">(State or other jurisdiction </w:t>
              <w:br/>
              <w:t>of incorporation)</w:t>
            </w:r>
          </w:p>
        </w:tc>
        <w:tc>
          <w:tcPr>
            <w:tcW w:w="60" w:type="dxa"/>
            <w:tcBorders/>
            <w:tcMar>
              <w:bottom w:w="0" w:type="dxa"/>
            </w:tcMar>
            <w:vAlign w:val="center"/>
          </w:tcPr>
          <w:p>
            <w:pPr>
              <w:pStyle w:val="TableContents"/>
              <w:bidi w:val="0"/>
              <w:spacing w:before="0" w:after="283"/>
              <w:jc w:val="center"/>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775" w:type="dxa"/>
            <w:tcBorders/>
            <w:tcMar>
              <w:bottom w:w="0" w:type="dxa"/>
            </w:tcMar>
            <w:vAlign w:val="center"/>
          </w:tcPr>
          <w:p>
            <w:pPr>
              <w:pStyle w:val="TableContents"/>
              <w:bidi w:val="0"/>
              <w:spacing w:before="0" w:after="283"/>
              <w:jc w:val="center"/>
              <w:rPr/>
            </w:pPr>
            <w:r>
              <w:rPr/>
              <w:t xml:space="preserve">(I.R.S. Employer </w:t>
              <w:br/>
              <w:t>Identification No.)</w:t>
            </w:r>
          </w:p>
        </w:tc>
      </w:tr>
    </w:tbl>
    <w:p>
      <w:pPr>
        <w:pStyle w:val="TextBody"/>
        <w:bidi w:val="0"/>
        <w:spacing w:before="0" w:after="0"/>
        <w:ind w:left="144" w:right="144" w:hanging="0"/>
        <w:jc w:val="center"/>
        <w:rPr>
          <w:caps w:val="false"/>
          <w:smallCaps w:val="false"/>
        </w:rPr>
      </w:pPr>
      <w:r>
        <w:rPr>
          <w:caps w:val="false"/>
          <w:smallCaps w:val="false"/>
        </w:rPr>
        <w:t> </w:t>
      </w:r>
    </w:p>
    <w:tbl>
      <w:tblPr>
        <w:tblW w:w="4945" w:type="dxa"/>
        <w:jc w:val="left"/>
        <w:tblInd w:w="0" w:type="dxa"/>
        <w:tblLayout w:type="fixed"/>
        <w:tblCellMar>
          <w:top w:w="0" w:type="dxa"/>
          <w:left w:w="0" w:type="dxa"/>
          <w:bottom w:w="28" w:type="dxa"/>
          <w:right w:w="0" w:type="dxa"/>
        </w:tblCellMar>
      </w:tblPr>
      <w:tblGrid>
        <w:gridCol w:w="3965"/>
        <w:gridCol w:w="60"/>
        <w:gridCol w:w="920"/>
      </w:tblGrid>
      <w:tr>
        <w:trPr/>
        <w:tc>
          <w:tcPr>
            <w:tcW w:w="39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8" w:name="xdx_907_edei--EntityAddressAddressLine1_"/>
            <w:bookmarkEnd w:id="8"/>
            <w:r>
              <w:rPr>
                <w:rFonts w:ascii="Times New Roman;Times;Serif" w:hAnsi="Times New Roman;Times;Serif"/>
                <w:b/>
                <w:sz w:val="20"/>
              </w:rPr>
              <w:t xml:space="preserve">55 Charles Lindbergh Blvd., </w:t>
            </w:r>
            <w:bookmarkStart w:id="9" w:name="xdx_90E_edei--EntityAddressCityOrTown_c2"/>
            <w:bookmarkEnd w:id="9"/>
            <w:r>
              <w:rPr>
                <w:rFonts w:ascii="Times New Roman;Times;Serif" w:hAnsi="Times New Roman;Times;Serif"/>
                <w:b/>
                <w:sz w:val="20"/>
              </w:rPr>
              <w:t xml:space="preserve">Mitchel Field, </w:t>
            </w:r>
            <w:bookmarkStart w:id="10" w:name="xdx_90F_edei--EntityAddressStateOrProvin"/>
            <w:bookmarkEnd w:id="10"/>
            <w:r>
              <w:rPr>
                <w:rFonts w:ascii="Times New Roman;Times;Serif" w:hAnsi="Times New Roman;Times;Serif"/>
                <w:b/>
                <w:sz w:val="20"/>
              </w:rPr>
              <w:t>NY</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11" w:name="xdx_905_edei--EntityAddressPostalZipCode"/>
            <w:bookmarkEnd w:id="11"/>
            <w:r>
              <w:rPr>
                <w:rFonts w:ascii="Times New Roman;Times;Serif" w:hAnsi="Times New Roman;Times;Serif"/>
                <w:b/>
                <w:sz w:val="20"/>
              </w:rPr>
              <w:t>11553</w:t>
            </w:r>
          </w:p>
        </w:tc>
      </w:tr>
      <w:tr>
        <w:trPr/>
        <w:tc>
          <w:tcPr>
            <w:tcW w:w="39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144" w:right="144" w:hanging="0"/>
        <w:jc w:val="center"/>
        <w:rPr>
          <w:caps w:val="false"/>
          <w:smallCaps w:val="false"/>
        </w:rPr>
      </w:pPr>
      <w:r>
        <w:rPr>
          <w:caps w:val="false"/>
          <w:smallCaps w:val="false"/>
        </w:rPr>
        <w:t> </w:t>
      </w:r>
    </w:p>
    <w:p>
      <w:pPr>
        <w:pStyle w:val="TextBody"/>
        <w:bidi w:val="0"/>
        <w:spacing w:before="0" w:after="0"/>
        <w:ind w:left="144" w:right="144"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E_edei--CityAreaCode_c20261015__20"/>
      <w:bookmarkEnd w:id="12"/>
      <w:r>
        <w:rPr>
          <w:rFonts w:ascii="Times New Roman;Times;Serif" w:hAnsi="Times New Roman;Times;Serif"/>
          <w:b/>
          <w:i w:val="false"/>
          <w:caps w:val="false"/>
          <w:smallCaps w:val="false"/>
          <w:sz w:val="20"/>
        </w:rPr>
        <w:t xml:space="preserve">516) </w:t>
      </w:r>
      <w:bookmarkStart w:id="13" w:name="xdx_90E_edei--LocalPhoneNumber_c20261015"/>
      <w:bookmarkEnd w:id="13"/>
      <w:r>
        <w:rPr>
          <w:rFonts w:ascii="Times New Roman;Times;Serif" w:hAnsi="Times New Roman;Times;Serif"/>
          <w:b/>
          <w:i w:val="false"/>
          <w:caps w:val="false"/>
          <w:smallCaps w:val="false"/>
          <w:sz w:val="20"/>
        </w:rPr>
        <w:t>794-4500</w:t>
      </w:r>
    </w:p>
    <w:p>
      <w:pPr>
        <w:pStyle w:val="TextBody"/>
        <w:bidi w:val="0"/>
        <w:spacing w:before="0" w:after="0"/>
        <w:ind w:left="144" w:right="144"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144" w:right="144"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pPr>
            <w:bookmarkStart w:id="14" w:name="xdx_90F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jc w:val="both"/>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pPr>
            <w:bookmarkStart w:id="15" w:name="xdx_906_edei--SolicitingMaterial_c202610"/>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pPr>
            <w:bookmarkStart w:id="16" w:name="xdx_908_edei--PreCommencementTenderOffer"/>
            <w:bookmarkEnd w:id="16"/>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pPr>
            <w:bookmarkStart w:id="17" w:name="xdx_904_edei--PreCommencementIssuerTende"/>
            <w:bookmarkEnd w:id="17"/>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935"/>
        <w:gridCol w:w="60"/>
        <w:gridCol w:w="1865"/>
        <w:gridCol w:w="60"/>
        <w:gridCol w:w="4285"/>
      </w:tblGrid>
      <w:tr>
        <w:trPr/>
        <w:tc>
          <w:tcPr>
            <w:tcW w:w="3935" w:type="dxa"/>
            <w:tcBorders>
              <w:bottom w:val="single" w:sz="8" w:space="0" w:color="000000"/>
            </w:tcBorders>
            <w:vAlign w:val="center"/>
          </w:tcPr>
          <w:p>
            <w:pPr>
              <w:pStyle w:val="TableContents"/>
              <w:bidi w:val="0"/>
              <w:spacing w:before="0" w:after="283"/>
              <w:jc w:val="center"/>
              <w:rPr>
                <w:b/>
                <w:i w:val="false"/>
                <w:caps w:val="false"/>
                <w:smallCaps w:val="false"/>
              </w:rPr>
            </w:pPr>
            <w:r>
              <w:rPr>
                <w:b/>
                <w:i w:val="false"/>
                <w:caps w:val="false"/>
                <w:smallCaps w:val="false"/>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65" w:type="dxa"/>
            <w:tcBorders>
              <w:bottom w:val="single" w:sz="8" w:space="0" w:color="000000"/>
            </w:tcBorders>
            <w:vAlign w:val="center"/>
          </w:tcPr>
          <w:p>
            <w:pPr>
              <w:pStyle w:val="TableContents"/>
              <w:bidi w:val="0"/>
              <w:spacing w:before="0" w:after="283"/>
              <w:jc w:val="center"/>
              <w:rPr>
                <w:b/>
                <w:i w:val="false"/>
                <w:caps w:val="false"/>
                <w:smallCaps w:val="false"/>
              </w:rPr>
            </w:pPr>
            <w:r>
              <w:rPr>
                <w:b/>
                <w:i w:val="false"/>
                <w:caps w:val="false"/>
                <w:smallCaps w:val="false"/>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285" w:type="dxa"/>
            <w:tcBorders>
              <w:bottom w:val="single" w:sz="8" w:space="0" w:color="000000"/>
            </w:tcBorders>
            <w:vAlign w:val="center"/>
          </w:tcPr>
          <w:p>
            <w:pPr>
              <w:pStyle w:val="TableContents"/>
              <w:bidi w:val="0"/>
              <w:spacing w:before="0" w:after="283"/>
              <w:jc w:val="center"/>
              <w:rPr>
                <w:b/>
                <w:i w:val="false"/>
                <w:caps w:val="false"/>
                <w:smallCaps w:val="false"/>
              </w:rPr>
            </w:pPr>
            <w:r>
              <w:rPr>
                <w:b/>
                <w:i w:val="false"/>
                <w:caps w:val="false"/>
                <w:smallCaps w:val="false"/>
              </w:rPr>
              <w:t>Name of each exchange on which registered</w:t>
            </w:r>
          </w:p>
        </w:tc>
      </w:tr>
      <w:tr>
        <w:trPr/>
        <w:tc>
          <w:tcPr>
            <w:tcW w:w="3935" w:type="dxa"/>
            <w:tcBorders/>
            <w:tcMar>
              <w:bottom w:w="0" w:type="dxa"/>
            </w:tcMar>
            <w:vAlign w:val="center"/>
          </w:tcPr>
          <w:p>
            <w:pPr>
              <w:pStyle w:val="TableContents"/>
              <w:bidi w:val="0"/>
              <w:spacing w:before="0" w:after="283"/>
              <w:jc w:val="center"/>
              <w:rPr/>
            </w:pPr>
            <w:bookmarkStart w:id="18" w:name="xdx_907_edei--Security12bTitle_c20261015"/>
            <w:bookmarkEnd w:id="18"/>
            <w:r>
              <w:rPr/>
              <w:t>Common Stock (par value $1.00 per share)</w:t>
            </w:r>
          </w:p>
        </w:tc>
        <w:tc>
          <w:tcPr>
            <w:tcW w:w="60" w:type="dxa"/>
            <w:tcBorders/>
            <w:tcMar>
              <w:bottom w:w="0" w:type="dxa"/>
            </w:tcMar>
            <w:vAlign w:val="center"/>
          </w:tcPr>
          <w:p>
            <w:pPr>
              <w:pStyle w:val="TableContents"/>
              <w:bidi w:val="0"/>
              <w:spacing w:before="0" w:after="283"/>
              <w:jc w:val="center"/>
              <w:rPr/>
            </w:pPr>
            <w:r>
              <w:rPr/>
              <w:t> </w:t>
            </w:r>
          </w:p>
        </w:tc>
        <w:tc>
          <w:tcPr>
            <w:tcW w:w="1865" w:type="dxa"/>
            <w:tcBorders/>
            <w:tcMar>
              <w:bottom w:w="0" w:type="dxa"/>
            </w:tcMar>
            <w:vAlign w:val="center"/>
          </w:tcPr>
          <w:p>
            <w:pPr>
              <w:pStyle w:val="TableContents"/>
              <w:bidi w:val="0"/>
              <w:spacing w:before="0" w:after="283"/>
              <w:jc w:val="center"/>
              <w:rPr/>
            </w:pPr>
            <w:bookmarkStart w:id="19" w:name="xdx_905_edei--TradingSymbol_c20261015__2"/>
            <w:bookmarkEnd w:id="19"/>
            <w:r>
              <w:rPr/>
              <w:t>FEIM</w:t>
            </w:r>
          </w:p>
        </w:tc>
        <w:tc>
          <w:tcPr>
            <w:tcW w:w="60" w:type="dxa"/>
            <w:tcBorders/>
            <w:tcMar>
              <w:bottom w:w="0" w:type="dxa"/>
            </w:tcMar>
            <w:vAlign w:val="center"/>
          </w:tcPr>
          <w:p>
            <w:pPr>
              <w:pStyle w:val="TableContents"/>
              <w:bidi w:val="0"/>
              <w:spacing w:before="0" w:after="283"/>
              <w:jc w:val="center"/>
              <w:rPr/>
            </w:pPr>
            <w:r>
              <w:rPr/>
              <w:t> </w:t>
            </w:r>
          </w:p>
        </w:tc>
        <w:tc>
          <w:tcPr>
            <w:tcW w:w="4285" w:type="dxa"/>
            <w:tcBorders/>
            <w:tcMar>
              <w:bottom w:w="0" w:type="dxa"/>
            </w:tcMar>
            <w:vAlign w:val="center"/>
          </w:tcPr>
          <w:p>
            <w:pPr>
              <w:pStyle w:val="TableContents"/>
              <w:bidi w:val="0"/>
              <w:spacing w:before="0" w:after="283"/>
              <w:jc w:val="center"/>
              <w:rPr/>
            </w:pPr>
            <w:bookmarkStart w:id="20" w:name="xdx_901_edei--SecurityExchangeName_c2026"/>
            <w:bookmarkEnd w:id="20"/>
            <w:r>
              <w:rPr/>
              <w:t>NASDAQ Global Market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6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caps w:val="false"/>
          <w:smallCaps w:val="false"/>
        </w:rPr>
      </w:pPr>
      <w:r>
        <w:rPr>
          <w:caps w:val="false"/>
          <w:smallCaps w:val="false"/>
        </w:rPr>
        <w:t> </w:t>
      </w:r>
    </w:p>
    <w:p>
      <w:pPr>
        <w:pStyle w:val="TextBody"/>
        <w:bidi w:val="0"/>
        <w:ind w:left="144" w:right="144" w:hanging="0"/>
        <w:jc w:val="left"/>
        <w:rPr>
          <w:bdr w:val="single" w:sz="8" w:space="1" w:color="000000"/>
        </w:rPr>
      </w:pPr>
      <w:r>
        <w:rPr>
          <w:bdr w:val="single" w:sz="8" w:space="1" w:color="000000"/>
        </w:rPr>
        <w:t> </w:t>
      </w:r>
    </w:p>
    <w:p>
      <w:pPr>
        <w:pStyle w:val="TextBody"/>
        <w:bidi w:val="0"/>
        <w:spacing w:before="0" w:after="0"/>
        <w:ind w:left="144" w:right="144" w:hanging="0"/>
        <w:jc w:val="center"/>
        <w:rPr>
          <w:caps w:val="false"/>
          <w:smallCaps w:val="false"/>
        </w:rPr>
      </w:pPr>
      <w:r>
        <w:rPr>
          <w:caps w:val="false"/>
          <w:smallCaps w:val="false"/>
        </w:rPr>
        <w:t> </w:t>
      </w:r>
    </w:p>
    <w:p>
      <w:pPr>
        <w:pStyle w:val="TextBody"/>
        <w:bidi w:val="0"/>
        <w:spacing w:before="0" w:after="0"/>
        <w:ind w:left="144" w:right="144"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color w:val="212529"/>
        </w:rPr>
      </w:pPr>
      <w:r>
        <w:rPr>
          <w:caps w:val="false"/>
          <w:smallCaps w:val="false"/>
          <w:color w:val="212529"/>
        </w:rPr>
        <w:t> </w:t>
      </w:r>
    </w:p>
    <w:p>
      <w:pPr>
        <w:pStyle w:val="TextBody"/>
        <w:bidi w:val="0"/>
        <w:spacing w:before="0" w:after="0"/>
        <w:jc w:val="left"/>
        <w:rPr>
          <w:rFonts w:ascii="Times New Roman;Times;Serif" w:hAnsi="Times New Roman;Times;Serif"/>
          <w:b w:val="false"/>
          <w:i w:val="false"/>
          <w:caps w:val="false"/>
          <w:smallCaps w:val="false"/>
          <w:color w:val="212529"/>
          <w:sz w:val="20"/>
        </w:rPr>
      </w:pPr>
      <w:r>
        <w:rPr>
          <w:rFonts w:ascii="Times New Roman;Times;Serif" w:hAnsi="Times New Roman;Times;Serif"/>
          <w:b/>
          <w:i w:val="false"/>
          <w:caps w:val="false"/>
          <w:smallCaps w:val="false"/>
          <w:color w:val="212529"/>
          <w:sz w:val="20"/>
        </w:rPr>
        <w:t>Item 5.02.</w:t>
      </w:r>
      <w:r>
        <w:rPr>
          <w:rFonts w:ascii="Times New Roman;Times;Serif" w:hAnsi="Times New Roman;Times;Serif"/>
          <w:b w:val="false"/>
          <w:i w:val="false"/>
          <w:caps w:val="false"/>
          <w:smallCaps w:val="false"/>
          <w:color w:val="212529"/>
          <w:sz w:val="20"/>
        </w:rPr>
        <w:t xml:space="preserve"> </w:t>
      </w:r>
      <w:r>
        <w:rPr>
          <w:rFonts w:ascii="Times New Roman;Times;Serif" w:hAnsi="Times New Roman;Times;Serif"/>
          <w:b/>
          <w:i w:val="false"/>
          <w:caps w:val="false"/>
          <w:smallCaps w:val="false"/>
          <w:color w:val="212529"/>
          <w:sz w:val="20"/>
        </w:rPr>
        <w:t>Departure of Directors or Certain Officers; Election of Directors; Appointment of Certain Officers; Compensatory Arrangements of Certain Officers.</w:t>
      </w:r>
      <w:r>
        <w:rPr>
          <w:rFonts w:ascii="Times New Roman;Times;Serif" w:hAnsi="Times New Roman;Times;Serif"/>
          <w:b w:val="false"/>
          <w:i w:val="false"/>
          <w:caps w:val="false"/>
          <w:smallCaps w:val="false"/>
          <w:color w:val="212529"/>
          <w:sz w:val="20"/>
        </w:rPr>
        <w:t> </w:t>
      </w:r>
    </w:p>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15, 2026, the Board of Directors (the “Board”) of Frequency Electronics, Inc. (the “Company”) elected Allen Kaplan as the Company’s Chief Financial Officer, effective November 1, 2026 (the “Effective Date”). In connection therewith, Steven L. Bernstein notified the Company of his intention to retire as Chief Financial Officer, Secretary and Treasurer of the Company, effective as of the Effective Date. In order to support a smooth transition of leadership, the Company plans to enter into a one-year consulting agreement with Mr. Bernstein pursuant to which Mr. Bernstein will provide transition services to the Company for the period beginning on the Effective Date. As the Company’s Chief Financial Officer, Mr. Kaplan will serve as the Company’s principal financial officer and principal accounting officer.</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Kaplan, age 45, has served as Vice President, Finance and Business Operations for the Defense Sector of Leidos, Inc., a subsidiary of Leidos Holdings, Inc. (NYSE: LDOS), since January 2026. Mr. Kaplan joined Leidos in 2016 and previously served as Business Operations Director from 2022 to January 2026 and as Business Operations Senior Manager from 2020 to 2022, having held roles of increasing responsibility in finance and business operations at Leidos from 2016 to 2020. Prior to joining Leidos, Mr. Kaplan was employed by Lockheed Martin Corporation from 2005 to 2016, where he held various roles of increasing responsibility. Mr. Kaplan holds an MBA from Villanova University and a B.S. in Supply Chain Management from Pennsylvania State University.</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his election as Chief Financial Officer of the Company, Mr. Kaplan’s annual base salary will be $280,000. He will also receive (i) an annual target performance bonus of 50% of his base salary to be paid following the finalization of the fiscal year end financial statements, which performance bonus will be pro-rated for fiscal year 2027, (ii) a one-time supplemental bonus of $37,500 to be paid in May 2027, (iii) a one-time new hire equity award in the form of 5,000 restricted stock units (the “RSU Award”) and 5,000 performance stock units (the “PSU Award”). The RSU Award is expected to be granted on the Effective Date and will vest in four equal installments on November 1, 2027, November 1, 2028, November 1, 2029 and November 1, 2030. The PSU Award is expected to be granted in two installments: (i) 1,500 performance stock units will be granted after the financial statements for the fiscal year ending April 30, 2027 are finalized and (ii) 3,500 stock units will be granted after the financial statements for the fiscal year ending April 30, 2028 are finalized. The PSU Award will vest, if at all, in four equal installments from the grant date. The Company will also reimburse Mr. Kaplan for relocation and temporary housing expenses in an amount up to $75,000.</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arrangements or understandings between Mr. Kaplan and any other person pursuant to which Mr. Kaplan was selected as an officer, and Mr. Kaplan does not have a family relationship with any of the Company’s directors or executive officers. Additionally, neither Mr. Kaplan nor any member of his immediate family has a direct or indirect material interest in any transaction required to be disclosed pursuant to Item 404(a)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7.01.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Regulation FD Disclosure.</w:t>
      </w:r>
    </w:p>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On October 21, 2026, the Company issued a press release announcing the election of Mr. Kaplan and to publicly reaffirm its previously announced fiscal year 2029 financial targets. A copy of the press release is attached as Exhibit 99.1 to this Current Report on Form 8-K and incorporated into this Item 7.01 by reference.</w:t>
      </w:r>
    </w:p>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In accordance with General Instruction B.2 of Form 8-K, the information in Item 7.01 of this Current Report on Form 8-K, including Exhibit 99.1 hereto, shall not be deemed “filed” for the purposes of Section 18 of the Securities Exchange Act of 1934, as amended, or otherwise subject to the liabilities of that section. The information in Item 7.01 of this Current Report on Form 8-K, including Exhibit 99.1 hereto, shall not be incorporated by reference into any filing or other document pursuant to the Securities Act of 1933, as amended, except as shall be expressly set forth by specific reference in such filing or document.</w:t>
      </w:r>
    </w:p>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jc w:val="left"/>
        <w:rPr>
          <w:rFonts w:ascii="Times New Roman;Times;Serif" w:hAnsi="Times New Roman;Times;Serif"/>
          <w:b w:val="false"/>
          <w:i w:val="false"/>
          <w:caps w:val="false"/>
          <w:smallCaps w:val="false"/>
          <w:color w:val="212529"/>
          <w:sz w:val="20"/>
        </w:rPr>
      </w:pPr>
      <w:r>
        <w:rPr>
          <w:rFonts w:ascii="Times New Roman;Times;Serif" w:hAnsi="Times New Roman;Times;Serif"/>
          <w:b/>
          <w:i w:val="false"/>
          <w:caps w:val="false"/>
          <w:smallCaps w:val="false"/>
          <w:color w:val="212529"/>
          <w:sz w:val="20"/>
        </w:rPr>
        <w:t>Item 9.01.</w:t>
      </w:r>
      <w:r>
        <w:rPr>
          <w:rFonts w:ascii="Times New Roman;Times;Serif" w:hAnsi="Times New Roman;Times;Serif"/>
          <w:b w:val="false"/>
          <w:i w:val="false"/>
          <w:caps w:val="false"/>
          <w:smallCaps w:val="false"/>
          <w:color w:val="212529"/>
          <w:sz w:val="20"/>
        </w:rPr>
        <w:t xml:space="preserve"> </w:t>
      </w:r>
      <w:r>
        <w:rPr>
          <w:rFonts w:ascii="Times New Roman;Times;Serif" w:hAnsi="Times New Roman;Times;Serif"/>
          <w:b/>
          <w:i w:val="false"/>
          <w:caps w:val="false"/>
          <w:smallCaps w:val="false"/>
          <w:color w:val="212529"/>
          <w:sz w:val="20"/>
        </w:rPr>
        <w:t>Financial Statements and Exhibits.</w:t>
      </w:r>
    </w:p>
    <w:p>
      <w:pPr>
        <w:pStyle w:val="TextBody"/>
        <w:shd w:fill="FFFFFF" w:val="clear"/>
        <w:bidi w:val="0"/>
        <w:spacing w:before="0" w:after="0"/>
        <w:ind w:left="0" w:right="0" w:hanging="0"/>
        <w:jc w:val="both"/>
        <w:rPr>
          <w:caps w:val="false"/>
          <w:smallCaps w:val="false"/>
          <w:color w:val="212529"/>
        </w:rPr>
      </w:pPr>
      <w:r>
        <w:rPr>
          <w:caps w:val="false"/>
          <w:smallCaps w:val="false"/>
          <w:color w:val="212529"/>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(d) Exhibits.</w:t>
      </w:r>
    </w:p>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tbl>
      <w:tblPr>
        <w:tblW w:w="5410" w:type="dxa"/>
        <w:jc w:val="left"/>
        <w:tblInd w:w="0" w:type="dxa"/>
        <w:tblLayout w:type="fixed"/>
        <w:tblCellMar>
          <w:top w:w="0" w:type="dxa"/>
          <w:left w:w="0" w:type="dxa"/>
          <w:bottom w:w="0" w:type="dxa"/>
          <w:right w:w="0" w:type="dxa"/>
        </w:tblCellMar>
      </w:tblPr>
      <w:tblGrid>
        <w:gridCol w:w="395"/>
        <w:gridCol w:w="60"/>
        <w:gridCol w:w="495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99.1</w:t>
            </w:r>
          </w:p>
        </w:tc>
        <w:tc>
          <w:tcPr>
            <w:tcW w:w="6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pPr>
            <w:hyperlink w:anchor="feimex99-1.htm">
              <w:r>
                <w:rPr>
                  <w:rStyle w:val="InternetLink"/>
                  <w:rFonts w:ascii="Times New Roman;Times;Serif" w:hAnsi="Times New Roman;Times;Serif"/>
                  <w:b w:val="false"/>
                  <w:i w:val="false"/>
                  <w:caps w:val="false"/>
                  <w:smallCaps w:val="false"/>
                  <w:color w:val="0000FF"/>
                  <w:sz w:val="20"/>
                </w:rPr>
                <w:t>Press release issued on October 21, 2026.</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104</w:t>
            </w:r>
          </w:p>
        </w:tc>
        <w:tc>
          <w:tcPr>
            <w:tcW w:w="6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Cover Page Interactive Data File (formatted in Inline XBRL).</w:t>
            </w:r>
          </w:p>
        </w:tc>
      </w:tr>
    </w:tbl>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75"/>
        <w:gridCol w:w="320"/>
        <w:gridCol w:w="31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46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Thomas McClelland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McClelland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President and Chief Executive Officer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2" w:name="feimex99-1.htm"/>
      <w:bookmarkStart w:id="23" w:name="ksfeimex991"/>
      <w:bookmarkEnd w:id="22"/>
      <w:bookmarkEnd w:id="2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PRESS RELEASE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Frequency Electronics Announces Chief Financial Officer Transition; Reaffirms Fiscal 2029 Financial Targets</w:t>
      </w:r>
    </w:p>
    <w:p>
      <w:pPr>
        <w:pStyle w:val="TextBody"/>
        <w:bidi w:val="0"/>
        <w:spacing w:before="0" w:after="0"/>
        <w:ind w:left="119"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Mitchel Field, NY, October 21, 2026 – Today, Frequency Electronics, Inc. (Nasdaq: FEIM) (“FEI” or the “Company”) announced the election of Allen Kaplan as its new Chief Financial Officer (CFO), effective November 1, 2026. As CFO, Mr. Kaplan will join the Company’s senior executive leadership team and will report directly to President and Chief Executive Officer (CEO) Tom McClelland.</w:t>
      </w:r>
    </w:p>
    <w:p>
      <w:pPr>
        <w:pStyle w:val="TextBody"/>
        <w:bidi w:val="0"/>
        <w:spacing w:before="0" w:after="0"/>
        <w:ind w:left="119"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Kaplan joins FEI following a distinguished career at Leidos Defense Sector, where, as Vice President of Finance and Business Operations, he most recently led financial strategy, pricing, capital investment and program financial performance for a large portfolio of defense programs. These manufacturing programs spanned the full life cycle from prototype through full-rate production. He succeeds Steven L. Bernstein, who will retire effective November 1, 2026.</w:t>
      </w:r>
    </w:p>
    <w:p>
      <w:pPr>
        <w:pStyle w:val="TextBody"/>
        <w:bidi w:val="0"/>
        <w:spacing w:before="0" w:after="0"/>
        <w:ind w:left="119"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 am pleased to welcome Allen to FEI in this very important role - he brings over 21 years of experience leading financial and accounting teams in our industry, and we are excited to work with him as our CFO,” said Tom McClelland, President and CEO, Frequency Electronics, Inc. “I also want to thank Steven L. Bernstein for his dedicated service to the Company over the last 16 years and wish him all the best in his well-deserved retirement.”</w:t>
      </w:r>
    </w:p>
    <w:p>
      <w:pPr>
        <w:pStyle w:val="TextBody"/>
        <w:bidi w:val="0"/>
        <w:spacing w:before="0" w:after="0"/>
        <w:ind w:left="119"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Kaplan’s tenure at Leidos included serving as Business Operations Director beginning in 2022 and, prior to that, roles of increasing responsibility in finance and business operations beginning in 2016. Previously, he was employed by Lockheed Martin Corporation from 2005 to 2016, where he served in various roles of increasing responsibility.</w:t>
      </w:r>
    </w:p>
    <w:p>
      <w:pPr>
        <w:pStyle w:val="TextBody"/>
        <w:bidi w:val="0"/>
        <w:spacing w:before="0" w:after="0"/>
        <w:ind w:left="119"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Kaplan earned a Bachelor’s degree in Supply Chain Management from Pennsylvania State University and a Master of Business Administration from Villanova University.</w:t>
      </w:r>
    </w:p>
    <w:p>
      <w:pPr>
        <w:pStyle w:val="TextBody"/>
        <w:bidi w:val="0"/>
        <w:spacing w:before="0" w:after="0"/>
        <w:ind w:left="119"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this management transition announcement, the Company is also reaffirming its previously provided three-year financial targets of:</w:t>
      </w:r>
    </w:p>
    <w:p>
      <w:pPr>
        <w:pStyle w:val="TextBody"/>
        <w:bidi w:val="0"/>
        <w:spacing w:before="0" w:after="0"/>
        <w:ind w:left="839" w:right="0" w:hanging="360"/>
        <w:jc w:val="left"/>
        <w:rPr>
          <w:caps w:val="false"/>
          <w:smallCaps w:val="false"/>
        </w:rPr>
      </w:pPr>
      <w:r>
        <w:rPr>
          <w:caps w:val="false"/>
          <w:smallCaps w:val="false"/>
        </w:rPr>
        <w:t> </w:t>
      </w:r>
    </w:p>
    <w:tbl>
      <w:tblPr>
        <w:tblW w:w="6318" w:type="dxa"/>
        <w:jc w:val="left"/>
        <w:tblInd w:w="0" w:type="dxa"/>
        <w:tblLayout w:type="fixed"/>
        <w:tblCellMar>
          <w:top w:w="0" w:type="dxa"/>
          <w:left w:w="0" w:type="dxa"/>
          <w:bottom w:w="0" w:type="dxa"/>
          <w:right w:w="0" w:type="dxa"/>
        </w:tblCellMar>
      </w:tblPr>
      <w:tblGrid>
        <w:gridCol w:w="38"/>
        <w:gridCol w:w="170"/>
        <w:gridCol w:w="61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Minimum revenue of $150 million by the fiscal year ended April 30, 2029;</w:t>
            </w:r>
          </w:p>
        </w:tc>
      </w:tr>
    </w:tbl>
    <w:p>
      <w:pPr>
        <w:pStyle w:val="TextBody"/>
        <w:bidi w:val="0"/>
        <w:spacing w:before="0" w:after="0"/>
        <w:ind w:left="839" w:right="0" w:hanging="360"/>
        <w:jc w:val="left"/>
        <w:rPr>
          <w:caps w:val="false"/>
          <w:smallCaps w:val="false"/>
        </w:rPr>
      </w:pPr>
      <w:r>
        <w:rPr>
          <w:caps w:val="false"/>
          <w:smallCaps w:val="false"/>
        </w:rPr>
        <w:t> </w:t>
      </w:r>
    </w:p>
    <w:tbl>
      <w:tblPr>
        <w:tblW w:w="6363" w:type="dxa"/>
        <w:jc w:val="left"/>
        <w:tblInd w:w="0" w:type="dxa"/>
        <w:tblLayout w:type="fixed"/>
        <w:tblCellMar>
          <w:top w:w="0" w:type="dxa"/>
          <w:left w:w="0" w:type="dxa"/>
          <w:bottom w:w="0" w:type="dxa"/>
          <w:right w:w="0" w:type="dxa"/>
        </w:tblCellMar>
      </w:tblPr>
      <w:tblGrid>
        <w:gridCol w:w="38"/>
        <w:gridCol w:w="170"/>
        <w:gridCol w:w="61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Minimum gross margin of 50% by the fiscal year ended April 30, 2029; and</w:t>
            </w:r>
          </w:p>
        </w:tc>
      </w:tr>
    </w:tbl>
    <w:p>
      <w:pPr>
        <w:pStyle w:val="TextBody"/>
        <w:bidi w:val="0"/>
        <w:spacing w:before="0" w:after="0"/>
        <w:ind w:left="839" w:right="0" w:hanging="360"/>
        <w:jc w:val="left"/>
        <w:rPr>
          <w:caps w:val="false"/>
          <w:smallCaps w:val="false"/>
        </w:rPr>
      </w:pPr>
      <w:r>
        <w:rPr>
          <w:caps w:val="false"/>
          <w:smallCaps w:val="false"/>
        </w:rPr>
        <w:t> </w:t>
      </w:r>
    </w:p>
    <w:tbl>
      <w:tblPr>
        <w:tblW w:w="6363" w:type="dxa"/>
        <w:jc w:val="left"/>
        <w:tblInd w:w="0" w:type="dxa"/>
        <w:tblLayout w:type="fixed"/>
        <w:tblCellMar>
          <w:top w:w="0" w:type="dxa"/>
          <w:left w:w="0" w:type="dxa"/>
          <w:bottom w:w="0" w:type="dxa"/>
          <w:right w:w="0" w:type="dxa"/>
        </w:tblCellMar>
      </w:tblPr>
      <w:tblGrid>
        <w:gridCol w:w="38"/>
        <w:gridCol w:w="170"/>
        <w:gridCol w:w="61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Minimum operating margin of 30% by the fiscal year ended April 30, 2029.</w:t>
            </w:r>
          </w:p>
        </w:tc>
      </w:tr>
    </w:tbl>
    <w:p>
      <w:pPr>
        <w:pStyle w:val="TextBody"/>
        <w:shd w:fill="FFFFFF" w:val="clear"/>
        <w:bidi w:val="0"/>
        <w:spacing w:before="0" w:after="0"/>
        <w:ind w:left="101" w:right="0" w:firstLine="14"/>
        <w:jc w:val="left"/>
        <w:rPr>
          <w:caps w:val="false"/>
          <w:smallCaps w:val="false"/>
        </w:rPr>
      </w:pPr>
      <w:r>
        <w:rPr>
          <w:caps w:val="false"/>
          <w:smallCaps w:val="false"/>
        </w:rPr>
        <w:t> </w:t>
      </w:r>
    </w:p>
    <w:p>
      <w:pPr>
        <w:pStyle w:val="TextBody"/>
        <w:shd w:fill="FFFFFF" w:val="clear"/>
        <w:bidi w:val="0"/>
        <w:spacing w:before="0" w:after="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Frequency Electronics</w:t>
      </w:r>
    </w:p>
    <w:p>
      <w:pPr>
        <w:pStyle w:val="TextBody"/>
        <w:shd w:fill="FFFFFF" w:val="clear"/>
        <w:bidi w:val="0"/>
        <w:spacing w:before="0" w:after="0"/>
        <w:ind w:left="101" w:right="0" w:firstLine="1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Frequency Electronics, Inc. (FEI) is a world leader in precision time and frequency generation technology, which is incorporated into commercial and U.S. Government satellites, Command, Control, Communication, Computer, Intelligence, Surveillance and Reconnaissance (“C4ISR”), and Electronic Warfare (“EW”) systems. Its technology is used for a wide range of space and non-space applications. FEI has received over 100 awards of excellence for achievements in providing high performance electronic assemblies for over 150 space and Department of War programs. The Company invests significant resources in research and development to expand its capabilities and markets.</w:t>
      </w:r>
    </w:p>
    <w:p>
      <w:pPr>
        <w:pStyle w:val="TextBody"/>
        <w:shd w:fill="FFFFFF" w:val="clear"/>
        <w:bidi w:val="0"/>
        <w:spacing w:before="0" w:after="0"/>
        <w:ind w:left="101" w:right="0" w:firstLine="14"/>
        <w:jc w:val="left"/>
        <w:rPr>
          <w:caps w:val="false"/>
          <w:smallCaps w:val="false"/>
        </w:rPr>
      </w:pPr>
      <w:r>
        <w:rPr>
          <w:caps w:val="false"/>
          <w:smallCaps w:val="false"/>
        </w:rPr>
        <w:t> </w:t>
      </w:r>
    </w:p>
    <w:p>
      <w:pPr>
        <w:pStyle w:val="TextBody"/>
        <w:bidi w:val="0"/>
        <w:spacing w:before="0" w:after="0"/>
        <w:ind w:left="101" w:right="0" w:firstLine="14"/>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101" w:right="0" w:firstLine="14"/>
        <w:jc w:val="left"/>
        <w:rPr>
          <w:caps w:val="false"/>
          <w:smallCaps w:val="false"/>
        </w:rPr>
      </w:pPr>
      <w:r>
        <w:rPr>
          <w:caps w:val="false"/>
          <w:smallCaps w:val="false"/>
        </w:rPr>
        <w:t> </w:t>
      </w:r>
    </w:p>
    <w:p>
      <w:pPr>
        <w:pStyle w:val="TextBody"/>
        <w:shd w:fill="FFFFFF" w:val="clear"/>
        <w:bidi w:val="0"/>
        <w:spacing w:before="0" w:after="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Forward-Looking Statements</w:t>
      </w:r>
    </w:p>
    <w:p>
      <w:pPr>
        <w:pStyle w:val="TextBody"/>
        <w:shd w:fill="FFFFFF" w:val="clear"/>
        <w:bidi w:val="0"/>
        <w:spacing w:before="0" w:after="0"/>
        <w:ind w:left="101" w:right="0" w:firstLine="1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statements in this press release regarding future earnings and operations, including statements regarding our three-year gross margin target, our three-year operating margin target, our three-year revenue target and similar targets or objectives,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the risks associated with reliance on key customers, including the U.S. government, the Company’s use of estimates when accounting for contracts, actions by significant customers or competitors, competitive factors, new products and technological changes, continued acceptance of the Company’s products in the marketplace, dependence upon third-party vendors, product prices and raw material costs, the Company’s ability to attract and retain key employees, general domestic and international economic conditions, health epidemics and pandemics, external disruptions to the Company’s facilities or supply chain, the Company’s operations in a highly regulated industry, the outcome of any litigation and arbitration proceedings, cybersecurity attacks, noncompliance with any of the covenants in the credit agreement, volatility in the Company’s stock price, including due to the relatively low trading volume of its common stock, and failure to maintain an effective system of internal controls over financial reporting. The factors listed above are not exhaustive and should be read in conjunction with the other cautionary statements that are included in this release and in our filings with the Securities and Exchange Commission. The Company’s Annual Report on Form 10-K for the fiscal year ended April 30, 2026, filed on July 17, 2026 with the Securities and Exchange Commission includes additional factors that could materially and adversely impact the Company’s business, financial condition and results of operations, as such factors are updated from time to time in our periodic filings with the Securities and Exchange Commission, which are accessible on the Securities and Exchange Commission’s website at www.sec.gov. Moreover, the Company operates in a very competitive and rapidly changing environment. New factors emerge from time to time and it is not possible for management to predict the impact of all these factors on the Company’s business, financial condition or results of operations or the extent to which any factor, or combination of factors, may cause actual results to differ materially from those contained in any forward-looking statements. Given these risks and uncertainties, investors should not rely on forward-looking statements as a prediction of actual results. Any or all of the forward-looking statements contained in this press release and any other public statement made by the Company or its management may turn out to be incorrect. The Company expressly disclaims any obligation to update or revise any forward-looking statements, whether as a result of new information, future events or otherwise, except as required by law.</w:t>
      </w:r>
    </w:p>
    <w:p>
      <w:pPr>
        <w:pStyle w:val="TextBody"/>
        <w:bidi w:val="0"/>
        <w:spacing w:before="0" w:after="0"/>
        <w:ind w:left="0" w:right="0" w:hanging="0"/>
        <w:jc w:val="left"/>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1790"/>
        <w:gridCol w:w="5135"/>
      </w:tblGrid>
      <w:tr>
        <w:trPr/>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information: </w:t>
            </w:r>
          </w:p>
        </w:tc>
        <w:tc>
          <w:tcPr>
            <w:tcW w:w="5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Thomas McClelland, President and Chief Executive Officer</w:t>
            </w:r>
          </w:p>
        </w:tc>
      </w:tr>
      <w:tr>
        <w:trPr/>
        <w:tc>
          <w:tcPr>
            <w:tcW w:w="1790" w:type="dxa"/>
            <w:tcBorders/>
            <w:vAlign w:val="center"/>
          </w:tcPr>
          <w:p>
            <w:pPr>
              <w:pStyle w:val="TableContents"/>
              <w:bidi w:val="0"/>
              <w:spacing w:before="0" w:after="283"/>
              <w:jc w:val="left"/>
              <w:rPr>
                <w:caps w:val="false"/>
                <w:smallCaps w:val="false"/>
              </w:rPr>
            </w:pPr>
            <w:r>
              <w:rPr>
                <w:caps w:val="false"/>
                <w:smallCaps w:val="false"/>
              </w:rPr>
              <w:t> </w:t>
            </w:r>
          </w:p>
        </w:tc>
        <w:tc>
          <w:tcPr>
            <w:tcW w:w="5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TELEPHONE: </w:t>
            </w:r>
          </w:p>
        </w:tc>
        <w:tc>
          <w:tcPr>
            <w:tcW w:w="5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 794-4500 EXT.5000</w:t>
            </w:r>
          </w:p>
        </w:tc>
      </w:tr>
    </w:tbl>
    <w:p>
      <w:pPr>
        <w:pStyle w:val="TextBody"/>
        <w:bidi w:val="0"/>
        <w:spacing w:before="0" w:after="283"/>
        <w:jc w:val="left"/>
        <w:rPr/>
      </w:pPr>
      <w:r>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2060</Words>
  <Characters>11452</Characters>
  <CharactersWithSpaces>13521</CharactersWithSpaces>
  <Paragraphs>183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