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1980" w:hanging="3586"/>
        <w:spacing w:after="0" w:line="530" w:lineRule="auto"/>
        <w:tabs>
          <w:tab w:leader="none" w:pos="814"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2015</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1960" w:hanging="3106"/>
        <w:spacing w:after="0" w:line="524" w:lineRule="auto"/>
        <w:tabs>
          <w:tab w:leader="none" w:pos="8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5"/>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5800" w:type="dxa"/>
            <w:vAlign w:val="bottom"/>
            <w:gridSpan w:val="6"/>
          </w:tcPr>
          <w:p>
            <w:pPr>
              <w:jc w:val="center"/>
              <w:ind w:right="9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60" w:type="dxa"/>
            <w:vAlign w:val="bottom"/>
          </w:tcPr>
          <w:p>
            <w:pPr>
              <w:spacing w:after="0"/>
              <w:rPr>
                <w:sz w:val="24"/>
                <w:szCs w:val="24"/>
                <w:color w:val="auto"/>
              </w:rPr>
            </w:pPr>
          </w:p>
        </w:tc>
        <w:tc>
          <w:tcPr>
            <w:tcW w:w="5800" w:type="dxa"/>
            <w:vAlign w:val="bottom"/>
            <w:gridSpan w:val="6"/>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gridSpan w:val="3"/>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6260" w:type="dxa"/>
            <w:vAlign w:val="bottom"/>
            <w:gridSpan w:val="7"/>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1800" w:space="720"/>
            <w:col w:w="1800" w:space="720"/>
            <w:col w:w="3300" w:space="400"/>
            <w:col w:w="2680"/>
          </w:cols>
          <w:pgMar w:left="240" w:top="297"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8180" w:space="140"/>
            <w:col w:w="400" w:space="140"/>
            <w:col w:w="2560"/>
          </w:cols>
          <w:pgMar w:left="240" w:top="29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September 9, 2015 – 8,716,083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900" w:type="dxa"/>
            <w:vAlign w:val="bottom"/>
            <w:gridSpan w:val="1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Page No.</w:t>
            </w:r>
          </w:p>
        </w:tc>
        <w:tc>
          <w:tcPr>
            <w:tcW w:w="640" w:type="dxa"/>
            <w:vAlign w:val="bottom"/>
          </w:tcPr>
          <w:p>
            <w:pPr>
              <w:spacing w:after="0"/>
              <w:rPr>
                <w:sz w:val="24"/>
                <w:szCs w:val="24"/>
                <w:color w:val="auto"/>
              </w:rPr>
            </w:pPr>
          </w:p>
        </w:tc>
      </w:tr>
      <w:tr>
        <w:trPr>
          <w:trHeight w:val="216"/>
        </w:trPr>
        <w:tc>
          <w:tcPr>
            <w:tcW w:w="9900" w:type="dxa"/>
            <w:vAlign w:val="bottom"/>
            <w:gridSpan w:val="13"/>
          </w:tcPr>
          <w:p>
            <w:pPr>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92"/>
        </w:trPr>
        <w:tc>
          <w:tcPr>
            <w:tcW w:w="18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31, 2015 (unaudited) and April 30, 2015</w:t>
              </w:r>
            </w:hyperlink>
          </w:p>
        </w:tc>
        <w:tc>
          <w:tcPr>
            <w:tcW w:w="3220" w:type="dxa"/>
            <w:vAlign w:val="bottom"/>
            <w:gridSpan w:val="4"/>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64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Income and Comprehensive Income (unaudited) Three Months Ended July 31, 2015 and</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40" w:type="dxa"/>
            <w:vAlign w:val="bottom"/>
          </w:tcPr>
          <w:p>
            <w:pPr>
              <w:spacing w:after="0"/>
              <w:rPr>
                <w:sz w:val="24"/>
                <w:szCs w:val="24"/>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2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2014</w:t>
              </w:r>
            </w:hyperlink>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Three Months Ended July 31, 2015 and 2014</w:t>
              </w:r>
            </w:hyperlink>
          </w:p>
        </w:tc>
        <w:tc>
          <w:tcPr>
            <w:tcW w:w="168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4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8"/>
              </w:rPr>
              <w:t>6-11</w:t>
            </w:r>
          </w:p>
        </w:tc>
        <w:tc>
          <w:tcPr>
            <w:tcW w:w="6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2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 – Management's Discussion and Analysis of Financial Condition and Results of Operations</w:t>
              </w:r>
            </w:hyperlink>
          </w:p>
        </w:tc>
        <w:tc>
          <w:tcPr>
            <w:tcW w:w="2640" w:type="dxa"/>
            <w:vAlign w:val="bottom"/>
            <w:gridSpan w:val="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12-17</w:t>
            </w:r>
          </w:p>
        </w:tc>
        <w:tc>
          <w:tcPr>
            <w:tcW w:w="64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50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3 – Quantitative and Qualitative Disclosures About Market Risk</w:t>
              </w:r>
            </w:hyperlink>
          </w:p>
        </w:tc>
        <w:tc>
          <w:tcPr>
            <w:tcW w:w="4700" w:type="dxa"/>
            <w:vAlign w:val="bottom"/>
            <w:gridSpan w:val="5"/>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64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 – Controls and Procedures</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6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32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69"/>
        </w:trPr>
        <w:tc>
          <w:tcPr>
            <w:tcW w:w="9900" w:type="dxa"/>
            <w:vAlign w:val="bottom"/>
            <w:gridSpan w:val="13"/>
          </w:tcPr>
          <w:p>
            <w:pPr>
              <w:spacing w:after="0"/>
              <w:rPr>
                <w:sz w:val="20"/>
                <w:szCs w:val="20"/>
                <w:color w:val="auto"/>
              </w:rPr>
            </w:pPr>
            <w:r>
              <w:rPr>
                <w:rFonts w:ascii="Arial" w:cs="Arial" w:eastAsia="Arial" w:hAnsi="Arial"/>
                <w:sz w:val="18"/>
                <w:szCs w:val="18"/>
                <w:b w:val="1"/>
                <w:bCs w:val="1"/>
                <w:color w:val="auto"/>
              </w:rPr>
              <w:t>Part II. Other Information:</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6 – Exhibits</w:t>
              </w:r>
            </w:hyperlink>
          </w:p>
        </w:tc>
        <w:tc>
          <w:tcPr>
            <w:tcW w:w="848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640" w:type="dxa"/>
            <w:vAlign w:val="bottom"/>
          </w:tcPr>
          <w:p>
            <w:pPr>
              <w:spacing w:after="0"/>
              <w:rPr>
                <w:sz w:val="24"/>
                <w:szCs w:val="24"/>
                <w:color w:val="auto"/>
              </w:rPr>
            </w:pPr>
          </w:p>
        </w:tc>
      </w:tr>
      <w:tr>
        <w:trPr>
          <w:trHeight w:val="412"/>
        </w:trPr>
        <w:tc>
          <w:tcPr>
            <w:tcW w:w="990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640" w:type="dxa"/>
            <w:vAlign w:val="bottom"/>
          </w:tcPr>
          <w:p>
            <w:pPr>
              <w:spacing w:after="0"/>
              <w:rPr>
                <w:sz w:val="24"/>
                <w:szCs w:val="24"/>
                <w:color w:val="auto"/>
              </w:rPr>
            </w:pPr>
          </w:p>
        </w:tc>
      </w:tr>
      <w:tr>
        <w:trPr>
          <w:trHeight w:val="679"/>
        </w:trPr>
        <w:tc>
          <w:tcPr>
            <w:tcW w:w="1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u w:val="single" w:color="auto"/>
          <w:color w:val="auto"/>
        </w:rPr>
        <w:t>FINANCIAL STATEMENTS</w:t>
      </w:r>
    </w:p>
    <w:p>
      <w:pPr>
        <w:spacing w:after="0" w:line="25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40" w:type="dxa"/>
            <w:vAlign w:val="bottom"/>
            <w:vMerge w:val="restart"/>
          </w:tcPr>
          <w:p>
            <w:pPr>
              <w:ind w:left="31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4"/>
                <w:szCs w:val="24"/>
                <w:color w:val="auto"/>
              </w:rPr>
            </w:pPr>
          </w:p>
        </w:tc>
        <w:tc>
          <w:tcPr>
            <w:tcW w:w="2700" w:type="dxa"/>
            <w:vAlign w:val="bottom"/>
            <w:gridSpan w:val="7"/>
          </w:tcPr>
          <w:p>
            <w:pPr>
              <w:jc w:val="right"/>
              <w:ind w:right="340"/>
              <w:spacing w:after="0"/>
              <w:rPr>
                <w:sz w:val="20"/>
                <w:szCs w:val="20"/>
                <w:color w:val="auto"/>
              </w:rPr>
            </w:pPr>
            <w:r>
              <w:rPr>
                <w:rFonts w:ascii="Arial" w:cs="Arial" w:eastAsia="Arial" w:hAnsi="Arial"/>
                <w:sz w:val="18"/>
                <w:szCs w:val="18"/>
                <w:color w:val="auto"/>
                <w:w w:val="92"/>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10,364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 $189 at July 31, 2015 and April 30, 2015</w:t>
            </w:r>
          </w:p>
        </w:tc>
        <w:tc>
          <w:tcPr>
            <w:tcW w:w="2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14,645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39,090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84,406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12,334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119,122</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117,825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Accrued liabilities and income taxes payable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Long term debt- noncurrent</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 $1.00 par value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Common stock - $1.00 par value, issued 9,164 shares</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54,652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28,419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cost (448 shares at July 31, 2015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465 shares at April 30, 2015)</w:t>
            </w:r>
          </w:p>
        </w:tc>
        <w:tc>
          <w:tcPr>
            <w:tcW w:w="2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93,498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119,122</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117,825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780"/>
          </w:cols>
          <w:pgMar w:left="240" w:top="121" w:right="8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8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000" w:type="dxa"/>
            <w:vAlign w:val="bottom"/>
            <w:gridSpan w:val="2"/>
          </w:tcPr>
          <w:p>
            <w:pPr>
              <w:jc w:val="center"/>
              <w:ind w:left="22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80" w:type="dxa"/>
            <w:vAlign w:val="bottom"/>
            <w:gridSpan w:val="4"/>
          </w:tcPr>
          <w:p>
            <w:pPr>
              <w:jc w:val="center"/>
              <w:ind w:left="1030"/>
              <w:spacing w:after="0"/>
              <w:rPr>
                <w:sz w:val="20"/>
                <w:szCs w:val="20"/>
                <w:color w:val="auto"/>
              </w:rPr>
            </w:pPr>
            <w:r>
              <w:rPr>
                <w:rFonts w:ascii="Arial" w:cs="Arial" w:eastAsia="Arial" w:hAnsi="Arial"/>
                <w:sz w:val="18"/>
                <w:szCs w:val="18"/>
                <w:color w:val="auto"/>
                <w:w w:val="89"/>
              </w:rPr>
              <w:t>Condensed Consolidated Statements of Income and Comprehensive Income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60" w:type="dxa"/>
            <w:vAlign w:val="bottom"/>
            <w:gridSpan w:val="3"/>
          </w:tcPr>
          <w:p>
            <w:pPr>
              <w:jc w:val="center"/>
              <w:ind w:left="3476"/>
              <w:spacing w:after="0"/>
              <w:rPr>
                <w:sz w:val="20"/>
                <w:szCs w:val="20"/>
                <w:color w:val="auto"/>
              </w:rPr>
            </w:pPr>
            <w:r>
              <w:rPr>
                <w:rFonts w:ascii="Arial" w:cs="Arial" w:eastAsia="Arial" w:hAnsi="Arial"/>
                <w:sz w:val="18"/>
                <w:szCs w:val="18"/>
                <w:color w:val="auto"/>
                <w:w w:val="89"/>
              </w:rPr>
              <w:t>__________________________</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jc w:val="center"/>
              <w:ind w:left="2450"/>
              <w:spacing w:after="0"/>
              <w:rPr>
                <w:sz w:val="20"/>
                <w:szCs w:val="20"/>
                <w:color w:val="auto"/>
              </w:rPr>
            </w:pPr>
            <w:r>
              <w:rPr>
                <w:rFonts w:ascii="Arial" w:cs="Arial" w:eastAsia="Arial" w:hAnsi="Arial"/>
                <w:sz w:val="18"/>
                <w:szCs w:val="18"/>
                <w:color w:val="auto"/>
                <w:w w:val="90"/>
              </w:rPr>
              <w:t>Three Months Ended July 31,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jc w:val="center"/>
              <w:ind w:left="245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16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418"/>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18"/>
                <w:szCs w:val="18"/>
                <w:color w:val="auto"/>
              </w:rPr>
            </w:pP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Unrealized gain (loss) on marketable securities: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reclassification, net of tax of $94 and ($139)</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tcPr>
          <w:p>
            <w:pPr>
              <w:ind w:left="480"/>
              <w:spacing w:after="0"/>
              <w:rPr>
                <w:sz w:val="20"/>
                <w:szCs w:val="20"/>
                <w:color w:val="auto"/>
              </w:rPr>
            </w:pPr>
            <w:r>
              <w:rPr>
                <w:rFonts w:ascii="Arial" w:cs="Arial" w:eastAsia="Arial" w:hAnsi="Arial"/>
                <w:sz w:val="18"/>
                <w:szCs w:val="18"/>
                <w:color w:val="auto"/>
              </w:rPr>
              <w:t>net income, net of tax of $47 and $95</w:t>
            </w: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unrealized (loss) gain on marketable securities, net of tax</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14"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8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jc w:val="center"/>
              <w:ind w:left="2470"/>
              <w:spacing w:after="0"/>
              <w:rPr>
                <w:sz w:val="20"/>
                <w:szCs w:val="20"/>
                <w:color w:val="auto"/>
              </w:rPr>
            </w:pPr>
            <w:r>
              <w:rPr>
                <w:rFonts w:ascii="Arial" w:cs="Arial" w:eastAsia="Arial" w:hAnsi="Arial"/>
                <w:sz w:val="18"/>
                <w:szCs w:val="18"/>
                <w:color w:val="auto"/>
                <w:w w:val="89"/>
              </w:rPr>
              <w:t>Condensed Consolidated Statements of Cash Flows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60" w:type="dxa"/>
            <w:vAlign w:val="bottom"/>
            <w:gridSpan w:val="3"/>
          </w:tcPr>
          <w:p>
            <w:pPr>
              <w:jc w:val="right"/>
              <w:ind w:right="1210"/>
              <w:spacing w:after="0"/>
              <w:rPr>
                <w:sz w:val="20"/>
                <w:szCs w:val="20"/>
                <w:color w:val="auto"/>
              </w:rPr>
            </w:pPr>
            <w:r>
              <w:rPr>
                <w:rFonts w:ascii="Arial" w:cs="Arial" w:eastAsia="Arial" w:hAnsi="Arial"/>
                <w:sz w:val="18"/>
                <w:szCs w:val="18"/>
                <w:color w:val="auto"/>
              </w:rPr>
              <w:t>__________________________</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jc w:val="center"/>
              <w:ind w:left="2450"/>
              <w:spacing w:after="0"/>
              <w:rPr>
                <w:sz w:val="20"/>
                <w:szCs w:val="20"/>
                <w:color w:val="auto"/>
              </w:rPr>
            </w:pPr>
            <w:r>
              <w:rPr>
                <w:rFonts w:ascii="Arial" w:cs="Arial" w:eastAsia="Arial" w:hAnsi="Arial"/>
                <w:sz w:val="18"/>
                <w:szCs w:val="18"/>
                <w:color w:val="auto"/>
                <w:w w:val="90"/>
              </w:rPr>
              <w:t>Three Months Ended July 31,</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jc w:val="center"/>
              <w:ind w:left="2450"/>
              <w:spacing w:after="0"/>
              <w:rPr>
                <w:sz w:val="20"/>
                <w:szCs w:val="20"/>
                <w:color w:val="auto"/>
              </w:rPr>
            </w:pPr>
            <w:r>
              <w:rPr>
                <w:rFonts w:ascii="Arial" w:cs="Arial" w:eastAsia="Arial" w:hAnsi="Arial"/>
                <w:sz w:val="18"/>
                <w:szCs w:val="18"/>
                <w:color w:val="auto"/>
                <w:w w:val="91"/>
              </w:rPr>
              <w:t>(Unaudited)</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74"/>
              </w:rPr>
              <w:t>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Non-cash charges to earnings,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(1,825)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of marketable securities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Proceeds on redemption of marketable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of fixed assets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Borrowings from long-term credit facility</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Tax benefit from exercise of stock-based compensation</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decrease in cash and cash equivalents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before effect of exchange rate changes</w:t>
            </w:r>
          </w:p>
        </w:tc>
        <w:tc>
          <w:tcPr>
            <w:tcW w:w="8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(1,882)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(1,298)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5,924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Cash paid during the period for:</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Income Taxes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14" w:right="8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2015 and the results of its operations and cash flows for the three months ended July 31, 2015 and 2014. The April 30, 2015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2015 filed on July 29, 2015. The results of operations for such interim periods are not necessarily indicative of the operating results for the full fiscal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54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EPS Shares outstanding</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8,706,185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8,578,733</w:t>
            </w:r>
          </w:p>
        </w:tc>
        <w:tc>
          <w:tcPr>
            <w:tcW w:w="120" w:type="dxa"/>
            <w:vAlign w:val="bottom"/>
            <w:shd w:val="clear" w:color="auto" w:fill="CCEEFF"/>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277,852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278,116</w:t>
            </w:r>
          </w:p>
        </w:tc>
      </w:tr>
      <w:tr>
        <w:trPr>
          <w:trHeight w:val="27"/>
        </w:trPr>
        <w:tc>
          <w:tcPr>
            <w:tcW w:w="5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8,984,037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8,856,849</w:t>
            </w:r>
          </w:p>
        </w:tc>
        <w:tc>
          <w:tcPr>
            <w:tcW w:w="120" w:type="dxa"/>
            <w:vAlign w:val="bottom"/>
            <w:shd w:val="clear" w:color="auto" w:fill="CCEEFF"/>
          </w:tcPr>
          <w:p>
            <w:pPr>
              <w:spacing w:after="0"/>
              <w:rPr>
                <w:sz w:val="20"/>
                <w:szCs w:val="20"/>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2015 and 2014 were 330,500 and 300,875,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July 31, 2015 and April 30, 2015,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2015</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15,203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12,929</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2015 and 2014, revenue recognized under percentage of completion contracts was approximately $9.3 million and $12.9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 period ended July 31, 2015, the Company made a contribution of 12,195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4,905 shares from treasury upon the exercise of SARs by certain officers and employees of the Company.</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2015</w:t>
            </w:r>
          </w:p>
        </w:tc>
        <w:tc>
          <w:tcPr>
            <w:tcW w:w="120" w:type="dxa"/>
            <w:vAlign w:val="bottom"/>
          </w:tcPr>
          <w:p>
            <w:pPr>
              <w:spacing w:after="0"/>
              <w:rPr>
                <w:sz w:val="24"/>
                <w:szCs w:val="24"/>
                <w:color w:val="auto"/>
              </w:rPr>
            </w:pPr>
          </w:p>
        </w:tc>
      </w:tr>
      <w:tr>
        <w:trPr>
          <w:trHeight w:val="243"/>
        </w:trPr>
        <w:tc>
          <w:tcPr>
            <w:tcW w:w="14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24,274</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9,948</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39,090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38,239</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July 31, 2015 and April 30, 2015, approximately $32.5 million and $32.0 million, respectively, of total inventory is located in the United States, approximately $5.5 million and $5.4 million, respectively, is located in Belgium and approximately $1.0 million and $0.8 million, respectively, is located in China.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presents information about reported segments with reconciliation of segment amounts to consolidated amounts as reported in the statement of operations or the balance sheet for each of the periods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38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revenues:</w:t>
            </w:r>
          </w:p>
        </w:tc>
        <w:tc>
          <w:tcPr>
            <w:tcW w:w="16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5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13,494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17,257</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1,407</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less intercompany revenues</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7"/>
        </w:trPr>
        <w:tc>
          <w:tcPr>
            <w:tcW w:w="3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16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16,680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19,740</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241"/>
        </w:trPr>
        <w:tc>
          <w:tcPr>
            <w:tcW w:w="3960" w:type="dxa"/>
            <w:vAlign w:val="bottom"/>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profit (loss):</w:t>
            </w:r>
          </w:p>
        </w:tc>
        <w:tc>
          <w:tcPr>
            <w:tcW w:w="15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4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7"/>
        </w:trPr>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operating profit</w:t>
            </w:r>
          </w:p>
        </w:tc>
        <w:tc>
          <w:tcPr>
            <w:tcW w:w="1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July 31, 2015</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 (approximately $2.5 million in China)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63,541</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9,878</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(8,775)</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42,093</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119,122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117,825</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July 31, 2015 and 2014, the Company acquired product from Morion in the aggregate amount of approximately $32,000 and $65,000, respectively, and the Company sold product and services to Morion in the aggregate amount of approximately $423,000 and $183,000, respectively. At July 31, 2015 and April 30, 2015, accounts receivable included $429,000 and $145,000, respectively, due from Morion and $0 and $23,000, respectively, was payable to Morion.</w:t>
      </w:r>
    </w:p>
    <w:p>
      <w:pPr>
        <w:spacing w:after="0" w:line="21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The $925,000 deposit previously recorded as deferred revenue was recognized as income during the second quarter of fiscal year 2015. For the three months ended July 31, 2015, sales to Morion included $375,000 for product and training services under this agreement. During the first quarter of fiscal year 2015, there were no sales to Morion under the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ectPr>
          <w:pgSz w:w="11900" w:h="16838" w:orient="portrait"/>
          <w:cols w:equalWidth="0" w:num="1">
            <w:col w:w="11420"/>
          </w:cols>
          <w:pgMar w:left="240" w:top="12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2015 and April 30, 2015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220"/>
              <w:spacing w:after="0"/>
              <w:rPr>
                <w:sz w:val="20"/>
                <w:szCs w:val="20"/>
                <w:color w:val="auto"/>
              </w:rPr>
            </w:pPr>
            <w:r>
              <w:rPr>
                <w:rFonts w:ascii="Arial" w:cs="Arial" w:eastAsia="Arial" w:hAnsi="Arial"/>
                <w:sz w:val="18"/>
                <w:szCs w:val="18"/>
                <w:b w:val="1"/>
                <w:bCs w:val="1"/>
                <w:color w:val="auto"/>
              </w:rPr>
              <w:t>July 31, 2015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175"/>
              <w:spacing w:after="0" w:line="198"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175"/>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3,225</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7,096</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10,364</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8"/>
                <w:szCs w:val="18"/>
                <w:b w:val="1"/>
                <w:bCs w:val="1"/>
                <w:color w:val="auto"/>
              </w:rPr>
              <w:t>April 30,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175"/>
              <w:spacing w:after="0" w:line="198"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175"/>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3,379</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7,018</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7,719</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10,397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5"/>
          </w:tcPr>
          <w:p>
            <w:pPr>
              <w:ind w:left="760"/>
              <w:spacing w:after="0" w:line="202" w:lineRule="exact"/>
              <w:rPr>
                <w:sz w:val="20"/>
                <w:szCs w:val="20"/>
                <w:color w:val="auto"/>
              </w:rPr>
            </w:pPr>
            <w:r>
              <w:rPr>
                <w:rFonts w:ascii="Arial" w:cs="Arial" w:eastAsia="Arial" w:hAnsi="Arial"/>
                <w:sz w:val="18"/>
                <w:szCs w:val="18"/>
                <w:b w:val="1"/>
                <w:bCs w:val="1"/>
                <w:color w:val="auto"/>
              </w:rPr>
              <w:t>July 31, 2015</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gridSpan w:val="4"/>
          </w:tcPr>
          <w:p>
            <w:pPr>
              <w:ind w:left="60"/>
              <w:spacing w:after="0" w:line="196" w:lineRule="exact"/>
              <w:rPr>
                <w:sz w:val="20"/>
                <w:szCs w:val="20"/>
                <w:color w:val="auto"/>
              </w:rPr>
            </w:pPr>
            <w:r>
              <w:rPr>
                <w:rFonts w:ascii="Arial" w:cs="Arial" w:eastAsia="Arial" w:hAnsi="Arial"/>
                <w:sz w:val="18"/>
                <w:szCs w:val="18"/>
                <w:b w:val="1"/>
                <w:bCs w:val="1"/>
                <w:color w:val="auto"/>
              </w:rPr>
              <w:t>April 30, 2015</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2015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July 31, 2015 and 2014, the Company sold or redeemed available-for-sale securities in the amounts of $713,000 and $2.2 million, respectively, realizing gains of approximately $137,000 and $280,000,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July 31, 2015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 Update (“ASU”) No. 2014-09</w:t>
      </w:r>
      <w:r>
        <w:rPr>
          <w:rFonts w:ascii="Arial" w:cs="Arial" w:eastAsia="Arial" w:hAnsi="Arial"/>
          <w:sz w:val="17"/>
          <w:szCs w:val="17"/>
          <w:i w:val="1"/>
          <w:iCs w:val="1"/>
          <w:color w:val="auto"/>
        </w:rPr>
        <w:t>, 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ASU 2014-09 eliminates most of the existing industry-specific revenue recognition guidance and significantly</w:t>
      </w:r>
      <w:r>
        <w:rPr>
          <w:rFonts w:ascii="Arial" w:cs="Arial" w:eastAsia="Arial" w:hAnsi="Arial"/>
          <w:sz w:val="17"/>
          <w:szCs w:val="17"/>
          <w:i w:val="1"/>
          <w:iCs w:val="1"/>
          <w:color w:val="auto"/>
        </w:rPr>
        <w:t xml:space="preserve"> </w:t>
      </w:r>
      <w:r>
        <w:rPr>
          <w:rFonts w:ascii="Arial" w:cs="Arial" w:eastAsia="Arial" w:hAnsi="Arial"/>
          <w:sz w:val="17"/>
          <w:szCs w:val="17"/>
          <w:color w:val="auto"/>
        </w:rPr>
        <w:t>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August 2015, the FASB issued ASU 2015-14 which provides a one-year deferral of the effective date of ASU 2014-09, while allowing companies to early adopt based on the original effective date of ASU 2014-09. ASU 2014-09 is now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$6.0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July 31, 2015, the Company met the required covenants for its borrowings under Tranche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prior fiscal years, the Company reduced the valuation allowance on the deferred tax assets of its U.S. subsidiaries. Consequently, for the three months ended July 31, 2015 and 2014, the Company recorded provisions for income taxes based on both current taxes due in the United States as well as the tax provision or benefit to be realized from temporary tax differences. As of July 31, 2015 and April 30, 2015, the remaining deferred tax asset valuation allowance is approximately $2.4 million and is primarily related to deferred tax assets of the Company’s non-U.S.-based subsidiaries.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2015.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2016 and 2015 (which end on April 30, 2016 and 2015, respectively) the percentage of consolidated revenues represented by certain items in the Company’s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5"/>
              </w:rPr>
              <w:t>Three months ended July 31,</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gridSpan w:val="5"/>
          </w:tcPr>
          <w:p>
            <w:pPr>
              <w:spacing w:after="0"/>
              <w:rPr>
                <w:sz w:val="20"/>
                <w:szCs w:val="20"/>
                <w:color w:val="auto"/>
              </w:rPr>
            </w:pPr>
            <w:r>
              <w:rPr>
                <w:rFonts w:ascii="Arial" w:cs="Arial" w:eastAsia="Arial" w:hAnsi="Arial"/>
                <w:sz w:val="18"/>
                <w:szCs w:val="18"/>
                <w:color w:val="auto"/>
              </w:rPr>
              <w:t>Net Revenues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ind w:left="160"/>
              <w:spacing w:after="0"/>
              <w:rPr>
                <w:sz w:val="20"/>
                <w:szCs w:val="20"/>
                <w:color w:val="auto"/>
              </w:rPr>
            </w:pPr>
            <w:r>
              <w:rPr>
                <w:rFonts w:ascii="Arial" w:cs="Arial" w:eastAsia="Arial" w:hAnsi="Arial"/>
                <w:sz w:val="18"/>
                <w:szCs w:val="18"/>
                <w:color w:val="auto"/>
              </w:rPr>
              <w:t>Gillam-FEI</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ind w:left="160"/>
              <w:spacing w:after="0"/>
              <w:rPr>
                <w:sz w:val="20"/>
                <w:szCs w:val="20"/>
                <w:color w:val="auto"/>
              </w:rPr>
            </w:pPr>
            <w:r>
              <w:rPr>
                <w:rFonts w:ascii="Arial" w:cs="Arial" w:eastAsia="Arial" w:hAnsi="Arial"/>
                <w:sz w:val="18"/>
                <w:szCs w:val="18"/>
                <w:color w:val="auto"/>
                <w:w w:val="90"/>
              </w:rPr>
              <w:t>Less intersegment revenues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auto"/>
                <w:w w:val="92"/>
              </w:rPr>
              <w:t>Selling and administrative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8"/>
              </w:rPr>
              <w:t>Research and development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rPr>
              <w:t>Operating profit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Pretax income</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24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right="820"/>
              <w:spacing w:after="0"/>
              <w:rPr>
                <w:sz w:val="20"/>
                <w:szCs w:val="20"/>
                <w:color w:val="auto"/>
              </w:rPr>
            </w:pPr>
            <w:r>
              <w:rPr>
                <w:rFonts w:ascii="Arial" w:cs="Arial" w:eastAsia="Arial" w:hAnsi="Arial"/>
                <w:sz w:val="18"/>
                <w:szCs w:val="18"/>
                <w:b w:val="1"/>
                <w:bCs w:val="1"/>
                <w:color w:val="auto"/>
                <w:w w:val="89"/>
              </w:rPr>
              <w:t>Three months ended July 31,</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7"/>
          </w:tcPr>
          <w:p>
            <w:pPr>
              <w:jc w:val="center"/>
              <w:ind w:right="820"/>
              <w:spacing w:after="0" w:line="198" w:lineRule="exact"/>
              <w:rPr>
                <w:sz w:val="20"/>
                <w:szCs w:val="20"/>
                <w:color w:val="auto"/>
              </w:rPr>
            </w:pPr>
            <w:r>
              <w:rPr>
                <w:rFonts w:ascii="Arial" w:cs="Arial" w:eastAsia="Arial" w:hAnsi="Arial"/>
                <w:sz w:val="18"/>
                <w:szCs w:val="18"/>
                <w:color w:val="auto"/>
                <w:w w:val="89"/>
              </w:rPr>
              <w:t>(in thousands)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Segment</w:t>
            </w:r>
          </w:p>
        </w:tc>
        <w:tc>
          <w:tcPr>
            <w:tcW w:w="460" w:type="dxa"/>
            <w:vAlign w:val="bottom"/>
          </w:tcPr>
          <w:p>
            <w:pPr>
              <w:spacing w:after="0"/>
              <w:rPr>
                <w:sz w:val="15"/>
                <w:szCs w:val="15"/>
                <w:color w:val="auto"/>
              </w:rPr>
            </w:pPr>
          </w:p>
        </w:tc>
        <w:tc>
          <w:tcPr>
            <w:tcW w:w="90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550"/>
              <w:spacing w:after="0" w:line="17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550"/>
              <w:spacing w:after="0" w:line="17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FEI-NY</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17,257</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Gillam-FEI</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FEI-Zyfer</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Intersegment sales</w:t>
            </w:r>
          </w:p>
        </w:tc>
        <w:tc>
          <w:tcPr>
            <w:tcW w:w="4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16,680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19,740</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( 3,060)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13 of 20</w:t>
            </w:r>
          </w:p>
        </w:tc>
        <w:tc>
          <w:tcPr>
            <w:tcW w:w="10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the three months ended July 31, 2015, revenues from commercial and U.S. Government satellite programs accounted for more than 55% of consolidated revenues but were lower than that recorded in the same period of fiscal year 2015 as certain programs were completed. Revenues on these contracts are recorded in the FEI-NY segment and are recognized primarily under the percentage of completion method. Revenues from non-space U.S. Government/DOD customers, which are recorded in both the FEI-NY and FEI-Zyfer segments, more than doubled over the prior year and accounted for approximately 20% of consolidated fiscal year 2016 revenues. Network infrastructure and other industrial revenues in the fiscal year 2016 period, declined by approximately 30% from the same period of fiscal year 2015 and accounted for approximately 20% of consolidated revenues. Such revenues are recorded in all three segments. The primary reason for reduced revenue from this market area in the fiscal year 2016 period is the lack of third-party contract manufacturing revenues in the Company’s FEI-Asia subsidiary which is part of the FEI-NY segment. Such third-party contract manufacturing business is sporadic and low margin and thus has little meaningful impact on the consolidated profits of the Company.</w:t>
      </w:r>
    </w:p>
    <w:p>
      <w:pPr>
        <w:spacing w:after="0" w:line="20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the three months ended July 31, 2014, revenues from commercial and U.S. Government satellite programs accounted for more than 60% of consolidated revenues compared to 55% for the same period of fiscal year 2014. Revenues on these contracts are recorded in the FEI-NY segment and are recognized primarily under the percentage of completion method. Revenues from non-space U.S. Government/DOD customers, which are recorded in both the FEI-NY and FEI-Zyfer segments, accounted for less than 10% of consolidated revenues as compared to one-fourth of revenues in fiscal year 2014. In fiscal year 2015, the Company experienced delays in booking non-space U.S. Government business due to uncertainties related to the federal budget process in the United States. Network infrastructure and other industrial revenues accounted for one-fourth of consolidated revenues as compared to 20% of revenues in the prior year. The principal component of this growth is increased third party revenues in the Company’s FEI-Asia subsidiary which is part of the FEI-NY segment. In prior periods, third party revenues for the FEI-Asia subsidiary were insignificant as most of its manufacturing capacity was applied to intersegment orders. Lower revenues at Gillam-FEI are primarily due to reduced intersegment sales.</w:t>
      </w:r>
    </w:p>
    <w:p>
      <w:pPr>
        <w:spacing w:after="0" w:line="2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on the Company’s current backlog, over three-fourths of which represent satellite payload business, and the probability for obtaining new project orders which are sole-sourced to the Company, revenues for fiscal year 2016 are expected to be comparable to the prior fiscal year. Satellite payload revenues will remain the dominant portion of the Company’s business and represents the Company’s best growth opportunity. Revenues from non-space U.S. Government/DOD customers are expected to increase, particularly for the FEI-Zyfer segment, as it receives additional funding on several significant U.S. Government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w w:val="94"/>
              </w:rPr>
              <w:t>(in thousands)</w:t>
            </w:r>
          </w:p>
        </w:tc>
        <w:tc>
          <w:tcPr>
            <w:tcW w:w="1440" w:type="dxa"/>
            <w:vAlign w:val="bottom"/>
            <w:tcBorders>
              <w:top w:val="single" w:sz="8" w:color="auto"/>
            </w:tcBorders>
            <w:gridSpan w:val="3"/>
            <w:vMerge w:val="restart"/>
          </w:tcPr>
          <w:p>
            <w:pPr>
              <w:ind w:left="66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5,773</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5,665</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80" w:type="dxa"/>
            <w:vAlign w:val="bottom"/>
            <w:gridSpan w:val="2"/>
          </w:tcPr>
          <w:p>
            <w:pPr>
              <w:jc w:val="right"/>
              <w:ind w:right="2330"/>
              <w:spacing w:after="0"/>
              <w:rPr>
                <w:sz w:val="20"/>
                <w:szCs w:val="20"/>
                <w:color w:val="auto"/>
              </w:rPr>
            </w:pPr>
            <w:r>
              <w:rPr>
                <w:rFonts w:ascii="Arial" w:cs="Arial" w:eastAsia="Arial" w:hAnsi="Arial"/>
                <w:sz w:val="18"/>
                <w:szCs w:val="18"/>
                <w:color w:val="auto"/>
                <w:w w:val="88"/>
              </w:rPr>
              <w:t>GM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Although consolidated revenues for the three month period ended July 31, 2015 were lower than the same period of fiscal year 2015, gross margin increased as a result of improved gross margin rates due to favorable contract and product mix. In addition, during the quarter the Company received reimbursement from a vendor which partially offset higher engineering and production costs incurred on certain programs impacted by a defective part. The cost reimbursement improved the consolidated gross margin rate by approximately 2%.</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for the three month period ended July 31, 2014, decreased primarily due to lower revenues on non-space U.S. Government business and at the Gillam-FEI segment. Low sales volume at the Company’s subsidiaries did not cover the fixed costs of these entities. The FEI-NY segment recorded an increase in gross margin on higher revenues but its gross margin rate was lower due to product mix. Included in the FEI-NY segment are low margin third party contract manufacturing sales at the Company’s FEI-Asia subsidiary which had the effect of reducing the consolidated gross margin rate by approximately 2.5%.</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ind w:left="108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3,498</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three-month periods ended July 31, 2015 and 2014, selling and administrative ("SG&amp;A”) expenses were approximately 22% and 18%, respectively, of consolidated revenues. The increase in SG&amp;A expenses in the fiscal year 2016 quarter compared to the same period of fiscal year 2015 was due to higher professional fees, deferred compensation expense and increased selling expenses partially offset by decreased incentive compensation in the FEI-NY segment. For the remainder of fiscal year 2016, the Company expects SG&amp;A expenses to be incurred at approximately the same rate and to be approximately 20% of consolidated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ind w:left="108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1,239</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competitiveness for future revenues. R&amp;D spending for the three-month periods ended July 31, 2015 and 2014, was approximately 7% and 6% of revenues, respectively. In the fiscal year 2016 period, the Company continued the development of new satellite payload products as well as development and improvement of quartz-based and rubidium atomic clocks, development of new GPS-based synchronization products and further enhancement of the capabilities of the Company’s line of low g-sensitivity and ruggedized rubidium oscillators. Included in these efforts are product design and process improvements to enhance product manufacturability and reduce production costs.</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to internal research and development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2016, the Company is targeting to increase spending on certain space products but will spend less than 10% of revenues on internal research and development projects. Internally generated cash and cash reserves are adequate to fund these development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fiscal year 2016, higher gross margin resulting from improved gross margin rates, including the cost reimbursement noted above, combined with SG&amp;A and R&amp;D expenses that were approximately the same as for the period ended July 31, 2014 resulted in an operating profit comparable to the prior year. As a percentage of revenue, fiscal year 2016 operating profit was 5.6% of revenues compared to 4.7% of revenues last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right"/>
              <w:ind w:right="510"/>
              <w:spacing w:after="0"/>
              <w:rPr>
                <w:sz w:val="20"/>
                <w:szCs w:val="20"/>
                <w:color w:val="auto"/>
              </w:rPr>
            </w:pPr>
            <w:r>
              <w:rPr>
                <w:rFonts w:ascii="Arial" w:cs="Arial" w:eastAsia="Arial" w:hAnsi="Arial"/>
                <w:sz w:val="18"/>
                <w:szCs w:val="18"/>
                <w:color w:val="auto"/>
                <w:w w:val="92"/>
              </w:rPr>
              <w:t>(in thousands)</w:t>
            </w:r>
          </w:p>
        </w:tc>
        <w:tc>
          <w:tcPr>
            <w:tcW w:w="94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10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9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0"/>
                <w:szCs w:val="20"/>
                <w:color w:val="auto"/>
              </w:rPr>
            </w:pPr>
          </w:p>
        </w:tc>
        <w:tc>
          <w:tcPr>
            <w:tcW w:w="10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and dividend payout levels and the timing of purchases or sales of securities. During the three months ended July 31, 2015 and 2014, the Company recorded gains of approximately $137,000 and $280,000, respectively, on the sale of certain marketable securities.</w:t>
      </w:r>
    </w:p>
    <w:p>
      <w:pPr>
        <w:spacing w:after="0" w:line="19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decrease in interest expense for the three months ended July 31, 2015 compared to the same period of fiscal year 2015 is due to the reduced level of borrowings under the Company’s credit facility from a bank.</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period ended July 31, 2015, the Company recognized a gain of approximately $400,000 from the proceeds of a life insurance policy upon the death of a former officer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(in thousands)</w:t>
            </w:r>
          </w:p>
        </w:tc>
        <w:tc>
          <w:tcPr>
            <w:tcW w:w="1440" w:type="dxa"/>
            <w:vAlign w:val="bottom"/>
            <w:tcBorders>
              <w:top w:val="single" w:sz="8" w:color="auto"/>
            </w:tcBorders>
            <w:gridSpan w:val="3"/>
            <w:vMerge w:val="restart"/>
          </w:tcPr>
          <w:p>
            <w:pPr>
              <w:ind w:left="66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20" w:type="dxa"/>
            <w:vAlign w:val="bottom"/>
            <w:gridSpan w:val="2"/>
          </w:tcPr>
          <w:p>
            <w:pPr>
              <w:jc w:val="right"/>
              <w:spacing w:after="0"/>
              <w:rPr>
                <w:sz w:val="20"/>
                <w:szCs w:val="20"/>
                <w:color w:val="auto"/>
              </w:rPr>
            </w:pPr>
            <w:r>
              <w:rPr>
                <w:rFonts w:ascii="Arial" w:cs="Arial" w:eastAsia="Arial" w:hAnsi="Arial"/>
                <w:sz w:val="18"/>
                <w:szCs w:val="18"/>
                <w:color w:val="auto"/>
                <w:w w:val="90"/>
              </w:rPr>
              <w:t>Effective tax rate on pre-tax book income: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provision for income taxes for the three months ended July 31, 2015 increased from the same period of fiscal year 2015 due to a 21% increase in pretax income. During the first quarter of both fiscal years 2016 and 2015, losses at the Company’s foreign subsidiaries as a proportion of consolidated pre-tax income are higher than are expected to be realized during the balance of the fiscal years. These non-deductible losses cause the effective tax rate to increase to a level that is higher than statutory rates. In addition, in both fiscal years, the Company has not assumed the availability of the U.S. research and development tax credit (“R&amp;D Credit”) since the U.S. Congress had not reinstated it as of July 31, 2015 for calendar 2015 or as of July 31, 2014 for calendar year 2014. If Congress reinstates the R&amp;D credit, the effective tax rate in fiscal year 2016 is expected to be in the mid-30% range depending on the level of pretax income or loss recorded at the Company’s foreign subsidiaries.</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New Jersey and California. The statutory federal rates are 34% in the United States and Belgium and 25% in China. The effective rate is impacted by the income or loss of certain of the Company’s European and Asian subsidiaries for which no tax benefit is currently available. In addition, the Company utilizes the availability of R&amp;D Credit and the Domestic Production Activity credit in the United States to lower its tax rate. As of April 30, 2015, the Company’s European subsidiaries had available net operating loss carryforwards of approximately $4.2 million, which will offset future taxable income. As a result of the FEI-Elcom acquisition, the Company has a federal net operating loss carryforward of $5.1 million that may be applied in annually limited amounts to offset future U.S.-sourced taxable income over the next 17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detailed above, for the three months ended July 31, 2015, operating profit was similar to the prior fiscal year while other income, including a gain on the proceeds of a life insurance policy, resulted in a 21% increase in pretax income in the fiscal year 2016 period. The higher provision for income taxes partially offset the increased pretax income resulting in a 24% increase in net income for the quarter as compared to the prior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$76.6 million at July 31, 2015, compared to working capital of $75.2 million at April 30, 2015. Included in working capital at July 31, 2015 is $16.3 million consisting of cash, cash equivalents and marketable securities. The Company’s current ratio at July 31, 2015 is 10.8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2015, the Company used cash from operations in the amount of $1.8 million compared to the use of cash from operating activities of $5.6 million in the comparable fiscal year 2015 period. The reduced cash flow in the fiscal year 2016 period resulted primarily from increases in accounts receivable, including “unbilled receivables” (costs and estimated earnings in excess of billings) and inventory plus reductions in accounts payable and accrued liabilities compared to the balances as of the end of the previous fiscal year. For the three-month periods ended July 31, 2015 and 2014, the Company incurred approximately $1.2 million and $1.1 million, respectively, of non-cash operating expenses such as depreciation and amortization and accruals for employee benefit programs.</w:t>
      </w:r>
    </w:p>
    <w:p>
      <w:pPr>
        <w:sectPr>
          <w:pgSz w:w="11900" w:h="16838" w:orient="portrait"/>
          <w:cols w:equalWidth="0" w:num="1">
            <w:col w:w="11420"/>
          </w:cols>
          <w:pgMar w:left="240" w:top="122" w:right="239" w:bottom="1081"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081"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expects to bill and collect a high percentage of its unbilled receivable and anticipates it will generate positive cash flow from operating activities for the balance of fiscal year 2016.</w:t>
      </w:r>
    </w:p>
    <w:p>
      <w:pPr>
        <w:spacing w:after="0" w:line="19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investing activities for the three months ended July 31, 2015, was $65,000 compared to $59,000 provided by investing activities for the same period of fiscal year 2015. During the fiscal year 2016 period, marketable securities were sold or redeemed in the aggregate amount of $713,000 compared to $2.2 million of such redemptions during the fiscal year 2015 period. Some of these proceeds were reinvested in additional marketable securities for the periods ended July 31, 2015 and 2014 in the amount of $172,000 and $1.0 million, respectively. In the fiscal quarters ended July 31, 2015 and 2014, the Company acquired property, plant and equipment in the amount of approximately $606,000 and $1.2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$3.0 million and $4.0 million on capital equipment during fiscal year 2016. Internally generated cash or additional borrowings under the Company’s credit facility will be used to acquire this level of capital equipment.</w:t>
      </w:r>
    </w:p>
    <w:p>
      <w:pPr>
        <w:spacing w:after="0" w:line="20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financing activities for the three months ended July 31, 2015 and 2014 was $8,000 and $2.3 million, respectively. For the three months ended July 31, 2015 and 2014, the Company realized $8,000 and $26,000, respectively, from the tax benefit arising from the exercise of stock-based awards. During the first quarter of fiscal year 2015 ended July 31, 2014, the Company borrowed $2.3 million under its credit facility with a bank. Such funds were used for working capital and to finance the acquisition of certain fixed assets.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2015, the Company has repurchased approximately $4 million of its common stock out of the $5 million authorization.</w:t>
      </w:r>
    </w:p>
    <w:p>
      <w:pPr>
        <w:spacing w:after="0" w:line="2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2016,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July 31, 2015, the Company's consolidated backlog is approximately $27 million compared to $37 million at April 30, 2015, the end of fiscal year 2015. Approximately 75% of this backlog is expected to be realized in the next twelve months. Included in the backlog at July 31, 2015 is approximately $3.5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September 14, 2016.</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 </w:t>
      </w: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2015,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2015 to which this report relates that have materially affected, or are reasonably likely to materially affect, the Company’s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 </w:t>
      </w: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jc w:val="both"/>
        <w:ind w:left="1460" w:hanging="647"/>
        <w:spacing w:after="0" w:line="277"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2">
        <w:r>
          <w:rPr>
            <w:rFonts w:ascii="Arial" w:cs="Arial" w:eastAsia="Arial" w:hAnsi="Arial"/>
            <w:sz w:val="18"/>
            <w:szCs w:val="18"/>
            <w:u w:val="single" w:color="auto"/>
            <w:color w:val="0000EE"/>
          </w:rPr>
          <w:t>Certification by the Chief Executive Officer pursuant to Rule 13a-14(a) or 15d-14(a) under the Securities Exchange Act of 1934, as</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adopted pursuant to Section 302 of the Sarbanes-Oxley Act of 2002.</w:t>
        </w:r>
      </w:hyperlink>
    </w:p>
    <w:p>
      <w:pPr>
        <w:spacing w:after="0" w:line="197" w:lineRule="exact"/>
        <w:rPr>
          <w:sz w:val="20"/>
          <w:szCs w:val="20"/>
          <w:color w:val="auto"/>
        </w:rPr>
      </w:pPr>
    </w:p>
    <w:p>
      <w:pPr>
        <w:jc w:val="both"/>
        <w:ind w:left="1460" w:hanging="647"/>
        <w:spacing w:after="0" w:line="277"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3">
        <w:r>
          <w:rPr>
            <w:rFonts w:ascii="Arial" w:cs="Arial" w:eastAsia="Arial" w:hAnsi="Arial"/>
            <w:sz w:val="18"/>
            <w:szCs w:val="18"/>
            <w:u w:val="single" w:color="auto"/>
            <w:color w:val="0000EE"/>
          </w:rPr>
          <w:t>Certification by the Chief Financial Officer pursuant to Rule 13a-14(a) or 15d-14(a) under the Securities Exchange Act of 1934, as</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adopted pursuant to Section 302 of the Sarbanes-Oxley Act of 2002.</w:t>
        </w:r>
      </w:hyperlink>
    </w:p>
    <w:p>
      <w:pPr>
        <w:spacing w:after="0" w:line="197" w:lineRule="exact"/>
        <w:rPr>
          <w:sz w:val="20"/>
          <w:szCs w:val="20"/>
          <w:color w:val="auto"/>
        </w:rPr>
      </w:pPr>
    </w:p>
    <w:p>
      <w:pPr>
        <w:jc w:val="both"/>
        <w:ind w:left="1460" w:hanging="647"/>
        <w:spacing w:after="0" w:line="277"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w:anchor="page24">
        <w:r>
          <w:rPr>
            <w:rFonts w:ascii="Arial" w:cs="Arial" w:eastAsia="Arial" w:hAnsi="Arial"/>
            <w:sz w:val="18"/>
            <w:szCs w:val="18"/>
            <w:u w:val="single" w:color="auto"/>
            <w:color w:val="0000EE"/>
          </w:rPr>
          <w:t>Certifications by the Chief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Section 906 of the Sarbanes-Oxley Act of 2002.</w:t>
        </w:r>
      </w:hyperlink>
    </w:p>
    <w:p>
      <w:pPr>
        <w:spacing w:after="0" w:line="197" w:lineRule="exact"/>
        <w:rPr>
          <w:sz w:val="20"/>
          <w:szCs w:val="20"/>
          <w:color w:val="auto"/>
        </w:rPr>
      </w:pPr>
    </w:p>
    <w:p>
      <w:pPr>
        <w:jc w:val="both"/>
        <w:ind w:left="1460" w:hanging="647"/>
        <w:spacing w:after="0" w:line="259" w:lineRule="auto"/>
        <w:tabs>
          <w:tab w:leader="none" w:pos="1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July 31, 2015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September 14, 2015</w:t>
      </w:r>
      <w:r>
        <w:rPr>
          <w:sz w:val="20"/>
          <w:szCs w:val="20"/>
          <w:color w:val="auto"/>
        </w:rPr>
        <w:tab/>
      </w:r>
      <w:r>
        <w:rPr>
          <w:rFonts w:ascii="Arial" w:cs="Arial" w:eastAsia="Arial" w:hAnsi="Arial"/>
          <w:sz w:val="17"/>
          <w:szCs w:val="17"/>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3926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Signing on behalf of the registrant and as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240" w:top="121" w:right="1359" w:bottom="1440" w:gutter="0" w:footer="0" w:header="0"/>
        </w:sectPr>
      </w:pPr>
    </w:p>
    <w:bookmarkStart w:id="20" w:name="page21"/>
    <w:bookmarkEnd w:id="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Bloch</w:t>
            </w:r>
          </w:p>
        </w:tc>
        <w:tc>
          <w:tcPr>
            <w:tcW w:w="3200" w:type="dxa"/>
            <w:vAlign w:val="bottom"/>
          </w:tcPr>
          <w:p>
            <w:pPr>
              <w:ind w:left="1740"/>
              <w:spacing w:after="0"/>
              <w:rPr>
                <w:sz w:val="20"/>
                <w:szCs w:val="20"/>
                <w:color w:val="auto"/>
              </w:rPr>
            </w:pPr>
            <w:r>
              <w:rPr>
                <w:rFonts w:ascii="Arial" w:cs="Arial" w:eastAsia="Arial" w:hAnsi="Arial"/>
                <w:sz w:val="18"/>
                <w:szCs w:val="18"/>
                <w:color w:val="auto"/>
                <w:w w:val="88"/>
              </w:rPr>
              <w:t>September 14, 2015</w:t>
            </w:r>
          </w:p>
        </w:tc>
      </w:tr>
      <w:tr>
        <w:trPr>
          <w:trHeight w:val="222"/>
        </w:trPr>
        <w:tc>
          <w:tcPr>
            <w:tcW w:w="2680" w:type="dxa"/>
            <w:vAlign w:val="bottom"/>
          </w:tcPr>
          <w:p>
            <w:pPr>
              <w:ind w:left="340"/>
              <w:spacing w:after="0"/>
              <w:rPr>
                <w:sz w:val="20"/>
                <w:szCs w:val="20"/>
                <w:color w:val="auto"/>
              </w:rPr>
            </w:pPr>
            <w:r>
              <w:rPr>
                <w:rFonts w:ascii="Arial" w:cs="Arial" w:eastAsia="Arial" w:hAnsi="Arial"/>
                <w:sz w:val="18"/>
                <w:szCs w:val="18"/>
                <w:color w:val="auto"/>
              </w:rPr>
              <w:t>Martin Bloch</w:t>
            </w:r>
          </w:p>
        </w:tc>
        <w:tc>
          <w:tcPr>
            <w:tcW w:w="320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320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Miller</w:t>
            </w:r>
          </w:p>
        </w:tc>
        <w:tc>
          <w:tcPr>
            <w:tcW w:w="3420" w:type="dxa"/>
            <w:vAlign w:val="bottom"/>
          </w:tcPr>
          <w:p>
            <w:pPr>
              <w:ind w:left="1980"/>
              <w:spacing w:after="0"/>
              <w:rPr>
                <w:sz w:val="20"/>
                <w:szCs w:val="20"/>
                <w:color w:val="auto"/>
              </w:rPr>
            </w:pPr>
            <w:r>
              <w:rPr>
                <w:rFonts w:ascii="Arial" w:cs="Arial" w:eastAsia="Arial" w:hAnsi="Arial"/>
                <w:sz w:val="18"/>
                <w:szCs w:val="18"/>
                <w:color w:val="auto"/>
                <w:w w:val="87"/>
              </w:rPr>
              <w:t>September 14, 2015</w:t>
            </w:r>
          </w:p>
        </w:tc>
      </w:tr>
      <w:tr>
        <w:trPr>
          <w:trHeight w:val="222"/>
        </w:trPr>
        <w:tc>
          <w:tcPr>
            <w:tcW w:w="2540" w:type="dxa"/>
            <w:vAlign w:val="bottom"/>
          </w:tcPr>
          <w:p>
            <w:pPr>
              <w:ind w:left="340"/>
              <w:spacing w:after="0"/>
              <w:rPr>
                <w:sz w:val="20"/>
                <w:szCs w:val="20"/>
                <w:color w:val="auto"/>
              </w:rPr>
            </w:pPr>
            <w:r>
              <w:rPr>
                <w:rFonts w:ascii="Arial" w:cs="Arial" w:eastAsia="Arial" w:hAnsi="Arial"/>
                <w:sz w:val="18"/>
                <w:szCs w:val="18"/>
                <w:color w:val="auto"/>
              </w:rPr>
              <w:t>Alan Miller</w:t>
            </w:r>
          </w:p>
        </w:tc>
        <w:tc>
          <w:tcPr>
            <w:tcW w:w="3420" w:type="dxa"/>
            <w:vAlign w:val="bottom"/>
          </w:tcPr>
          <w:p>
            <w:pPr>
              <w:spacing w:after="0"/>
              <w:rPr>
                <w:sz w:val="19"/>
                <w:szCs w:val="19"/>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2015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Bloch</w:t>
            </w:r>
          </w:p>
        </w:tc>
        <w:tc>
          <w:tcPr>
            <w:tcW w:w="3440" w:type="dxa"/>
            <w:vAlign w:val="bottom"/>
          </w:tcPr>
          <w:p>
            <w:pPr>
              <w:jc w:val="right"/>
              <w:spacing w:after="0"/>
              <w:rPr>
                <w:sz w:val="20"/>
                <w:szCs w:val="20"/>
                <w:color w:val="auto"/>
              </w:rPr>
            </w:pPr>
            <w:r>
              <w:rPr>
                <w:rFonts w:ascii="Arial" w:cs="Arial" w:eastAsia="Arial" w:hAnsi="Arial"/>
                <w:sz w:val="18"/>
                <w:szCs w:val="18"/>
                <w:color w:val="auto"/>
              </w:rPr>
              <w:t>September 14, 2015</w:t>
            </w:r>
          </w:p>
        </w:tc>
      </w:tr>
      <w:tr>
        <w:trPr>
          <w:trHeight w:val="222"/>
        </w:trPr>
        <w:tc>
          <w:tcPr>
            <w:tcW w:w="3340" w:type="dxa"/>
            <w:vAlign w:val="bottom"/>
          </w:tcPr>
          <w:p>
            <w:pPr>
              <w:ind w:left="340"/>
              <w:spacing w:after="0"/>
              <w:rPr>
                <w:sz w:val="20"/>
                <w:szCs w:val="20"/>
                <w:color w:val="auto"/>
              </w:rPr>
            </w:pPr>
            <w:r>
              <w:rPr>
                <w:rFonts w:ascii="Arial" w:cs="Arial" w:eastAsia="Arial" w:hAnsi="Arial"/>
                <w:sz w:val="18"/>
                <w:szCs w:val="18"/>
                <w:color w:val="auto"/>
              </w:rPr>
              <w:t>Martin Bloch</w:t>
            </w:r>
          </w:p>
        </w:tc>
        <w:tc>
          <w:tcPr>
            <w:tcW w:w="3440" w:type="dxa"/>
            <w:vAlign w:val="bottom"/>
          </w:tcPr>
          <w:p>
            <w:pPr>
              <w:spacing w:after="0"/>
              <w:rPr>
                <w:sz w:val="19"/>
                <w:szCs w:val="19"/>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3440" w:type="dxa"/>
            <w:vAlign w:val="bottom"/>
          </w:tcPr>
          <w:p>
            <w:pPr>
              <w:spacing w:after="0"/>
              <w:rPr>
                <w:sz w:val="20"/>
                <w:szCs w:val="20"/>
                <w:color w:val="auto"/>
              </w:rPr>
            </w:pPr>
          </w:p>
        </w:tc>
      </w:tr>
      <w:tr>
        <w:trPr>
          <w:trHeight w:val="459"/>
        </w:trPr>
        <w:tc>
          <w:tcPr>
            <w:tcW w:w="3340" w:type="dxa"/>
            <w:vAlign w:val="bottom"/>
          </w:tcPr>
          <w:p>
            <w:pPr>
              <w:spacing w:after="0"/>
              <w:rPr>
                <w:sz w:val="24"/>
                <w:szCs w:val="24"/>
                <w:color w:val="auto"/>
              </w:rPr>
            </w:pPr>
          </w:p>
        </w:tc>
        <w:tc>
          <w:tcPr>
            <w:tcW w:w="34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2015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Miller</w:t>
            </w:r>
          </w:p>
        </w:tc>
        <w:tc>
          <w:tcPr>
            <w:tcW w:w="3420" w:type="dxa"/>
            <w:vAlign w:val="bottom"/>
          </w:tcPr>
          <w:p>
            <w:pPr>
              <w:ind w:left="1980"/>
              <w:spacing w:after="0"/>
              <w:rPr>
                <w:sz w:val="20"/>
                <w:szCs w:val="20"/>
                <w:color w:val="auto"/>
              </w:rPr>
            </w:pPr>
            <w:r>
              <w:rPr>
                <w:rFonts w:ascii="Arial" w:cs="Arial" w:eastAsia="Arial" w:hAnsi="Arial"/>
                <w:sz w:val="18"/>
                <w:szCs w:val="18"/>
                <w:color w:val="auto"/>
                <w:w w:val="87"/>
              </w:rPr>
              <w:t>September 14, 2015</w:t>
            </w:r>
          </w:p>
        </w:tc>
      </w:tr>
      <w:tr>
        <w:trPr>
          <w:trHeight w:val="222"/>
        </w:trPr>
        <w:tc>
          <w:tcPr>
            <w:tcW w:w="3360" w:type="dxa"/>
            <w:vAlign w:val="bottom"/>
          </w:tcPr>
          <w:p>
            <w:pPr>
              <w:ind w:left="340"/>
              <w:spacing w:after="0"/>
              <w:rPr>
                <w:sz w:val="20"/>
                <w:szCs w:val="20"/>
                <w:color w:val="auto"/>
              </w:rPr>
            </w:pPr>
            <w:r>
              <w:rPr>
                <w:rFonts w:ascii="Arial" w:cs="Arial" w:eastAsia="Arial" w:hAnsi="Arial"/>
                <w:sz w:val="18"/>
                <w:szCs w:val="18"/>
                <w:color w:val="auto"/>
              </w:rPr>
              <w:t>Alan Miller</w:t>
            </w:r>
          </w:p>
        </w:tc>
        <w:tc>
          <w:tcPr>
            <w:tcW w:w="3420" w:type="dxa"/>
            <w:vAlign w:val="bottom"/>
          </w:tcPr>
          <w:p>
            <w:pPr>
              <w:spacing w:after="0"/>
              <w:rPr>
                <w:sz w:val="19"/>
                <w:szCs w:val="19"/>
                <w:color w:val="auto"/>
              </w:rPr>
            </w:pP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7"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2019-12-29T15:50:44Z</dcterms:created>
  <dcterms:modified xsi:type="dcterms:W3CDTF">2019-12-29T15:50:44Z</dcterms:modified>
</cp:coreProperties>
</file>