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4160" w:right="1900" w:hanging="3693"/>
        <w:spacing w:after="0" w:line="498" w:lineRule="auto"/>
        <w:tabs>
          <w:tab w:leader="none" w:pos="10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April 30,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3520" w:right="1580" w:hanging="3053"/>
        <w:spacing w:after="0" w:line="500" w:lineRule="auto"/>
        <w:tabs>
          <w:tab w:leader="none" w:pos="106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gridSpan w:val="2"/>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w w:val="87"/>
              </w:rPr>
              <w:t>11-1986657</w:t>
            </w:r>
          </w:p>
        </w:tc>
      </w:tr>
      <w:tr>
        <w:trPr>
          <w:trHeight w:val="20"/>
        </w:trPr>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574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(State or other jurisdiction of</w:t>
            </w:r>
          </w:p>
        </w:tc>
        <w:tc>
          <w:tcPr>
            <w:tcW w:w="3580" w:type="dxa"/>
            <w:vAlign w:val="bottom"/>
            <w:gridSpan w:val="5"/>
          </w:tcPr>
          <w:p>
            <w:pPr>
              <w:jc w:val="center"/>
              <w:ind w:left="8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0" w:type="dxa"/>
            <w:vAlign w:val="bottom"/>
          </w:tcPr>
          <w:p>
            <w:pPr>
              <w:spacing w:after="0"/>
              <w:rPr>
                <w:sz w:val="20"/>
                <w:szCs w:val="20"/>
                <w:color w:val="auto"/>
              </w:rPr>
            </w:pPr>
          </w:p>
        </w:tc>
        <w:tc>
          <w:tcPr>
            <w:tcW w:w="574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incorporation or organization)</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940" w:type="dxa"/>
            <w:vAlign w:val="bottom"/>
          </w:tcPr>
          <w:p>
            <w:pPr>
              <w:spacing w:after="0"/>
              <w:rPr>
                <w:sz w:val="24"/>
                <w:szCs w:val="24"/>
                <w:color w:val="auto"/>
              </w:rPr>
            </w:pPr>
          </w:p>
        </w:tc>
        <w:tc>
          <w:tcPr>
            <w:tcW w:w="27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8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1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Name of each exchange on</w:t>
            </w:r>
          </w:p>
        </w:tc>
      </w:tr>
      <w:tr>
        <w:trPr>
          <w:trHeight w:val="190"/>
        </w:trPr>
        <w:tc>
          <w:tcPr>
            <w:tcW w:w="100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0"/>
              </w:rPr>
              <w:t>Title of each class</w:t>
            </w:r>
          </w:p>
        </w:tc>
        <w:tc>
          <w:tcPr>
            <w:tcW w:w="1900" w:type="dxa"/>
            <w:vAlign w:val="bottom"/>
          </w:tcPr>
          <w:p>
            <w:pPr>
              <w:spacing w:after="0"/>
              <w:rPr>
                <w:sz w:val="16"/>
                <w:szCs w:val="16"/>
                <w:color w:val="auto"/>
              </w:rPr>
            </w:pPr>
          </w:p>
        </w:tc>
        <w:tc>
          <w:tcPr>
            <w:tcW w:w="2120" w:type="dxa"/>
            <w:vAlign w:val="bottom"/>
            <w:gridSpan w:val="2"/>
          </w:tcPr>
          <w:p>
            <w:pPr>
              <w:jc w:val="center"/>
              <w:ind w:right="960"/>
              <w:spacing w:after="0" w:line="190" w:lineRule="exact"/>
              <w:rPr>
                <w:sz w:val="20"/>
                <w:szCs w:val="20"/>
                <w:color w:val="auto"/>
              </w:rPr>
            </w:pPr>
            <w:r>
              <w:rPr>
                <w:rFonts w:ascii="Arial" w:cs="Arial" w:eastAsia="Arial" w:hAnsi="Arial"/>
                <w:sz w:val="18"/>
                <w:szCs w:val="18"/>
                <w:color w:val="auto"/>
                <w:w w:val="91"/>
              </w:rPr>
              <w:t>Trading Symbol</w:t>
            </w:r>
          </w:p>
        </w:tc>
        <w:tc>
          <w:tcPr>
            <w:tcW w:w="1320" w:type="dxa"/>
            <w:vAlign w:val="bottom"/>
          </w:tcPr>
          <w:p>
            <w:pPr>
              <w:spacing w:after="0"/>
              <w:rPr>
                <w:sz w:val="16"/>
                <w:szCs w:val="16"/>
                <w:color w:val="auto"/>
              </w:rPr>
            </w:pPr>
          </w:p>
        </w:tc>
        <w:tc>
          <w:tcPr>
            <w:tcW w:w="1600" w:type="dxa"/>
            <w:vAlign w:val="bottom"/>
            <w:gridSpan w:val="2"/>
          </w:tcPr>
          <w:p>
            <w:pPr>
              <w:jc w:val="center"/>
              <w:ind w:right="400"/>
              <w:spacing w:after="0" w:line="190" w:lineRule="exact"/>
              <w:rPr>
                <w:sz w:val="20"/>
                <w:szCs w:val="20"/>
                <w:color w:val="auto"/>
              </w:rPr>
            </w:pPr>
            <w:r>
              <w:rPr>
                <w:rFonts w:ascii="Arial" w:cs="Arial" w:eastAsia="Arial" w:hAnsi="Arial"/>
                <w:sz w:val="18"/>
                <w:szCs w:val="18"/>
                <w:color w:val="auto"/>
                <w:w w:val="91"/>
              </w:rPr>
              <w:t>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420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1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FEIM</w:t>
            </w:r>
          </w:p>
        </w:tc>
        <w:tc>
          <w:tcPr>
            <w:tcW w:w="292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77"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377" w:right="339" w:bottom="0" w:gutter="0" w:footer="0" w:header="0"/>
          <w:type w:val="continuous"/>
        </w:sectPr>
      </w:pPr>
    </w:p>
    <w:p>
      <w:pPr>
        <w:spacing w:after="0" w:line="2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2019 – $68,800,000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July 27, 2020 – 9,149,853</w:t>
      </w:r>
    </w:p>
    <w:p>
      <w:pPr>
        <w:sectPr>
          <w:pgSz w:w="11900" w:h="16838" w:orient="portrait"/>
          <w:cols w:equalWidth="0" w:num="1">
            <w:col w:w="11240"/>
          </w:cols>
          <w:pgMar w:left="320" w:top="377" w:right="3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to be filed for the Annual Meeting of Stockholders to be held on or about October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24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2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924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TABLE OF CONTENTS</w:t>
            </w:r>
          </w:p>
        </w:tc>
        <w:tc>
          <w:tcPr>
            <w:tcW w:w="124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24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PART I</w:t>
            </w:r>
          </w:p>
        </w:tc>
        <w:tc>
          <w:tcPr>
            <w:tcW w:w="1240" w:type="dxa"/>
            <w:vAlign w:val="bottom"/>
          </w:tcPr>
          <w:p>
            <w:pPr>
              <w:spacing w:after="0"/>
              <w:rPr>
                <w:sz w:val="24"/>
                <w:szCs w:val="24"/>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240" w:type="dxa"/>
            <w:vAlign w:val="bottom"/>
          </w:tcPr>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1B.</w:t>
            </w:r>
          </w:p>
        </w:tc>
        <w:tc>
          <w:tcPr>
            <w:tcW w:w="9240" w:type="dxa"/>
            <w:vAlign w:val="bottom"/>
          </w:tcPr>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Unresolved Staff Comments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240" w:type="dxa"/>
            <w:vAlign w:val="bottom"/>
          </w:tcPr>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Properties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24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Legal Proceedings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Mine Safety Disclosures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760" w:type="dxa"/>
            <w:vAlign w:val="bottom"/>
          </w:tcPr>
          <w:p>
            <w:pPr>
              <w:spacing w:after="0"/>
              <w:rPr>
                <w:sz w:val="24"/>
                <w:szCs w:val="24"/>
                <w:color w:val="auto"/>
              </w:rPr>
            </w:pPr>
          </w:p>
        </w:tc>
        <w:tc>
          <w:tcPr>
            <w:tcW w:w="9240" w:type="dxa"/>
            <w:vAlign w:val="bottom"/>
          </w:tcPr>
          <w:p>
            <w:pPr>
              <w:jc w:val="center"/>
              <w:ind w:left="410"/>
              <w:spacing w:after="0"/>
              <w:rPr>
                <w:sz w:val="20"/>
                <w:szCs w:val="20"/>
                <w:color w:val="auto"/>
              </w:rPr>
            </w:pPr>
            <w:r>
              <w:rPr>
                <w:rFonts w:ascii="Arial" w:cs="Arial" w:eastAsia="Arial" w:hAnsi="Arial"/>
                <w:sz w:val="18"/>
                <w:szCs w:val="18"/>
                <w:b w:val="1"/>
                <w:bCs w:val="1"/>
                <w:color w:val="auto"/>
              </w:rPr>
              <w:t>PART II</w:t>
            </w:r>
          </w:p>
        </w:tc>
        <w:tc>
          <w:tcPr>
            <w:tcW w:w="1240" w:type="dxa"/>
            <w:vAlign w:val="bottom"/>
          </w:tcPr>
          <w:p>
            <w:pPr>
              <w:spacing w:after="0"/>
              <w:rPr>
                <w:sz w:val="24"/>
                <w:szCs w:val="24"/>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9240" w:type="dxa"/>
            <w:vAlign w:val="bottom"/>
          </w:tcPr>
          <w:p>
            <w:pPr>
              <w:ind w:left="1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240" w:type="dxa"/>
            <w:vAlign w:val="bottom"/>
          </w:tcPr>
          <w:p>
            <w:pPr>
              <w:ind w:left="1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Selected Financial Data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9240" w:type="dxa"/>
            <w:vAlign w:val="bottom"/>
          </w:tcPr>
          <w:p>
            <w:pPr>
              <w:ind w:left="1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7A.</w:t>
            </w:r>
          </w:p>
        </w:tc>
        <w:tc>
          <w:tcPr>
            <w:tcW w:w="924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Quantitative and Qualitative Disclosures About Market Risk</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9240" w:type="dxa"/>
            <w:vAlign w:val="bottom"/>
          </w:tcPr>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Financial Statements and Supplementary Data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9.</w:t>
            </w:r>
          </w:p>
        </w:tc>
        <w:tc>
          <w:tcPr>
            <w:tcW w:w="924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Changes in and Disagreements with Accountants on Accounting and Financial Disclosure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9A.</w:t>
            </w:r>
          </w:p>
        </w:tc>
        <w:tc>
          <w:tcPr>
            <w:tcW w:w="924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Controls and Procedures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Item 9B.</w:t>
            </w:r>
          </w:p>
        </w:tc>
        <w:tc>
          <w:tcPr>
            <w:tcW w:w="924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760" w:type="dxa"/>
            <w:vAlign w:val="bottom"/>
          </w:tcPr>
          <w:p>
            <w:pPr>
              <w:spacing w:after="0"/>
              <w:rPr>
                <w:sz w:val="24"/>
                <w:szCs w:val="24"/>
                <w:color w:val="auto"/>
              </w:rPr>
            </w:pPr>
          </w:p>
        </w:tc>
        <w:tc>
          <w:tcPr>
            <w:tcW w:w="9240" w:type="dxa"/>
            <w:vAlign w:val="bottom"/>
          </w:tcPr>
          <w:p>
            <w:pPr>
              <w:jc w:val="center"/>
              <w:ind w:left="390"/>
              <w:spacing w:after="0"/>
              <w:rPr>
                <w:sz w:val="20"/>
                <w:szCs w:val="20"/>
                <w:color w:val="auto"/>
              </w:rPr>
            </w:pPr>
            <w:r>
              <w:rPr>
                <w:rFonts w:ascii="Arial" w:cs="Arial" w:eastAsia="Arial" w:hAnsi="Arial"/>
                <w:sz w:val="18"/>
                <w:szCs w:val="18"/>
                <w:b w:val="1"/>
                <w:bCs w:val="1"/>
                <w:color w:val="auto"/>
              </w:rPr>
              <w:t>PART III</w:t>
            </w:r>
          </w:p>
        </w:tc>
        <w:tc>
          <w:tcPr>
            <w:tcW w:w="1240" w:type="dxa"/>
            <w:vAlign w:val="bottom"/>
          </w:tcPr>
          <w:p>
            <w:pPr>
              <w:spacing w:after="0"/>
              <w:rPr>
                <w:sz w:val="24"/>
                <w:szCs w:val="24"/>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924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Directors, Executive Officers and Corporate Governance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11.</w:t>
            </w:r>
          </w:p>
        </w:tc>
        <w:tc>
          <w:tcPr>
            <w:tcW w:w="924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Executive Compensation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12.</w:t>
            </w:r>
          </w:p>
        </w:tc>
        <w:tc>
          <w:tcPr>
            <w:tcW w:w="924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Security Ownership of Certain Beneficial Owners and Management and Related Stockholder Matters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13.</w:t>
            </w:r>
          </w:p>
        </w:tc>
        <w:tc>
          <w:tcPr>
            <w:tcW w:w="924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Certain Relationships and Related Transactions, and Director Independence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Item 14.</w:t>
            </w:r>
          </w:p>
        </w:tc>
        <w:tc>
          <w:tcPr>
            <w:tcW w:w="924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Principal Accountant Fees and Services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760" w:type="dxa"/>
            <w:vAlign w:val="bottom"/>
          </w:tcPr>
          <w:p>
            <w:pPr>
              <w:spacing w:after="0"/>
              <w:rPr>
                <w:sz w:val="24"/>
                <w:szCs w:val="24"/>
                <w:color w:val="auto"/>
              </w:rPr>
            </w:pPr>
          </w:p>
        </w:tc>
        <w:tc>
          <w:tcPr>
            <w:tcW w:w="9240" w:type="dxa"/>
            <w:vAlign w:val="bottom"/>
          </w:tcPr>
          <w:p>
            <w:pPr>
              <w:jc w:val="center"/>
              <w:ind w:left="390"/>
              <w:spacing w:after="0"/>
              <w:rPr>
                <w:sz w:val="20"/>
                <w:szCs w:val="20"/>
                <w:color w:val="auto"/>
              </w:rPr>
            </w:pPr>
            <w:r>
              <w:rPr>
                <w:rFonts w:ascii="Arial" w:cs="Arial" w:eastAsia="Arial" w:hAnsi="Arial"/>
                <w:sz w:val="18"/>
                <w:szCs w:val="18"/>
                <w:b w:val="1"/>
                <w:bCs w:val="1"/>
                <w:color w:val="auto"/>
              </w:rPr>
              <w:t>PART IV</w:t>
            </w:r>
          </w:p>
        </w:tc>
        <w:tc>
          <w:tcPr>
            <w:tcW w:w="1240" w:type="dxa"/>
            <w:vAlign w:val="bottom"/>
          </w:tcPr>
          <w:p>
            <w:pPr>
              <w:spacing w:after="0"/>
              <w:rPr>
                <w:sz w:val="24"/>
                <w:szCs w:val="24"/>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Item 15.</w:t>
            </w:r>
          </w:p>
        </w:tc>
        <w:tc>
          <w:tcPr>
            <w:tcW w:w="924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Exhibits and Financial Statement Schedules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Item 16.</w:t>
            </w:r>
          </w:p>
        </w:tc>
        <w:tc>
          <w:tcPr>
            <w:tcW w:w="924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Form 10-K Summary</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000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SIGNATURES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790"/>
        </w:trPr>
        <w:tc>
          <w:tcPr>
            <w:tcW w:w="7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Frequency Electronics, Inc. (sometimes referred to as “Registrant”, “Frequency Electronics” or the “Company”) is a world leader in precision time and frequency generation technology, which is employed in commercial and Government Satellite Payload systems, Secure Communications, Command, Control, Communication, Computer, Intelligence, Security and Reconnaissance (“C4ISR”), and Electronic Warfare (“EW”) systems. Its technology is used for a wide range of space and non-space applications.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8"/>
          <w:szCs w:val="18"/>
          <w:i w:val="1"/>
          <w:iCs w:val="1"/>
          <w:color w:val="auto"/>
        </w:rPr>
        <w:t>www.frequencyelectronics.com.</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principle end markets are satellite payloads and precision time for terrestrial secure command control and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systems.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satellite market, the Company has a unique legacy of providing master timing systems, power converters, and frequency generation, synthesis and distribution systems. These products are applicable for both commercial and U.S. Government end-use. Currently, there are approximately two thousand satellites with varying remaining useful lives operating in Geostationary, Medium and Low Earth Orbits. The U.S. government operates approximately 800 of these. The number of operational satellites with emphasis on high-throughput is expected to continue to grow over the next ten years as demand for higher bandwidths and improved anti-jam-anti-spoofing increases. Furthermore, the U.S. Government is expected to contract options for additional GPS III satellites, and the Company is well positioned to compete for the onboard clock ensemble with its high-precision digital Rubidium atomic frequency standard.</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the terrestrial secure command control and communications systems market, the Company’s products support multiple C4ISR counter measures and EW applications for the U.S. Government on land, sea and air-borne platforms. Recently identified threats to the communication capabilities of U.S. Government facilities through jamming, multi-path or “spoofing” global positioning systems (“GPS”) signals may be mitigated by the Company’s technologies. In addition, similar types of threats to the public and enterprise networks have been identified by the U.S. Department of Homeland Security. The Company’s high precision, ruggedized clocks combined with specialized software are essential for certain secure communication systems.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Frequency Electronics, Inc. Asia (“FEI-Asia”), classified as an Asset Held for Sale in fiscal year 2019, (see Note 2 to the Consolidated Financial Statements in Part II, Item 8 of this Annual Report on Form 10-K (the “Consolidated Financial Statements”) for details) and FEI-Elcom Tech, Inc. (“FEI-Elcom”) and (2) FEI-Zyfer, Inc. (“FEI-Zyfer”).</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Frequency Electronics has made a strategic decision to focus on satellite payloads, C4ISR and EW market segments, because these business areas represent significant opportunities for revenue growth. Accordingly, in fiscal year 2019 the Company classified FEI-Asia as an Asset Held for Sale.</w:t>
      </w:r>
    </w:p>
    <w:p>
      <w:pPr>
        <w:spacing w:after="0" w:line="120" w:lineRule="exact"/>
        <w:rPr>
          <w:sz w:val="20"/>
          <w:szCs w:val="20"/>
          <w:color w:val="auto"/>
        </w:rPr>
      </w:pPr>
    </w:p>
    <w:p>
      <w:pPr>
        <w:ind w:firstLine="8"/>
        <w:spacing w:after="0" w:line="282" w:lineRule="auto"/>
        <w:tabs>
          <w:tab w:leader="none" w:pos="414"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FEI-NY</w:t>
      </w:r>
      <w:r>
        <w:rPr>
          <w:rFonts w:ascii="Arial" w:cs="Arial" w:eastAsia="Arial" w:hAnsi="Arial"/>
          <w:sz w:val="18"/>
          <w:szCs w:val="18"/>
          <w:b w:val="1"/>
          <w:bCs w:val="1"/>
          <w:color w:val="auto"/>
        </w:rPr>
        <w:t xml:space="preserve"> </w:t>
      </w:r>
      <w:r>
        <w:rPr>
          <w:rFonts w:ascii="Arial" w:cs="Arial" w:eastAsia="Arial" w:hAnsi="Arial"/>
          <w:sz w:val="18"/>
          <w:szCs w:val="18"/>
          <w:color w:val="auto"/>
        </w:rPr>
        <w:t>– U.S. Government and commercial satellite electronics, as well as products for the U.S. military and commercial telecom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and manufactured at the Company’s Long Island, New York headquarters facility.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FEI-Elcom designs and manufactures Radio Frequency (“RF”) microwave modules, devices and subsystems up to 46 GHz including fast switching, ultra-low phase noise synthesizers, up-down converters, receivers, tuners, ceramic resonance oscillators and dielectric resonance oscillators. These instruments and components are mission critical for multiple applications in the EW market,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The Company has consolidated FEI-Elcom’s manufacturing capabilities with other FEI-NY operations in an effort to reduce costs and improve margin.</w:t>
      </w:r>
    </w:p>
    <w:p>
      <w:pPr>
        <w:spacing w:after="0" w:line="174" w:lineRule="exact"/>
        <w:rPr>
          <w:sz w:val="20"/>
          <w:szCs w:val="20"/>
          <w:color w:val="auto"/>
        </w:rPr>
      </w:pPr>
    </w:p>
    <w:p>
      <w:pPr>
        <w:jc w:val="both"/>
        <w:ind w:firstLine="8"/>
        <w:spacing w:after="0" w:line="261" w:lineRule="auto"/>
        <w:tabs>
          <w:tab w:leader="none" w:pos="387"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FEI-Zyfer</w:t>
      </w:r>
      <w:r>
        <w:rPr>
          <w:rFonts w:ascii="Arial" w:cs="Arial" w:eastAsia="Arial" w:hAnsi="Arial"/>
          <w:sz w:val="18"/>
          <w:szCs w:val="18"/>
          <w:b w:val="1"/>
          <w:bCs w:val="1"/>
          <w:color w:val="auto"/>
        </w:rPr>
        <w:t xml:space="preserve"> </w:t>
      </w:r>
      <w:r>
        <w:rPr>
          <w:rFonts w:ascii="Arial" w:cs="Arial" w:eastAsia="Arial" w:hAnsi="Arial"/>
          <w:sz w:val="18"/>
          <w:szCs w:val="18"/>
          <w:color w:val="auto"/>
        </w:rPr>
        <w:t>- Precision time references for terrestrial secure communications and command and control, and frequency products that incorporate GPS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are manufactured by the Company’s subsidiary, FEI-Zyfer. FEI-Zyfer’s GPS capability complements the Company’s existing technologies and permits the combined entities to provide a broader range of embedded systems for a variety of timing functions and anti-spoofing (“SAASM”) applications.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about these reportable segments, see Item 1. Business – Reportable Segments and Products below.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11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 AND PRODUCTS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operates under two reportable segments, primarily aligned with the geographical locations of its subsidiaries: (1) FEI-NY and (2)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subsidiary, FEI-Elcom. FEI-Elcom, in addition to its own product line, provides design and technical support for the FEI-NY segment’s business. The products manufactured by the FEI-NY segment are principally marketed to the commercial and U.S. Government satellite markets, to other U.S. Department of Defense (“DOD”) customers and to wireless communications network providers. The FEI-Zyfer segment, which operates out of California, designs and manufactures products which incorporate GPS technologies and high-precision clocks designed and manufactured at FEI-NY. FEI-Zyfer sells its products to both commercial and U.S. Government customers and collaborates with FEI-NY on joint product development activities.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fiscal years 2020 and 2019, approximately 77%, of the Company’s consolidated revenues were from products sold by the FEI-NY segment. In fiscal years 2020 and 2019, sales for the FEI-Zyfer segment were 26% and 25% of consolidated revenues, respectively. (The sum of annual sales percentages exceeds 100% due to intersegment sales.)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Consolidated revenues include sales to end-users in countries located outside of the U.S., primarily in Europe and China. During fiscal years 2020 and 2019, foreign sales comprised 4%, of consolidated revenues. For segment information, see Note 14 to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provides precision time, frequency generation and synchronization products and subsystems that are found on-board satellites, in ground-based communication systems and imbedded in mobile platforms operated by the U.S. military. The Company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the Company’s largest business area while the portion of network infrastructure sales has declined relatively. The Company expects to continue to generate substantial revenues from deployment of new and replacement satellites and other U.S. Government/DOD applications including sales of ruggedized subsystems for moving platforms of the U.S. military.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Satellite Payloads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navigation, communication and intelligence collection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Commercial satellite programs which utilize the Company’s space-qualified products include Iridium NEXT Constellation, Intelsat EPIC, O3B, WAAS, MexSat, MSV, ICO, TerreStar, EchoStar, Inmarsat and others. The Company is also pursuing core product opportunities for planned satellite constellations that will operate in low- or mid-earth orbits.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years ahead, the Company expects that the DOD will require more secure communication capabilities, more assets in space and greater bandwidth. The Global Positioning Satellite System, the MILSTAR Satellite System and the AEHF Satellite System are examples of the programs in which the Company has participated or will participate - programs which management believes are important to the success of the U.S. Government’s communication, intelligence and Precision Navigation and Timing (PNT) needs.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U.S. Government- Non-space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space-based programs, the Company’s proprietary products have been used in airborne and ground-based guidance, navigation, communications, radar, sonar and electronic countermeasures and timing systems. The Company has developed and patented a low g-sensitivity (gravity) technology which offers a 100 times improvement in performance under shock, vibration and other environmental effects.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FEI-Elcom addresses RF microwave modules and subsystems up to 46 GHz including fast switching, ultra-low phase noise synthesizers, up-down converters, receivers, tuners, ceramic resonance oscillators and dielectric resonance oscillators. These instruments and components are mission critical for many applications in the EW market, including SATCOM communication, surveillance, intelligence collection (SIGINT, COMINT, MASINT, and ELINT) and threat simulation systems.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sales on U.S. Government programs for both space and non-space applications are generally made under fixed price or cost-plus contracts either directly with U.S. Government agencies or indirectly through subcontracts intended for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due to periodic U.S. Government appropriations cycles.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Negotiations on U.S. Government contracts are sometimes based in part on Certificates of Current Costs. An inaccuracy in such certificates may entitle the government to an appropriate recovery. The Company’s accounts with respect to these contracts are subject to audit by the Defense Contract Audit Agency (“DCAA”). The Company’s last full incurred cost audit was performed in 2008. The Company is required to submit for subsequent review an incurred cost report by October 31, for each year then ended. All such required reports have been filed with no adverse comments to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FEI has a DCAA audited and approved accounting system, which enables the Company to enter into contracts directly with U.S. Government agencies that require government certified accounting systems.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Government end-use contracts are subject to termination by the purchaser for convenience or default, as well as various other Federal Acquisition Regulations (“FAR”) provisions. In the event of a termination for convenience, the Company is entitled to receive compensation as provided under the specific terms of such contracts. There were no end-use contracts terminated for the year ended April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 SEGMENT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FEI-Zyfer designs, develops and manufactures products which provide Precision Navigation and Timing (PNT), primarily incorporating Global Navigation Satellite System(s) technology. FEI-Zyfer’s products make use of both “in-the-clear” civil and “crypto-secured” military signals for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certain communication and operational security. More than 95% of FEI-Zyfer’s revenues are derived from sales where the end user is the U.S. Government.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April 30, 2020, the Company’s consolidated backlog amounted to approximately $36 million compared to approximately $37 million at the end of the prior fiscal year. Approximately 81% of the current backlog is expected to be filled during the Company’s fiscal year ending April 30, 2021. As of April 30, 2020, there are no amounts included in backlog under cost-plus fixed-fee contracts that have not been funded. The Company excludes from backlog those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markets its products both directly and through independent sales representative organizations located in the U.S., Europe and Asia.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to non-U.S. end-users totaled approximately 4% of net revenues in fiscal years 2020 and 2019, respectively.</w:t>
      </w:r>
    </w:p>
    <w:p>
      <w:pPr>
        <w:spacing w:after="0" w:line="21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2020 and 2019, approximately 83% and 87%, respectively, of the Company’s sales were made under contracts to the U.S. Government or subcontracts for U.S. Government end-use.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2020, Lockheed Martin Corporation (“Lockheed Martin”), Northrop Grumman Company (“Northrop Grumman”), BAE Systems and L3Harris Technologies, Inc. each accounted for more than 10% of the Company’s consolidated revenues.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year 2019, Lockheed Martin accounted for more than 10% of the Company’s consolidated 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is mutually satisfactory. Additionally, the Company is not aware of any prospect for the cancellation or significant reduction of any of its commercial or existing U.S. Government contracts.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technological leadership continues to be an essential factor as it pursues future growth in revenues and earnings. The Company has focused its internal R&amp;D efforts on improving the core physics and electronic packages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continues to focus a significant portion of its own resources and efforts on developing hardware for satellite (commercial and U.S. Government) and terrestrial commercial communications systems, including wireless and GPS-related systems. During fiscal years 2020 and 2019, the Company expended $5.1 million and $6.5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During fiscal years 2020 and 2019, some of the Company’s development resources were applied to the design-stage of fixed-price satellite payload sub-system programs. For fiscal year 2021, the resources to be allocated to R&amp;D will depend on market conditions and identification of new opportunities, as was the case in fiscal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rubidium and cesium-based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principal competition for space products is the in-house capability of its major customers such as the Boeing Company,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Microchip Technology Inc. and Mercury Systems.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previously outsourced certain manufacturing processes to third parties and to Russia-based Morion, in which the Company is a minority shareholder.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employs approximately 220 full-time persons worldwide. No employees are represented by labor unions.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summer holiday periods. No unusual working capital requirements exist. The Company’s U.S. Government contracts are subject to FAR, which impose various requirements and failure to comply could potentially have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OUR EXECUTIVE OFFICERS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names of all executive officers of the Company and all positions and offices with the Company which they presently hold are as follows:</w:t>
      </w:r>
    </w:p>
    <w:p>
      <w:pPr>
        <w:sectPr>
          <w:pgSz w:w="11900" w:h="16838" w:orient="portrait"/>
          <w:cols w:equalWidth="0" w:num="1">
            <w:col w:w="11240"/>
          </w:cols>
          <w:pgMar w:left="320" w:top="125"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Stanton D. Sloane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22" w:lineRule="exact"/>
        <w:rPr>
          <w:sz w:val="20"/>
          <w:szCs w:val="20"/>
          <w:color w:val="auto"/>
        </w:rPr>
      </w:pPr>
    </w:p>
    <w:p>
      <w:pPr>
        <w:sectPr>
          <w:pgSz w:w="11900" w:h="16838" w:orient="portrait"/>
          <w:cols w:equalWidth="0" w:num="3">
            <w:col w:w="1320" w:space="680"/>
            <w:col w:w="60" w:space="220"/>
            <w:col w:w="896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Oleandro Mancini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Business Development</w:t>
      </w:r>
    </w:p>
    <w:p>
      <w:pPr>
        <w:spacing w:after="0" w:line="222" w:lineRule="exact"/>
        <w:rPr>
          <w:sz w:val="20"/>
          <w:szCs w:val="20"/>
          <w:color w:val="auto"/>
        </w:rPr>
      </w:pPr>
    </w:p>
    <w:p>
      <w:pPr>
        <w:sectPr>
          <w:pgSz w:w="11900" w:h="16838" w:orient="portrait"/>
          <w:cols w:equalWidth="0" w:num="3">
            <w:col w:w="1320" w:space="680"/>
            <w:col w:w="60" w:space="220"/>
            <w:col w:w="896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Steven Strang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FEI-Zyfer</w:t>
      </w:r>
    </w:p>
    <w:p>
      <w:pPr>
        <w:spacing w:after="0" w:line="222" w:lineRule="exact"/>
        <w:rPr>
          <w:sz w:val="20"/>
          <w:szCs w:val="20"/>
          <w:color w:val="auto"/>
        </w:rPr>
      </w:pPr>
    </w:p>
    <w:p>
      <w:pPr>
        <w:sectPr>
          <w:pgSz w:w="11900" w:h="16838" w:orient="portrait"/>
          <w:cols w:equalWidth="0" w:num="3">
            <w:col w:w="1280" w:space="720"/>
            <w:col w:w="60" w:space="220"/>
            <w:col w:w="896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Thomas McClelland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Advanced Development and Chief Scientist</w:t>
      </w:r>
    </w:p>
    <w:p>
      <w:pPr>
        <w:spacing w:after="0" w:line="222" w:lineRule="exact"/>
        <w:rPr>
          <w:sz w:val="20"/>
          <w:szCs w:val="20"/>
          <w:color w:val="auto"/>
        </w:rPr>
      </w:pPr>
    </w:p>
    <w:p>
      <w:pPr>
        <w:sectPr>
          <w:pgSz w:w="11900" w:h="16838" w:orient="portrait"/>
          <w:cols w:equalWidth="0" w:num="3">
            <w:col w:w="1480" w:space="520"/>
            <w:col w:w="60" w:space="220"/>
            <w:col w:w="896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Adrian Lalicata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RF &amp; Microwave Systems</w:t>
      </w:r>
    </w:p>
    <w:p>
      <w:pPr>
        <w:spacing w:after="0" w:line="222" w:lineRule="exact"/>
        <w:rPr>
          <w:sz w:val="20"/>
          <w:szCs w:val="20"/>
          <w:color w:val="auto"/>
        </w:rPr>
      </w:pPr>
    </w:p>
    <w:p>
      <w:pPr>
        <w:sectPr>
          <w:pgSz w:w="11900" w:h="16838" w:orient="portrait"/>
          <w:cols w:equalWidth="0" w:num="3">
            <w:col w:w="1280" w:space="720"/>
            <w:col w:w="60" w:space="220"/>
            <w:col w:w="896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Steven L. Bernstein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Secretary and Treasurer</w:t>
      </w:r>
    </w:p>
    <w:p>
      <w:pPr>
        <w:spacing w:after="0" w:line="222" w:lineRule="exact"/>
        <w:rPr>
          <w:sz w:val="20"/>
          <w:szCs w:val="20"/>
          <w:color w:val="auto"/>
        </w:rPr>
      </w:pPr>
    </w:p>
    <w:p>
      <w:pPr>
        <w:sectPr>
          <w:pgSz w:w="11900" w:h="16838" w:orient="portrait"/>
          <w:cols w:equalWidth="0" w:num="3">
            <w:col w:w="1440" w:space="560"/>
            <w:col w:w="60" w:space="220"/>
            <w:col w:w="8960"/>
          </w:cols>
          <w:pgMar w:left="320" w:top="125" w:right="339" w:bottom="1440" w:gutter="0" w:footer="0" w:header="0"/>
          <w:type w:val="continuous"/>
        </w:sectPr>
      </w:pPr>
    </w:p>
    <w:p>
      <w:pPr>
        <w:spacing w:after="0" w:line="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Stanton D. Sloane, age 69, has served as a Director of the Company since August 2016. On May 1, 2018, Dr. Sloane was named President and Chief Executive Officer of the Company. Prior to being named President and Chief Executive Officer, Dr. Sloane had served as the Chief Operating Officer of the Company since September 2017. Dr. Sloane was President and Chief Executive Officer of Comtech Telecommunications Corp. (Nasdaq: CMTL) from January 2015 until September 2016 and a director of Comtech from January 2012 until September 2016. Prior to joining Comtech, Dr. Sloane was President and CEO and a Director of Decision Sciences International Corporation, a privately-held advanced security and detection systems company, from August 2011 through January 2015. Prior to that, he served as President and CEO and a Director of SRA International, Inc. (“SRA”), an information solutions company. He served as President and CEO of SRA from April 2007 through July 2011, during which time he helped lead the sale of SRA to a private equity firm. Prior to joining SRA, he was Executive Vice President of Lockheed Martin's Integrated Systems &amp; Solutions from June 2004 until April 2007. He began his business career with General Electric Aerospace in 1984 and progressed through engineering, program management, and business development assignments in a variety of General Electric Aerospace and subsequently Lockheed Martin businesses. He also served as an officer in the U.S. Navy from 1976 until 1981. Dr. Sloane holds a bachelor's degree in Professional Studies (Aeronautics) from Barry University, a master's degree in Human Resources Management from Pepperdine University, and a Doctor of Management degree from the Weatherhead Business School at Case Western Reserve University.</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Oleandro Mancini, age 71,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Steven Strang, age 56, was named President of FEI-Zyfer, Inc., effective May 1, 2005. Previously, Mr. Strang was Executive Vice President of this subsidiary and its predecessor companies where he has served for 21 years in various technical and management positions.</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Thomas McClelland, age 65,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73, joined the Company in 2006 as Vice President, RF &amp; Microwave Systems. Prior to joining the Company, Mr. Lalicata served as Vice President of Engineering at Herley-CTI and Communication Techniques, a Dover Company. Mr. Lalicata has also served as Director of Engineering at Microphase Corp. and Adcomm, Inc. He also held leading engineering positions at Loral Electronic Systems, Cardion Electronics, and Airborne Instruments Laboratories.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Steven L. Bernstein, age 55, joined the Company in April 2010 as its Controller and was appointed to the position of Chief Financial Officer in April 2016. Effective January 1,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80" w:type="dxa"/>
            <w:vAlign w:val="bottom"/>
          </w:tcPr>
          <w:p>
            <w:pPr>
              <w:spacing w:after="0"/>
              <w:rPr>
                <w:sz w:val="20"/>
                <w:szCs w:val="20"/>
                <w:color w:val="auto"/>
              </w:rPr>
            </w:pPr>
          </w:p>
        </w:tc>
        <w:tc>
          <w:tcPr>
            <w:tcW w:w="27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Size (sq. ft.)</w:t>
            </w:r>
          </w:p>
        </w:tc>
        <w:tc>
          <w:tcPr>
            <w:tcW w:w="8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 or Lease</w:t>
            </w:r>
          </w:p>
        </w:tc>
      </w:tr>
      <w:tr>
        <w:trPr>
          <w:trHeight w:val="21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Long Island, NY</w:t>
            </w:r>
          </w:p>
        </w:tc>
        <w:tc>
          <w:tcPr>
            <w:tcW w:w="2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93,000</w:t>
            </w:r>
          </w:p>
        </w:tc>
        <w:tc>
          <w:tcPr>
            <w:tcW w:w="8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00" w:type="dxa"/>
            <w:vAlign w:val="bottom"/>
          </w:tcPr>
          <w:p>
            <w:pPr>
              <w:jc w:val="center"/>
              <w:spacing w:after="0"/>
              <w:rPr>
                <w:sz w:val="20"/>
                <w:szCs w:val="20"/>
                <w:color w:val="auto"/>
              </w:rPr>
            </w:pPr>
            <w:r>
              <w:rPr>
                <w:rFonts w:ascii="Arial" w:cs="Arial" w:eastAsia="Arial" w:hAnsi="Arial"/>
                <w:sz w:val="18"/>
                <w:szCs w:val="18"/>
                <w:color w:val="auto"/>
                <w:w w:val="92"/>
              </w:rPr>
              <w:t>Garden Grove, CA</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27,850</w:t>
            </w:r>
          </w:p>
        </w:tc>
        <w:tc>
          <w:tcPr>
            <w:tcW w:w="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Northvale, NJ</w:t>
            </w:r>
          </w:p>
        </w:tc>
        <w:tc>
          <w:tcPr>
            <w:tcW w:w="2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9,000</w:t>
            </w:r>
          </w:p>
        </w:tc>
        <w:tc>
          <w:tcPr>
            <w:tcW w:w="8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leased its manufacturing and office space from Reckson under an initial 11-year lease followed by two five-year renewal periods which ended in January 2019. On July 25, 2018, the Company signed an amendment to the lease with RA 55 CLB LLC (as successor-in-interest to Reckson) which extended the current lease terms ten years and eight months through September 30, 2029. Pursuant to the amendment to the lease agreement, the Company shall pay a gradually increasing annual rent of $1,046,810 in 2019 to $1,276,056 in 2029. The Company believes the leased space is adequate to meet the Company’s domestic operational needs which encompass the principal operations of the FEI-NY segment and also serves as the Company’s corporate headquarters.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Garden Grove, California facility is leased by the Company’s subsidiary, FEI-Zyfer. The facility consists of a combination office and manufacturing space. The Company has signed a second amendment to the lease, which extends the lease an additional 88 months, beginning October 1, 2017 and expiring January 31, 2025. The average annual rent over the period of the amendment is approximately $312,000. The Company believes the leased space is adequate to meet FEI-Zyfer’s operational needs.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FEI-Elcom entered into a new lease agreement on February 1, 2018 regarding its Northvale, New Jersey facility. The facility consists of a combination office and manufacturing space. The lease, which expires in January 31, 2021, requires monthly payments of $9,673. The Company believes the leased space is adequate to meet FEI-Elcom’s operational needs.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January 28, 2020, Martin B. Bloch, the former Chief Scientist of the Company and a current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Electronics, Inc., et al</w:t>
      </w:r>
      <w:r>
        <w:rPr>
          <w:rFonts w:ascii="Arial" w:cs="Arial" w:eastAsia="Arial" w:hAnsi="Arial"/>
          <w:sz w:val="16"/>
          <w:szCs w:val="16"/>
          <w:color w:val="auto"/>
        </w:rPr>
        <w:t>., Index No. 601369/2020 (N.Y. Sup. Ct. filed Jan. 28, 2020)). Mr. Bloch seeks compensatory damages and costs and attorney’s fees,</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based on allegations that he was wrongfully terminated “for cause” pursuant to his employment agreement, dated March 17, 2008, and his deferred compensation agreements, in each case as amended, with the Company,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The Company and the Director Defendants believe that the Board was justified in its decision to terminate Mr. Bloch “for cause” and that Mr. Bloch’s complaint is entirely without merit. The Company intends to vigorously defend against all of Mr. Bloch’s allegations. At this time, the Company does not have sufficient information to determine whether liability, if any, arising out of these matters is probable or the possible loss, if any, that could result from an unfavorable outcome arising out of these matters.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Mr. Bloch sought to initiate two arbitration proceedings under the AAA Rules (</w:t>
      </w:r>
      <w:r>
        <w:rPr>
          <w:rFonts w:ascii="Arial" w:cs="Arial" w:eastAsia="Arial" w:hAnsi="Arial"/>
          <w:sz w:val="18"/>
          <w:szCs w:val="18"/>
          <w:i w:val="1"/>
          <w:iCs w:val="1"/>
          <w:color w:val="auto"/>
        </w:rPr>
        <w:t>Bloch v. Frequency Electronics, Inc.,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Committee of the Board of Directors of Frequency Electronics, Inc., and the Deferred Compensation Plan Agreement Dated March 7, 2008</w:t>
      </w:r>
      <w:r>
        <w:rPr>
          <w:rFonts w:ascii="Arial" w:cs="Arial" w:eastAsia="Arial" w:hAnsi="Arial"/>
          <w:sz w:val="18"/>
          <w:szCs w:val="18"/>
          <w:color w:val="auto"/>
        </w:rPr>
        <w:t>). One arbitration is brought under a deferred compensation agreement dated March 27, 1980 and the other under a second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agreement, dated March 7, 2008. Bloch submitted his Statements of Claim in both arbitrations on May 4, 2020. In both proceedings, Bloch claims that defendants violated ERISA rules by denying him the benefits he was allegedly entitled to under the deferred compensation agreements.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motion is currently pending. At this time, the Company does not have sufficient information to determine the likelihood of success of this petition.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On June 5, 2020, Mr. Bloch filed a petition against the Company, the Compensation Committee of the Company’s Board of Directors, and the Deferred Compensation Plan Agreement Dated March 7, 2008, as amended, for the appointment of an arbitrator in one of the arbitration proceedings that Mr. Bloch sought to initiate. The petition was filed in the Supreme Court of the State of New York, County of Nassau </w:t>
      </w:r>
      <w:r>
        <w:rPr>
          <w:rFonts w:ascii="Arial" w:cs="Arial" w:eastAsia="Arial" w:hAnsi="Arial"/>
          <w:sz w:val="16"/>
          <w:szCs w:val="16"/>
          <w:i w:val="1"/>
          <w:iCs w:val="1"/>
          <w:color w:val="auto"/>
        </w:rPr>
        <w:t>(Bloch v. Frequency Electronics,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w:t>
      </w:r>
      <w:r>
        <w:rPr>
          <w:rFonts w:ascii="Arial" w:cs="Arial" w:eastAsia="Arial" w:hAnsi="Arial"/>
          <w:sz w:val="16"/>
          <w:szCs w:val="16"/>
          <w:color w:val="auto"/>
        </w:rPr>
        <w:t>Index No. 605380/2020 (N.Y. Sup. Ct. filed June 5, 2020)). On June 22, 2020, the Company moved to dismiss Mr. Bloch’s petition, and he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motion on July 2, 2020. The motion is currently pending. Defendants dispute all of Bloch’s claims and intend to continue to vigorously defend the Company in this special proceeding. The likelihood of any outcome of this proceeding cannot be determined at this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As of July 27, 2020, the approximate number of holders of record of common stock was 485.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dividends were declared or paid during fiscal years 2020 and 2019. The Company currently intends to retain any future earnings for use in the business. Any future determinations as to the declaration of dividends on our common stock will be made at the discretion of the Board of Directors and will depend on our earnings, operating and financial conditions, capital requirements and other factors deemed relevant by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2020 or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Contract costs include all direct material, direct labor costs, manufacturing overhead and other direct costs related to contract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income tax expense, deferred tax asset and liabilities, and liabilities for unrecognized tax benefits reflect management’s best estimate of current and future taxes to be paid. Significant judgments and estimates are required in the determination of the consolidated income tax expense.</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As of April 30, 2020 and 2019, we have a full valuation allowance against our U.S. net deferred tax assets.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 Interest and penalties recognized on income taxes are recorded as income tax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 Update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March 2020, the WHO classified the COVID-19 outbreak as a pandemic, based on the rapid increase in exposure globally.</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priority during the COVID-19 outbreak has been to protect the health and safety of its employees while keeping its manufacturing sites open.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production facilities; mandating handwashing; requiring social distancing and, where social distancing is difficult, requiring face coverings; streamlining onsite personnel; encouraging, and in some cases, requiring remote work for those employees who can work from home; and disinfecting facilities.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July 29, 2020, the Company was aware of two employees that have had confirmed cases of COVID-19 since the COVID-19 outbreak began, with no fatalities and both of those employees having returned to work. Additional employees have been absent or self-quarantined due to COVID-19; however, such absences have not had a significant impact on production. Additionally, since the COVID-19 outbreak began, no facilities have been fully shut down (other than temporarily for disinfecting) and such measures to disinfect facilities have not had a significant impact on production. Certain of the Company’s vendors have been unable to deliver materials on time due to the COVID-19 outbreak. Such delays have negatively impacted the Company’s production, and the Company plans to continue to monitor these and its other vendors and, if necessary, seek alternative suppliers.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full impact of the COVID-19 outbreak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for fiscal year 2021.</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SBA Paycheck Protection Program loans that are forgivable in certain situations to promote continued employment, as well as Economic Injury Disaster Loans to provide liquidity to small businesses harmed by COVID-19.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sets forth for the fiscal years ended April 30, 2020 and 2019, the percentage of consolidated net sales represented by certain items in the Company’s consolidated statements of operations: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28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ind w:left="56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Less intersegment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ind w:left="56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(26.3)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Other (Expenses) Income, net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10"/>
          </w:tcPr>
          <w:p>
            <w:pPr>
              <w:ind w:left="80"/>
              <w:spacing w:after="0"/>
              <w:rPr>
                <w:sz w:val="20"/>
                <w:szCs w:val="20"/>
                <w:color w:val="auto"/>
              </w:rPr>
            </w:pPr>
            <w:r>
              <w:rPr>
                <w:rFonts w:ascii="Arial" w:cs="Arial" w:eastAsia="Arial" w:hAnsi="Arial"/>
                <w:sz w:val="18"/>
                <w:szCs w:val="18"/>
                <w:b w:val="1"/>
                <w:bCs w:val="1"/>
                <w:color w:val="auto"/>
              </w:rPr>
              <w:t>Fiscal years ended April 30,</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6"/>
              </w:rPr>
              <w:t>Change</w:t>
            </w: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38,096</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12,235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(1,321)</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41,507</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49,509</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(8,002)</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Fiscal 2020 revenues from satellite programs, one of the Company’s largest business areas, decreased by $2.4 million, or 11%, compared to the prior fiscal year. For Fiscal 2020 satellite program revenues for government end-use were 41% and 46% of total revenues for fiscal years 2020 and 2019, respectively. Satellite program revenues for commercial end-use were 9% and 5% of total revenue for Fiscal 2020 and Fiscal 2019, respectively. Revenues on satellite program contracts are recorded in the FEI-NY segment and are recognized primarily under the Percentage-of-Completion (“POC”) method. Revenues from non-space U.S. Government/DOD customers decreased by approximately $5.8 million, or 26%, in Fiscal 2020 compared to prior fiscal year. These revenues are recorded in both the FEI-NY and FEI-Zyfer segments and accounted for approximately 41% and 46% of consolidated revenues for fiscal years 2020 and 2019, respectively. For the year ended April 30, 2020, other commercial and industrial sales accounted for approximately 10% of consolidated revenues compared to approximately 8% for fiscal year 2019. Sales in this business area were $4.2 million for the year ended April 30, 2020 compared to $3.9 million for the preceding year.</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0"/>
              </w:rPr>
              <w:t>Fiscal years ended April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(in thousands)</w:t>
            </w: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vMerge w:val="restart"/>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5,748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15,789</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4020" w:type="dxa"/>
            <w:vAlign w:val="bottom"/>
            <w:gridSpan w:val="2"/>
          </w:tcPr>
          <w:p>
            <w:pPr>
              <w:jc w:val="right"/>
              <w:ind w:right="2210"/>
              <w:spacing w:after="0"/>
              <w:rPr>
                <w:sz w:val="20"/>
                <w:szCs w:val="20"/>
                <w:color w:val="auto"/>
              </w:rPr>
            </w:pPr>
            <w:r>
              <w:rPr>
                <w:rFonts w:ascii="Arial" w:cs="Arial" w:eastAsia="Arial" w:hAnsi="Arial"/>
                <w:sz w:val="18"/>
                <w:szCs w:val="18"/>
                <w:color w:val="auto"/>
                <w:w w:val="88"/>
              </w:rPr>
              <w:t>Gross Profit Percentage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fiscal year ended April 30, 2020, the gross profit and gross profit percentage both decreased compared to the prior fiscal year. The lower gross profit and gross profit percentage were the result of lower revenues and were impacted by increases in engineering costs incurred on several programs, which are in the development phase and which encountered unanticipated technical challenges related to customer driven system packaging and environmental requirements for state-of-the-art performance demands.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vMerge w:val="restart"/>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rPr>
              <w:t>Change</w:t>
            </w:r>
          </w:p>
        </w:tc>
        <w:tc>
          <w:tcPr>
            <w:tcW w:w="14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11,593</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12,100</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fiscal years ended April 30, 2020 and 2019, selling and administrative expenses (“SG&amp;A”) were 28% and 24%, respectively, of consolidated revenues. SG&amp;A increased as a percentage of consolidated revenues due to the decrease in revenues. SG&amp;A expenses in Fiscal 2019 included a one-time charge of approximately $1 million for the loss associated with the sale of FEI-Asia. Excluding this one-time charge, SG&amp;A expenses were relatively flat year over year; depreciation increased while deferred compensation expense decreased. Stock compensation expenses, which are included in total SG&amp;A, were $144,000 and $298,000 in Fiscal 2020 and Fiscal 2019, respectively. Some legal expenses included in SG&amp;A are covered by the Company’s Directors &amp; Officers or Employment Practices Liability insurance policies and are anticipated to be reimbursed at a future date. The insurance coverage has been confirmed by the carrier, but the amount which will be reimbursed is subject to future negotiation.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vMerge w:val="restart"/>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rPr>
              <w:t>Change</w:t>
            </w:r>
          </w:p>
        </w:tc>
        <w:tc>
          <w:tcPr>
            <w:tcW w:w="14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5,077</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6,506</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color w:val="auto"/>
        </w:rPr>
        <w:t>As a percentage of consolidated revenue, R&amp;D expense for the years ended April 30, 2020 and 2019 was approximately 12% and 13%, respectively. The approximately $1.4 million decrease in R&amp;D expense year over year reflects a higher level of customer funded R&amp;D as a portion of the total R&amp;D effort. These R&amp;D efforts address large business opportunities in secure communications command and control, and satellite systems that require advanced technologies and capabilities going forward.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funds received in connection with customer funded R&amp;D appears in revenues and the associated expenses are included in costs of revenues and are not included in the table above. Although funding is obtained from customers, the Company retains the rights to any products developed. The Company believes that internally generated cash and cash reserves are adequate to fund its R&amp;D activity.</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Change</w:t>
            </w:r>
          </w:p>
        </w:tc>
        <w:tc>
          <w:tcPr>
            <w:tcW w:w="14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(8,105)</w:t>
            </w: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fiscal year ended April 30, 2020, the Company recorded an operating loss of $10.9 million compared to an operating loss of $2.8 million in the prior year. The increase in the operating loss in the fiscal year ended April 30, 2020 was a result of decreased revenues as well as increased costs related to technical challenges on certain programs in the developmental phase.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Other (Expense) Income,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5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years ended April 30,</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which primarily consist of fixed income securities. Earnings on securities may vary based on fluctuating interest rates, dividend payout levels, and the timing of purchases, sales, redemptions or maturities of securities. Included in other expenses for the fiscal year ended April 30, 2020 is a provision related to the note receivable arising from the sale of Gillam to a European entity on April 26, 2018 which is due Fiscal 2021.</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 (Benefit) Provision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120" w:type="dxa"/>
            <w:vAlign w:val="bottom"/>
            <w:vMerge w:val="restart"/>
          </w:tcPr>
          <w:p>
            <w:pPr>
              <w:spacing w:after="0"/>
              <w:rPr>
                <w:sz w:val="18"/>
                <w:szCs w:val="18"/>
                <w:color w:val="auto"/>
              </w:rPr>
            </w:pPr>
          </w:p>
        </w:tc>
        <w:tc>
          <w:tcPr>
            <w:tcW w:w="1380" w:type="dxa"/>
            <w:vAlign w:val="bottom"/>
            <w:tcBorders>
              <w:top w:val="single" w:sz="8" w:color="auto"/>
              <w:bottom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Change</w:t>
            </w:r>
          </w:p>
        </w:tc>
        <w:tc>
          <w:tcPr>
            <w:tcW w:w="14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(1,742)</w:t>
            </w:r>
          </w:p>
        </w:tc>
        <w:tc>
          <w:tcPr>
            <w:tcW w:w="15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w:t>
            </w: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tax rate on pre-tax book income:</w:t>
      </w:r>
    </w:p>
    <w:p>
      <w:pPr>
        <w:spacing w:after="0" w:line="225" w:lineRule="exact"/>
        <w:rPr>
          <w:sz w:val="20"/>
          <w:szCs w:val="20"/>
          <w:color w:val="auto"/>
        </w:rPr>
      </w:pPr>
    </w:p>
    <w:p>
      <w:pPr>
        <w:ind w:left="2820"/>
        <w:spacing w:after="0"/>
        <w:tabs>
          <w:tab w:leader="none" w:pos="5220" w:val="left"/>
        </w:tabs>
        <w:rPr>
          <w:sz w:val="20"/>
          <w:szCs w:val="20"/>
          <w:color w:val="auto"/>
        </w:rPr>
      </w:pPr>
      <w:r>
        <w:rPr>
          <w:rFonts w:ascii="Arial" w:cs="Arial" w:eastAsia="Arial" w:hAnsi="Arial"/>
          <w:sz w:val="18"/>
          <w:szCs w:val="18"/>
          <w:color w:val="auto"/>
        </w:rPr>
        <w:t>(14.80%)</w:t>
      </w:r>
      <w:r>
        <w:rPr>
          <w:sz w:val="20"/>
          <w:szCs w:val="20"/>
          <w:color w:val="auto"/>
        </w:rPr>
        <w:tab/>
      </w: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-121920</wp:posOffset>
            </wp:positionV>
            <wp:extent cx="57003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27, 2020, the Coronavirus Aid, Relief, and Economic Security (“CARES”) Act was enacted. Intended to provide economic relief to those impacted by the COVID-19 pandemic, the CARES Act includes provisions, among others, allowing for the carryback of net operating losses generated in tax years 2018, 2019 and 2020, refunds of alternative minimum tax credits, temporary modifications to the limitations placed on the tax deductibility of net interest expense, and technical corrections so that qualified improvement property can be immediately expensed under Internal Revenue Code (“IRC”) Section 168(k) and net operating losses arising in tax years beginning in 2017 and ending in 2018 can be carried back two years and forward twenty years.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fiscal year ended April 30, 2020, the Company recorded an income tax benefit of $1,742,000 primarily due to the enactment of the CARES Act, which allows for the carryback of net operating losses to prior tax years in which the Company was subject to U.S. federal income tax. The income tax benefit is reflected as a current tax benefit in Note 13 as the deferred tax expense related to the utilization of net operating losses is offset by a change in the valuation allowance. The Company recorded an income tax provision of $56,000 in the fiscal year ended April 30, 2019 primarily related to state and local taxes, a foreign tax benefit, and an increase in the uncertain tax position liability.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effective tax rate of (14.85)% for Fiscal 2020 differs from the U.S. federal statutory rate of 21% primarily due to the tax effects related to (i) the enactment of the CARES Act, which allowed the Company to recognize a tax benefit for a portion of its pretax loss, (ii) state and local taxes, (iii) and a change in the valuation allowance. (See Note 13 to the Consolidated Financial Statements for a reconciliation of the actual tax benefit to the expected tax provision at the federal statutory 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April 30, 2020, the Company has U.S. federal net operating losses of $24.6 million of which $16.4 million begins to expire in Fiscal 2026 through 2038, including $3.4 million which is subject to annual limitation under IRC Section 382. The remaining U.S. federal net operating losses of $8.2 million have an indefinite carry-forward period. The U.S. federal capital loss carry-forward of $10.0 million expires in 2023. The Company also has state net operating loss carryforwards, U.S federal R&amp;D tax credits, and state tax credits that expire in various years and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operations was $1.4 million in fiscal year 2020 compared to cash used in operations of $0.1 million in fiscal year 2019. The Company’s balance sheet continues to reflect a highly liquid position with working capital of $38.3 million at April 30, 2020 as compared to $46.9 million at April 30, 2019. Included in working capital at April 30, 2020 was $14.4 million consisting of cash, cash equivalents and short-term investments. The Company’s current ratio at April 30, 2020 is 3.9 to 1 compared to 9.0 to 1 at the end of the prior fiscal year.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fiscal years 2020 and 2019, the Company incurred $6.4 million and $3.7 million, respectively, in non-cash charges to earnings, including adjustments relating to net assets and liabilities for operating leases, loss provision accrual, provision for note receivable, the Asia investment held for sale in Fiscal 2019, depreciation and amortization expense, inventory adjustments, warranty and accounts receivable reserves and certain employee benefit plan expenses, including accounting for stock-based compensation. During fiscal year 2020, operating cash was decreased by increases in prepaids, offset by decreases in accounts receivable and inventory. During fiscal year 2019, operating cash was decreased by increases in accounts receivable and prepaid expenses, offset by decreases in inventory.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cash used in investing activities for the fiscal year ended April 30, 2020 was $3.4 million compared to $4.6 million used in investing activities for the fiscal year ended April 30, 2019. In fiscal year 2020, investing activities included the purchase of marketable securities net of proceeds related to sales of marketable securities of $1.9 million and purchases of capital expenditures of $1.5 million. In fiscal year 2019, investing activities included the purchase of marketable securities net of proceeds related to sales of marketable securities of $1.9 million, and purchases of fixed assets of $2.8 million. The Company may continue to invest cash equivalents as dictated by its investment and acquisition strategies.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provided by financing activities for the fiscal year ended April 30, 2020 was $5.0 million related to a loan acquired from JPMorgan Chase Bank, N.A. as the Lender, pursuant to the Small Business Administration Paycheck Protection Program under the CARES Act. This loan was subsequently repaid in full in May 2020. There was no cash provided by financing activities for the prior year. As of April 30, 2020, the Company had available credit at variable terms based on its securities holdings under an advisory arrangement, under which no borrowings have been made.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such expenditures will result in future growth and profitability. During fiscal year 2020, the Company secured partial customer funding for a portion of its R&amp;D efforts. The customer funds received in connection therewith appear in revenues and are not included in R&amp;D expenses. For fiscal year 2021, the Company anticipates securing additional customer funding for a portion of its R&amp;D activities and will allocate internal funds depending on market conditions and identification of new opportunities as in fiscal 2020.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has incurred operating losses in its last four completed fiscal years, as well as cash used in operating activities in its last two completed fiscal years. As of April 30, 2020, the Company had an accumulated deficit of $12.1 million. The Company believes that its cash and cash equivalents, as well as marketable securities as of April 30, 2020 and cash flows from operations will provide sufficient liquidity to meet its operating needs in the normal course of business through the next twelve months from the date of issuance of these consolidated financial statements. However, changing circumstances, including COVID-19 uncertainties, some of which may be beyond its control, could cause the Company to consume capital faster than it currently anticipates, and it may need to seek additional funding through equity offerings, debt financings, or other 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April 30, 2020, the Company’s consolidated backlog amounted to approximately $36 million as compared to approximately $37 million at the beginning of the fiscal year. See Item 1. Business – Backlog. Approximately 81% of this backlog is expected to be filled during the Company’s fiscal year ending April 30, 2021.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In August 2018, the Financial Accounting Standards Board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(“ASU 2018-13”) which modifies the disclosure requirement on fair value measurements. The new guidance is effective for fiscal years beginning after December 15, 2019. The Company is evaluating the effect, if any, the update will have on its consolidated financial statements when adopted in Fiscal 2021.</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does not plan to adopt ASU 2017-04 early and is in the process of determining the effect that ASU 2017-04 may have; however, the Company expects the new standard to have an immaterial effect on its consolidated financial statements when adopted in Fiscal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replaces the incurred loss impairment methodology in current generally accepted accounting principles (“GAAP”)</w:t>
      </w:r>
      <w:r>
        <w:rPr>
          <w:rFonts w:ascii="Arial" w:cs="Arial" w:eastAsia="Arial" w:hAnsi="Arial"/>
          <w:sz w:val="17"/>
          <w:szCs w:val="17"/>
          <w:i w:val="1"/>
          <w:iCs w:val="1"/>
          <w:color w:val="auto"/>
        </w:rPr>
        <w:t xml:space="preserve"> </w:t>
      </w:r>
      <w:r>
        <w:rPr>
          <w:rFonts w:ascii="Arial" w:cs="Arial" w:eastAsia="Arial" w:hAnsi="Arial"/>
          <w:sz w:val="17"/>
          <w:szCs w:val="17"/>
          <w:color w:val="auto"/>
        </w:rPr>
        <w:t>with a methodology that 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2023.</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 (Topic 842)</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the first quarter of fiscal 2020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and recognized on its condensed consolidated balance sheets $12.1 million of lease liabilities with corresponding ROU assets for operating leases. The Company elected a prospective application for the new guidance, as permitted under ASU 2016-02, and therefore prior periods continue to be presented in accordance with Topic 840. The Company also elected the package of practical expedients, which among other things, does not require reassessment of lease classification.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Morion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light of Morion’s relationship with Gazprombank, the Company recently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relates solely to delays in collection of accounts receivable that exceeded then-applicable payment windows set forth in sanctions regulations and do not relate to any other type of payment or transaction. On July 22, 2020, OFAC informed the Company that it is conducting a civil investigation of the matter.</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ongoing OFAC civil investigation subjects the Company to a number of financial and business risks. OFAC has broad enforcement discretion, and the imposition of sanctions, fines or remedial measures could have a material adverse effect on the Company’s business, prospects, reputation, financial condition, liquidity, results of operations or cash flows. Given the matter is in an early stage, however, the Company does not have sufficient information to (i) determine whether any liability (including penalties, sanctions, or remedial actions) as a result of the voluntary disclosure is probable or (ii) estimate the magnitude of any liability. While we are currently unable to predict what if any actions OFAC might take, or what the likely outcome of any such actions might be, or estimate the range of reasonably possible fines or penalties, such outcome may be material. Also, the Company is unable to predict the duration, scope, result or related costs of the investigation, including legal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year 2020, as in fiscal year 2019, the impact of inflation on the Company’s business was not materially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 about Market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 of Frequency Electronics, Inc. and Subsidiaries (the “Company”) as of April 30, 2020, the related consolidated statements of operations and compressive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April 30, 2020, and the results of its operations and its cash flows for the year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May 1, 2019, the Company changed its method of accounting for leases due to the adoption of Accounting Standards Codification Topic 842,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the adoption are described in Note 1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 of Frequency Electronics, Inc. and Subsidiaries (the "Company") as of April 30, 2019, and the related consolidated statements of operations and comprehensive loss, cash flows, and changes in stockholders' equity for the year then ended, and the related notes (collectively referred to as the "financial statements"). In our opinion, the financial statements present fairly, in all material respects, the consolidated financial position of the Company as of April 30, 2019, and the consolidated results of their operations and their cash flows for the year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includes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EisnerAmper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2008 through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10,570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Accounts receivable, net of allowance for doubtful accounts of $183 in 2020 and $183 in 2019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Current assets held for sale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surrender value of life insurance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Right-of-Use assets – operating leases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91,276</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86,771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98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 trade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1,424</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 Provision accrual</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PPP loan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liabilities held for sale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 non-current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held for sale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37,040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23,682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 $1.00 par value; authorized 600 shares, no shares issued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tcPr>
          <w:p>
            <w:pPr>
              <w:ind w:left="660"/>
              <w:spacing w:after="0" w:line="201" w:lineRule="exact"/>
              <w:rPr>
                <w:sz w:val="20"/>
                <w:szCs w:val="20"/>
                <w:color w:val="auto"/>
              </w:rPr>
            </w:pPr>
            <w:r>
              <w:rPr>
                <w:rFonts w:ascii="Arial" w:cs="Arial" w:eastAsia="Arial" w:hAnsi="Arial"/>
                <w:sz w:val="18"/>
                <w:szCs w:val="18"/>
                <w:color w:val="auto"/>
              </w:rPr>
              <w:t>Common stock, $1.00 par value; authorized 20,000 shares, 9,164 shares issued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9,121 outstanding in 2020; 8,980 outstanding in 2019</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Common stock reacquired and held in treasury - at cost (43 shares in 2020 and 184 shares in 2019)</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4"/>
        </w:trPr>
        <w:tc>
          <w:tcPr>
            <w:tcW w:w="8000" w:type="dxa"/>
            <w:vAlign w:val="bottom"/>
          </w:tcPr>
          <w:p>
            <w:pPr>
              <w:spacing w:after="0"/>
              <w:rPr>
                <w:sz w:val="19"/>
                <w:szCs w:val="19"/>
                <w:color w:val="auto"/>
              </w:rPr>
            </w:pPr>
          </w:p>
        </w:tc>
        <w:tc>
          <w:tcPr>
            <w:tcW w:w="3240" w:type="dxa"/>
            <w:vAlign w:val="bottom"/>
            <w:gridSpan w:val="7"/>
          </w:tcPr>
          <w:p>
            <w:pPr>
              <w:jc w:val="right"/>
              <w:ind w:right="360"/>
              <w:spacing w:after="0"/>
              <w:rPr>
                <w:sz w:val="20"/>
                <w:szCs w:val="20"/>
                <w:color w:val="auto"/>
              </w:rPr>
            </w:pPr>
            <w:r>
              <w:rPr>
                <w:rFonts w:ascii="Arial" w:cs="Arial" w:eastAsia="Arial" w:hAnsi="Arial"/>
                <w:sz w:val="18"/>
                <w:szCs w:val="18"/>
                <w:color w:val="auto"/>
                <w:w w:val="95"/>
              </w:rPr>
              <w:t>(In thousands, except per share data)</w:t>
            </w:r>
          </w:p>
        </w:tc>
      </w:tr>
      <w:tr>
        <w:trPr>
          <w:trHeight w:val="202"/>
        </w:trPr>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41,507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35,759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11,593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40"/>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Other (expense)/income, net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provision for 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(11,768)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(10,026)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(2,529)</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1080" w:val="left"/>
          <w:tab w:leader="none" w:pos="1660" w:val="left"/>
          <w:tab w:leader="none" w:pos="2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w:t>
        <w:tab/>
        <w:t>$</w:t>
      </w:r>
      <w:r>
        <w:rPr>
          <w:sz w:val="20"/>
          <w:szCs w:val="20"/>
          <w:color w:val="auto"/>
        </w:rPr>
        <w:tab/>
      </w:r>
      <w:r>
        <w:rPr>
          <w:rFonts w:ascii="Arial" w:cs="Arial" w:eastAsia="Arial" w:hAnsi="Arial"/>
          <w:sz w:val="16"/>
          <w:szCs w:val="16"/>
          <w:color w:val="auto"/>
        </w:rPr>
        <w:t>(0.28)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98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spacing w:after="0"/>
        <w:tabs>
          <w:tab w:leader="none" w:pos="2700" w:val="left"/>
        </w:tabs>
        <w:rPr>
          <w:sz w:val="20"/>
          <w:szCs w:val="20"/>
          <w:color w:val="auto"/>
        </w:rPr>
      </w:pPr>
      <w:r>
        <w:rPr>
          <w:rFonts w:ascii="Arial" w:cs="Arial" w:eastAsia="Arial" w:hAnsi="Arial"/>
          <w:sz w:val="18"/>
          <w:szCs w:val="18"/>
          <w:color w:val="auto"/>
        </w:rPr>
        <w:t>9,074</w:t>
      </w:r>
      <w:r>
        <w:rPr>
          <w:sz w:val="20"/>
          <w:szCs w:val="20"/>
          <w:color w:val="auto"/>
        </w:rPr>
        <w:tab/>
      </w:r>
      <w:r>
        <w:rPr>
          <w:rFonts w:ascii="Arial" w:cs="Arial" w:eastAsia="Arial" w:hAnsi="Arial"/>
          <w:sz w:val="18"/>
          <w:szCs w:val="18"/>
          <w:color w:val="auto"/>
        </w:rPr>
        <w:t>8,916</w:t>
      </w:r>
    </w:p>
    <w:p>
      <w:pPr>
        <w:spacing w:after="0" w:line="24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Loss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37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(10,026)</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Unrealized gain on marketable securities:</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Change in market value of marketable securities before reclassification, net of tax of ($1) in fiscal 2019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Reclassification adjustment for realized gains included in net income, net of tax of $1 in fiscal 2019</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unrealized gain on marketable securities, net of tax</w:t>
            </w: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other comprehensive income</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(9,582)</w:t>
            </w: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(1,568)</w:t>
            </w:r>
          </w:p>
        </w:tc>
      </w:tr>
      <w:tr>
        <w:trPr>
          <w:trHeight w:val="20"/>
        </w:trPr>
        <w:tc>
          <w:tcPr>
            <w:tcW w:w="3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320"/>
        <w:spacing w:after="0" w:line="266" w:lineRule="auto"/>
        <w:rPr>
          <w:sz w:val="20"/>
          <w:szCs w:val="20"/>
          <w:color w:val="auto"/>
        </w:rPr>
      </w:pPr>
      <w:r>
        <w:rPr>
          <w:rFonts w:ascii="Arial" w:cs="Arial" w:eastAsia="Arial" w:hAnsi="Arial"/>
          <w:sz w:val="18"/>
          <w:szCs w:val="18"/>
          <w:b w:val="1"/>
          <w:bCs w:val="1"/>
          <w:color w:val="auto"/>
        </w:rPr>
        <w:t xml:space="preserve">FREQUENCY ELECTRONICS, INC. and SUBSIDIARIES </w:t>
      </w:r>
      <w:r>
        <w:rPr>
          <w:rFonts w:ascii="Arial" w:cs="Arial" w:eastAsia="Arial" w:hAnsi="Arial"/>
          <w:sz w:val="18"/>
          <w:szCs w:val="18"/>
          <w:color w:val="auto"/>
        </w:rPr>
        <w:t>Consolidated Statements of Cash Flows Years ended April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157480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240"/>
        <w:spacing w:after="0"/>
        <w:tabs>
          <w:tab w:leader="none" w:pos="68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17145</wp:posOffset>
            </wp:positionV>
            <wp:extent cx="19888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jc w:val="center"/>
        <w:ind w:left="-423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p>
      <w:pPr>
        <w:jc w:val="both"/>
        <w:ind w:left="4680"/>
        <w:spacing w:after="0"/>
        <w:tabs>
          <w:tab w:leader="none" w:pos="5580" w:val="left"/>
          <w:tab w:leader="none" w:pos="6340" w:val="left"/>
          <w:tab w:leader="none" w:pos="7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(10,026)</w:t>
        <w:tab/>
        <w:t>$</w:t>
      </w:r>
      <w:r>
        <w:rPr>
          <w:sz w:val="20"/>
          <w:szCs w:val="20"/>
          <w:color w:val="auto"/>
        </w:rPr>
        <w:tab/>
      </w:r>
      <w:r>
        <w:rPr>
          <w:rFonts w:ascii="Arial" w:cs="Arial" w:eastAsia="Arial" w:hAnsi="Arial"/>
          <w:sz w:val="17"/>
          <w:szCs w:val="17"/>
          <w:color w:val="auto"/>
        </w:rPr>
        <w:t>(2,529)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-121920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2680" w:space="640"/>
            <w:col w:w="7920"/>
          </w:cols>
          <w:pgMar w:left="320" w:top="125" w:right="339" w:bottom="1440"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Deferred rent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lease expense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Provision for losses on accounts receivable, inventories, other assets and warranty reserve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1,385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(gain) on marketable securities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Loss on sale of fixed and other assets, net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plans expense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Asia</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(2,529)</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(2,994)</w:t>
            </w:r>
          </w:p>
        </w:tc>
      </w:tr>
      <w:tr>
        <w:trPr>
          <w:trHeight w:val="216"/>
        </w:trPr>
        <w:tc>
          <w:tcPr>
            <w:tcW w:w="800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r>
      <w:tr>
        <w:trPr>
          <w:trHeight w:val="216"/>
        </w:trPr>
        <w:tc>
          <w:tcPr>
            <w:tcW w:w="80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(1,429)</w:t>
            </w:r>
          </w:p>
        </w:tc>
      </w:tr>
      <w:tr>
        <w:trPr>
          <w:trHeight w:val="216"/>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r>
      <w:tr>
        <w:trPr>
          <w:trHeight w:val="216"/>
        </w:trPr>
        <w:tc>
          <w:tcPr>
            <w:tcW w:w="8000" w:type="dxa"/>
            <w:vAlign w:val="bottom"/>
          </w:tcPr>
          <w:p>
            <w:pPr>
              <w:ind w:left="280"/>
              <w:spacing w:after="0"/>
              <w:rPr>
                <w:sz w:val="20"/>
                <w:szCs w:val="20"/>
                <w:color w:val="auto"/>
              </w:rPr>
            </w:pPr>
            <w:r>
              <w:rPr>
                <w:rFonts w:ascii="Arial" w:cs="Arial" w:eastAsia="Arial" w:hAnsi="Arial"/>
                <w:sz w:val="18"/>
                <w:szCs w:val="18"/>
                <w:color w:val="auto"/>
              </w:rPr>
              <w:t>Accounts payable - trade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8000" w:type="dxa"/>
            <w:vAlign w:val="bottom"/>
          </w:tcPr>
          <w:p>
            <w:pPr>
              <w:ind w:left="280"/>
              <w:spacing w:after="0"/>
              <w:rPr>
                <w:sz w:val="20"/>
                <w:szCs w:val="20"/>
                <w:color w:val="auto"/>
              </w:rPr>
            </w:pPr>
            <w:r>
              <w:rPr>
                <w:rFonts w:ascii="Arial" w:cs="Arial" w:eastAsia="Arial" w:hAnsi="Arial"/>
                <w:sz w:val="18"/>
                <w:szCs w:val="18"/>
                <w:color w:val="auto"/>
              </w:rPr>
              <w:t>Loss provision accrual</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748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refundable</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r>
      <w:tr>
        <w:trPr>
          <w:trHeight w:val="216"/>
        </w:trPr>
        <w:tc>
          <w:tcPr>
            <w:tcW w:w="80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(1,598)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r>
      <w:tr>
        <w:trPr>
          <w:trHeight w:val="20"/>
        </w:trPr>
        <w:tc>
          <w:tcPr>
            <w:tcW w:w="8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 – continuing operations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operating activities – assets held for sale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provided by operating activities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10"/>
        </w:trPr>
        <w:tc>
          <w:tcPr>
            <w:tcW w:w="80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0"/>
              <w:spacing w:after="0"/>
              <w:rPr>
                <w:sz w:val="20"/>
                <w:szCs w:val="20"/>
                <w:color w:val="auto"/>
              </w:rPr>
            </w:pPr>
            <w:r>
              <w:rPr>
                <w:rFonts w:ascii="Arial" w:cs="Arial" w:eastAsia="Arial" w:hAnsi="Arial"/>
                <w:sz w:val="18"/>
                <w:szCs w:val="18"/>
                <w:color w:val="auto"/>
              </w:rPr>
              <w:t>Purchase of marketable securities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(5,489)</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(3,705)</w:t>
            </w:r>
          </w:p>
        </w:tc>
      </w:tr>
      <w:tr>
        <w:trPr>
          <w:trHeight w:val="216"/>
        </w:trPr>
        <w:tc>
          <w:tcPr>
            <w:tcW w:w="8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sale or redemption of marketable securities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r>
      <w:tr>
        <w:trPr>
          <w:trHeight w:val="216"/>
        </w:trPr>
        <w:tc>
          <w:tcPr>
            <w:tcW w:w="8000" w:type="dxa"/>
            <w:vAlign w:val="bottom"/>
          </w:tcPr>
          <w:p>
            <w:pPr>
              <w:ind w:left="60"/>
              <w:spacing w:after="0"/>
              <w:rPr>
                <w:sz w:val="20"/>
                <w:szCs w:val="20"/>
                <w:color w:val="auto"/>
              </w:rPr>
            </w:pPr>
            <w:r>
              <w:rPr>
                <w:rFonts w:ascii="Arial" w:cs="Arial" w:eastAsia="Arial" w:hAnsi="Arial"/>
                <w:sz w:val="18"/>
                <w:szCs w:val="18"/>
                <w:color w:val="auto"/>
              </w:rPr>
              <w:t>Capital expenditures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(1,483)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r>
      <w:tr>
        <w:trPr>
          <w:trHeight w:val="20"/>
        </w:trPr>
        <w:tc>
          <w:tcPr>
            <w:tcW w:w="8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(3,433)</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(4,660)</w:t>
            </w:r>
          </w:p>
        </w:tc>
      </w:tr>
      <w:tr>
        <w:trPr>
          <w:trHeight w:val="210"/>
        </w:trPr>
        <w:tc>
          <w:tcPr>
            <w:tcW w:w="80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0"/>
              <w:spacing w:after="0"/>
              <w:rPr>
                <w:sz w:val="20"/>
                <w:szCs w:val="20"/>
                <w:color w:val="auto"/>
              </w:rPr>
            </w:pPr>
            <w:r>
              <w:rPr>
                <w:rFonts w:ascii="Arial" w:cs="Arial" w:eastAsia="Arial" w:hAnsi="Arial"/>
                <w:sz w:val="18"/>
                <w:szCs w:val="18"/>
                <w:color w:val="auto"/>
              </w:rPr>
              <w:t>Proceeds from PPP loan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(4,757)</w:t>
            </w: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w:t>
            </w: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r>
      <w:tr>
        <w:trPr>
          <w:trHeight w:val="209"/>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year</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w:t>
            </w: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cash and equivalents of assets held for sale at end of year</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09"/>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end of year</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3,808</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r>
      <w:tr>
        <w:trPr>
          <w:trHeight w:val="196"/>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during the year for:</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Interest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99</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21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(at cost)</w:t>
            </w:r>
          </w:p>
        </w:tc>
        <w:tc>
          <w:tcPr>
            <w:tcW w:w="1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63,262</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Opening balance sheet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Adjustment for ASU 2014-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of stock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(41,211)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expense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tendered for exercise price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(71,111)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9"/>
              </w:rPr>
              <w:t>Change in unrealized gains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and losses on marketable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w w:val="98"/>
              </w:rPr>
              <w:t>debt securities, net of taxes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Foreign currency translation</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(2,529)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(2,529)</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9,163,940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63,089</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Contributions of stock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401(k) plan</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(39,403)</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Stock-based compensation</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tendered for exercise price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(99,712)</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Change in unrealized gains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and losses on marketable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8"/>
              </w:rPr>
              <w:t>debt securities, net of taxes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(10,026)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(10,026)</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9,163,940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54,236</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14 for information regarding the Company’s business segments: (1) FEI-NY (which includes the subsidiaries FEI Government Systems, Inc., FEI Communications, Inc., and FEI-Elcom Tech, Inc. (“FEI-Elcom”)), and (2) FEI-Zyfer, Inc. (“FEI-Zyfer”). Intercompany accounts and significant intercompany transactions are eliminated in consolidation.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financial statements have been prepared in conformity with United States generally accepted accounting principles (“U.S. GAAP”) and require management to make estimates and assumptions that affect amounts reported and disclosed in the consolidated financial statements and related notes. Actual results could differ from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the CARES Act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full impact of the COVID-19 outbreak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for fiscal year 2021.</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faces various risks related to COVID-19 outbreak. The Company is dependent on its workforce to deliver its products primarily to the U.S. Government. If significant portions of the Company’s workforce are unable to work effectively, or if the U.S. Government and/or other customers’ operations are curtailed due to illness, quarantines, government actions, facility closures, or other restrictions in connection with the COVID-19 pandemic, the Company’s operations will likely be impacted. The Company may be unable to perform fully on its contracts and costs may increase as a result of the COVID-19 outbreak. These cost increases may not be fully recoverable or adequately covered by insurance. Additionally, since the COVID-19 outbreak began, no facilities have been fully shut down (other than temporarily for disinfecting) and such measures to disinfect facilities have not had a significant impact on production. Certain of the Company’s vendors have been unable to deliver materials on time due to the COVID-19 outbreak. Such delays have negatively impacted the Company’s production, and the Company plans to continue to monitor these and its other vendors and, if necessary, seek alternative suppliers.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this time, the Company’s management cannot predict the impact of the COVID-19 pandemic, but management continues to monitor the situation, to assess further possible implications to operations, the supply chain, and customers, and to take actions in an effort to mitigate adverse consequences. Further, the pandemic may have an adverse effect on the Company’s results of operations, financial position, and liquidity in fiscal year 2021.</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SBA Paycheck Protection Program loans that are forgivable in certain situations to promote continued employment, as well as Economic Injury Disaster Loans to provide liquidity to small businesses harmed by COVID-19. See Notes 9 and 13.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has incurred operating losses in its last four completed fiscal years, as well as cash used in operating activities in its last two completed fiscal years. As of April 30, 2020, the Company had an accumulated deficit of $12.1 million. The Company believes that its cash and cash equivalents, as well as marketable securities as of April 30, 2020 and cash flows from operations will provide sufficient liquidity to meet its operating needs in the normal course of business through the next twelve months from the date of issuance of these consolidated financial statements. However, changing circumstances, including COVID-19 uncertainties, some of which may be beyond its control, could cause the Company to consume capital faster than it currently anticipates, and it may need to seek additional funding through equity offerings, debt financings, or other 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(“SIPC”) insurance limits. No losses have been experienced on such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Marketable securities consist of corporate debt securities, certificates-of-deposit, and debt securities of U.S. Government agencies. All marketable securities were held in the custody of one financial institution at April 30, 2020 and 2019.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49"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No impairment losses have been recognized in the years ended April 30,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and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records goodwill as the excess of purchase price over the fair value of identifiable net assets acquired. Goodwill is tested for impairment, on a reporting unit level qualitatively, on at least an annual basis at year end to determine whether it is more likely than not that the reporting unit’s fair value is less than its carrying amount. If it is determined that the carrying value of goodwill may not be recoverable, the Company will write down the goodwill to an amount to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 Management has determined that goodwill is not impaired as of April 30, 2020 and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judgment is used in evaluating the financial information for certain contracts related to the adoption of this ASU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Contract costs include all direct material, direct labor costs, manufacturing overhead and other direct costs related to contract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expenses sales commissions as sales and marketing expenses in the period they are incurred if the expected amortization period is one year or 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revenue recognized over time as POC was approximately $38.0 million and $45.3 million of the $41.5 million and $49.5 million reported for the years ended April 30, 2020 and 2019, respectively. The amounts by segment and product line were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1130"/>
              <w:spacing w:after="0"/>
              <w:rPr>
                <w:sz w:val="20"/>
                <w:szCs w:val="20"/>
                <w:color w:val="auto"/>
              </w:rPr>
            </w:pPr>
            <w:r>
              <w:rPr>
                <w:rFonts w:ascii="Arial" w:cs="Arial" w:eastAsia="Arial" w:hAnsi="Arial"/>
                <w:sz w:val="18"/>
                <w:szCs w:val="18"/>
                <w:b w:val="1"/>
                <w:bCs w:val="1"/>
                <w:color w:val="auto"/>
                <w:w w:val="92"/>
              </w:rPr>
              <w:t>Year Ended April 30, 2020</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POC Revenue</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POT Revenue</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Total Revenue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31,751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FEI-Zyfer</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w:t>
            </w:r>
          </w:p>
        </w:tc>
        <w:tc>
          <w:tcPr>
            <w:tcW w:w="16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37,842</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3,665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41,507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1130"/>
              <w:spacing w:after="0"/>
              <w:rPr>
                <w:sz w:val="20"/>
                <w:szCs w:val="20"/>
                <w:color w:val="auto"/>
              </w:rPr>
            </w:pPr>
            <w:r>
              <w:rPr>
                <w:rFonts w:ascii="Arial" w:cs="Arial" w:eastAsia="Arial" w:hAnsi="Arial"/>
                <w:sz w:val="18"/>
                <w:szCs w:val="18"/>
                <w:b w:val="1"/>
                <w:bCs w:val="1"/>
                <w:color w:val="auto"/>
                <w:w w:val="92"/>
              </w:rPr>
              <w:t>Year Ended April 30, 2019</w:t>
            </w: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POC Revenue</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POT Revenue</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Total Revenue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38,096</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FEI-Zyfer</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w:t>
            </w:r>
          </w:p>
        </w:tc>
        <w:tc>
          <w:tcPr>
            <w:tcW w:w="16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45,329</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4,180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49,509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Years Ended April 30,</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vMerge w:val="restart"/>
          </w:tcPr>
          <w:p>
            <w:pPr>
              <w:ind w:left="20"/>
              <w:spacing w:after="0"/>
              <w:rPr>
                <w:sz w:val="20"/>
                <w:szCs w:val="20"/>
                <w:color w:val="auto"/>
              </w:rPr>
            </w:pPr>
            <w:r>
              <w:rPr>
                <w:rFonts w:ascii="Arial" w:cs="Arial" w:eastAsia="Arial" w:hAnsi="Arial"/>
                <w:sz w:val="18"/>
                <w:szCs w:val="18"/>
                <w:color w:val="auto"/>
              </w:rPr>
              <w:t>Revenue by Product Line: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 Revenue</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22,810</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Government Non-Space Revenue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22,771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Commercial &amp; Industrial Revenue</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Consolidated revenues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41,507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49,509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Comprehensive loss consists of net loss and other comprehensive income/loss. Other comprehensive income/loss includes changes in unrealized gains or losses, net of tax, on securities (for Fiscal 2020, debt securities) available for sale during the year. Other comprehensive income/loss includes changes in foreign currency translation and unrealized gains or losses, net of tax, on securities (for Fiscal 2019, debt securities) available for sale during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engages in research and development (“R&amp;D”) activities to identify new applications for its core technologies, to improve existing products and to improve manufacturing processes to achieve cost reductions and manufacturing efficiencies. R&amp;D costs include direct labor, manufacturing overhead, direct materials and contracted services. Such costs are expensed as incurred. The Company also engages in customer-funded R&amp;D activity. The customer funds received in connection therewith appear in revenues and the associated expenses are included in cost of revenues and are not included in R&amp;D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Interest and penalties recognized on income taxes are recorded as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earnings/loss per share are computed by dividing net earnings/loss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 (“SARs”). Diluted earnings per share are not computed where the if-converted effect of such items would be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and cash equivalents, marketable securities, short-term credit obligations and debt and cash surrender value of life insurance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The Company is unable to reasonably estimate a fair value for this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April 30, 2019, the Company’s wholly-owned subsidiary, FEI-Asia, which was reported under the FEI-NY segment, was classified as held-for-sale (see Note 2) and is shown in these consolidated financial statements for comparative purposes only.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 average fair value of each option or SAR has been estimated on the date of grant using the Black-Scholes option pricing model with the following range of weighted average assumptions used for grants:</w:t>
      </w:r>
    </w:p>
    <w:p>
      <w:pPr>
        <w:spacing w:after="0" w:line="16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 - 3.07%</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Expected lives</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5.0 years</w:t>
            </w:r>
          </w:p>
        </w:tc>
        <w:tc>
          <w:tcPr>
            <w:tcW w:w="1140" w:type="dxa"/>
            <w:vAlign w:val="bottom"/>
          </w:tcPr>
          <w:p>
            <w:pPr>
              <w:spacing w:after="0"/>
              <w:rPr>
                <w:sz w:val="20"/>
                <w:szCs w:val="20"/>
                <w:color w:val="auto"/>
              </w:rPr>
            </w:pPr>
          </w:p>
        </w:tc>
      </w:tr>
      <w:tr>
        <w:trPr>
          <w:trHeight w:val="418"/>
        </w:trPr>
        <w:tc>
          <w:tcPr>
            <w:tcW w:w="1120" w:type="dxa"/>
            <w:vAlign w:val="bottom"/>
          </w:tcPr>
          <w:p>
            <w:pPr>
              <w:spacing w:after="0"/>
              <w:rPr>
                <w:sz w:val="24"/>
                <w:szCs w:val="24"/>
                <w:color w:val="auto"/>
              </w:rPr>
            </w:pPr>
          </w:p>
        </w:tc>
        <w:tc>
          <w:tcPr>
            <w:tcW w:w="5580" w:type="dxa"/>
            <w:vAlign w:val="bottom"/>
          </w:tcPr>
          <w:p>
            <w:pPr>
              <w:ind w:left="4420"/>
              <w:spacing w:after="0"/>
              <w:rPr>
                <w:sz w:val="20"/>
                <w:szCs w:val="20"/>
                <w:color w:val="auto"/>
              </w:rPr>
            </w:pPr>
            <w:r>
              <w:rPr>
                <w:rFonts w:ascii="Arial" w:cs="Arial" w:eastAsia="Arial" w:hAnsi="Arial"/>
                <w:sz w:val="18"/>
                <w:szCs w:val="18"/>
                <w:color w:val="auto"/>
              </w:rPr>
              <w:t>30</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were no grants of options or SARs in fiscal year 2020. The expected life assumption was determined based on the Company’s historical experience as well as the term of recent SAR agreements.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 or SARs.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cash and cash equivalents and trade receivables. The Company maintains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U.S. The Company routinely addresses the financial strength of its customers and, as a consequence, believes that its receivable credit risk exposure is limited. The Company does not require customers to post collateral.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In August 2018, the Financial Accounting Standards Board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(“ASU 2018-13”) which modifies the disclosure requirement on fair value measurements. The new guidance is effective for fiscal years beginning after December 15, 2019. The Company is evaluating the effect, if any, the update will have on its consolidated financial statements when adopted in Fiscal 2021.</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does not plan to adopt ASU 2017-04 early and is in the process of determining the effect that ASU 2017-04 may have; however, the Company expects the new standard to have an immaterial effect on its consolidated financial statements when adopted in Fiscal 2021.</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replaces the incurred loss impairment methodology in current generally accepted accounting principles U.S. GAAP</w:t>
      </w:r>
      <w:r>
        <w:rPr>
          <w:rFonts w:ascii="Arial" w:cs="Arial" w:eastAsia="Arial" w:hAnsi="Arial"/>
          <w:sz w:val="17"/>
          <w:szCs w:val="17"/>
          <w:i w:val="1"/>
          <w:iCs w:val="1"/>
          <w:color w:val="auto"/>
        </w:rPr>
        <w:t xml:space="preserve"> </w:t>
      </w:r>
      <w:r>
        <w:rPr>
          <w:rFonts w:ascii="Arial" w:cs="Arial" w:eastAsia="Arial" w:hAnsi="Arial"/>
          <w:sz w:val="17"/>
          <w:szCs w:val="17"/>
          <w:color w:val="auto"/>
        </w:rPr>
        <w:t>with a methodology that 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2023.</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 (Topic 842)</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the first quarter of fiscal 2020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and recognized on its condensed consolidated balance sheets $12.1 million of lease liabilities with corresponding Right-of-Use (“ROU”) assets for operating leases. The Company elected a prospective application for the new guidance, as permitted under ASU 2016-02, and therefore prior periods continue to be presented in accordance with Topic 840. The Company also elected the package of practical expedients, which among other things, does not require reassessment of lease classification.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Assets Held for Sale and Note Receivable for Sale of Subsidiaries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April 30, 2019, the Company’s wholly-owned subsidiary, FEI-Asia, which is reported under the FEI-NY segment, was classified as held-for-sale. The table below represents FEI-Asia’s assets and liabilities as of April 30, 2019 (in thousands):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ind w:left="180"/>
              <w:spacing w:after="0"/>
              <w:rPr>
                <w:sz w:val="20"/>
                <w:szCs w:val="20"/>
                <w:color w:val="auto"/>
              </w:rPr>
            </w:pPr>
            <w:r>
              <w:rPr>
                <w:rFonts w:ascii="Arial" w:cs="Arial" w:eastAsia="Arial" w:hAnsi="Arial"/>
                <w:sz w:val="18"/>
                <w:szCs w:val="18"/>
                <w:color w:val="auto"/>
              </w:rPr>
              <w:t>Total assets held for sale</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ind w:left="180"/>
              <w:spacing w:after="0"/>
              <w:rPr>
                <w:sz w:val="20"/>
                <w:szCs w:val="20"/>
                <w:color w:val="auto"/>
              </w:rPr>
            </w:pPr>
            <w:r>
              <w:rPr>
                <w:rFonts w:ascii="Arial" w:cs="Arial" w:eastAsia="Arial" w:hAnsi="Arial"/>
                <w:sz w:val="18"/>
                <w:szCs w:val="18"/>
                <w:color w:val="auto"/>
              </w:rPr>
              <w:t>Total liabilities held for sale</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21, 2019 the Company completed the sale of its wholly-owned subsidiary FEI-Asia to an Asian corporation. FEI-Asia was sold for $130,000 in addition to all rights, benefits and obligations attached thereto, free and clear from any encumbrance. The results of this transaction, including approximately $85,000 of income for the twenty-one days in May 2019, are included in the consolidated financial statements for the fiscal year ended April 30, 2019. The above transaction resulted in a consolidated loss of approximately $1 million recorded in SG&amp;A on the consolidated statement of operations in fiscal year 2019.</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April 26, 2018, the Company sold its Gillam-FEI s.a. (“Gillam”) Belgium subsidiary to a European entity, in a stock purchase agreement, for $1 million in cash received on April 27, 2018, and a note receivable payable in three years for $1 million, included in other assets in the accompanying consolidated balance sheets. In fiscal 2020 it was determined that the note receivable would not likely be collected and thus a reserve was recorded for $1 million, recorded in other expense on the consolidated statement of operations for the year ended April 30, 2020.</w:t>
      </w:r>
    </w:p>
    <w:p>
      <w:pPr>
        <w:spacing w:after="0" w:line="17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Reconciliations of the weighted average shares outstanding for basic and diluted loss per share for the years ended April 30, 2020 and 2019, respectively, were as follows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3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For the years ended April 30,</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 Shares outstanding (weighted average)</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9,073,609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8,916,250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251,878</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242,874</w:t>
            </w:r>
          </w:p>
        </w:tc>
      </w:tr>
      <w:tr>
        <w:trPr>
          <w:trHeight w:val="20"/>
        </w:trPr>
        <w:tc>
          <w:tcPr>
            <w:tcW w:w="56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 Shares outstanding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9,325,487</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9,159,124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years ended April 30, 2020 and 2019, dilutive securities noted in the above table are excluded from the calculation of earnings per share since the inclusion of such shares would be antidilutive due to the net loss for both periods. Basic and diluted shares outstanding for the fiscal years ended April 30, 2020 and 2019 are 9,073,609 and 8,916,250, respectively. Additionally, there are anti-dilutive exercisable shares excluded in the above table for fiscal years ended April 30, 2020 and 2019 of 896,375 and 1,216,000,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30, 2020 and 2019, costs and estimated earnings in excess of billings, net, consisted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10,460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Such amounts represent revenue recognized on long-term contracts that have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POC basis. During the years ended April 30, 2020 and 2019, revenue recognized under POC contracts was approximately $38.0 million and $45.3 million, respectively. If contract losses</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are anticipated, costs and estimated earnings in excess of billings are reduced for the full amount of such losses when they are determinable. Total contract losses for the fiscal years ended April 30, 2020 and 2019 were approximately $2.4 million and $136,000, respectively.</w:t>
      </w:r>
    </w:p>
    <w:p>
      <w:pPr>
        <w:spacing w:after="0" w:line="18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Inventories,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at April 30, 2020 and 2019, respectively, consisted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Component Parts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15,470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6,104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8,896</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2,860</w:t>
            </w:r>
          </w:p>
        </w:tc>
      </w:tr>
      <w:tr>
        <w:trPr>
          <w:trHeight w:val="20"/>
        </w:trPr>
        <w:tc>
          <w:tcPr>
            <w:tcW w:w="56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22,958</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23,356</w:t>
            </w:r>
          </w:p>
        </w:tc>
      </w:tr>
      <w:tr>
        <w:trPr>
          <w:trHeight w:val="20"/>
        </w:trPr>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inventory reserve policy resulted in a charge of $1.1 million in the fiscal year ended April 30, 2019. Inventory reserves included in inventory were $6.6 million for each of the fiscal years ended April 30, 2020 and 2019.</w:t>
      </w:r>
    </w:p>
    <w:p>
      <w:pPr>
        <w:spacing w:after="0" w:line="170"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 Net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plant and equipment, net at April 30, 2020 and 2019, consisted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Machinery, equipment and furniture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57,916</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57,157</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60,608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59,849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(49,341)</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(46,811)</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13,038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for the years ended April 30, 2020 and 2019 was $3.3 million and $2.8 million, respectively.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Maintenance and repairs charged to operations for the years ended April 30, 2020 and 2019 was approximately $706,000 and $309,000,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Right-of-Use Assets and Lease Liabilities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leases primarily represent offices, warehouses, vehicles, and manufacturing and research and development facilities which expire at various times through 2029 and are generally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May 1, 2019, the Company adopted ASU 2016-02. The table below presents ROU assets and lease liabilities recorded on the consolidated balance sheet related to ASU 2016-02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80" w:type="dxa"/>
            <w:vAlign w:val="bottom"/>
          </w:tcPr>
          <w:p>
            <w:pPr>
              <w:ind w:left="172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April 30, 2020</w:t>
            </w:r>
          </w:p>
        </w:tc>
        <w:tc>
          <w:tcPr>
            <w:tcW w:w="0" w:type="dxa"/>
            <w:vAlign w:val="bottom"/>
          </w:tcPr>
          <w:p>
            <w:pPr>
              <w:spacing w:after="0"/>
              <w:rPr>
                <w:sz w:val="1"/>
                <w:szCs w:val="1"/>
                <w:color w:val="auto"/>
              </w:rPr>
            </w:pPr>
          </w:p>
        </w:tc>
      </w:tr>
      <w:tr>
        <w:trPr>
          <w:trHeight w:val="228"/>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19"/>
                <w:szCs w:val="19"/>
                <w:color w:val="auto"/>
              </w:rPr>
            </w:pPr>
          </w:p>
        </w:tc>
        <w:tc>
          <w:tcPr>
            <w:tcW w:w="4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ROU assets</w:t>
            </w:r>
          </w:p>
        </w:tc>
        <w:tc>
          <w:tcPr>
            <w:tcW w:w="5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ROU assets - leases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40"/>
              <w:spacing w:after="0"/>
              <w:rPr>
                <w:sz w:val="20"/>
                <w:szCs w:val="20"/>
                <w:color w:val="auto"/>
              </w:rPr>
            </w:pPr>
            <w:r>
              <w:rPr>
                <w:rFonts w:ascii="Arial" w:cs="Arial" w:eastAsia="Arial" w:hAnsi="Arial"/>
                <w:sz w:val="18"/>
                <w:szCs w:val="18"/>
                <w:color w:val="auto"/>
              </w:rPr>
              <w:t>Operating lease liabilities (short-term)</w:t>
            </w:r>
          </w:p>
        </w:tc>
        <w:tc>
          <w:tcPr>
            <w:tcW w:w="5540" w:type="dxa"/>
            <w:vAlign w:val="bottom"/>
            <w:gridSpan w:val="2"/>
          </w:tcPr>
          <w:p>
            <w:pPr>
              <w:ind w:left="1060"/>
              <w:spacing w:after="0"/>
              <w:rPr>
                <w:sz w:val="20"/>
                <w:szCs w:val="20"/>
                <w:color w:val="auto"/>
              </w:rPr>
            </w:pPr>
            <w:r>
              <w:rPr>
                <w:rFonts w:ascii="Arial" w:cs="Arial" w:eastAsia="Arial" w:hAnsi="Arial"/>
                <w:sz w:val="18"/>
                <w:szCs w:val="18"/>
                <w:color w:val="auto"/>
              </w:rPr>
              <w:t>Lease liability, current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 (long-term)</w:t>
            </w:r>
          </w:p>
        </w:tc>
        <w:tc>
          <w:tcPr>
            <w:tcW w:w="55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460"/>
              <w:spacing w:after="0"/>
              <w:rPr>
                <w:sz w:val="20"/>
                <w:szCs w:val="20"/>
                <w:color w:val="auto"/>
              </w:rPr>
            </w:pPr>
            <w:r>
              <w:rPr>
                <w:rFonts w:ascii="Arial" w:cs="Arial" w:eastAsia="Arial" w:hAnsi="Arial"/>
                <w:sz w:val="18"/>
                <w:szCs w:val="18"/>
                <w:color w:val="auto"/>
              </w:rPr>
              <w:t>Total lease liabilities</w:t>
            </w:r>
          </w:p>
        </w:tc>
        <w:tc>
          <w:tcPr>
            <w:tcW w:w="10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operating lease expense was approximately $1.6 million and $1.2 million for the fiscal years ended April 30, 2020 and 2019, the majority of which is included in cost of revenues and the remaining amount in selling and administrative expenses on the consolidated statements of operations. There were no new leases entered into for the year ended April 30,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previous lease accounting standard, future minimum lease payments for operating leases having initial or remaining non-cancellable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lease terms in excess of one year would have been as follows as of April 30, 2019 (in thousands):</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4"/>
                <w:szCs w:val="24"/>
                <w:color w:val="auto"/>
              </w:rPr>
            </w:pPr>
          </w:p>
        </w:tc>
        <w:tc>
          <w:tcPr>
            <w:tcW w:w="738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 Ending</w:t>
            </w:r>
          </w:p>
        </w:tc>
        <w:tc>
          <w:tcPr>
            <w:tcW w:w="100" w:type="dxa"/>
            <w:vAlign w:val="bottom"/>
          </w:tcPr>
          <w:p>
            <w:pPr>
              <w:spacing w:after="0"/>
              <w:rPr>
                <w:sz w:val="24"/>
                <w:szCs w:val="24"/>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87"/>
              </w:rPr>
              <w:t>Operating Leases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73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April 30,</w:t>
            </w:r>
          </w:p>
        </w:tc>
        <w:tc>
          <w:tcPr>
            <w:tcW w:w="1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6,349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13,593</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20" w:type="dxa"/>
            <w:vAlign w:val="bottom"/>
          </w:tcPr>
          <w:p>
            <w:pPr>
              <w:spacing w:after="0"/>
              <w:rPr>
                <w:sz w:val="24"/>
                <w:szCs w:val="24"/>
                <w:color w:val="auto"/>
              </w:rPr>
            </w:pPr>
          </w:p>
        </w:tc>
        <w:tc>
          <w:tcPr>
            <w:tcW w:w="7380" w:type="dxa"/>
            <w:vAlign w:val="bottom"/>
            <w:tcBorders>
              <w:top w:val="single" w:sz="8" w:color="CCEEFF"/>
            </w:tcBorders>
          </w:tcPr>
          <w:p>
            <w:pPr>
              <w:ind w:left="4420"/>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fiscal years and total of the remaining fiscal years to the operating lease liabilities recorded on the consolidated balance sheet as of April 30, 2020:</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86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92"/>
              </w:rPr>
              <w:t>Fiscal Year Ending April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486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0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1,919</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2022</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1,783</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1,801</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2024</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1,834</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1,723</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5,492</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14,552</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(3,239)</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Present value of future lease payments</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11,313</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(1,869)</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43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9,444</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April 30, 2020, the weighted-average remaining lease term for all operating leases was 8.3 years. The Company does not generally have access to the rate implicit in the leases and therefore utilized the Company’s borrowing rate as the discount rate. The weighted average discount rate for operating leases as of April 30, 2020 was 6.19%.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Supplemental cash flow information related to leases include operating cash flows for operating leases of $1.7 million and right-of-use assets obtained in exchange for lease obligations of $12.1 million, as of adoption, for the fiscal year ended April 30, 2020. There have been no new leases since adoption.</w:t>
      </w:r>
    </w:p>
    <w:p>
      <w:pPr>
        <w:spacing w:after="0" w:line="184"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2020 and 2019,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8"/>
                <w:szCs w:val="18"/>
                <w:b w:val="1"/>
                <w:bCs w:val="1"/>
                <w:color w:val="auto"/>
              </w:rPr>
              <w:t>April 30, 2020</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34"/>
        </w:trPr>
        <w:tc>
          <w:tcPr>
            <w:tcW w:w="4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10,570</w:t>
            </w:r>
          </w:p>
        </w:tc>
      </w:tr>
      <w:tr>
        <w:trPr>
          <w:trHeight w:val="432"/>
        </w:trPr>
        <w:tc>
          <w:tcPr>
            <w:tcW w:w="4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8"/>
                <w:szCs w:val="18"/>
                <w:b w:val="1"/>
                <w:bCs w:val="1"/>
                <w:color w:val="auto"/>
              </w:rPr>
              <w:t>April 30, 2019</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34"/>
        </w:trPr>
        <w:tc>
          <w:tcPr>
            <w:tcW w:w="4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April 30, 2020</w:t>
            </w:r>
          </w:p>
        </w:tc>
        <w:tc>
          <w:tcPr>
            <w:tcW w:w="12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316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April 30, 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2020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loss for the years ended April 30, 2020 and 2019, respectively, were as follows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7"/>
              </w:rPr>
              <w:t>For the years ended April 30,</w:t>
            </w:r>
          </w:p>
        </w:tc>
      </w:tr>
      <w:tr>
        <w:trPr>
          <w:trHeight w:val="209"/>
        </w:trPr>
        <w:tc>
          <w:tcPr>
            <w:tcW w:w="56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680" w:type="dxa"/>
            <w:vAlign w:val="bottom"/>
          </w:tcPr>
          <w:p>
            <w:pPr>
              <w:ind w:left="20"/>
              <w:spacing w:after="0" w:line="196" w:lineRule="exact"/>
              <w:rPr>
                <w:sz w:val="20"/>
                <w:szCs w:val="20"/>
                <w:color w:val="auto"/>
              </w:rPr>
            </w:pPr>
            <w:r>
              <w:rPr>
                <w:rFonts w:ascii="Arial" w:cs="Arial" w:eastAsia="Arial" w:hAnsi="Arial"/>
                <w:sz w:val="18"/>
                <w:szCs w:val="18"/>
                <w:color w:val="auto"/>
              </w:rPr>
              <w:t>Gross realized gains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w:t>
            </w:r>
          </w:p>
        </w:tc>
      </w:tr>
      <w:tr>
        <w:trPr>
          <w:trHeight w:val="20"/>
        </w:trPr>
        <w:tc>
          <w:tcPr>
            <w:tcW w:w="5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5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realized losses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April 30, 2020 were as follows (at cost, in thousands):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4,280</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00" w:hanging="768"/>
        <w:spacing w:after="0" w:line="277" w:lineRule="auto"/>
        <w:tabs>
          <w:tab w:leader="none" w:pos="98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w:t>
      </w:r>
    </w:p>
    <w:p>
      <w:pPr>
        <w:spacing w:after="0" w:line="18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Debt Obligations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April 30, 2020, the Company had available credit with UBS Bank USA at variable terms based on its securities holdings under an advisory arrangement, under which no borrowings have been made. On April 12, 2020, the Company received proceeds from a loan in the amount of $4,964,810 (the “PPP Loan”) from JPMorgan Chase Bank, N.A. as the Lender, pursuant to the Small Business Administration Paycheck Protection Program under the CARES Act. The PPP Loan was repaid in full on May 6,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at April 30, 2020 and 2019, respectively, consisted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and other compensation</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Incentive compensation</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taxes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Warranty reserve</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r>
      <w:tr>
        <w:trPr>
          <w:trHeight w:val="20"/>
        </w:trPr>
        <w:tc>
          <w:tcPr>
            <w:tcW w:w="5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Investment in Morion,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investment consists of 4.6% of Morion’s outstanding shares, accordingly, the Company accounts for its investment in Morion on the cost basis. This investment, of approximately $800,000, is included in other assets in the accompanying consolidated balance sheets. During the fiscal years ended April 30, 2020 and 2019, the Company acquired product from Morion in the aggregate amount of approximately $888,000 and $437,000, respectively, and the Company sold product to Morion in the aggregate amount of approximately $85,000 and $2,000, respectively. At April 30, 2020 and 2019, there was no accounts receivable balance due from Morion. At April 30, 2020, there was no accounts payable balance owed to Morion. At April 30, 2019, approximately $38,000 was payable to Morion. During the fiscal years 2020 and 2019, the Company received dividends from Morion of approximately $250,000 and $105,000, respectively.</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light of Morion’s relationship with Gazprombank, the Company recently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relates solely to delays in collection of accounts receivable that exceeded then-applicable payment windows set forth in sanctions regulations and do not relate to any other type of payment or transaction. On July 22, 2020, OFAC informed the Company that it is conducting a civil investigation of the matter.</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ongoing OFAC civil investigation subjects the Company to a number of financial and business risks. OFAC has broad enforcement discretion, and the imposition of sanctions, fines or remedial measures could have a material adverse effect on the Company’s business, prospects, reputation, financial condition, liquidity, results of operations or cash flows. Given the matter is in an early stage, however, the Company does not have sufficient information to (i) determine whether any liability (including penalties, sanctions, or remedial actions) as a result of the voluntary disclosure is probable or (ii) estimate the magnitude of any liability. While we are currently unable to predict what if any actions OFAC might take, or what the likely outcome of any such actions might be, or estimate the range of reasonably possible fines or penalties, such outcome may be material. Also, the Company is unable to predict the duration, scope, result or related costs of the investigation, including legal fees.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provides its U.S.-based employees with a profit-sharing plan and trust under § 401(k) of the Internal Revenue Code (“IRC”).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2020 and 2019, the Company contributed 39,403 and 41,211 shares of common stock, respectively. The approximate value of these shares at the date of contribution was $417,000 and $412,000 in fiscal years 2020 and 2019, respectively. [Contributed shares are drawn from the Company’s common stock held in treasury] and are removed at the Company’s original cost of acquisition of such shares on a specific identification basis. In addition to changes in the treasury stock accounts, during fiscal years 2020 and 2019, such transactions increased additional paid in capital by $236,000 and $223,000, respectively. As of April 30, 2020, the plan held a total of 507,204 shares, which are allocated to the accounts of the individual participants.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Under these plans, the Company charged $195,000 to selling and administrative expenses for the fiscal year ended April 30, 2019. There was no incentive bonus recorded for the fiscal year ended April 30,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SAR plans. Under these plans, options or SAR are granted at the discretion of the Stock Option Committee at an exercise price not less than the fair market value of the Company’s common stock on the date of grant.</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Typically, options and SAR vest over a four-year period from the date of grant. The options and SAR generally expire ten years after the date of grant (the most recent SAR awards expire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April 30, 2020, eligible employees and directors had been granted SAR representing approximately 2,384,000 shares of Company stock, of which approximately 1,060,000 shares were outstanding and approximately 900,000 shares with a weighted average exercise price of $9.85 were exercisable. As of April 30, 2019, eligible employees and directors had been granted SAR representing approximately 2,384,000 shares of Company stock, of which approximately 1,500,000 shares were outstanding and approximately 1,216,000 shares with a weighted average exercise price of $9.12 were exercisable. When the SAR become exercisable, the Company will settle the SAR by issuing to exercising recipients the number of shares of stock from treasury stock, if available, equal to the appreciated value of the Company’s stock between the grant date and exercise date. At the time of exercise, the quantity of shares under the SAR grant equal to the exercise value divided by the then market value of the shares will be returned to the pool of available shares for future grant under the Plan. During the year ended April 30, 2020, employees exercised SAR representing 171,250 shares of Company stock and received 92,212 shares of Company stock. The 79,038 share difference was returned to the pool of available shares and may be used for future grants. During the year ended April 30, 2019, employees exercised SAR representing 145,750 shares of Company stock and received 71,111 shares of Company stock. The 74,639 share difference was returned to the pool of available shares and may be used for future grants.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and SARs activity for the years ended April 30,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89"/>
              </w:rPr>
              <w:t>Stock Options and Stock Appreciation Rights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462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Intrinsic Value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2018</w:t>
            </w:r>
          </w:p>
        </w:tc>
        <w:tc>
          <w:tcPr>
            <w:tcW w:w="1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1,488,000</w:t>
            </w:r>
          </w:p>
        </w:tc>
        <w:tc>
          <w:tcPr>
            <w:tcW w:w="124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8.93</w:t>
            </w:r>
          </w:p>
        </w:tc>
        <w:tc>
          <w:tcPr>
            <w:tcW w:w="166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3.7 years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162,500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8.50</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(145,750)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5.95</w:t>
            </w:r>
          </w:p>
        </w:tc>
        <w:tc>
          <w:tcPr>
            <w:tcW w:w="1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889,588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Expired or Canceled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9.55</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1,499,750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9.17</w:t>
            </w:r>
          </w:p>
        </w:tc>
        <w:tc>
          <w:tcPr>
            <w:tcW w:w="166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3.0 years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6,660,150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5.48</w:t>
            </w:r>
          </w:p>
        </w:tc>
        <w:tc>
          <w:tcPr>
            <w:tcW w:w="1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781,680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Expired or Canceled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(269,000)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9.26</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1,059,500</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9.74</w:t>
            </w:r>
          </w:p>
        </w:tc>
        <w:tc>
          <w:tcPr>
            <w:tcW w:w="166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2.2 years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5,416,783</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896,275</w:t>
            </w:r>
          </w:p>
        </w:tc>
        <w:tc>
          <w:tcPr>
            <w:tcW w:w="140" w:type="dxa"/>
            <w:vAlign w:val="bottom"/>
          </w:tcPr>
          <w:p>
            <w:pPr>
              <w:spacing w:after="0"/>
              <w:rPr>
                <w:sz w:val="17"/>
                <w:szCs w:val="17"/>
                <w:color w:val="auto"/>
              </w:rPr>
            </w:pPr>
          </w:p>
        </w:tc>
        <w:tc>
          <w:tcPr>
            <w:tcW w:w="1240" w:type="dxa"/>
            <w:vAlign w:val="bottom"/>
            <w:gridSpan w:val="2"/>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85"/>
              </w:rPr>
              <w:t>9.85</w:t>
            </w:r>
          </w:p>
        </w:tc>
        <w:tc>
          <w:tcPr>
            <w:tcW w:w="166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6"/>
              </w:rPr>
              <w:t>2.1 years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4,739,209</w:t>
            </w:r>
          </w:p>
        </w:tc>
      </w:tr>
      <w:tr>
        <w:trPr>
          <w:trHeight w:val="20"/>
        </w:trPr>
        <w:tc>
          <w:tcPr>
            <w:tcW w:w="4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 for future grants</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417,004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April 30, 2020, total unrecognized compensation cost related to non-vested options and SARs under the plans was approximately $300,000.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 average period of 1.7 years.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years ended April 30, 2020 and 2019, 100,625 and 104,250 shares, respectively, vested, the fair value of which was approximately $339,000 and $403,000, respectively. There were no SARs granted during the fiscal year 2020. The weighted average grant date fair value of SARs granted during the year ended April 30, 2019, was approximately $3.01.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POC method were approximately $110,000 and $190,000 for the years ended April 30, 2020 and 2019, respectively. Selling and administrative expenses included stock-based compensation expense of approximately $141,000 and $298,000 for the years ended April 30, 2020 and 2019,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classifies cash flows resulting from the tax benefits from tax deductions recognized upon the exercise of stock options or SAR (tax benefits) as financing cash flows. The Company did not recognize any tax benefits from the exercise of stock options and SAR for the fiscal years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 and Other Issuances: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therein. As a result of the adoption by the Company’s stockholders of the 2005 Stock Award Plan, the Restricted Stock Plan was discontinued. No additional grants will be made under this plan. As of April 30, 2020, there are no outstanding shares available for purchase. As of April 30, 2019, grants for 7,500 shares were available to be purchased at a price of $4.00 per share.</w:t>
      </w:r>
    </w:p>
    <w:p>
      <w:pPr>
        <w:spacing w:after="0" w:line="19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years ended April 30, 2020 and 2019 the Company issued 1,850 shares and 1,100 shares from treasury stock, respectively, to select employees for milestone years of service to the Company. These shares are common stock and are fully vested at time of issuance.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fiscal year 2020 the Company elected to issue Restricted Stock Units (“RSUs”) to directors, officers, and other key employees pursuant to the 2005 Stock Award Plan. The fair value of these awards is equivalent to the market value of our common stock on the grant date. RSUs are not shares of our common stock and do not have any rights or privileges thereof, including voting or dividend rights. On the applicable vesting date, the holder of an RSU becomes entitled to a share of our common stock. RSUs are subject to certain restrictions and forfeiture provisions prior to vesting. During the year ended April 30, 2020, the Company granted 13,000 RSUs, at a grant date fair value of $11.38, that will vest over a four-year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or her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2020 and 2019 was approximately $640,000 and $1.3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6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27, 2020, the Coronavirus Aid, Relief, and Economic Security (“CARES”) Act was enacted to provide economic relief to those impacted by the COVID-19 pandemic. The CARES Act includes provisions, among others, allowing for the carryback of net operating losses generated in tax years 2018, 2019 and 2020, refunds of alternative minimum tax credits, temporary modifications to the limitations placed on the tax deductibility of net interest expense, and technical corrections so that qualified improvement property can be immediately expensed under IRC § 168(k) and net operating losses arising in tax years beginning in 2017 and ending in 2018 can be carried back two years and forward twenty years.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Loss before (benefit) provision for income taxes consisted of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April 30,</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1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(11,768)</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(4,713)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Foreign</w:t>
            </w:r>
          </w:p>
        </w:tc>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2,240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(11,768)</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(2,473)</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50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990"/>
              <w:spacing w:after="0"/>
              <w:rPr>
                <w:sz w:val="20"/>
                <w:szCs w:val="20"/>
                <w:color w:val="auto"/>
              </w:rPr>
            </w:pPr>
            <w:r>
              <w:rPr>
                <w:rFonts w:ascii="Arial" w:cs="Arial" w:eastAsia="Arial" w:hAnsi="Arial"/>
                <w:sz w:val="18"/>
                <w:szCs w:val="18"/>
                <w:color w:val="auto"/>
              </w:rPr>
              <w:t>40</w:t>
            </w:r>
          </w:p>
        </w:tc>
        <w:tc>
          <w:tcPr>
            <w:tcW w:w="9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w w:val="94"/>
              </w:rPr>
              <w:t>The (benefit) provision for income taxes consisted of the following (in thousands):</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Year Ended April 30,</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(1,713)</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Current (benefit) provision</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(1,750)</w:t>
            </w:r>
          </w:p>
        </w:tc>
        <w:tc>
          <w:tcPr>
            <w:tcW w:w="10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State</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(benefit)</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(benefit) provision</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(1,742)</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reported income tax (benefit) expense, recorded primarily due to the (i) enactment of the CARES Act, which allowed the Company to recognize a tax benefit for a portion of its pretax loss, (ii) state and local taxes, (iii) and a change in the valuation allowance, with the amount computed using the federal statutory income tax rate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April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28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(2,471)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State and local tax</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10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Effect of foreign operations</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Sale of Subsidiary Stock</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Nontaxable life insurance cash value increase</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0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Change in tax rate</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0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CARES Act</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0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(benefit) expense</w:t>
            </w:r>
          </w:p>
        </w:tc>
        <w:tc>
          <w:tcPr>
            <w:tcW w:w="18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(1,742)</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jc w:val="right"/>
              <w:ind w:right="990"/>
              <w:spacing w:after="0"/>
              <w:rPr>
                <w:sz w:val="20"/>
                <w:szCs w:val="20"/>
                <w:color w:val="auto"/>
              </w:rPr>
            </w:pPr>
            <w:r>
              <w:rPr>
                <w:rFonts w:ascii="Arial" w:cs="Arial" w:eastAsia="Arial" w:hAnsi="Arial"/>
                <w:sz w:val="18"/>
                <w:szCs w:val="18"/>
                <w:color w:val="auto"/>
              </w:rPr>
              <w:t>41</w:t>
            </w: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April 30,</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Employee benefits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4,794</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1,904</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660"/>
              <w:spacing w:after="0"/>
              <w:rPr>
                <w:sz w:val="20"/>
                <w:szCs w:val="20"/>
                <w:color w:val="auto"/>
              </w:rPr>
            </w:pPr>
            <w:r>
              <w:rPr>
                <w:rFonts w:ascii="Arial" w:cs="Arial" w:eastAsia="Arial" w:hAnsi="Arial"/>
                <w:sz w:val="18"/>
                <w:szCs w:val="18"/>
                <w:color w:val="auto"/>
              </w:rPr>
              <w:t>Tax credits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1,610</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660"/>
              <w:spacing w:after="0"/>
              <w:rPr>
                <w:sz w:val="20"/>
                <w:szCs w:val="20"/>
                <w:color w:val="auto"/>
              </w:rPr>
            </w:pPr>
            <w:r>
              <w:rPr>
                <w:rFonts w:ascii="Arial" w:cs="Arial" w:eastAsia="Arial" w:hAnsi="Arial"/>
                <w:sz w:val="18"/>
                <w:szCs w:val="18"/>
                <w:color w:val="auto"/>
              </w:rPr>
              <w:t>Lease Liability</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2,807</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Capital Loss carry-forward</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66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asset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21,095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16,404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Property, plant and equipment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660"/>
              <w:spacing w:after="0"/>
              <w:rPr>
                <w:sz w:val="20"/>
                <w:szCs w:val="20"/>
                <w:color w:val="auto"/>
              </w:rPr>
            </w:pPr>
            <w:r>
              <w:rPr>
                <w:rFonts w:ascii="Arial" w:cs="Arial" w:eastAsia="Arial" w:hAnsi="Arial"/>
                <w:sz w:val="18"/>
                <w:szCs w:val="18"/>
                <w:color w:val="auto"/>
              </w:rPr>
              <w:t>Right of use asset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(2,696)</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660"/>
              <w:spacing w:after="0"/>
              <w:rPr>
                <w:sz w:val="20"/>
                <w:szCs w:val="20"/>
                <w:color w:val="auto"/>
              </w:rPr>
            </w:pPr>
            <w:r>
              <w:rPr>
                <w:rFonts w:ascii="Arial" w:cs="Arial" w:eastAsia="Arial" w:hAnsi="Arial"/>
                <w:sz w:val="18"/>
                <w:szCs w:val="18"/>
                <w:color w:val="auto"/>
              </w:rPr>
              <w:t>Deferred state income tax</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15,846</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13,950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66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(15,854)</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(13,950)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deferred tax (liability) asset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assessing the potential for realization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As of April 30, 2020 and 2019, we have a full valuation allowance against our U.S. net deferred tax assets. If these estimates and assumptions change in the future, the Company may be required to reduce its existing valuation allowance resulting in less income tax expense.</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April 30, 2020, the valuation allowance increased by approximately $1.9 million from the prior year primarily due to the portion of the fiscal year ended April 30, 2020 pretax loss for which no tax benefit was provided.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amortize indefinite-lived intangible assets for tax purposes which are not amortizable for financial reporting purposes. As a result of the technical correction to net operating losses in the CARES Act, the Company recorded a deferred tax liability related to the tax effect of differences between financial reporting and tax bases of intangible assets that are not expected to reverse within the Company’s net operating loss carryforward periods. The utilization of indefinite lived net operating losses are limited to 80% of taxable income in an annual period.</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April 30, 2020, the Company has U.S. federal net operating losses of $24.6 million of which $16.4 million begins to expire in Fiscal 2026 through 2038, including $3.4 million which is subject to annual limitation under IRC § 382. The remaining U.S. federal net operating losses of $8.2 million have an indefinite carry-forward period. The U.S. federal capital loss carry-forward of $10.0 million expires in 2023. The Company also has state net operating loss carryforwards, U.S. federal R&amp;D tax credits, and state tax credits that expire in various years and amounts.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fiscal year</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w w:val="96"/>
              </w:rPr>
              <w:t>Additions based on positions taken in the fiscal year ended April 30, 2020</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positions taken in prior years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Decreases based on positions taken in prior years</w:t>
            </w:r>
          </w:p>
        </w:tc>
        <w:tc>
          <w:tcPr>
            <w:tcW w:w="10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in statute of limitations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0"/>
        </w:trPr>
        <w:tc>
          <w:tcPr>
            <w:tcW w:w="56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Balance at the end of the fiscal year</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1,258</w:t>
            </w:r>
          </w:p>
        </w:tc>
      </w:tr>
      <w:tr>
        <w:trPr>
          <w:trHeight w:val="20"/>
        </w:trPr>
        <w:tc>
          <w:tcPr>
            <w:tcW w:w="5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entire amount reflected in the table above at April 30, 2020, if recognized, would reduce our effective tax rate. The effects of uncertain tax positions embedded in net operating losses would not affect the effective tax rate if the unrecognized tax benefits are resolved while a full valuation allowance is maintained. As of April 30, 2020, and 2019, the Company had $119,000 and $64,000, respectively, accrued for the payment of interest and penalties. For the fiscal years ended April 30, 2020 and 2019, the Company recognized interest and penalties of $60,000 and $54,000, respectively. Although it is difficult to predict or estimate the change in the Company’s unrecognized tax benefits over the next twelve months, the Company believes that it is reasonably possible that decreases in unrecognized tax benefits of up to $1.3 million may be recognized during the next twelve months.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subject to taxation in the U.S. federal, various state and local, and foreign jurisdictions. The Company is no longer subject to examination of its U.S. federal income tax returns by the Internal Revenue Service for fiscal years 2016 and prior. The Company is no longer subject to examination by the taxing authorities in foreign jurisdictions for fiscal years 2016 and prior. Net operating losses and tax attributes generated by domestic and foreign entities in closed years and utilized in open years are subject to adjustment by the tax authorities.</w:t>
      </w:r>
    </w:p>
    <w:p>
      <w:pPr>
        <w:spacing w:after="0" w:line="17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620" w:hanging="567"/>
        <w:spacing w:after="0" w:line="263" w:lineRule="auto"/>
        <w:tabs>
          <w:tab w:leader="none" w:pos="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83" w:lineRule="exact"/>
        <w:rPr>
          <w:rFonts w:ascii="Arial" w:cs="Arial" w:eastAsia="Arial" w:hAnsi="Arial"/>
          <w:sz w:val="18"/>
          <w:szCs w:val="18"/>
          <w:color w:val="auto"/>
        </w:rPr>
      </w:pPr>
    </w:p>
    <w:p>
      <w:pPr>
        <w:ind w:left="620"/>
        <w:spacing w:after="0" w:line="277"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70" w:lineRule="exact"/>
        <w:rPr>
          <w:rFonts w:ascii="Arial" w:cs="Arial" w:eastAsia="Arial" w:hAnsi="Arial"/>
          <w:sz w:val="18"/>
          <w:szCs w:val="18"/>
          <w:color w:val="auto"/>
        </w:rPr>
      </w:pPr>
    </w:p>
    <w:p>
      <w:pPr>
        <w:jc w:val="both"/>
        <w:ind w:left="620" w:hanging="612"/>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accounting policies of the two segments are the same as those described in Note 1.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information about reported segments for each of the years ended April 30, 2020 and 2019, respectively, with reconciliation of segment amounts to consolidated amounts as reported in the consolidated statements of operations or the consolidated balance sheets for each of the years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38,096</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10,914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intersegment revenues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660"/>
              <w:spacing w:after="0"/>
              <w:rPr>
                <w:sz w:val="20"/>
                <w:szCs w:val="20"/>
                <w:color w:val="auto"/>
              </w:rPr>
            </w:pPr>
            <w:r>
              <w:rPr>
                <w:rFonts w:ascii="Arial" w:cs="Arial" w:eastAsia="Arial" w:hAnsi="Arial"/>
                <w:sz w:val="18"/>
                <w:szCs w:val="18"/>
                <w:color w:val="auto"/>
              </w:rPr>
              <w:t>Consolidated revenues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41,507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49,509</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Corporate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660"/>
              <w:spacing w:after="0"/>
              <w:rPr>
                <w:sz w:val="20"/>
                <w:szCs w:val="20"/>
                <w:color w:val="auto"/>
              </w:rPr>
            </w:pPr>
            <w:r>
              <w:rPr>
                <w:rFonts w:ascii="Arial" w:cs="Arial" w:eastAsia="Arial" w:hAnsi="Arial"/>
                <w:sz w:val="18"/>
                <w:szCs w:val="18"/>
                <w:color w:val="auto"/>
              </w:rPr>
              <w:t>Consolidated operating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(10,922)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Identifiable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FEI-NY (approximately $1.5 in China in 2019)</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44,599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54,295</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13,344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intersegment receivables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41,919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30,344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identifiable assets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86,771</w:t>
            </w:r>
          </w:p>
        </w:tc>
        <w:tc>
          <w:tcPr>
            <w:tcW w:w="0" w:type="dxa"/>
            <w:vAlign w:val="bottom"/>
          </w:tcPr>
          <w:p>
            <w:pPr>
              <w:spacing w:after="0"/>
              <w:rPr>
                <w:sz w:val="1"/>
                <w:szCs w:val="1"/>
                <w:color w:val="auto"/>
              </w:rPr>
            </w:pPr>
          </w:p>
        </w:tc>
      </w:tr>
      <w:tr>
        <w:trPr>
          <w:trHeight w:val="413"/>
        </w:trPr>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 (allocated):</w:t>
            </w:r>
          </w:p>
        </w:tc>
        <w:tc>
          <w:tcPr>
            <w:tcW w:w="9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Corporate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660"/>
              <w:spacing w:after="0"/>
              <w:rPr>
                <w:sz w:val="20"/>
                <w:szCs w:val="20"/>
                <w:color w:val="auto"/>
              </w:rPr>
            </w:pPr>
            <w:r>
              <w:rPr>
                <w:rFonts w:ascii="Arial" w:cs="Arial" w:eastAsia="Arial" w:hAnsi="Arial"/>
                <w:sz w:val="18"/>
                <w:szCs w:val="18"/>
                <w:color w:val="auto"/>
              </w:rPr>
              <w:t>Consolidated depreciation and amortization expense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3,319</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2020 and 2019, approximately 83% and 87%, respectively, of the Company’s sales were made under contracts to the U.S. Government or subcontracts for U.S. Government end-use.</w:t>
      </w:r>
    </w:p>
    <w:p>
      <w:pPr>
        <w:spacing w:after="0" w:line="12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Fiscal 2020 and 2019, revenues to four and two customers, respectively, of the FEI-NY segment accounted for more than 10% of that segment’s revenues. These customers also exceeded 10% of the Company’s consolidated revenues each year. In the FEI-Zyfer segment, two customers accounted for more than 10% of that segment’s revenues in Fiscal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customers is mutually satisfactory. Sales to the major customers referenced above can include commercial and governmental end users.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For the years ended April 30, 2020 and 2019, revenues, based on the location of the procurement entity and excluding intersegment sales, were derived from the following countries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France</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Russia</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Italy</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w:t>
            </w:r>
          </w:p>
        </w:tc>
      </w:tr>
      <w:tr>
        <w:trPr>
          <w:trHeight w:val="20"/>
        </w:trPr>
        <w:tc>
          <w:tcPr>
            <w:tcW w:w="56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1,765</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1,361</w:t>
            </w:r>
          </w:p>
        </w:tc>
      </w:tr>
      <w:tr>
        <w:trPr>
          <w:trHeight w:val="20"/>
        </w:trPr>
        <w:tc>
          <w:tcPr>
            <w:tcW w:w="5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As of April 30, 2020 and 2019, respectively, changes in the carrying amount of accrued product warranty costs, reported in accrued expenses on the consolidated balance sheets,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5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accrual</w:t>
            </w: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44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40" w:type="dxa"/>
            <w:vAlign w:val="bottom"/>
            <w:vMerge w:val="restart"/>
          </w:tcPr>
          <w:p>
            <w:pPr>
              <w:jc w:val="right"/>
              <w:ind w:right="990"/>
              <w:spacing w:after="0"/>
              <w:rPr>
                <w:sz w:val="20"/>
                <w:szCs w:val="20"/>
                <w:color w:val="auto"/>
              </w:rPr>
            </w:pPr>
            <w:r>
              <w:rPr>
                <w:rFonts w:ascii="Arial" w:cs="Arial" w:eastAsia="Arial" w:hAnsi="Arial"/>
                <w:sz w:val="18"/>
                <w:szCs w:val="18"/>
                <w:color w:val="auto"/>
              </w:rPr>
              <w:t>45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Comprehensive Income (Loss)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Changes in Accumulated Other Comprehensive Income (Loss) (“AOCI”) by component and reclassifications from AOCI to Other income (expense), net, for the years ended April 30, 2020 and 2019,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9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Change in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9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5"/>
              </w:rPr>
              <w:t>Market Value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9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4"/>
              </w:rPr>
              <w:t>of Marketable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98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5"/>
              </w:rPr>
              <w:t>Securities</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Adjustment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2018, net of taxes</w:t>
            </w:r>
          </w:p>
        </w:tc>
        <w:tc>
          <w:tcPr>
            <w:tcW w:w="1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Items of other comprehensive income (loss) before reclassification, pretax</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w w:val="94"/>
              </w:rPr>
              <w:t>Items of other comprehensive income (loss) before reclassification, net of taxes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pretax **</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Tax effect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Balance April 30, 2019, net of taxes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Items of other comprehensive income (loss) before reclassification, pretax</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Tax effect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4"/>
              </w:rPr>
              <w:t>Items of other comprehensive income (loss) before reclassification, net of taxes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Reclassification adjustments, pretax **</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other comprehensive income (loss), net of taxes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2020, net of taxes</w:t>
            </w:r>
          </w:p>
        </w:tc>
        <w:tc>
          <w:tcPr>
            <w:tcW w:w="1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reclassification adjustments represent net realized gains on the sale or redemption of available-for-sale marketable securities that were reclassified from AOCI to Other income (expense), net.</w:t>
      </w:r>
    </w:p>
    <w:p>
      <w:pPr>
        <w:spacing w:after="0" w:line="170"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January 28, 2020, Martin B. Bloch, the former Chief Scientist of the Company and a current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Electronics, Inc., et al</w:t>
      </w:r>
      <w:r>
        <w:rPr>
          <w:rFonts w:ascii="Arial" w:cs="Arial" w:eastAsia="Arial" w:hAnsi="Arial"/>
          <w:sz w:val="16"/>
          <w:szCs w:val="16"/>
          <w:color w:val="auto"/>
        </w:rPr>
        <w:t>., Index No. 601369/2020 (N.Y. Sup. Ct. filed Jan. 28, 2020)). Mr. Bloch seeks compensatory damages and costs and attorney’s fees,</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based on allegations that he was wrongfully terminated “for cause” pursuant to his employment agreement, dated March 17, 2008, and his deferred compensation agreements, in each case as amended, with the Company,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The Company and the Director Defendants believe that the Board was justified in its decision to terminate Mr. Bloch “for cause” and that Mr. Bloch’s complaint is entirely without merit. The Company intends to vigorously defend against all of Mr. Bloch’s allegations. At this time, the Company does not have sufficient information to determine whether liability, if any, arising out of these matters is probable or the possible loss, if any, that could result from an unfavorable outcome arising out of these matters.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 and 2019</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Mr. Bloch sought to initiate two arbitration proceedings under the AAA Rules (</w:t>
      </w:r>
      <w:r>
        <w:rPr>
          <w:rFonts w:ascii="Arial" w:cs="Arial" w:eastAsia="Arial" w:hAnsi="Arial"/>
          <w:sz w:val="18"/>
          <w:szCs w:val="18"/>
          <w:i w:val="1"/>
          <w:iCs w:val="1"/>
          <w:color w:val="auto"/>
        </w:rPr>
        <w:t>Bloch v. Frequency Electronics, Inc.,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Committee of the Board of Directors of Frequency Electronics, Inc., and the Deferred Compensation Plan Agreement Dated March 7, 2008</w:t>
      </w:r>
      <w:r>
        <w:rPr>
          <w:rFonts w:ascii="Arial" w:cs="Arial" w:eastAsia="Arial" w:hAnsi="Arial"/>
          <w:sz w:val="18"/>
          <w:szCs w:val="18"/>
          <w:color w:val="auto"/>
        </w:rPr>
        <w:t>). One arbitration is brought under a deferred compensation agreement dated March 27, 1980 and the other under a second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agreement, dated March 7, 2008. Bloch submitted his Statements of Claim in both arbitrations on May 4, 2020. In both proceedings, Bloch claims that defendants violated ERISA rules by denying him the benefits he was allegedly entitled to under the deferred compensation agreements.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motion is currently pending. At this time, the Company does not have sufficient information to determine the likelihood of success of this petition.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On June 5, 2020, Mr. Bloch filed a petition against the Company, the Compensation Committee of the Company’s Board of Directors, and the Deferred Compensation Plan Agreement Dated March 7, 2008, as amended, for the appointment of an arbitrator in one of the arbitration proceedings that Mr. Bloch sought to initiate. The petition was filed in the Supreme Court of the State of New York, County of Nassau </w:t>
      </w:r>
      <w:r>
        <w:rPr>
          <w:rFonts w:ascii="Arial" w:cs="Arial" w:eastAsia="Arial" w:hAnsi="Arial"/>
          <w:sz w:val="16"/>
          <w:szCs w:val="16"/>
          <w:i w:val="1"/>
          <w:iCs w:val="1"/>
          <w:color w:val="auto"/>
        </w:rPr>
        <w:t>(Bloch v. Frequency Electronics,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w:t>
      </w:r>
      <w:r>
        <w:rPr>
          <w:rFonts w:ascii="Arial" w:cs="Arial" w:eastAsia="Arial" w:hAnsi="Arial"/>
          <w:sz w:val="16"/>
          <w:szCs w:val="16"/>
          <w:color w:val="auto"/>
        </w:rPr>
        <w:t>Index No. 605380/2020 (N.Y. Sup. Ct. filed June 5, 2020)). On June 22, 2020, the Company moved to dismiss Mr. Bloch’s petition, and he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motion on July 2, 2020. The motion is currently pending. Defendants dispute all of Bloch’s claims and intend to continue to vigorously defend the Company in this special proceeding. The likelihood of any outcome of this proceeding cannot be determined at this time.</w:t>
      </w:r>
    </w:p>
    <w:p>
      <w:pPr>
        <w:spacing w:after="0" w:line="164"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previously reported, on April 12, 2020, the Company received proceeds from a loan in the amount of $4,964,810 (the “PPP Loan”) from JPMorgan Chase Bank, N.A. as the Lender, pursuant to the Small Business Administration Paycheck Protection Program under the CARES Act. On May 6, 2020, the Company elected to repay the PPP Loan in full.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April 30, 2020, the Company’s disclosure controls and procedures were effective.</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2020. In making this assessment, management used the criteria established in Internal Control—Integrated Framework (2013) issued by the Committee of Sponsoring Organizations of the Treadway Commission. Based on this evaluation, management has concluded that the Company’s internal control over financial reporting was effective as of April 30,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Reporting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result of a provision of the Dodd-Frank Wall Street Reform and Consumer Protection Act of 2010, which, among other things, permanently exempted non-accelerated filers, such as us, from complying with the requirements of Section 404(b) of the Sarbanes-Oxley Act of 2002, which requires an issuer to include an attestation report from an issuer’s independent registered public accounting firm on the issuer’s internal control over financial reporting, this annual report on Form 10-K does not include an attestation report of our registered public accounting firm regarding our internal control over financial reporting.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fiscal quarter ended April 30, 2020 that have materially affected, or are reasonably likely to materially affect,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information required to be furnished pursuant to this item with respect to Directors of the Company, compliance with Section 16(a) of the Exchange Act, the Company’s code of ethics and certain corporate governance matters is incorporated herein by reference from the Company’s definitive proxy statement to be filed no later than 120 days after April 30, 2020, for the annual meeting of stockholders to be held on or about October 7, 2020 (the “2020 Proxy Statement”). See “Election of Directors,” “Delinquent Section 16(a) Reports,” “Corporate Governance Matters – Code of Ethics,” and “Certain Information as to Committees and Meetings of the Board” from the Company’s 2020 Proxy Statement. The information required to be furnished pursuant to this item with respect to Executive Officers is set forth, pursuant to General Instruction G(3) of Form 10-K, under Part I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set forth below, this item is incorporated herein by reference from the Company’s 2020 Proxy Statement under “Election of Directors” and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2020 Proxy Statement under “Executive Compensation” and “Stock Ownership of Certain Beneficial Owners and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29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Approved by Security Holders (1)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for</w:t>
            </w:r>
          </w:p>
        </w:tc>
      </w:tr>
      <w:tr>
        <w:trPr>
          <w:trHeight w:val="216"/>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equity compensation</w:t>
            </w:r>
          </w:p>
        </w:tc>
      </w:tr>
      <w:tr>
        <w:trPr>
          <w:trHeight w:val="216"/>
        </w:trPr>
        <w:tc>
          <w:tcPr>
            <w:tcW w:w="2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Number of securities to</w:t>
            </w: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Weighted-average</w:t>
            </w: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be issued upon exercise</w:t>
            </w: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2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of outstanding options,</w:t>
            </w: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reflected in column</w:t>
            </w:r>
          </w:p>
        </w:tc>
      </w:tr>
      <w:tr>
        <w:trPr>
          <w:trHeight w:val="234"/>
        </w:trPr>
        <w:tc>
          <w:tcPr>
            <w:tcW w:w="2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warrants and rights</w:t>
            </w:r>
          </w:p>
        </w:tc>
        <w:tc>
          <w:tcPr>
            <w:tcW w:w="1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warrants and rights</w:t>
            </w: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(a))</w:t>
            </w:r>
          </w:p>
        </w:tc>
      </w:tr>
      <w:tr>
        <w:trPr>
          <w:trHeight w:val="228"/>
        </w:trPr>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r>
      <w:tr>
        <w:trPr>
          <w:trHeight w:val="414"/>
        </w:trPr>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1,072,500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8.90</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417,004</w:t>
            </w: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-162560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720"/>
            <w:col w:w="5940"/>
          </w:cols>
          <w:pgMar w:left="320" w:top="125" w:right="339" w:bottom="1440" w:gutter="0" w:footer="0" w:header="0"/>
          <w:type w:val="continuous"/>
        </w:sectPr>
      </w:pPr>
    </w:p>
    <w:p>
      <w:pPr>
        <w:spacing w:after="0" w:line="2" w:lineRule="exact"/>
        <w:rPr>
          <w:sz w:val="20"/>
          <w:szCs w:val="20"/>
          <w:color w:val="auto"/>
        </w:rPr>
      </w:pPr>
    </w:p>
    <w:p>
      <w:pPr>
        <w:ind w:right="2960" w:firstLine="8"/>
        <w:spacing w:after="0" w:line="500" w:lineRule="auto"/>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Company’s equity compensation plans are described in Note 12 to the Consolidated Financial Statements. </w:t>
      </w:r>
      <w:r>
        <w:rPr>
          <w:rFonts w:ascii="Arial" w:cs="Arial" w:eastAsia="Arial" w:hAnsi="Arial"/>
          <w:sz w:val="18"/>
          <w:szCs w:val="18"/>
          <w:u w:val="single" w:color="auto"/>
          <w:color w:val="auto"/>
        </w:rPr>
        <w:t>Item 13. Certain Relationships and Related Transactions, and Director Independence</w:t>
      </w:r>
    </w:p>
    <w:p>
      <w:pPr>
        <w:spacing w:after="0" w:line="1" w:lineRule="exact"/>
        <w:rPr>
          <w:rFonts w:ascii="Arial" w:cs="Arial" w:eastAsia="Arial" w:hAnsi="Arial"/>
          <w:sz w:val="18"/>
          <w:szCs w:val="18"/>
          <w:color w:val="auto"/>
        </w:rPr>
      </w:pPr>
    </w:p>
    <w:p>
      <w:pPr>
        <w:ind w:right="1960" w:firstLine="648"/>
        <w:spacing w:after="0" w:line="500" w:lineRule="auto"/>
        <w:rPr>
          <w:rFonts w:ascii="Arial" w:cs="Arial" w:eastAsia="Arial" w:hAnsi="Arial"/>
          <w:sz w:val="18"/>
          <w:szCs w:val="18"/>
          <w:color w:val="auto"/>
        </w:rPr>
      </w:pPr>
      <w:r>
        <w:rPr>
          <w:rFonts w:ascii="Arial" w:cs="Arial" w:eastAsia="Arial" w:hAnsi="Arial"/>
          <w:sz w:val="18"/>
          <w:szCs w:val="18"/>
          <w:color w:val="auto"/>
        </w:rPr>
        <w:t xml:space="preserve">This item is incorporated herein by reference from the Company’s 2020 Proxy Statement under “Election of Directors.” </w:t>
      </w:r>
      <w:r>
        <w:rPr>
          <w:rFonts w:ascii="Arial" w:cs="Arial" w:eastAsia="Arial" w:hAnsi="Arial"/>
          <w:sz w:val="18"/>
          <w:szCs w:val="18"/>
          <w:u w:val="single" w:color="auto"/>
          <w:color w:val="auto"/>
        </w:rPr>
        <w:t>Item 14. Principal Accountant Fees and Services</w:t>
      </w:r>
    </w:p>
    <w:p>
      <w:pPr>
        <w:spacing w:after="0" w:line="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2020 Proxy Statement under “Appointment of Independent Auditors” and “Report of the Audit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25"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exhibits are listed below and are filed as part of this report.</w:t>
      </w:r>
    </w:p>
    <w:p>
      <w:pPr>
        <w:spacing w:after="0" w:line="225" w:lineRule="exact"/>
        <w:rPr>
          <w:sz w:val="20"/>
          <w:szCs w:val="20"/>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Included in Part II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3"/>
            <w:vMerge w:val="restart"/>
          </w:tcPr>
          <w:p>
            <w:pPr>
              <w:ind w:left="660"/>
              <w:spacing w:after="0"/>
              <w:rPr>
                <w:sz w:val="20"/>
                <w:szCs w:val="20"/>
                <w:color w:val="auto"/>
              </w:rPr>
            </w:pPr>
            <w:r>
              <w:rPr>
                <w:rFonts w:ascii="Arial" w:cs="Arial" w:eastAsia="Arial" w:hAnsi="Arial"/>
                <w:sz w:val="18"/>
                <w:szCs w:val="18"/>
                <w:color w:val="auto"/>
              </w:rPr>
              <w:t>Report of Independent Registered Public Accounting Firm</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224"/>
        </w:trPr>
        <w:tc>
          <w:tcPr>
            <w:tcW w:w="934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403"/>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Consolidated Balance Sheets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 April 30, 2020 and 2019</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8"/>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Consolidated Statements of Operations and Comprehensive Loss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 years ended April 30, 2020 and 2019</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Consolidated Statements of Cash Flows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 years ended April 30, 2020 and 2019</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418"/>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Consolidated Statements of Changes in Stockholders’ Equity</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 years ended April 30, 2020 and 2019</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432"/>
        </w:trPr>
        <w:tc>
          <w:tcPr>
            <w:tcW w:w="9340" w:type="dxa"/>
            <w:vAlign w:val="bottom"/>
            <w:gridSpan w:val="3"/>
          </w:tcPr>
          <w:p>
            <w:pPr>
              <w:ind w:left="660"/>
              <w:spacing w:after="0"/>
              <w:rPr>
                <w:sz w:val="20"/>
                <w:szCs w:val="20"/>
                <w:color w:val="auto"/>
              </w:rPr>
            </w:pPr>
            <w:r>
              <w:rPr>
                <w:rFonts w:ascii="Arial" w:cs="Arial" w:eastAsia="Arial" w:hAnsi="Arial"/>
                <w:sz w:val="18"/>
                <w:szCs w:val="18"/>
                <w:color w:val="auto"/>
              </w:rPr>
              <w:t>(2) EXHIBITS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2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220" w:type="dxa"/>
            <w:vAlign w:val="bottom"/>
          </w:tcPr>
          <w:p>
            <w:pPr>
              <w:spacing w:after="0"/>
              <w:rPr>
                <w:sz w:val="20"/>
                <w:szCs w:val="20"/>
                <w:color w:val="auto"/>
              </w:rPr>
            </w:pPr>
          </w:p>
        </w:tc>
        <w:tc>
          <w:tcPr>
            <w:tcW w:w="7760" w:type="dxa"/>
            <w:vAlign w:val="bottom"/>
            <w:tcBorders>
              <w:bottom w:val="single" w:sz="8" w:color="auto"/>
            </w:tcBorders>
          </w:tcPr>
          <w:p>
            <w:pPr>
              <w:ind w:left="3040"/>
              <w:spacing w:after="0"/>
              <w:rPr>
                <w:sz w:val="20"/>
                <w:szCs w:val="20"/>
                <w:color w:val="auto"/>
              </w:rPr>
            </w:pPr>
            <w:r>
              <w:rPr>
                <w:rFonts w:ascii="Arial" w:cs="Arial" w:eastAsia="Arial" w:hAnsi="Arial"/>
                <w:sz w:val="18"/>
                <w:szCs w:val="18"/>
                <w:b w:val="1"/>
                <w:bCs w:val="1"/>
                <w:color w:val="auto"/>
              </w:rPr>
              <w:t>Description of Exhibit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NOTE</w:t>
            </w:r>
          </w:p>
        </w:tc>
        <w:tc>
          <w:tcPr>
            <w:tcW w:w="0" w:type="dxa"/>
            <w:vAlign w:val="bottom"/>
          </w:tcPr>
          <w:p>
            <w:pPr>
              <w:spacing w:after="0"/>
              <w:rPr>
                <w:sz w:val="1"/>
                <w:szCs w:val="1"/>
                <w:color w:val="auto"/>
              </w:rPr>
            </w:pPr>
          </w:p>
        </w:tc>
      </w:tr>
      <w:tr>
        <w:trPr>
          <w:trHeight w:val="385"/>
        </w:trPr>
        <w:tc>
          <w:tcPr>
            <w:tcW w:w="1360" w:type="dxa"/>
            <w:vAlign w:val="bottom"/>
          </w:tcPr>
          <w:p>
            <w:pPr>
              <w:ind w:left="5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7760" w:type="dxa"/>
            <w:vAlign w:val="bottom"/>
            <w:tcBorders>
              <w:bottom w:val="single" w:sz="8" w:color="0000EE"/>
            </w:tcBorders>
          </w:tcPr>
          <w:p>
            <w:pPr>
              <w:spacing w:after="0"/>
              <w:rPr>
                <w:rFonts w:ascii="Arial" w:cs="Arial" w:eastAsia="Arial" w:hAnsi="Arial"/>
                <w:sz w:val="18"/>
                <w:szCs w:val="18"/>
                <w:color w:val="0000EE"/>
              </w:rPr>
            </w:pPr>
            <w:hyperlink r:id="rId68">
              <w:r>
                <w:rPr>
                  <w:rFonts w:ascii="Arial" w:cs="Arial" w:eastAsia="Arial" w:hAnsi="Arial"/>
                  <w:sz w:val="18"/>
                  <w:szCs w:val="18"/>
                  <w:color w:val="0000EE"/>
                </w:rPr>
                <w:t>Stock Purchase Agreement, dated as of February 21, 2012, by and among the Registrant, Elcom</w:t>
              </w:r>
            </w:hyperlink>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spacing w:after="0"/>
              <w:rPr>
                <w:rFonts w:ascii="Arial" w:cs="Arial" w:eastAsia="Arial" w:hAnsi="Arial"/>
                <w:sz w:val="18"/>
                <w:szCs w:val="18"/>
                <w:u w:val="single" w:color="auto"/>
                <w:color w:val="0000EE"/>
                <w:w w:val="90"/>
              </w:rPr>
            </w:pPr>
            <w:hyperlink r:id="rId68">
              <w:r>
                <w:rPr>
                  <w:rFonts w:ascii="Arial" w:cs="Arial" w:eastAsia="Arial" w:hAnsi="Arial"/>
                  <w:sz w:val="18"/>
                  <w:szCs w:val="18"/>
                  <w:u w:val="single" w:color="auto"/>
                  <w:color w:val="0000EE"/>
                  <w:w w:val="90"/>
                </w:rPr>
                <w:t>Technologies Inc. and the stockholders of Elcom Technologies Inc. identified on the signature pages thereto</w:t>
              </w:r>
            </w:hyperlink>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tcPr>
          <w:p>
            <w:pPr>
              <w:ind w:left="5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Copy of Certificate of Incorporation of the Registrant filed with the Secretary of State of Delaware</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Amendment to Certificate of Incorporation of the Registrant filed with the Secretary of State of Delaware</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on March 27, 1981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Amendment to Certificate of Incorporation of the Registrant filed with Secretary of State of Delaware on</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October 26, 1984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Amendment to Certificate of Incorporation of the Registrant filed with the Secretary of State of Delaware</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on October 22, 1986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Amended and Restated Certificate of Incorporation of the Registrant filed with the Secretary of State of</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Delaware on October 26, 1987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Amended Certificate of Incorporation of the Company filed with the Secretary of State of Delaware on</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November 2, 1989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tcPr>
          <w:p>
            <w:pPr>
              <w:ind w:left="58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7760" w:type="dxa"/>
            <w:vAlign w:val="bottom"/>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Amended and Restated By-Laws of the Registrant, as amended</w:t>
              </w:r>
            </w:hyperlink>
          </w:p>
        </w:tc>
        <w:tc>
          <w:tcPr>
            <w:tcW w:w="190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432"/>
        </w:trPr>
        <w:tc>
          <w:tcPr>
            <w:tcW w:w="1360" w:type="dxa"/>
            <w:vAlign w:val="bottom"/>
          </w:tcPr>
          <w:p>
            <w:pPr>
              <w:ind w:left="5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Specimen of Common Stock certificate</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432"/>
        </w:trPr>
        <w:tc>
          <w:tcPr>
            <w:tcW w:w="1360" w:type="dxa"/>
            <w:vAlign w:val="bottom"/>
          </w:tcPr>
          <w:p>
            <w:pPr>
              <w:ind w:left="5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776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Capital Stock</w:t>
              </w:r>
            </w:hyperlink>
          </w:p>
        </w:tc>
        <w:tc>
          <w:tcPr>
            <w:tcW w:w="220" w:type="dxa"/>
            <w:vAlign w:val="bottom"/>
          </w:tcPr>
          <w:p>
            <w:pPr>
              <w:spacing w:after="0"/>
              <w:rPr>
                <w:sz w:val="24"/>
                <w:szCs w:val="24"/>
                <w:color w:val="auto"/>
              </w:rPr>
            </w:pP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rFonts w:ascii="Arial" w:cs="Arial" w:eastAsia="Arial" w:hAnsi="Arial"/>
                <w:sz w:val="18"/>
                <w:szCs w:val="18"/>
                <w:u w:val="single" w:color="auto"/>
                <w:color w:val="0000EE"/>
                <w:w w:val="94"/>
              </w:rPr>
            </w:pPr>
            <w:hyperlink w:anchor="page3">
              <w:r>
                <w:rPr>
                  <w:rFonts w:ascii="Arial" w:cs="Arial" w:eastAsia="Arial" w:hAnsi="Arial"/>
                  <w:sz w:val="18"/>
                  <w:szCs w:val="18"/>
                  <w:u w:val="single" w:color="auto"/>
                  <w:color w:val="0000EE"/>
                  <w:w w:val="94"/>
                </w:rPr>
                <w:t>Table of Contents</w:t>
              </w:r>
            </w:hyperlink>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4"/>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2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rPr>
              <w:t>Description of Exhibit</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NOTE</w:t>
            </w:r>
          </w:p>
        </w:tc>
      </w:tr>
      <w:tr>
        <w:trPr>
          <w:trHeight w:val="426"/>
        </w:trPr>
        <w:tc>
          <w:tcPr>
            <w:tcW w:w="13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Employment agreement, dated as of March 17, 2008, between Registrant and Martin Bloch</w:t>
              </w:r>
            </w:hyperlink>
          </w:p>
        </w:tc>
        <w:tc>
          <w:tcPr>
            <w:tcW w:w="19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w:t>
            </w:r>
          </w:p>
        </w:tc>
      </w:tr>
      <w:tr>
        <w:trPr>
          <w:trHeight w:val="39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7760" w:type="dxa"/>
            <w:vAlign w:val="bottom"/>
            <w:tcBorders>
              <w:bottom w:val="single" w:sz="8" w:color="0000EE"/>
            </w:tcBorders>
            <w:gridSpan w:val="4"/>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Settlement Agreement dated as of September 13, 2016, by and among Registrant, Privet Fund LP, Privet</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(14)</w:t>
            </w: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Fund Management LLC, Ryan J. Levenson and General Lance W. Lord</w:t>
              </w:r>
            </w:hyperlink>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53"/>
        </w:trPr>
        <w:tc>
          <w:tcPr>
            <w:tcW w:w="13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Frequency Electronics, Inc. 2005 Stock Plan</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(16)</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w w:val="94"/>
              </w:rPr>
            </w:pPr>
            <w:hyperlink r:id="rId74">
              <w:r>
                <w:rPr>
                  <w:rFonts w:ascii="Arial" w:cs="Arial" w:eastAsia="Arial" w:hAnsi="Arial"/>
                  <w:sz w:val="18"/>
                  <w:szCs w:val="18"/>
                  <w:u w:val="single" w:color="auto"/>
                  <w:color w:val="0000EE"/>
                  <w:w w:val="94"/>
                </w:rPr>
                <w:t>Lease Agreement between Registrant and Reckson Operating Partnership, L.P. dated January 6, 1998</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(15)</w:t>
            </w:r>
          </w:p>
        </w:tc>
      </w:tr>
      <w:tr>
        <w:trPr>
          <w:trHeight w:val="39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7760" w:type="dxa"/>
            <w:vAlign w:val="bottom"/>
            <w:tcBorders>
              <w:bottom w:val="single" w:sz="8" w:color="0000EE"/>
            </w:tcBorders>
            <w:gridSpan w:val="4"/>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First Amendment to Lease Amendment between Registrant and RA 55 CLB LLC (as successor-in-interest</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(17)</w:t>
            </w: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to Reckson Operating Partnership, L.P.) dated July 25, 2018</w:t>
              </w:r>
            </w:hyperlink>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38"/>
        </w:trPr>
        <w:tc>
          <w:tcPr>
            <w:tcW w:w="13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22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w w:val="95"/>
              </w:rPr>
              <w:t>Registrant’s Cash or Deferral Profit Sharing Plan and Trust under Internal Revenue Code Section 401,</w:t>
            </w:r>
          </w:p>
        </w:tc>
        <w:tc>
          <w:tcPr>
            <w:tcW w:w="19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(6)</w:t>
            </w: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dated April 1, 1985</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w w:val="96"/>
              </w:rPr>
              <w:t>Amendment dated Jan. 1, 1988 to Registrant’s Cash or Deferred Profit Sharing Plan and Trust under</w:t>
            </w:r>
          </w:p>
        </w:tc>
        <w:tc>
          <w:tcPr>
            <w:tcW w:w="19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(8)</w:t>
            </w: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Section 401 of Internal Revenue Code</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Form of Deferred Compensation Agreement</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(18)</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Form of Stock Appreciation Rights Agreement</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(19)</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Employment Agreement effective as of May 1, 2018, between Stanton Sloane and the Registrant</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(21)</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w w:val="96"/>
              </w:rPr>
            </w:pPr>
            <w:hyperlink w:anchor="page58">
              <w:r>
                <w:rPr>
                  <w:rFonts w:ascii="Arial" w:cs="Arial" w:eastAsia="Arial" w:hAnsi="Arial"/>
                  <w:sz w:val="18"/>
                  <w:szCs w:val="18"/>
                  <w:u w:val="single" w:color="auto"/>
                  <w:color w:val="0000EE"/>
                  <w:w w:val="96"/>
                </w:rPr>
                <w:t>Promissory Note, dated April 12, 2020, by and between Registrant and JPMorgan Chase Bank, N.A.</w:t>
              </w:r>
            </w:hyperlink>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16.1</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Letter from EisnerAmper LLP, dated July 29, 2019</w:t>
              </w:r>
            </w:hyperlink>
          </w:p>
        </w:tc>
        <w:tc>
          <w:tcPr>
            <w:tcW w:w="19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(22)</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List of Subsidiaries of Registrant</w:t>
              </w:r>
            </w:hyperlink>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Consent of BDO USA, LLP</w:t>
              </w:r>
            </w:hyperlink>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Consent of EisnerAmper LLP</w:t>
              </w:r>
            </w:hyperlink>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w w:val="95"/>
              </w:rPr>
            </w:pPr>
            <w:hyperlink w:anchor="page67">
              <w:r>
                <w:rPr>
                  <w:rFonts w:ascii="Arial" w:cs="Arial" w:eastAsia="Arial" w:hAnsi="Arial"/>
                  <w:sz w:val="18"/>
                  <w:szCs w:val="18"/>
                  <w:u w:val="single" w:color="auto"/>
                  <w:color w:val="0000EE"/>
                  <w:w w:val="95"/>
                </w:rPr>
                <w:t>Certification of the Chief Executive Officer pursuant to Section 302 of the Sarbanes-Oxley Act of 2002</w:t>
              </w:r>
            </w:hyperlink>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7760" w:type="dxa"/>
            <w:vAlign w:val="bottom"/>
            <w:gridSpan w:val="4"/>
          </w:tcPr>
          <w:p>
            <w:pPr>
              <w:spacing w:after="0"/>
              <w:rPr>
                <w:rFonts w:ascii="Arial" w:cs="Arial" w:eastAsia="Arial" w:hAnsi="Arial"/>
                <w:sz w:val="18"/>
                <w:szCs w:val="18"/>
                <w:u w:val="single" w:color="auto"/>
                <w:color w:val="0000EE"/>
                <w:w w:val="96"/>
              </w:rPr>
            </w:pPr>
            <w:hyperlink w:anchor="page68">
              <w:r>
                <w:rPr>
                  <w:rFonts w:ascii="Arial" w:cs="Arial" w:eastAsia="Arial" w:hAnsi="Arial"/>
                  <w:sz w:val="18"/>
                  <w:szCs w:val="18"/>
                  <w:u w:val="single" w:color="auto"/>
                  <w:color w:val="0000EE"/>
                  <w:w w:val="96"/>
                </w:rPr>
                <w:t>Certification of the Chief Financial Officer pursuant to Section 302 of the Sarbanes-Oxley Act of 2002</w:t>
              </w:r>
            </w:hyperlink>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391"/>
        </w:trPr>
        <w:tc>
          <w:tcPr>
            <w:tcW w:w="13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20" w:type="dxa"/>
            <w:vAlign w:val="bottom"/>
          </w:tcPr>
          <w:p>
            <w:pPr>
              <w:spacing w:after="0"/>
              <w:rPr>
                <w:sz w:val="24"/>
                <w:szCs w:val="24"/>
                <w:color w:val="auto"/>
              </w:rPr>
            </w:pPr>
          </w:p>
        </w:tc>
        <w:tc>
          <w:tcPr>
            <w:tcW w:w="77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Certifications of the Chief Executive Officer and Chief Financial Officer pursuant to Section 906 of the</w:t>
              </w:r>
            </w:hyperlink>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Sarbanes-Oxley Act of 2002</w:t>
              </w:r>
            </w:hyperlink>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580" w:right="1900" w:hanging="1032"/>
        <w:spacing w:after="0" w:line="257" w:lineRule="auto"/>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the Frequency Electronics, Inc. Annual Report on Form 10-K for the fiscal year ended April 30, 2020 formatted in eXtensible Business Reporting Language (XBRL): (i) Consolidated Balance Sheets, (ii) Consolidated Statements of Operations and Comprehensive Loss, (iii) Consolidated Statements of Cash Flows, (iv) Consolidated Statements of Changes in Stockholders’ Equity and (v) Notes to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Denoted compensatory plans or arrangements or management contracts</w:t>
      </w:r>
    </w:p>
    <w:p>
      <w:pPr>
        <w:spacing w:after="0" w:line="22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NOTES:</w:t>
      </w:r>
    </w:p>
    <w:p>
      <w:pPr>
        <w:spacing w:after="0" w:line="225" w:lineRule="exact"/>
        <w:rPr>
          <w:rFonts w:ascii="Arial" w:cs="Arial" w:eastAsia="Arial" w:hAnsi="Arial"/>
          <w:sz w:val="18"/>
          <w:szCs w:val="18"/>
          <w:color w:val="auto"/>
        </w:rPr>
      </w:pPr>
    </w:p>
    <w:p>
      <w:pPr>
        <w:ind w:left="1540" w:hanging="668"/>
        <w:spacing w:after="0" w:line="258"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1" w:lineRule="exact"/>
        <w:rPr>
          <w:rFonts w:ascii="Arial" w:cs="Arial" w:eastAsia="Arial" w:hAnsi="Arial"/>
          <w:sz w:val="18"/>
          <w:szCs w:val="18"/>
          <w:color w:val="auto"/>
        </w:rPr>
      </w:pP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3.2 to the registration statement of Registrant on Form S-1, File No. 2-71727, which exhibit is incorporated herein by reference.</w:t>
      </w:r>
    </w:p>
    <w:p>
      <w:pPr>
        <w:ind w:left="1540" w:hanging="668"/>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40" w:right="2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Registrant on Form 8-K, File No. 1-08061, on May 4, 2018,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3.3 to the annual report of Registrant on Form 10-K, File No. 1-8061, for the year ended April 30, 1985,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10.16 to the annual report of Registrant on Form 10-K, File No. 1-8061, for the year ended April 30, 1986,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3.4 to the annual report of Registrant on Form 10-K, File No. 1-8061, for the year ended April 30, 1987,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10.24 to the annual report of Registrant on Form 10-K, File No. 1-8061, for the year ended April 30, 1989,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ind w:left="1540" w:hanging="668"/>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2.1 to the current report of Registrant on Form 8-K, File No. 1-8061, on February 27, 2012, which exhibit is incorporated herein by reference.</w:t>
      </w:r>
    </w:p>
    <w:p>
      <w:pPr>
        <w:ind w:left="1540" w:hanging="668"/>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3.1 to a current report of the Registrant on Form 8-K, File No. 1-8061, on June 25, 2020,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September 16, 2016,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year ended April 30, 1998,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October 4, 2005,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year ended April 30, 2018,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10.17 to Amendment No. 1 on Form 10-K/A to the annual report of Registrant on Form 10-K, File No. 1-8061, for the year ended April 30, 2018, which exhibit is incorporated herein by reference.</w:t>
      </w:r>
    </w:p>
    <w:p>
      <w:pPr>
        <w:ind w:left="154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10.18 to Amendment No. 1 on Form 10-K/A to the annual report of Registrant on Form 10-K, File No. 1-8061, for the year ended April 30, 2018, which exhibit is incorporated herein by reference.</w:t>
      </w:r>
    </w:p>
    <w:p>
      <w:pPr>
        <w:ind w:left="1540" w:hanging="668"/>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40" w:right="20" w:hanging="668"/>
        <w:spacing w:after="0" w:line="25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10.11 to the annual report of the Registrant on Form 10-K, File No. 1-8061, for the year ended April 30, 2019, which exhibit is incorporated herein by reference.</w:t>
      </w:r>
    </w:p>
    <w:p>
      <w:pPr>
        <w:ind w:left="1540" w:hanging="668"/>
        <w:spacing w:after="0" w:line="260"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SEC as Exhibit 16.1 to a current report of the Registrant on Form 8-K, File No. 1-8061, on July 30, 2019, which exhibit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FREQUENCY ELECTRONICS,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Stanton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Stanton Sloane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Steven L. Bernstein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54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Title</w:t>
            </w:r>
          </w:p>
        </w:tc>
        <w:tc>
          <w:tcPr>
            <w:tcW w:w="320" w:type="dxa"/>
            <w:vAlign w:val="bottom"/>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Date</w:t>
            </w:r>
          </w:p>
        </w:tc>
      </w:tr>
      <w:tr>
        <w:trPr>
          <w:trHeight w:val="425"/>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Joel Girsky</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jc w:val="right"/>
              <w:ind w:right="1150"/>
              <w:spacing w:after="0"/>
              <w:rPr>
                <w:sz w:val="20"/>
                <w:szCs w:val="20"/>
                <w:color w:val="auto"/>
              </w:rPr>
            </w:pPr>
            <w:r>
              <w:rPr>
                <w:rFonts w:ascii="Arial" w:cs="Arial" w:eastAsia="Arial" w:hAnsi="Arial"/>
                <w:sz w:val="18"/>
                <w:szCs w:val="18"/>
                <w:color w:val="auto"/>
              </w:rPr>
              <w:t>7/29/20</w:t>
            </w:r>
          </w:p>
        </w:tc>
      </w:tr>
      <w:tr>
        <w:trPr>
          <w:trHeight w:val="224"/>
        </w:trPr>
        <w:tc>
          <w:tcPr>
            <w:tcW w:w="3380" w:type="dxa"/>
            <w:vAlign w:val="bottom"/>
          </w:tcPr>
          <w:p>
            <w:pPr>
              <w:ind w:left="660"/>
              <w:spacing w:after="0"/>
              <w:rPr>
                <w:sz w:val="20"/>
                <w:szCs w:val="20"/>
                <w:color w:val="auto"/>
              </w:rPr>
            </w:pPr>
            <w:r>
              <w:rPr>
                <w:rFonts w:ascii="Arial" w:cs="Arial" w:eastAsia="Arial" w:hAnsi="Arial"/>
                <w:sz w:val="18"/>
                <w:szCs w:val="18"/>
                <w:color w:val="auto"/>
              </w:rPr>
              <w:t>Joel Girsky</w:t>
            </w: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Jonathan Brolin</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Lead Independent Director</w:t>
            </w:r>
          </w:p>
        </w:tc>
        <w:tc>
          <w:tcPr>
            <w:tcW w:w="2120" w:type="dxa"/>
            <w:vAlign w:val="bottom"/>
            <w:gridSpan w:val="2"/>
          </w:tcPr>
          <w:p>
            <w:pPr>
              <w:jc w:val="right"/>
              <w:ind w:right="1150"/>
              <w:spacing w:after="0"/>
              <w:rPr>
                <w:sz w:val="20"/>
                <w:szCs w:val="20"/>
                <w:color w:val="auto"/>
              </w:rPr>
            </w:pPr>
            <w:r>
              <w:rPr>
                <w:rFonts w:ascii="Arial" w:cs="Arial" w:eastAsia="Arial" w:hAnsi="Arial"/>
                <w:sz w:val="18"/>
                <w:szCs w:val="18"/>
                <w:color w:val="auto"/>
              </w:rPr>
              <w:t>7/29/20</w:t>
            </w:r>
          </w:p>
        </w:tc>
      </w:tr>
      <w:tr>
        <w:trPr>
          <w:trHeight w:val="224"/>
        </w:trPr>
        <w:tc>
          <w:tcPr>
            <w:tcW w:w="3380" w:type="dxa"/>
            <w:vAlign w:val="bottom"/>
          </w:tcPr>
          <w:p>
            <w:pPr>
              <w:ind w:left="660"/>
              <w:spacing w:after="0"/>
              <w:rPr>
                <w:sz w:val="20"/>
                <w:szCs w:val="20"/>
                <w:color w:val="auto"/>
              </w:rPr>
            </w:pPr>
            <w:r>
              <w:rPr>
                <w:rFonts w:ascii="Arial" w:cs="Arial" w:eastAsia="Arial" w:hAnsi="Arial"/>
                <w:sz w:val="18"/>
                <w:szCs w:val="18"/>
                <w:color w:val="auto"/>
              </w:rPr>
              <w:t>Jonathan Brolin</w:t>
            </w: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Schwartz</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jc w:val="right"/>
              <w:ind w:right="1150"/>
              <w:spacing w:after="0"/>
              <w:rPr>
                <w:sz w:val="20"/>
                <w:szCs w:val="20"/>
                <w:color w:val="auto"/>
              </w:rPr>
            </w:pPr>
            <w:r>
              <w:rPr>
                <w:rFonts w:ascii="Arial" w:cs="Arial" w:eastAsia="Arial" w:hAnsi="Arial"/>
                <w:sz w:val="18"/>
                <w:szCs w:val="18"/>
                <w:color w:val="auto"/>
              </w:rPr>
              <w:t>7/29/20</w:t>
            </w:r>
          </w:p>
        </w:tc>
      </w:tr>
      <w:tr>
        <w:trPr>
          <w:trHeight w:val="224"/>
        </w:trPr>
        <w:tc>
          <w:tcPr>
            <w:tcW w:w="3380" w:type="dxa"/>
            <w:vAlign w:val="bottom"/>
          </w:tcPr>
          <w:p>
            <w:pPr>
              <w:ind w:left="660"/>
              <w:spacing w:after="0"/>
              <w:rPr>
                <w:sz w:val="20"/>
                <w:szCs w:val="20"/>
                <w:color w:val="auto"/>
              </w:rPr>
            </w:pPr>
            <w:r>
              <w:rPr>
                <w:rFonts w:ascii="Arial" w:cs="Arial" w:eastAsia="Arial" w:hAnsi="Arial"/>
                <w:sz w:val="18"/>
                <w:szCs w:val="18"/>
                <w:color w:val="auto"/>
              </w:rPr>
              <w:t>Richard Schwartz</w:t>
            </w: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Stanton D. Sloane</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Director, President and CEO</w:t>
            </w:r>
          </w:p>
        </w:tc>
        <w:tc>
          <w:tcPr>
            <w:tcW w:w="2120" w:type="dxa"/>
            <w:vAlign w:val="bottom"/>
            <w:gridSpan w:val="2"/>
          </w:tcPr>
          <w:p>
            <w:pPr>
              <w:jc w:val="right"/>
              <w:ind w:right="1150"/>
              <w:spacing w:after="0"/>
              <w:rPr>
                <w:sz w:val="20"/>
                <w:szCs w:val="20"/>
                <w:color w:val="auto"/>
              </w:rPr>
            </w:pPr>
            <w:r>
              <w:rPr>
                <w:rFonts w:ascii="Arial" w:cs="Arial" w:eastAsia="Arial" w:hAnsi="Arial"/>
                <w:sz w:val="18"/>
                <w:szCs w:val="18"/>
                <w:color w:val="auto"/>
              </w:rPr>
              <w:t>7/29/20</w:t>
            </w:r>
          </w:p>
        </w:tc>
      </w:tr>
      <w:tr>
        <w:trPr>
          <w:trHeight w:val="224"/>
        </w:trPr>
        <w:tc>
          <w:tcPr>
            <w:tcW w:w="3380" w:type="dxa"/>
            <w:vAlign w:val="bottom"/>
          </w:tcPr>
          <w:p>
            <w:pPr>
              <w:ind w:left="660"/>
              <w:spacing w:after="0"/>
              <w:rPr>
                <w:sz w:val="20"/>
                <w:szCs w:val="20"/>
                <w:color w:val="auto"/>
              </w:rPr>
            </w:pPr>
            <w:r>
              <w:rPr>
                <w:rFonts w:ascii="Arial" w:cs="Arial" w:eastAsia="Arial" w:hAnsi="Arial"/>
                <w:sz w:val="18"/>
                <w:szCs w:val="18"/>
                <w:color w:val="auto"/>
              </w:rPr>
              <w:t>Stanton D. Sloane</w:t>
            </w: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Russell M. Sarachek</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Chairman of the Board</w:t>
            </w:r>
          </w:p>
        </w:tc>
        <w:tc>
          <w:tcPr>
            <w:tcW w:w="2120" w:type="dxa"/>
            <w:vAlign w:val="bottom"/>
            <w:gridSpan w:val="2"/>
          </w:tcPr>
          <w:p>
            <w:pPr>
              <w:jc w:val="right"/>
              <w:ind w:right="1150"/>
              <w:spacing w:after="0"/>
              <w:rPr>
                <w:sz w:val="20"/>
                <w:szCs w:val="20"/>
                <w:color w:val="auto"/>
              </w:rPr>
            </w:pPr>
            <w:r>
              <w:rPr>
                <w:rFonts w:ascii="Arial" w:cs="Arial" w:eastAsia="Arial" w:hAnsi="Arial"/>
                <w:sz w:val="18"/>
                <w:szCs w:val="18"/>
                <w:color w:val="auto"/>
              </w:rPr>
              <w:t>7/29/20</w:t>
            </w:r>
          </w:p>
        </w:tc>
      </w:tr>
      <w:tr>
        <w:trPr>
          <w:trHeight w:val="224"/>
        </w:trPr>
        <w:tc>
          <w:tcPr>
            <w:tcW w:w="3380" w:type="dxa"/>
            <w:vAlign w:val="bottom"/>
          </w:tcPr>
          <w:p>
            <w:pPr>
              <w:ind w:left="660"/>
              <w:spacing w:after="0"/>
              <w:rPr>
                <w:sz w:val="20"/>
                <w:szCs w:val="20"/>
                <w:color w:val="auto"/>
              </w:rPr>
            </w:pPr>
            <w:r>
              <w:rPr>
                <w:rFonts w:ascii="Arial" w:cs="Arial" w:eastAsia="Arial" w:hAnsi="Arial"/>
                <w:sz w:val="18"/>
                <w:szCs w:val="18"/>
                <w:color w:val="auto"/>
              </w:rPr>
              <w:t>Russell M. Sarachek</w:t>
            </w: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General Lance W. Lord</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jc w:val="right"/>
              <w:ind w:right="1150"/>
              <w:spacing w:after="0"/>
              <w:rPr>
                <w:sz w:val="20"/>
                <w:szCs w:val="20"/>
                <w:color w:val="auto"/>
              </w:rPr>
            </w:pPr>
            <w:r>
              <w:rPr>
                <w:rFonts w:ascii="Arial" w:cs="Arial" w:eastAsia="Arial" w:hAnsi="Arial"/>
                <w:sz w:val="18"/>
                <w:szCs w:val="18"/>
                <w:color w:val="auto"/>
              </w:rPr>
              <w:t>7/29/20</w:t>
            </w:r>
          </w:p>
        </w:tc>
      </w:tr>
      <w:tr>
        <w:trPr>
          <w:trHeight w:val="224"/>
        </w:trPr>
        <w:tc>
          <w:tcPr>
            <w:tcW w:w="3380" w:type="dxa"/>
            <w:vAlign w:val="bottom"/>
          </w:tcPr>
          <w:p>
            <w:pPr>
              <w:ind w:left="660"/>
              <w:spacing w:after="0"/>
              <w:rPr>
                <w:sz w:val="20"/>
                <w:szCs w:val="20"/>
                <w:color w:val="auto"/>
              </w:rPr>
            </w:pPr>
            <w:r>
              <w:rPr>
                <w:rFonts w:ascii="Arial" w:cs="Arial" w:eastAsia="Arial" w:hAnsi="Arial"/>
                <w:sz w:val="18"/>
                <w:szCs w:val="18"/>
                <w:color w:val="auto"/>
              </w:rPr>
              <w:t>General Lance W. Lord</w:t>
            </w: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850"/>
        </w:trPr>
        <w:tc>
          <w:tcPr>
            <w:tcW w:w="3380" w:type="dxa"/>
            <w:vAlign w:val="bottom"/>
          </w:tcPr>
          <w:p>
            <w:pPr>
              <w:spacing w:after="0"/>
              <w:rPr>
                <w:sz w:val="24"/>
                <w:szCs w:val="24"/>
                <w:color w:val="auto"/>
              </w:rPr>
            </w:pPr>
          </w:p>
        </w:tc>
        <w:tc>
          <w:tcPr>
            <w:tcW w:w="5740" w:type="dxa"/>
            <w:vAlign w:val="bottom"/>
            <w:gridSpan w:val="2"/>
          </w:tcPr>
          <w:p>
            <w:pPr>
              <w:jc w:val="right"/>
              <w:ind w:right="331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The following is a description of the material terms of the capital stock of Frequency Electronics, Inc. (the “Company”). This description is not complete and is qualified by reference to the Company’s amended and restated certificate of incorporation (the “Certificate of Incorporation”) and its amended and restated bylaws (the “Bylaws”). The Certificate of Incorporation and the Bylaws are filed as exhibits to the Company’s Annual Report on Form 10-K and incorporated by reference herein. Additionally, the following description of certain provisions of Delaware law is not complete and is qualified by reference to the Delaware General Corporation Law (“DGCL”).</w:t>
      </w:r>
    </w:p>
    <w:p>
      <w:pPr>
        <w:spacing w:after="0" w:line="17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Under the Certificate of Incorporation, the Company’s authorized capital stock consists of 12,000,000 shares of common stock, $1.00 par value per share (“Common Stock”), and (b) 600,000 shares of preferred stock, $1.00 par value per share (“Preferred Stock,” and collectively with Common Stock,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outstanding shares of Common Stock are duly authorized, validly issued, fully-paid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Each holder of Common Stock is entitled to one vote for each share of Common Stock held on all matters submitted to a vote of stockholders, except as otherwise expressly provided in the Certificate of Incorporation or required by applicable law. The Certificate of Incorporation does not provide for cumulative voting for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Holders of Common Stock are entitled to receive dividends as may be declared from time to time by the Company’s board of directors (the “Board”) out of funds legally available therefor and in the sole discretion of the Board, except as otherwise provided by law or the Certificate of Incorporation.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Delaware law, in the event of the liquidation, dissolution, or winding-up of the Company, the remaining assets legally available for distribution to stockholders shall be distributed ratably among the holders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Holders of Common Stock have no preemptive rights and no right to convert their Common Stock into any other securities. The Common Stock is not subject to any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Board may issue shares of Preferred Stock from time to time in series or otherwise without further stockholder action. The Board has the authority to make designations regarding any Preferred Stock it issues, including preferences, voting powers and relative, participating, optional or other special rights and qualifications, limitations or restrictions of such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Certain provisions of the Certificate of Incorporation and the Bylaws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Certificate of Incorporation and the Bylaws contain provisions that could have the effect of delaying or preventing changes in control or changes in the Company’s management without the consent of the Board, including, among other things:</w:t>
      </w:r>
    </w:p>
    <w:p>
      <w:pPr>
        <w:spacing w:after="0" w:line="170" w:lineRule="exact"/>
        <w:rPr>
          <w:sz w:val="20"/>
          <w:szCs w:val="20"/>
          <w:color w:val="auto"/>
        </w:rPr>
      </w:pPr>
    </w:p>
    <w:p>
      <w:pPr>
        <w:ind w:left="1500" w:hanging="426"/>
        <w:spacing w:after="0"/>
        <w:tabs>
          <w:tab w:leader="none" w:pos="1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236" w:lineRule="exact"/>
        <w:rPr>
          <w:rFonts w:ascii="Arial" w:cs="Arial" w:eastAsia="Arial" w:hAnsi="Arial"/>
          <w:sz w:val="17"/>
          <w:szCs w:val="17"/>
          <w:color w:val="auto"/>
        </w:rPr>
      </w:pPr>
    </w:p>
    <w:p>
      <w:pPr>
        <w:ind w:left="1500" w:right="40" w:hanging="426"/>
        <w:spacing w:after="0" w:line="277"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of the Board to elect a director to fill a vacancy in the Board, which prevents stockholders from being able to fill vacancies on the Board;</w:t>
      </w:r>
    </w:p>
    <w:p>
      <w:pPr>
        <w:spacing w:after="0" w:line="170" w:lineRule="exact"/>
        <w:rPr>
          <w:rFonts w:ascii="Arial" w:cs="Arial" w:eastAsia="Arial" w:hAnsi="Arial"/>
          <w:sz w:val="18"/>
          <w:szCs w:val="18"/>
          <w:color w:val="auto"/>
        </w:rPr>
      </w:pPr>
    </w:p>
    <w:p>
      <w:pPr>
        <w:ind w:left="1500" w:right="20" w:hanging="426"/>
        <w:spacing w:after="0" w:line="277"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the Board, the Company’s president or the Board;</w:t>
      </w:r>
    </w:p>
    <w:p>
      <w:pPr>
        <w:spacing w:after="0" w:line="170" w:lineRule="exact"/>
        <w:rPr>
          <w:rFonts w:ascii="Arial" w:cs="Arial" w:eastAsia="Arial" w:hAnsi="Arial"/>
          <w:sz w:val="18"/>
          <w:szCs w:val="18"/>
          <w:color w:val="auto"/>
        </w:rPr>
      </w:pPr>
    </w:p>
    <w:p>
      <w:pPr>
        <w:ind w:left="1500" w:right="380" w:hanging="426"/>
        <w:spacing w:after="0" w:line="308" w:lineRule="auto"/>
        <w:tabs>
          <w:tab w:leader="none" w:pos="1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the Board, by majority vote, to amend the Bylaws, which may allow the Board to take additional actions to prevent a hostile acquisition and inhibit the ability of an acquirer to amend the Bylaws to facilitate a hostile acquisition;</w:t>
      </w:r>
    </w:p>
    <w:p>
      <w:pPr>
        <w:spacing w:after="0" w:line="146" w:lineRule="exact"/>
        <w:rPr>
          <w:rFonts w:ascii="Arial" w:cs="Arial" w:eastAsia="Arial" w:hAnsi="Arial"/>
          <w:sz w:val="17"/>
          <w:szCs w:val="17"/>
          <w:color w:val="auto"/>
        </w:rPr>
      </w:pPr>
    </w:p>
    <w:p>
      <w:pPr>
        <w:ind w:left="1500" w:right="20" w:hanging="426"/>
        <w:spacing w:after="0" w:line="286" w:lineRule="auto"/>
        <w:tabs>
          <w:tab w:leader="none" w:pos="1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the Board or to propose matters to be acted upon at a stockholders’ meeting, which may preclude stockholders from bringing matters before a meeting of stockholders or from making nominations for directors at a meeting of stockholders if the proper procedures are not followed; and</w:t>
      </w:r>
    </w:p>
    <w:p>
      <w:pPr>
        <w:spacing w:after="0" w:line="165" w:lineRule="exact"/>
        <w:rPr>
          <w:rFonts w:ascii="Arial" w:cs="Arial" w:eastAsia="Arial" w:hAnsi="Arial"/>
          <w:sz w:val="17"/>
          <w:szCs w:val="17"/>
          <w:color w:val="auto"/>
        </w:rPr>
      </w:pPr>
    </w:p>
    <w:p>
      <w:pPr>
        <w:ind w:left="1500" w:hanging="426"/>
        <w:spacing w:after="0" w:line="257"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business combination with any party that beneficially owns 5% or more of the Capital Stock then entitled to vote on the election of directors be approved by the affirmative vote of (i) not less than 75% of the outstanding shares of Capital Stock entitled to vote on the election of directors and (ii) not less than a majority of all outstanding shares of Capital Stock, in each case, excluding all Capital Stock owned by the acquiring party and subject to certain exceptions and qualifications provided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Company is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1480" w:right="180" w:hanging="433"/>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1480" w:right="120" w:hanging="433"/>
        <w:spacing w:after="0" w:line="296" w:lineRule="auto"/>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the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61" w:lineRule="exact"/>
        <w:rPr>
          <w:rFonts w:ascii="Arial" w:cs="Arial" w:eastAsia="Arial" w:hAnsi="Arial"/>
          <w:sz w:val="16"/>
          <w:szCs w:val="16"/>
          <w:color w:val="auto"/>
        </w:rPr>
      </w:pPr>
    </w:p>
    <w:p>
      <w:pPr>
        <w:ind w:left="1480" w:right="100" w:hanging="433"/>
        <w:spacing w:after="0" w:line="263"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1480" w:hanging="433"/>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480" w:hanging="433"/>
        <w:spacing w:after="0"/>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48" w:lineRule="exact"/>
        <w:rPr>
          <w:rFonts w:ascii="Arial" w:cs="Arial" w:eastAsia="Arial" w:hAnsi="Arial"/>
          <w:sz w:val="16"/>
          <w:szCs w:val="16"/>
          <w:color w:val="auto"/>
        </w:rPr>
      </w:pPr>
    </w:p>
    <w:p>
      <w:pPr>
        <w:ind w:left="1480" w:hanging="433"/>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1480" w:right="180" w:hanging="433"/>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1480" w:right="440" w:hanging="433"/>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right="140" w:firstLine="693"/>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 LLC “(AST)”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Stock is listed on the NASDAQ Global Market under the symbol “FEIM.”</w:t>
      </w:r>
    </w:p>
    <w:p>
      <w:pPr>
        <w:sectPr>
          <w:pgSz w:w="11900" w:h="16838" w:orient="portrait"/>
          <w:cols w:equalWidth="0" w:num="1">
            <w:col w:w="11240"/>
          </w:cols>
          <w:pgMar w:left="320" w:top="58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428625</wp:posOffset>
            </wp:positionV>
            <wp:extent cx="108013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801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Date</w:t>
            </w:r>
          </w:p>
        </w:tc>
        <w:tc>
          <w:tcPr>
            <w:tcW w:w="88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April 12, 2020</w:t>
            </w:r>
          </w:p>
        </w:tc>
      </w:tr>
      <w:tr>
        <w:trPr>
          <w:trHeight w:val="223"/>
        </w:trPr>
        <w:tc>
          <w:tcPr>
            <w:tcW w:w="2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Note Amount</w:t>
            </w:r>
          </w:p>
        </w:tc>
        <w:tc>
          <w:tcPr>
            <w:tcW w:w="8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$ 4,964,810.86</w:t>
            </w:r>
          </w:p>
        </w:tc>
      </w:tr>
      <w:tr>
        <w:trPr>
          <w:trHeight w:val="223"/>
        </w:trPr>
        <w:tc>
          <w:tcPr>
            <w:tcW w:w="2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Borrower</w:t>
            </w:r>
          </w:p>
        </w:tc>
        <w:tc>
          <w:tcPr>
            <w:tcW w:w="8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Frequency Electronics, Inc.</w:t>
            </w:r>
          </w:p>
        </w:tc>
      </w:tr>
      <w:tr>
        <w:trPr>
          <w:trHeight w:val="209"/>
        </w:trPr>
        <w:tc>
          <w:tcPr>
            <w:tcW w:w="2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Lender</w:t>
            </w:r>
          </w:p>
        </w:tc>
        <w:tc>
          <w:tcPr>
            <w:tcW w:w="8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JPMorgan Chase Bank, N.A.</w:t>
            </w:r>
          </w:p>
        </w:tc>
      </w:tr>
    </w:tbl>
    <w:p>
      <w:pPr>
        <w:spacing w:after="0" w:line="200" w:lineRule="exact"/>
        <w:rPr>
          <w:sz w:val="20"/>
          <w:szCs w:val="20"/>
          <w:color w:val="auto"/>
        </w:rPr>
      </w:pPr>
    </w:p>
    <w:p>
      <w:pPr>
        <w:spacing w:after="0" w:line="359" w:lineRule="exact"/>
        <w:rPr>
          <w:sz w:val="20"/>
          <w:szCs w:val="20"/>
          <w:color w:val="auto"/>
        </w:rPr>
      </w:pPr>
    </w:p>
    <w:p>
      <w:pPr>
        <w:ind w:left="1080" w:hanging="316"/>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PROMISE TO PAY.</w:t>
      </w:r>
    </w:p>
    <w:p>
      <w:pPr>
        <w:spacing w:after="0" w:line="256" w:lineRule="exact"/>
        <w:rPr>
          <w:rFonts w:ascii="Arial" w:cs="Arial" w:eastAsia="Arial" w:hAnsi="Arial"/>
          <w:sz w:val="18"/>
          <w:szCs w:val="18"/>
          <w:b w:val="1"/>
          <w:bCs w:val="1"/>
          <w:color w:val="auto"/>
        </w:rPr>
      </w:pPr>
    </w:p>
    <w:p>
      <w:pPr>
        <w:ind w:left="108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Borrower promises to pay to the order of Lender the N o t e A mount, plus interest on the unpaid principal balance at the Note Rate, and all other amounts required by this Note.</w:t>
      </w:r>
    </w:p>
    <w:p>
      <w:pPr>
        <w:spacing w:after="0" w:line="193" w:lineRule="exact"/>
        <w:rPr>
          <w:rFonts w:ascii="Arial" w:cs="Arial" w:eastAsia="Arial" w:hAnsi="Arial"/>
          <w:sz w:val="18"/>
          <w:szCs w:val="18"/>
          <w:b w:val="1"/>
          <w:bCs w:val="1"/>
          <w:color w:val="auto"/>
        </w:rPr>
      </w:pPr>
    </w:p>
    <w:p>
      <w:pPr>
        <w:ind w:left="1080" w:hanging="316"/>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1080" w:right="430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“CARES Act” means the Coronavirus Aid, Relief, and Economic Security Act. “Deferral Period” means the six month period beginning on the date of this Note. “Loan” means the loan evidenced by this Note.</w:t>
      </w:r>
    </w:p>
    <w:p>
      <w:pPr>
        <w:spacing w:after="0" w:line="2"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“Maturity Date” means twenty-four (24) months from the date of this Note.</w:t>
      </w:r>
    </w:p>
    <w:p>
      <w:pPr>
        <w:spacing w:after="0" w:line="252" w:lineRule="exact"/>
        <w:rPr>
          <w:rFonts w:ascii="Arial" w:cs="Arial" w:eastAsia="Arial" w:hAnsi="Arial"/>
          <w:sz w:val="18"/>
          <w:szCs w:val="18"/>
          <w:b w:val="1"/>
          <w:bCs w:val="1"/>
          <w:color w:val="auto"/>
        </w:rPr>
      </w:pPr>
    </w:p>
    <w:p>
      <w:pPr>
        <w:ind w:left="1080"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“Note Rate” means an interest rate of 0.98% Per Annum and interest shall accrue on the unpaid principal balance computed on the basis of the actual number of days elapsed in a year of 360 days.</w:t>
      </w:r>
    </w:p>
    <w:p>
      <w:pPr>
        <w:spacing w:after="0" w:line="197"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“Per Annum” means for a year deemed to be comprised of 360 days.</w:t>
      </w:r>
    </w:p>
    <w:p>
      <w:pPr>
        <w:spacing w:after="0" w:line="225"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“SBA” means the Small Business Administration, an Agency of the United States of America.</w:t>
      </w:r>
    </w:p>
    <w:p>
      <w:pPr>
        <w:spacing w:after="0" w:line="248" w:lineRule="exact"/>
        <w:rPr>
          <w:rFonts w:ascii="Arial" w:cs="Arial" w:eastAsia="Arial" w:hAnsi="Arial"/>
          <w:sz w:val="18"/>
          <w:szCs w:val="18"/>
          <w:b w:val="1"/>
          <w:bCs w:val="1"/>
          <w:color w:val="auto"/>
        </w:rPr>
      </w:pPr>
    </w:p>
    <w:p>
      <w:pPr>
        <w:ind w:left="1080" w:hanging="316"/>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FUNDING OF LOAN.</w:t>
      </w:r>
    </w:p>
    <w:p>
      <w:pPr>
        <w:spacing w:after="0" w:line="229" w:lineRule="exact"/>
        <w:rPr>
          <w:rFonts w:ascii="Arial" w:cs="Arial" w:eastAsia="Arial" w:hAnsi="Arial"/>
          <w:sz w:val="18"/>
          <w:szCs w:val="18"/>
          <w:b w:val="1"/>
          <w:bCs w:val="1"/>
          <w:color w:val="auto"/>
        </w:rPr>
      </w:pPr>
    </w:p>
    <w:p>
      <w:pPr>
        <w:ind w:left="1160" w:right="4760" w:hanging="67"/>
        <w:spacing w:after="0" w:line="559" w:lineRule="auto"/>
        <w:rPr>
          <w:rFonts w:ascii="Arial" w:cs="Arial" w:eastAsia="Arial" w:hAnsi="Arial"/>
          <w:sz w:val="18"/>
          <w:szCs w:val="18"/>
          <w:b w:val="1"/>
          <w:bCs w:val="1"/>
          <w:color w:val="auto"/>
        </w:rPr>
      </w:pPr>
      <w:r>
        <w:rPr>
          <w:rFonts w:ascii="Arial" w:cs="Arial" w:eastAsia="Arial" w:hAnsi="Arial"/>
          <w:sz w:val="18"/>
          <w:szCs w:val="18"/>
          <w:color w:val="auto"/>
        </w:rPr>
        <w:t>Before the funding of the Loan, the following conditions must be satisfied: A. Lender has approved the request for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736" w:hanging="345"/>
        <w:spacing w:after="0"/>
        <w:tabs>
          <w:tab w:leader="none" w:pos="736" w:val="left"/>
        </w:tabs>
        <w:numPr>
          <w:ilvl w:val="1"/>
          <w:numId w:val="32"/>
        </w:numPr>
        <w:rPr>
          <w:rFonts w:ascii="Arial" w:cs="Arial" w:eastAsia="Arial" w:hAnsi="Arial"/>
          <w:sz w:val="18"/>
          <w:szCs w:val="18"/>
          <w:color w:val="auto"/>
        </w:rPr>
      </w:pPr>
      <w:r>
        <w:rPr>
          <w:rFonts w:ascii="Arial" w:cs="Arial" w:eastAsia="Arial" w:hAnsi="Arial"/>
          <w:sz w:val="18"/>
          <w:szCs w:val="18"/>
          <w:color w:val="auto"/>
        </w:rPr>
        <w:t>Lender has received approval from SBA to fund the Loan.</w:t>
      </w:r>
    </w:p>
    <w:p>
      <w:pPr>
        <w:spacing w:after="0" w:line="248" w:lineRule="exact"/>
        <w:rPr>
          <w:rFonts w:ascii="Arial" w:cs="Arial" w:eastAsia="Arial" w:hAnsi="Arial"/>
          <w:sz w:val="18"/>
          <w:szCs w:val="18"/>
          <w:color w:val="auto"/>
        </w:rPr>
      </w:pPr>
    </w:p>
    <w:p>
      <w:pPr>
        <w:ind w:left="316" w:hanging="316"/>
        <w:spacing w:after="0"/>
        <w:tabs>
          <w:tab w:leader="none" w:pos="31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229" w:lineRule="exact"/>
        <w:rPr>
          <w:rFonts w:ascii="Arial" w:cs="Arial" w:eastAsia="Arial" w:hAnsi="Arial"/>
          <w:sz w:val="18"/>
          <w:szCs w:val="18"/>
          <w:b w:val="1"/>
          <w:bCs w:val="1"/>
          <w:color w:val="auto"/>
        </w:rPr>
      </w:pPr>
    </w:p>
    <w:p>
      <w:pPr>
        <w:ind w:left="316"/>
        <w:spacing w:after="0"/>
        <w:rPr>
          <w:rFonts w:ascii="Arial" w:cs="Arial" w:eastAsia="Arial" w:hAnsi="Arial"/>
          <w:sz w:val="18"/>
          <w:szCs w:val="18"/>
          <w:b w:val="1"/>
          <w:bCs w:val="1"/>
          <w:color w:val="auto"/>
        </w:rPr>
      </w:pPr>
      <w:r>
        <w:rPr>
          <w:rFonts w:ascii="Arial" w:cs="Arial" w:eastAsia="Arial" w:hAnsi="Arial"/>
          <w:sz w:val="18"/>
          <w:szCs w:val="18"/>
          <w:color w:val="auto"/>
        </w:rPr>
        <w:t>Borrower will pay this Note as follows:</w:t>
      </w:r>
    </w:p>
    <w:p>
      <w:pPr>
        <w:spacing w:after="0" w:line="252" w:lineRule="exact"/>
        <w:rPr>
          <w:rFonts w:ascii="Arial" w:cs="Arial" w:eastAsia="Arial" w:hAnsi="Arial"/>
          <w:sz w:val="18"/>
          <w:szCs w:val="18"/>
          <w:b w:val="1"/>
          <w:bCs w:val="1"/>
          <w:color w:val="auto"/>
        </w:rPr>
      </w:pPr>
    </w:p>
    <w:p>
      <w:pPr>
        <w:ind w:left="736" w:hanging="345"/>
        <w:spacing w:after="0"/>
        <w:tabs>
          <w:tab w:leader="none" w:pos="7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Payments During Deferral Period. There shall be no payments due by Borrower during the Deferral Period.</w:t>
      </w:r>
    </w:p>
    <w:p>
      <w:pPr>
        <w:spacing w:after="0" w:line="225" w:lineRule="exact"/>
        <w:rPr>
          <w:rFonts w:ascii="Arial" w:cs="Arial" w:eastAsia="Arial" w:hAnsi="Arial"/>
          <w:sz w:val="18"/>
          <w:szCs w:val="18"/>
          <w:color w:val="auto"/>
        </w:rPr>
      </w:pPr>
    </w:p>
    <w:p>
      <w:pPr>
        <w:ind w:left="736" w:right="140" w:hanging="345"/>
        <w:spacing w:after="0" w:line="259" w:lineRule="auto"/>
        <w:tabs>
          <w:tab w:leader="none" w:pos="7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Principal and Interest Payments. Commencing one month after the expiration of the Deferral Period, and continuing on the same day of each month thereafter until the Maturity Date, Borrower shall pay to Lender monthly payments of principal and interest, each in such equal amount required to fully amortize the principal amount outstanding on the Note on the last day of the Deferral Period by the Maturity Date.</w:t>
      </w:r>
    </w:p>
    <w:p>
      <w:pPr>
        <w:spacing w:after="0" w:line="213" w:lineRule="exact"/>
        <w:rPr>
          <w:rFonts w:ascii="Arial" w:cs="Arial" w:eastAsia="Arial" w:hAnsi="Arial"/>
          <w:sz w:val="18"/>
          <w:szCs w:val="18"/>
          <w:color w:val="auto"/>
        </w:rPr>
      </w:pPr>
    </w:p>
    <w:p>
      <w:pPr>
        <w:ind w:left="736" w:right="80" w:hanging="345"/>
        <w:spacing w:after="0" w:line="277" w:lineRule="auto"/>
        <w:tabs>
          <w:tab w:leader="none" w:pos="7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Maturity Date. On the Maturity Date, Borrower shall pay to Lender any and all unpaid principal plus accrued and unpaid interest plus interest accrued during the Deferral Period. This Note will mature on the Maturity Date.</w:t>
      </w:r>
    </w:p>
    <w:p>
      <w:pPr>
        <w:spacing w:after="0" w:line="197" w:lineRule="exact"/>
        <w:rPr>
          <w:rFonts w:ascii="Arial" w:cs="Arial" w:eastAsia="Arial" w:hAnsi="Arial"/>
          <w:sz w:val="18"/>
          <w:szCs w:val="18"/>
          <w:color w:val="auto"/>
        </w:rPr>
      </w:pPr>
    </w:p>
    <w:p>
      <w:pPr>
        <w:ind w:left="736" w:hanging="345"/>
        <w:spacing w:after="0" w:line="259" w:lineRule="auto"/>
        <w:tabs>
          <w:tab w:leader="none" w:pos="7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any payment is due on a date for which there is no numerical equivalent in a particular calendar month then it shall be due on the last day of such month. If any payment is due on a day that is not a Business Day, the payment will be made on the next Business Day. The term "Business Day" means a day other than a Saturday, Sunday or any other day on which national banking associations are authorized to be closed.</w:t>
      </w:r>
    </w:p>
    <w:p>
      <w:pPr>
        <w:spacing w:after="0" w:line="213" w:lineRule="exact"/>
        <w:rPr>
          <w:rFonts w:ascii="Arial" w:cs="Arial" w:eastAsia="Arial" w:hAnsi="Arial"/>
          <w:sz w:val="18"/>
          <w:szCs w:val="18"/>
          <w:color w:val="auto"/>
        </w:rPr>
      </w:pPr>
    </w:p>
    <w:p>
      <w:pPr>
        <w:jc w:val="both"/>
        <w:ind w:left="736" w:hanging="345"/>
        <w:spacing w:after="0" w:line="263" w:lineRule="auto"/>
        <w:tabs>
          <w:tab w:leader="none" w:pos="7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Payments shall be allocated among principal and interest at the discretion of Lender unless otherwise agreed or required by applicable law. Notwithstanding, in the event the Loan, or any portion thereof, is forgiven pursuant to the Paycheck Protection Program under the federal CARES Act, the amount so forgiven shall be applied to principal.</w:t>
      </w:r>
    </w:p>
    <w:p>
      <w:pPr>
        <w:spacing w:after="0" w:line="210" w:lineRule="exact"/>
        <w:rPr>
          <w:rFonts w:ascii="Arial" w:cs="Arial" w:eastAsia="Arial" w:hAnsi="Arial"/>
          <w:sz w:val="18"/>
          <w:szCs w:val="18"/>
          <w:color w:val="auto"/>
        </w:rPr>
      </w:pPr>
    </w:p>
    <w:p>
      <w:pPr>
        <w:ind w:left="736" w:hanging="345"/>
        <w:spacing w:after="0"/>
        <w:tabs>
          <w:tab w:leader="none" w:pos="7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Borrower may prepay this Note at any time without payment of any premium.</w:t>
      </w:r>
    </w:p>
    <w:p>
      <w:pPr>
        <w:spacing w:after="0" w:line="248" w:lineRule="exact"/>
        <w:rPr>
          <w:rFonts w:ascii="Arial" w:cs="Arial" w:eastAsia="Arial" w:hAnsi="Arial"/>
          <w:sz w:val="18"/>
          <w:szCs w:val="18"/>
          <w:color w:val="auto"/>
        </w:rPr>
      </w:pPr>
    </w:p>
    <w:p>
      <w:pPr>
        <w:ind w:left="316" w:right="7960" w:hanging="316"/>
        <w:spacing w:after="0" w:line="566" w:lineRule="auto"/>
        <w:tabs>
          <w:tab w:leader="none" w:pos="31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CERTIFICATIONS. </w:t>
      </w:r>
      <w:r>
        <w:rPr>
          <w:rFonts w:ascii="Arial" w:cs="Arial" w:eastAsia="Arial" w:hAnsi="Arial"/>
          <w:sz w:val="16"/>
          <w:szCs w:val="16"/>
          <w:color w:val="auto"/>
        </w:rPr>
        <w:t>Borrower certifies as follows:</w:t>
      </w:r>
    </w:p>
    <w:p>
      <w:pPr>
        <w:ind w:left="736" w:hanging="345"/>
        <w:spacing w:after="0"/>
        <w:tabs>
          <w:tab w:leader="none" w:pos="7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Current economic uncertainty makes this Loan necessary to support the ongoing operations of Borrower.</w:t>
      </w:r>
    </w:p>
    <w:p>
      <w:pPr>
        <w:spacing w:after="0" w:line="225" w:lineRule="exact"/>
        <w:rPr>
          <w:rFonts w:ascii="Arial" w:cs="Arial" w:eastAsia="Arial" w:hAnsi="Arial"/>
          <w:sz w:val="18"/>
          <w:szCs w:val="18"/>
          <w:color w:val="auto"/>
        </w:rPr>
      </w:pPr>
    </w:p>
    <w:p>
      <w:pPr>
        <w:ind w:left="736" w:hanging="345"/>
        <w:spacing w:after="0"/>
        <w:tabs>
          <w:tab w:leader="none" w:pos="736" w:val="left"/>
        </w:tabs>
        <w:numPr>
          <w:ilvl w:val="1"/>
          <w:numId w:val="33"/>
        </w:numPr>
        <w:rPr>
          <w:rFonts w:ascii="Arial" w:cs="Arial" w:eastAsia="Arial" w:hAnsi="Arial"/>
          <w:sz w:val="16"/>
          <w:szCs w:val="16"/>
          <w:color w:val="auto"/>
        </w:rPr>
      </w:pPr>
      <w:r>
        <w:rPr>
          <w:rFonts w:ascii="Arial" w:cs="Arial" w:eastAsia="Arial" w:hAnsi="Arial"/>
          <w:sz w:val="16"/>
          <w:szCs w:val="16"/>
          <w:color w:val="auto"/>
        </w:rPr>
        <w:t>Loan funds will be used to retain workers and maintain payroll or make mortgage payments, lease payments, and utility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389255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36"/>
          </w:cols>
          <w:pgMar w:left="1084" w:top="584" w:right="379" w:bottom="1440" w:gutter="0" w:footer="0" w:header="0"/>
        </w:sectPr>
      </w:pPr>
    </w:p>
    <w:bookmarkStart w:id="59" w:name="page60"/>
    <w:bookmarkEnd w:id="59"/>
    <w:p>
      <w:pPr>
        <w:ind w:left="628" w:right="180" w:hanging="345"/>
        <w:spacing w:after="0" w:line="277" w:lineRule="auto"/>
        <w:tabs>
          <w:tab w:leader="none" w:pos="6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During the period beginning on February 15, 2020 and ending on December 31, 2020, Borrower has not and will not receive another loan under this program.</w:t>
      </w:r>
    </w:p>
    <w:p>
      <w:pPr>
        <w:spacing w:after="0" w:line="170" w:lineRule="exact"/>
        <w:rPr>
          <w:rFonts w:ascii="Arial" w:cs="Arial" w:eastAsia="Arial" w:hAnsi="Arial"/>
          <w:sz w:val="18"/>
          <w:szCs w:val="18"/>
          <w:color w:val="auto"/>
        </w:rPr>
      </w:pPr>
    </w:p>
    <w:p>
      <w:pPr>
        <w:ind w:left="628" w:right="600" w:hanging="345"/>
        <w:spacing w:after="0" w:line="277" w:lineRule="auto"/>
        <w:tabs>
          <w:tab w:leader="none" w:pos="6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Borrower was in operation on February 15, 2020 and (i) had employees for whom it paid salaries and payroll taxes, or (ii) paid independent contractors as reported on a 1099-Misc.</w:t>
      </w:r>
    </w:p>
    <w:p>
      <w:pPr>
        <w:spacing w:after="0" w:line="166" w:lineRule="exact"/>
        <w:rPr>
          <w:rFonts w:ascii="Arial" w:cs="Arial" w:eastAsia="Arial" w:hAnsi="Arial"/>
          <w:sz w:val="18"/>
          <w:szCs w:val="18"/>
          <w:color w:val="auto"/>
        </w:rPr>
      </w:pPr>
    </w:p>
    <w:p>
      <w:pPr>
        <w:ind w:left="428" w:hanging="428"/>
        <w:spacing w:after="0"/>
        <w:tabs>
          <w:tab w:leader="none" w:pos="42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229" w:lineRule="exact"/>
        <w:rPr>
          <w:sz w:val="20"/>
          <w:szCs w:val="20"/>
          <w:color w:val="auto"/>
        </w:rPr>
      </w:pPr>
    </w:p>
    <w:p>
      <w:pPr>
        <w:ind w:left="208"/>
        <w:spacing w:after="0"/>
        <w:rPr>
          <w:sz w:val="20"/>
          <w:szCs w:val="20"/>
          <w:color w:val="auto"/>
        </w:rPr>
      </w:pPr>
      <w:r>
        <w:rPr>
          <w:rFonts w:ascii="Arial" w:cs="Arial" w:eastAsia="Arial" w:hAnsi="Arial"/>
          <w:sz w:val="18"/>
          <w:szCs w:val="18"/>
          <w:color w:val="auto"/>
        </w:rPr>
        <w:t>Borrower understands and agrees, and waives and releases Lender, as follows:</w:t>
      </w:r>
    </w:p>
    <w:p>
      <w:pPr>
        <w:spacing w:after="0" w:line="225" w:lineRule="exact"/>
        <w:rPr>
          <w:sz w:val="20"/>
          <w:szCs w:val="20"/>
          <w:color w:val="auto"/>
        </w:rPr>
      </w:pPr>
    </w:p>
    <w:p>
      <w:pPr>
        <w:ind w:left="628" w:right="20" w:hanging="345"/>
        <w:spacing w:after="0" w:line="263" w:lineRule="auto"/>
        <w:tabs>
          <w:tab w:leader="none" w:pos="6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Loan would be made under the SBA’s Paycheck Protection Program. Accordingly, it must be submitted to and approved by the SBA. There is limited funding available under the Paycheck Protection Program and so all applications submitted will not be approved by the SBA.</w:t>
      </w:r>
    </w:p>
    <w:p>
      <w:pPr>
        <w:spacing w:after="0" w:line="183" w:lineRule="exact"/>
        <w:rPr>
          <w:rFonts w:ascii="Arial" w:cs="Arial" w:eastAsia="Arial" w:hAnsi="Arial"/>
          <w:sz w:val="18"/>
          <w:szCs w:val="18"/>
          <w:color w:val="auto"/>
        </w:rPr>
      </w:pPr>
    </w:p>
    <w:p>
      <w:pPr>
        <w:ind w:left="628" w:hanging="345"/>
        <w:spacing w:after="0" w:line="289" w:lineRule="auto"/>
        <w:tabs>
          <w:tab w:leader="none" w:pos="6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Lender is participating in the Payroll Protection Program to help businesses impacted by the economic impact from COVID-19. However, Lender anticipates high volume and there may be processing delays and system failures along with other issues that interfere with submission of your application to SBA. Lender does not represent or guarantee that it will submit the application before SBA funding is no longer available or at all. You agree that Lender is not responsible or liable to you (i) if the application is not submitted to the SBA until after SBA stops approving applications, for any reason or (ii) if the application is not processed. You forever release and waive any claims against Lender concerning failure to obtain the Loan. This release and waiver applies to but is not limited to any claims concerning Lender’s (i) pace, manner or systems for processing or prioritizing applications, or (ii) representations by Lender regarding the application process, the Paycheck Protection Program, or availability of funding. This agreed to release and waiver supersedes any prior communications, understandings, agreements or communications on the issues set forth herein.</w:t>
      </w:r>
    </w:p>
    <w:p>
      <w:pPr>
        <w:spacing w:after="0" w:line="166" w:lineRule="exact"/>
        <w:rPr>
          <w:rFonts w:ascii="Arial" w:cs="Arial" w:eastAsia="Arial" w:hAnsi="Arial"/>
          <w:sz w:val="16"/>
          <w:szCs w:val="16"/>
          <w:color w:val="auto"/>
        </w:rPr>
      </w:pPr>
    </w:p>
    <w:p>
      <w:pPr>
        <w:ind w:left="628" w:right="220" w:hanging="345"/>
        <w:spacing w:after="0" w:line="275" w:lineRule="auto"/>
        <w:tabs>
          <w:tab w:leader="none" w:pos="6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Forgiveness of the Loan is only available for principal that is used for the limited purposes that qualify for forgiveness under SBA requirements, and that to obtain forgiveness, Borrower must request it and must provide documentation in accordance with the SBA requirements, and certify that the amounts Borrower is requesting to be forgiven qualify under those requirements. Borrower also understand that Borrower shall remain responsible under the Loan for any amounts not forgiven, and that interest payable under the Loan will not be forgiven but that the SBA may pay the Loan interest on forgiven amounts.</w:t>
      </w:r>
    </w:p>
    <w:p>
      <w:pPr>
        <w:spacing w:after="0" w:line="176" w:lineRule="exact"/>
        <w:rPr>
          <w:rFonts w:ascii="Arial" w:cs="Arial" w:eastAsia="Arial" w:hAnsi="Arial"/>
          <w:sz w:val="17"/>
          <w:szCs w:val="17"/>
          <w:color w:val="auto"/>
        </w:rPr>
      </w:pPr>
    </w:p>
    <w:p>
      <w:pPr>
        <w:ind w:left="628" w:right="100" w:hanging="345"/>
        <w:spacing w:after="0" w:line="263" w:lineRule="auto"/>
        <w:tabs>
          <w:tab w:leader="none" w:pos="6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Forgiveness is not automatic and Borrower must request it. Borrower is not relying on Lender for its understanding of the requirements for forgiveness such as eligible expenditures, necessary records/documentation, or possible reductions due to changes in number of employees or compensation. Rather Borrower will consult the SBA’s program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348615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8"/>
          </w:cols>
          <w:pgMar w:left="1192" w:top="584" w:right="339" w:bottom="1440" w:gutter="0" w:footer="0" w:header="0"/>
        </w:sectPr>
      </w:pPr>
    </w:p>
    <w:bookmarkStart w:id="60" w:name="page61"/>
    <w:bookmarkEnd w:id="60"/>
    <w:p>
      <w:pPr>
        <w:ind w:left="736" w:right="460" w:hanging="345"/>
        <w:spacing w:after="0" w:line="308" w:lineRule="auto"/>
        <w:tabs>
          <w:tab w:leader="none" w:pos="736"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application for this Loan is subject to review and that Borrower may not receive the Loan. The Loan also remains subject to availability of funds under the SBA’s Payment Protection Program, and to the SBA issuing an SBA loan number.</w:t>
      </w:r>
    </w:p>
    <w:p>
      <w:pPr>
        <w:spacing w:after="0" w:line="358" w:lineRule="exact"/>
        <w:rPr>
          <w:rFonts w:ascii="Arial" w:cs="Arial" w:eastAsia="Arial" w:hAnsi="Arial"/>
          <w:sz w:val="17"/>
          <w:szCs w:val="17"/>
          <w:color w:val="auto"/>
        </w:rPr>
      </w:pPr>
    </w:p>
    <w:p>
      <w:pPr>
        <w:ind w:left="316" w:hanging="316"/>
        <w:spacing w:after="0"/>
        <w:tabs>
          <w:tab w:leader="none" w:pos="31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DEFAULT.</w:t>
      </w:r>
    </w:p>
    <w:p>
      <w:pPr>
        <w:spacing w:after="0" w:line="256" w:lineRule="exact"/>
        <w:rPr>
          <w:rFonts w:ascii="Arial" w:cs="Arial" w:eastAsia="Arial" w:hAnsi="Arial"/>
          <w:sz w:val="18"/>
          <w:szCs w:val="18"/>
          <w:b w:val="1"/>
          <w:bCs w:val="1"/>
          <w:color w:val="auto"/>
        </w:rPr>
      </w:pPr>
    </w:p>
    <w:p>
      <w:pPr>
        <w:ind w:left="316"/>
        <w:spacing w:after="0"/>
        <w:rPr>
          <w:rFonts w:ascii="Arial" w:cs="Arial" w:eastAsia="Arial" w:hAnsi="Arial"/>
          <w:sz w:val="18"/>
          <w:szCs w:val="18"/>
          <w:b w:val="1"/>
          <w:bCs w:val="1"/>
          <w:color w:val="auto"/>
        </w:rPr>
      </w:pPr>
      <w:r>
        <w:rPr>
          <w:rFonts w:ascii="Arial" w:cs="Arial" w:eastAsia="Arial" w:hAnsi="Arial"/>
          <w:sz w:val="18"/>
          <w:szCs w:val="18"/>
          <w:color w:val="auto"/>
        </w:rPr>
        <w:t>Borrower is in default under this Note if Borrower:</w:t>
      </w:r>
    </w:p>
    <w:p>
      <w:pPr>
        <w:spacing w:after="0" w:line="252" w:lineRule="exact"/>
        <w:rPr>
          <w:rFonts w:ascii="Arial" w:cs="Arial" w:eastAsia="Arial" w:hAnsi="Arial"/>
          <w:sz w:val="18"/>
          <w:szCs w:val="18"/>
          <w:b w:val="1"/>
          <w:bCs w:val="1"/>
          <w:color w:val="auto"/>
        </w:rPr>
      </w:pPr>
    </w:p>
    <w:p>
      <w:pPr>
        <w:ind w:left="736" w:hanging="345"/>
        <w:spacing w:after="0"/>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Fails to make a payment when due under the Note or otherwise fails to comply with any provision of this Note.</w:t>
      </w:r>
    </w:p>
    <w:p>
      <w:pPr>
        <w:spacing w:after="0" w:line="225" w:lineRule="exact"/>
        <w:rPr>
          <w:rFonts w:ascii="Arial" w:cs="Arial" w:eastAsia="Arial" w:hAnsi="Arial"/>
          <w:sz w:val="18"/>
          <w:szCs w:val="18"/>
          <w:color w:val="auto"/>
        </w:rPr>
      </w:pPr>
    </w:p>
    <w:p>
      <w:pPr>
        <w:ind w:left="736" w:hanging="345"/>
        <w:spacing w:after="0"/>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Does not disclose, or anyone acting on its behalf does not disclose, any material fact to Lender or SBA.</w:t>
      </w:r>
    </w:p>
    <w:p>
      <w:pPr>
        <w:spacing w:after="0" w:line="225" w:lineRule="exact"/>
        <w:rPr>
          <w:rFonts w:ascii="Arial" w:cs="Arial" w:eastAsia="Arial" w:hAnsi="Arial"/>
          <w:sz w:val="18"/>
          <w:szCs w:val="18"/>
          <w:color w:val="auto"/>
        </w:rPr>
      </w:pPr>
    </w:p>
    <w:p>
      <w:pPr>
        <w:jc w:val="both"/>
        <w:ind w:left="736" w:right="200" w:hanging="345"/>
        <w:spacing w:after="0" w:line="263" w:lineRule="auto"/>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Makes, or anyone acting on its behalf makes, a materially false or misleading representation, attestation or certification to Lender or SBA in connection with Borrower’s request for this Loan under the CARES Act, or makes a false certification under paragraph 5 of this Note.</w:t>
      </w:r>
    </w:p>
    <w:p>
      <w:pPr>
        <w:spacing w:after="0" w:line="183" w:lineRule="exact"/>
        <w:rPr>
          <w:rFonts w:ascii="Arial" w:cs="Arial" w:eastAsia="Arial" w:hAnsi="Arial"/>
          <w:sz w:val="18"/>
          <w:szCs w:val="18"/>
          <w:color w:val="auto"/>
        </w:rPr>
      </w:pPr>
    </w:p>
    <w:p>
      <w:pPr>
        <w:ind w:left="736" w:hanging="345"/>
        <w:spacing w:after="0"/>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Fails to comply with all of the provisions of this Note.</w:t>
      </w:r>
    </w:p>
    <w:p>
      <w:pPr>
        <w:spacing w:after="0" w:line="225" w:lineRule="exact"/>
        <w:rPr>
          <w:rFonts w:ascii="Arial" w:cs="Arial" w:eastAsia="Arial" w:hAnsi="Arial"/>
          <w:sz w:val="18"/>
          <w:szCs w:val="18"/>
          <w:color w:val="auto"/>
        </w:rPr>
      </w:pPr>
    </w:p>
    <w:p>
      <w:pPr>
        <w:ind w:left="736" w:right="60" w:hanging="345"/>
        <w:spacing w:after="0" w:line="277" w:lineRule="auto"/>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Becomes the subject of a proceeding under any bankruptcy or insolvency law, has a receiver or liquidator appointed for any part of its business or property, or makes an assignment for the benefit of creditors.</w:t>
      </w:r>
    </w:p>
    <w:p>
      <w:pPr>
        <w:spacing w:after="0" w:line="170" w:lineRule="exact"/>
        <w:rPr>
          <w:rFonts w:ascii="Arial" w:cs="Arial" w:eastAsia="Arial" w:hAnsi="Arial"/>
          <w:sz w:val="18"/>
          <w:szCs w:val="18"/>
          <w:color w:val="auto"/>
        </w:rPr>
      </w:pPr>
    </w:p>
    <w:p>
      <w:pPr>
        <w:ind w:left="736" w:hanging="345"/>
        <w:spacing w:after="0"/>
        <w:tabs>
          <w:tab w:leader="none" w:pos="736" w:val="left"/>
        </w:tabs>
        <w:numPr>
          <w:ilvl w:val="1"/>
          <w:numId w:val="38"/>
        </w:numPr>
        <w:rPr>
          <w:rFonts w:ascii="Arial" w:cs="Arial" w:eastAsia="Arial" w:hAnsi="Arial"/>
          <w:sz w:val="16"/>
          <w:szCs w:val="16"/>
          <w:color w:val="auto"/>
        </w:rPr>
      </w:pPr>
      <w:r>
        <w:rPr>
          <w:rFonts w:ascii="Arial" w:cs="Arial" w:eastAsia="Arial" w:hAnsi="Arial"/>
          <w:sz w:val="16"/>
          <w:szCs w:val="16"/>
          <w:color w:val="auto"/>
        </w:rPr>
        <w:t>Reorganizes, merges, consolidates, or otherwise changes ownership or business structure without Lender's prior written consent.</w:t>
      </w:r>
    </w:p>
    <w:p>
      <w:pPr>
        <w:spacing w:after="0" w:line="248" w:lineRule="exact"/>
        <w:rPr>
          <w:rFonts w:ascii="Arial" w:cs="Arial" w:eastAsia="Arial" w:hAnsi="Arial"/>
          <w:sz w:val="16"/>
          <w:szCs w:val="16"/>
          <w:color w:val="auto"/>
        </w:rPr>
      </w:pPr>
    </w:p>
    <w:p>
      <w:pPr>
        <w:ind w:left="736" w:hanging="345"/>
        <w:spacing w:after="0"/>
        <w:tabs>
          <w:tab w:leader="none" w:pos="736" w:val="left"/>
        </w:tabs>
        <w:numPr>
          <w:ilvl w:val="1"/>
          <w:numId w:val="38"/>
        </w:numPr>
        <w:rPr>
          <w:rFonts w:ascii="Arial" w:cs="Arial" w:eastAsia="Arial" w:hAnsi="Arial"/>
          <w:sz w:val="17"/>
          <w:szCs w:val="17"/>
          <w:color w:val="auto"/>
        </w:rPr>
      </w:pPr>
      <w:r>
        <w:rPr>
          <w:rFonts w:ascii="Arial" w:cs="Arial" w:eastAsia="Arial" w:hAnsi="Arial"/>
          <w:sz w:val="17"/>
          <w:szCs w:val="17"/>
          <w:color w:val="auto"/>
        </w:rPr>
        <w:t>Becomes the subject of a civil or criminal action that Lender believes may materially affect Borrower's ability to pay this Note.</w:t>
      </w:r>
    </w:p>
    <w:p>
      <w:pPr>
        <w:spacing w:after="0" w:line="200" w:lineRule="exact"/>
        <w:rPr>
          <w:rFonts w:ascii="Arial" w:cs="Arial" w:eastAsia="Arial" w:hAnsi="Arial"/>
          <w:sz w:val="17"/>
          <w:szCs w:val="17"/>
          <w:color w:val="auto"/>
        </w:rPr>
      </w:pPr>
    </w:p>
    <w:p>
      <w:pPr>
        <w:spacing w:after="0" w:line="248" w:lineRule="exact"/>
        <w:rPr>
          <w:rFonts w:ascii="Arial" w:cs="Arial" w:eastAsia="Arial" w:hAnsi="Arial"/>
          <w:sz w:val="17"/>
          <w:szCs w:val="17"/>
          <w:color w:val="auto"/>
        </w:rPr>
      </w:pPr>
    </w:p>
    <w:p>
      <w:pPr>
        <w:ind w:left="316" w:hanging="316"/>
        <w:spacing w:after="0"/>
        <w:tabs>
          <w:tab w:leader="none" w:pos="31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LENDER'S RIGHTS IF THERE IS A DEFAULT.</w:t>
      </w:r>
    </w:p>
    <w:p>
      <w:pPr>
        <w:spacing w:after="0" w:line="229" w:lineRule="exact"/>
        <w:rPr>
          <w:rFonts w:ascii="Arial" w:cs="Arial" w:eastAsia="Arial" w:hAnsi="Arial"/>
          <w:sz w:val="18"/>
          <w:szCs w:val="18"/>
          <w:b w:val="1"/>
          <w:bCs w:val="1"/>
          <w:color w:val="auto"/>
        </w:rPr>
      </w:pPr>
    </w:p>
    <w:p>
      <w:pPr>
        <w:ind w:left="316"/>
        <w:spacing w:after="0"/>
        <w:rPr>
          <w:rFonts w:ascii="Arial" w:cs="Arial" w:eastAsia="Arial" w:hAnsi="Arial"/>
          <w:sz w:val="18"/>
          <w:szCs w:val="18"/>
          <w:b w:val="1"/>
          <w:bCs w:val="1"/>
          <w:color w:val="auto"/>
        </w:rPr>
      </w:pPr>
      <w:r>
        <w:rPr>
          <w:rFonts w:ascii="Arial" w:cs="Arial" w:eastAsia="Arial" w:hAnsi="Arial"/>
          <w:sz w:val="18"/>
          <w:szCs w:val="18"/>
          <w:color w:val="auto"/>
        </w:rPr>
        <w:t>Without notice or demand and without giving up any of its rights, Lender may:</w:t>
      </w:r>
    </w:p>
    <w:p>
      <w:pPr>
        <w:spacing w:after="0" w:line="252" w:lineRule="exact"/>
        <w:rPr>
          <w:rFonts w:ascii="Arial" w:cs="Arial" w:eastAsia="Arial" w:hAnsi="Arial"/>
          <w:sz w:val="18"/>
          <w:szCs w:val="18"/>
          <w:b w:val="1"/>
          <w:bCs w:val="1"/>
          <w:color w:val="auto"/>
        </w:rPr>
      </w:pPr>
    </w:p>
    <w:p>
      <w:pPr>
        <w:ind w:left="736" w:hanging="345"/>
        <w:spacing w:after="0"/>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Require immediate payment of all amounts owing under this Note.</w:t>
      </w:r>
    </w:p>
    <w:p>
      <w:pPr>
        <w:spacing w:after="0" w:line="225" w:lineRule="exact"/>
        <w:rPr>
          <w:rFonts w:ascii="Arial" w:cs="Arial" w:eastAsia="Arial" w:hAnsi="Arial"/>
          <w:sz w:val="18"/>
          <w:szCs w:val="18"/>
          <w:color w:val="auto"/>
        </w:rPr>
      </w:pPr>
    </w:p>
    <w:p>
      <w:pPr>
        <w:ind w:left="736" w:hanging="345"/>
        <w:spacing w:after="0"/>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Collect all amounts owing from Borrower.</w:t>
      </w:r>
    </w:p>
    <w:p>
      <w:pPr>
        <w:spacing w:after="0" w:line="225" w:lineRule="exact"/>
        <w:rPr>
          <w:rFonts w:ascii="Arial" w:cs="Arial" w:eastAsia="Arial" w:hAnsi="Arial"/>
          <w:sz w:val="18"/>
          <w:szCs w:val="18"/>
          <w:color w:val="auto"/>
        </w:rPr>
      </w:pPr>
    </w:p>
    <w:p>
      <w:pPr>
        <w:ind w:left="736" w:hanging="345"/>
        <w:spacing w:after="0"/>
        <w:tabs>
          <w:tab w:leader="none" w:pos="7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File suit and obtain judgment.</w:t>
      </w:r>
    </w:p>
    <w:p>
      <w:pPr>
        <w:spacing w:after="0" w:line="248" w:lineRule="exact"/>
        <w:rPr>
          <w:rFonts w:ascii="Arial" w:cs="Arial" w:eastAsia="Arial" w:hAnsi="Arial"/>
          <w:sz w:val="18"/>
          <w:szCs w:val="18"/>
          <w:color w:val="auto"/>
        </w:rPr>
      </w:pPr>
    </w:p>
    <w:p>
      <w:pPr>
        <w:ind w:left="316" w:hanging="316"/>
        <w:spacing w:after="0"/>
        <w:tabs>
          <w:tab w:leader="none" w:pos="31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LENDER'S GENERAL POWERS.</w:t>
      </w:r>
    </w:p>
    <w:p>
      <w:pPr>
        <w:spacing w:after="0" w:line="256" w:lineRule="exact"/>
        <w:rPr>
          <w:rFonts w:ascii="Arial" w:cs="Arial" w:eastAsia="Arial" w:hAnsi="Arial"/>
          <w:sz w:val="18"/>
          <w:szCs w:val="18"/>
          <w:b w:val="1"/>
          <w:bCs w:val="1"/>
          <w:color w:val="auto"/>
        </w:rPr>
      </w:pPr>
    </w:p>
    <w:p>
      <w:pPr>
        <w:ind w:left="31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Without notice or Borrower's consent, Lender may incur expenses to collect amounts due under this Note and enforce the terms of this Note. Among other things, the expenses may include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340360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36"/>
          </w:cols>
          <w:pgMar w:left="1084" w:top="584" w:right="379" w:bottom="1440" w:gutter="0" w:footer="0" w:header="0"/>
        </w:sectPr>
      </w:pPr>
    </w:p>
    <w:bookmarkStart w:id="61" w:name="page62"/>
    <w:bookmarkEnd w:id="61"/>
    <w:p>
      <w:pPr>
        <w:ind w:left="316" w:right="120"/>
        <w:spacing w:after="0" w:line="277" w:lineRule="auto"/>
        <w:rPr>
          <w:sz w:val="20"/>
          <w:szCs w:val="20"/>
          <w:color w:val="auto"/>
        </w:rPr>
      </w:pPr>
      <w:r>
        <w:rPr>
          <w:rFonts w:ascii="Arial" w:cs="Arial" w:eastAsia="Arial" w:hAnsi="Arial"/>
          <w:sz w:val="18"/>
          <w:szCs w:val="18"/>
          <w:color w:val="auto"/>
        </w:rPr>
        <w:t>attorney's fees and costs. If Lender incurs such expenses, it may demand immediate repayment from Borrower or add the expenses to the principal balance;</w:t>
      </w:r>
    </w:p>
    <w:p>
      <w:pPr>
        <w:spacing w:after="0" w:line="193" w:lineRule="exact"/>
        <w:rPr>
          <w:sz w:val="20"/>
          <w:szCs w:val="20"/>
          <w:color w:val="auto"/>
        </w:rPr>
      </w:pPr>
    </w:p>
    <w:p>
      <w:pPr>
        <w:ind w:left="316" w:hanging="316"/>
        <w:spacing w:after="0"/>
        <w:tabs>
          <w:tab w:leader="none" w:pos="31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VENUE; WHEN FEDERAL LAW APPLIES.</w:t>
      </w:r>
    </w:p>
    <w:p>
      <w:pPr>
        <w:spacing w:after="0" w:line="229" w:lineRule="exact"/>
        <w:rPr>
          <w:rFonts w:ascii="Arial" w:cs="Arial" w:eastAsia="Arial" w:hAnsi="Arial"/>
          <w:sz w:val="18"/>
          <w:szCs w:val="18"/>
          <w:b w:val="1"/>
          <w:bCs w:val="1"/>
          <w:color w:val="auto"/>
        </w:rPr>
      </w:pPr>
    </w:p>
    <w:p>
      <w:pPr>
        <w:ind w:left="316" w:right="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When SBA is the holder, this Note shall be interpreted and enforced under federal law, including SBA regulations. Lender or SBA may use state or local procedures for filing papers, recording documents, giving notice, foreclosing liens, and other purposes. By using such procedures, SBA does not waive any federal immunity from state or local control, penalty, tax, or liability. As to this Note, Borrower may not claim or assert against SBA any local or state law to deny any obligation, defeat any claim of SBA, or preempt federal law.</w:t>
      </w:r>
    </w:p>
    <w:p>
      <w:pPr>
        <w:spacing w:after="0" w:line="157" w:lineRule="exact"/>
        <w:rPr>
          <w:rFonts w:ascii="Arial" w:cs="Arial" w:eastAsia="Arial" w:hAnsi="Arial"/>
          <w:sz w:val="18"/>
          <w:szCs w:val="18"/>
          <w:b w:val="1"/>
          <w:bCs w:val="1"/>
          <w:color w:val="auto"/>
        </w:rPr>
      </w:pPr>
    </w:p>
    <w:p>
      <w:pPr>
        <w:ind w:left="316"/>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If the SBA is not the holder, this Note shall be governed by and construed in accordance with the laws of the State of Ohio where the main office of Lender is located. MATTERS REGARDING INTEREST TO BE CHARGED BY LENDER AND THE EXPORTATION OF INTEREST SHALL BE GOVERNED BY FEDERAL LAW (INCLUDING WITHOUT LIMITATION 12 U.S.C. SECTIONS 85 AND 1831u) AND THE LAW OF THE STATE OF OHIO. Borrower agrees that any legal action or proceeding with respect to any of its obligations under this Note may be brought by Lender in any state or federal court located in the State of Ohio, as Lender in its sole discretion may elect. Borrower submits to and accepts in respect of its property, generally and unconditionally, the non-exclusive jurisdiction of those courts. Borrower waives any claim that the State of Ohio is not a convenient forum or the proper venue for any such suit, action or proceeding. The extension of credit that is the subject of this Note is being made by Lender in Ohio.</w:t>
      </w:r>
    </w:p>
    <w:p>
      <w:pPr>
        <w:spacing w:after="0" w:line="201" w:lineRule="exact"/>
        <w:rPr>
          <w:rFonts w:ascii="Arial" w:cs="Arial" w:eastAsia="Arial" w:hAnsi="Arial"/>
          <w:sz w:val="18"/>
          <w:szCs w:val="18"/>
          <w:b w:val="1"/>
          <w:bCs w:val="1"/>
          <w:color w:val="auto"/>
        </w:rPr>
      </w:pPr>
    </w:p>
    <w:p>
      <w:pPr>
        <w:ind w:left="316" w:hanging="316"/>
        <w:spacing w:after="0"/>
        <w:tabs>
          <w:tab w:leader="none" w:pos="31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56" w:lineRule="exact"/>
        <w:rPr>
          <w:rFonts w:ascii="Arial" w:cs="Arial" w:eastAsia="Arial" w:hAnsi="Arial"/>
          <w:sz w:val="18"/>
          <w:szCs w:val="18"/>
          <w:b w:val="1"/>
          <w:bCs w:val="1"/>
          <w:color w:val="auto"/>
        </w:rPr>
      </w:pPr>
    </w:p>
    <w:p>
      <w:pPr>
        <w:ind w:left="316"/>
        <w:spacing w:after="0"/>
        <w:rPr>
          <w:rFonts w:ascii="Arial" w:cs="Arial" w:eastAsia="Arial" w:hAnsi="Arial"/>
          <w:sz w:val="18"/>
          <w:szCs w:val="18"/>
          <w:b w:val="1"/>
          <w:bCs w:val="1"/>
          <w:color w:val="auto"/>
        </w:rPr>
      </w:pPr>
      <w:r>
        <w:rPr>
          <w:rFonts w:ascii="Arial" w:cs="Arial" w:eastAsia="Arial" w:hAnsi="Arial"/>
          <w:sz w:val="18"/>
          <w:szCs w:val="18"/>
          <w:color w:val="auto"/>
        </w:rPr>
        <w:t>Under this Note, Borrower includes its successors, and Lender includes its successors and assigns.</w:t>
      </w:r>
    </w:p>
    <w:p>
      <w:pPr>
        <w:spacing w:after="0" w:line="248" w:lineRule="exact"/>
        <w:rPr>
          <w:rFonts w:ascii="Arial" w:cs="Arial" w:eastAsia="Arial" w:hAnsi="Arial"/>
          <w:sz w:val="18"/>
          <w:szCs w:val="18"/>
          <w:b w:val="1"/>
          <w:bCs w:val="1"/>
          <w:color w:val="auto"/>
        </w:rPr>
      </w:pPr>
    </w:p>
    <w:p>
      <w:pPr>
        <w:ind w:left="316" w:hanging="316"/>
        <w:spacing w:after="0"/>
        <w:tabs>
          <w:tab w:leader="none" w:pos="31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56" w:lineRule="exact"/>
        <w:rPr>
          <w:rFonts w:ascii="Arial" w:cs="Arial" w:eastAsia="Arial" w:hAnsi="Arial"/>
          <w:sz w:val="18"/>
          <w:szCs w:val="18"/>
          <w:b w:val="1"/>
          <w:bCs w:val="1"/>
          <w:color w:val="auto"/>
        </w:rPr>
      </w:pPr>
    </w:p>
    <w:p>
      <w:pPr>
        <w:ind w:left="736" w:hanging="345"/>
        <w:spacing w:after="0"/>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Borrower must sign all documents necessary at any time to comply with the Loan.</w:t>
      </w:r>
    </w:p>
    <w:p>
      <w:pPr>
        <w:spacing w:after="0" w:line="225" w:lineRule="exact"/>
        <w:rPr>
          <w:rFonts w:ascii="Arial" w:cs="Arial" w:eastAsia="Arial" w:hAnsi="Arial"/>
          <w:sz w:val="18"/>
          <w:szCs w:val="18"/>
          <w:color w:val="auto"/>
        </w:rPr>
      </w:pPr>
    </w:p>
    <w:p>
      <w:pPr>
        <w:ind w:left="736" w:right="160" w:hanging="345"/>
        <w:spacing w:after="0" w:line="277" w:lineRule="auto"/>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Borrower’s execution of this Note has been duly authorized by all necessary actions of its governing body. The person signing this Note is duly authorized to do so on behalf of Borrower.</w:t>
      </w:r>
    </w:p>
    <w:p>
      <w:pPr>
        <w:spacing w:after="0" w:line="170" w:lineRule="exact"/>
        <w:rPr>
          <w:rFonts w:ascii="Arial" w:cs="Arial" w:eastAsia="Arial" w:hAnsi="Arial"/>
          <w:sz w:val="18"/>
          <w:szCs w:val="18"/>
          <w:color w:val="auto"/>
        </w:rPr>
      </w:pPr>
    </w:p>
    <w:p>
      <w:pPr>
        <w:ind w:left="736" w:right="20" w:hanging="345"/>
        <w:spacing w:after="0" w:line="263" w:lineRule="auto"/>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Note shall not be governed by any existing or future credit agreement or loan agreement with Lender. The liabilities guaranteed pursuant to any existing or future guaranty in favor of Lender shall not include this Note. The liabilities secured by any existing or future security instrument in favor Lender shall not include this Note.</w:t>
      </w:r>
    </w:p>
    <w:p>
      <w:pPr>
        <w:spacing w:after="0" w:line="183" w:lineRule="exact"/>
        <w:rPr>
          <w:rFonts w:ascii="Arial" w:cs="Arial" w:eastAsia="Arial" w:hAnsi="Arial"/>
          <w:sz w:val="18"/>
          <w:szCs w:val="18"/>
          <w:color w:val="auto"/>
        </w:rPr>
      </w:pPr>
    </w:p>
    <w:p>
      <w:pPr>
        <w:ind w:left="736" w:right="180" w:hanging="345"/>
        <w:spacing w:after="0" w:line="277" w:lineRule="auto"/>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Lender may exercise any of its rights separately or together, as many times and in any order it chooses. Lender may delay or forgo enforcing any of its rights without giving up any of them.</w:t>
      </w:r>
    </w:p>
    <w:p>
      <w:pPr>
        <w:spacing w:after="0" w:line="170" w:lineRule="exact"/>
        <w:rPr>
          <w:rFonts w:ascii="Arial" w:cs="Arial" w:eastAsia="Arial" w:hAnsi="Arial"/>
          <w:sz w:val="18"/>
          <w:szCs w:val="18"/>
          <w:color w:val="auto"/>
        </w:rPr>
      </w:pPr>
    </w:p>
    <w:p>
      <w:pPr>
        <w:ind w:left="736" w:hanging="345"/>
        <w:spacing w:after="0"/>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Borrower may not use an oral statement of Lender or SBA to contradict or alter the written terms of this Note.</w:t>
      </w:r>
    </w:p>
    <w:p>
      <w:pPr>
        <w:spacing w:after="0" w:line="225" w:lineRule="exact"/>
        <w:rPr>
          <w:rFonts w:ascii="Arial" w:cs="Arial" w:eastAsia="Arial" w:hAnsi="Arial"/>
          <w:sz w:val="18"/>
          <w:szCs w:val="18"/>
          <w:color w:val="auto"/>
        </w:rPr>
      </w:pPr>
    </w:p>
    <w:p>
      <w:pPr>
        <w:ind w:left="736" w:hanging="345"/>
        <w:spacing w:after="0"/>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any part of this Note is unenforceable, all other parts remain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374650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96"/>
          </w:cols>
          <w:pgMar w:left="1084" w:top="584" w:right="519" w:bottom="1440" w:gutter="0" w:footer="0" w:header="0"/>
        </w:sectPr>
      </w:pPr>
    </w:p>
    <w:bookmarkStart w:id="62" w:name="page63"/>
    <w:bookmarkEnd w:id="62"/>
    <w:p>
      <w:pPr>
        <w:ind w:left="1500" w:hanging="345"/>
        <w:spacing w:after="0" w:line="277" w:lineRule="auto"/>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allowed by law, Borrower waives all demands and notices in connection with this Note, including presentment, demand, protest, and notice of dishonor.</w:t>
      </w:r>
    </w:p>
    <w:p>
      <w:pPr>
        <w:spacing w:after="0" w:line="170" w:lineRule="exact"/>
        <w:rPr>
          <w:rFonts w:ascii="Arial" w:cs="Arial" w:eastAsia="Arial" w:hAnsi="Arial"/>
          <w:sz w:val="18"/>
          <w:szCs w:val="18"/>
          <w:color w:val="auto"/>
        </w:rPr>
      </w:pPr>
    </w:p>
    <w:p>
      <w:pPr>
        <w:ind w:left="1500" w:right="40" w:hanging="345"/>
        <w:spacing w:after="0" w:line="259" w:lineRule="auto"/>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Borrower's liability under this Note will continue with respect to any amounts SBA may pay Bank based on an SBA guarantee of this Note. Any agreement with Bank under which SBA may guarantee this Note does not create any third party rights or benefits for Borrower and, if SBA pays Bank under such an agreement, SBA or Bank may then seek recovery from Borrower of amounts paid by SBA.</w:t>
      </w:r>
    </w:p>
    <w:p>
      <w:pPr>
        <w:spacing w:after="0" w:line="186" w:lineRule="exact"/>
        <w:rPr>
          <w:rFonts w:ascii="Arial" w:cs="Arial" w:eastAsia="Arial" w:hAnsi="Arial"/>
          <w:sz w:val="18"/>
          <w:szCs w:val="18"/>
          <w:color w:val="auto"/>
        </w:rPr>
      </w:pPr>
    </w:p>
    <w:p>
      <w:pPr>
        <w:ind w:left="1500" w:hanging="345"/>
        <w:spacing w:after="0"/>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Lender reserves the right to modify the Note Amount based on documentation received from Borrower.</w:t>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13. ELECTRONIC SIGNATURES.</w:t>
      </w:r>
    </w:p>
    <w:p>
      <w:pPr>
        <w:spacing w:after="0" w:line="229" w:lineRule="exact"/>
        <w:rPr>
          <w:sz w:val="20"/>
          <w:szCs w:val="20"/>
          <w:color w:val="auto"/>
        </w:rPr>
      </w:pPr>
    </w:p>
    <w:p>
      <w:pPr>
        <w:ind w:left="880" w:right="280"/>
        <w:spacing w:after="0" w:line="275" w:lineRule="auto"/>
        <w:rPr>
          <w:sz w:val="20"/>
          <w:szCs w:val="20"/>
          <w:color w:val="auto"/>
        </w:rPr>
      </w:pPr>
      <w:r>
        <w:rPr>
          <w:rFonts w:ascii="Arial" w:cs="Arial" w:eastAsia="Arial" w:hAnsi="Arial"/>
          <w:sz w:val="17"/>
          <w:szCs w:val="17"/>
          <w:color w:val="auto"/>
        </w:rPr>
        <w:t>Borrower’s electronic signature shall have the same force and effect as an original signature and shall be deemed (i) to be "written" or "in writing" or an “electronic record”, (ii) to have been signed and (iii) to constitute a record established and maintained in the ordinary course of business and an original written record when printed from electronic files. Such paper copies or "printouts," if introduced as evidence in any judicial, arbitral, mediation or administrative proceeding, will be admissible as between the parties to the same extent and under the same conditions as other original business records created and maintained in documentary form.</w:t>
      </w:r>
    </w:p>
    <w:p>
      <w:pPr>
        <w:spacing w:after="0" w:line="172"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b w:val="1"/>
          <w:bCs w:val="1"/>
          <w:color w:val="auto"/>
        </w:rPr>
        <w:t>14.</w:t>
        <w:tab/>
        <w:t>BORROWER’S NAME AND SIGNATURE: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26276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Steven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-10160</wp:posOffset>
            </wp:positionV>
            <wp:extent cx="24339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24339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2621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Signed: April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-10160</wp:posOffset>
            </wp:positionV>
            <wp:extent cx="2354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Subsidiary &amp; Name under</w:t>
            </w:r>
          </w:p>
        </w:tc>
        <w:tc>
          <w:tcPr>
            <w:tcW w:w="5640" w:type="dxa"/>
            <w:vAlign w:val="bottom"/>
          </w:tcPr>
          <w:p>
            <w:pPr>
              <w:spacing w:after="0"/>
              <w:rPr>
                <w:sz w:val="18"/>
                <w:szCs w:val="18"/>
                <w:color w:val="auto"/>
              </w:rPr>
            </w:pPr>
          </w:p>
        </w:tc>
      </w:tr>
      <w:tr>
        <w:trPr>
          <w:trHeight w:val="234"/>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which business is performed</w:t>
            </w: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25"/>
        </w:trPr>
        <w:tc>
          <w:tcPr>
            <w:tcW w:w="5600" w:type="dxa"/>
            <w:vAlign w:val="bottom"/>
          </w:tcPr>
          <w:p>
            <w:pPr>
              <w:ind w:left="140"/>
              <w:spacing w:after="0"/>
              <w:rPr>
                <w:sz w:val="20"/>
                <w:szCs w:val="20"/>
                <w:color w:val="auto"/>
              </w:rPr>
            </w:pPr>
            <w:r>
              <w:rPr>
                <w:rFonts w:ascii="Arial" w:cs="Arial" w:eastAsia="Arial" w:hAnsi="Arial"/>
                <w:sz w:val="18"/>
                <w:szCs w:val="18"/>
                <w:color w:val="auto"/>
              </w:rPr>
              <w:t>Frequency Electronics, Inc.</w:t>
            </w:r>
          </w:p>
        </w:tc>
        <w:tc>
          <w:tcPr>
            <w:tcW w:w="56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5600" w:type="dxa"/>
            <w:vAlign w:val="bottom"/>
          </w:tcPr>
          <w:p>
            <w:pPr>
              <w:ind w:left="140"/>
              <w:spacing w:after="0"/>
              <w:rPr>
                <w:sz w:val="20"/>
                <w:szCs w:val="20"/>
                <w:color w:val="auto"/>
              </w:rPr>
            </w:pPr>
            <w:r>
              <w:rPr>
                <w:rFonts w:ascii="Arial" w:cs="Arial" w:eastAsia="Arial" w:hAnsi="Arial"/>
                <w:sz w:val="18"/>
                <w:szCs w:val="18"/>
                <w:color w:val="auto"/>
              </w:rPr>
              <w:t>FEI Zyfer, Inc.</w:t>
            </w:r>
          </w:p>
        </w:tc>
        <w:tc>
          <w:tcPr>
            <w:tcW w:w="56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5600" w:type="dxa"/>
            <w:vAlign w:val="bottom"/>
          </w:tcPr>
          <w:p>
            <w:pPr>
              <w:ind w:left="140"/>
              <w:spacing w:after="0"/>
              <w:rPr>
                <w:sz w:val="20"/>
                <w:szCs w:val="20"/>
                <w:color w:val="auto"/>
              </w:rPr>
            </w:pPr>
            <w:r>
              <w:rPr>
                <w:rFonts w:ascii="Arial" w:cs="Arial" w:eastAsia="Arial" w:hAnsi="Arial"/>
                <w:sz w:val="18"/>
                <w:szCs w:val="18"/>
                <w:color w:val="auto"/>
              </w:rPr>
              <w:t>FEI-Elcom Tech, Inc.</w:t>
            </w:r>
          </w:p>
        </w:tc>
        <w:tc>
          <w:tcPr>
            <w:tcW w:w="56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40"/>
          </w:cols>
          <w:pgMar w:left="320" w:top="33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333-08901, 333-40506, 333-140938, 333-156600, 333-42233 and 333-188952) of Frequency Electronics, Inc. of our report dated July 29, 2020, relating to the consolidated financial statements which appears in this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ectPr>
          <w:pgSz w:w="11900" w:h="16838" w:orient="portrait"/>
          <w:cols w:equalWidth="0" w:num="1">
            <w:col w:w="11240"/>
          </w:cols>
          <w:pgMar w:left="320" w:top="337" w:right="339" w:bottom="1440" w:gutter="0" w:footer="0" w:header="0"/>
        </w:sectPr>
      </w:pPr>
    </w:p>
    <w:bookmarkStart w:id="65" w:name="page66"/>
    <w:bookmarkEnd w:id="65"/>
    <w:p>
      <w:pPr>
        <w:ind w:left="10320"/>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of Frequency Electronics, Inc. on Form S-8 (Nos. 333-08901, 333-40506, 333-140938, 333-156600, 333-42233 and 333-188952) of our report dated July 26, 2019 on our audit of the consolidated financial statements as of April 30, 2019 and for the year then ended, which report is included in this Annual Report on Form 10-K to be filed on or about July 28, 2020.</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EisnerAmper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ectPr>
          <w:pgSz w:w="11900" w:h="16838" w:orient="portrait"/>
          <w:cols w:equalWidth="0" w:num="1">
            <w:col w:w="11240"/>
          </w:cols>
          <w:pgMar w:left="320" w:top="33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firstLine="8"/>
        <w:spacing w:after="0" w:line="308" w:lineRule="auto"/>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3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Stanton Sloane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Stanton Sloane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firstLine="8"/>
        <w:spacing w:after="0" w:line="308" w:lineRule="auto"/>
        <w:tabs>
          <w:tab w:leader="none" w:pos="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3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Bernstein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2020 as filed with the Securities and Exchange Commission on the date hereof (the “Report”), I, Stanton Sloane, President and Chief Executive Officer of the Company, certify, pursuant to Section 18 U.S.C. 1350, as adopted pursuant to Section 906 of the Sarbanes-Oxley Act of 2002, that:</w:t>
      </w:r>
    </w:p>
    <w:p>
      <w:pPr>
        <w:spacing w:after="0" w:line="1"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/s/ Stanton Sloane</w:t>
            </w:r>
          </w:p>
        </w:tc>
        <w:tc>
          <w:tcPr>
            <w:tcW w:w="1100" w:type="dxa"/>
            <w:vAlign w:val="bottom"/>
          </w:tcPr>
          <w:p>
            <w:pPr>
              <w:ind w:left="120"/>
              <w:spacing w:after="0"/>
              <w:rPr>
                <w:sz w:val="20"/>
                <w:szCs w:val="20"/>
                <w:color w:val="auto"/>
              </w:rPr>
            </w:pPr>
            <w:r>
              <w:rPr>
                <w:rFonts w:ascii="Arial" w:cs="Arial" w:eastAsia="Arial" w:hAnsi="Arial"/>
                <w:sz w:val="18"/>
                <w:szCs w:val="18"/>
                <w:color w:val="auto"/>
                <w:w w:val="89"/>
              </w:rPr>
              <w:t>July 29, 2020</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2"/>
        </w:trPr>
        <w:tc>
          <w:tcPr>
            <w:tcW w:w="2860" w:type="dxa"/>
            <w:vAlign w:val="bottom"/>
            <w:gridSpan w:val="3"/>
          </w:tcPr>
          <w:p>
            <w:pPr>
              <w:spacing w:after="0"/>
              <w:rPr>
                <w:sz w:val="20"/>
                <w:szCs w:val="20"/>
                <w:color w:val="auto"/>
              </w:rPr>
            </w:pPr>
            <w:r>
              <w:rPr>
                <w:rFonts w:ascii="Arial" w:cs="Arial" w:eastAsia="Arial" w:hAnsi="Arial"/>
                <w:sz w:val="18"/>
                <w:szCs w:val="18"/>
                <w:color w:val="auto"/>
              </w:rPr>
              <w:t>Stanton Sloane</w:t>
            </w:r>
          </w:p>
        </w:tc>
        <w:tc>
          <w:tcPr>
            <w:tcW w:w="1100" w:type="dxa"/>
            <w:vAlign w:val="bottom"/>
          </w:tcPr>
          <w:p>
            <w:pPr>
              <w:spacing w:after="0"/>
              <w:rPr>
                <w:sz w:val="19"/>
                <w:szCs w:val="19"/>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w w:val="94"/>
              </w:rPr>
              <w:t>President and Chief Executive Officer</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2020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1"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/s/ Steven L. Bernstein</w:t>
            </w:r>
          </w:p>
        </w:tc>
        <w:tc>
          <w:tcPr>
            <w:tcW w:w="1620" w:type="dxa"/>
            <w:vAlign w:val="bottom"/>
          </w:tcPr>
          <w:p>
            <w:pPr>
              <w:ind w:left="640"/>
              <w:spacing w:after="0"/>
              <w:rPr>
                <w:sz w:val="20"/>
                <w:szCs w:val="20"/>
                <w:color w:val="auto"/>
              </w:rPr>
            </w:pPr>
            <w:r>
              <w:rPr>
                <w:rFonts w:ascii="Arial" w:cs="Arial" w:eastAsia="Arial" w:hAnsi="Arial"/>
                <w:sz w:val="18"/>
                <w:szCs w:val="18"/>
                <w:color w:val="auto"/>
                <w:w w:val="89"/>
              </w:rPr>
              <w:t>July 29, 2020</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2"/>
        </w:trPr>
        <w:tc>
          <w:tcPr>
            <w:tcW w:w="232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1620" w:type="dxa"/>
            <w:vAlign w:val="bottom"/>
          </w:tcPr>
          <w:p>
            <w:pPr>
              <w:spacing w:after="0"/>
              <w:rPr>
                <w:sz w:val="19"/>
                <w:szCs w:val="19"/>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2"/>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5"/>
    </w:lvl>
  </w:abstractNum>
  <w:abstractNum w:abstractNumId="9">
    <w:nsid w:val="8138641"/>
    <w:multiLevelType w:val="hybridMultilevel"/>
    <w:lvl w:ilvl="0">
      <w:lvlJc w:val="left"/>
      <w:lvlText w:val="%1."/>
      <w:numFmt w:val="decimal"/>
      <w:start w:val="6"/>
    </w:lvl>
  </w:abstractNum>
  <w:abstractNum w:abstractNumId="10">
    <w:nsid w:val="1E7FF521"/>
    <w:multiLevelType w:val="hybridMultilevel"/>
    <w:lvl w:ilvl="0">
      <w:lvlJc w:val="left"/>
      <w:lvlText w:val="%1."/>
      <w:numFmt w:val="decimal"/>
      <w:start w:val="7"/>
    </w:lvl>
  </w:abstractNum>
  <w:abstractNum w:abstractNumId="11">
    <w:nsid w:val="7C3DBD3D"/>
    <w:multiLevelType w:val="hybridMultilevel"/>
    <w:lvl w:ilvl="0">
      <w:lvlJc w:val="left"/>
      <w:lvlText w:val="%1."/>
      <w:numFmt w:val="decimal"/>
      <w:start w:val="8"/>
    </w:lvl>
  </w:abstractNum>
  <w:abstractNum w:abstractNumId="12">
    <w:nsid w:val="737B8DDC"/>
    <w:multiLevelType w:val="hybridMultilevel"/>
    <w:lvl w:ilvl="0">
      <w:lvlJc w:val="left"/>
      <w:lvlText w:val="%1."/>
      <w:numFmt w:val="decimal"/>
      <w:start w:val="9"/>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2"/>
    </w:lvl>
  </w:abstractNum>
  <w:abstractNum w:abstractNumId="15">
    <w:nsid w:val="4516DDE9"/>
    <w:multiLevelType w:val="hybridMultilevel"/>
    <w:lvl w:ilvl="0">
      <w:lvlJc w:val="left"/>
      <w:lvlText w:val="%1."/>
      <w:numFmt w:val="decimal"/>
      <w:start w:val="13"/>
    </w:lvl>
  </w:abstractNum>
  <w:abstractNum w:abstractNumId="16">
    <w:nsid w:val="3006C83E"/>
    <w:multiLevelType w:val="hybridMultilevel"/>
    <w:lvl w:ilvl="0">
      <w:lvlJc w:val="left"/>
      <w:lvlText w:val="%1."/>
      <w:numFmt w:val="decimal"/>
      <w:start w:val="14"/>
    </w:lvl>
  </w:abstractNum>
  <w:abstractNum w:abstractNumId="17">
    <w:nsid w:val="614FD4A1"/>
    <w:multiLevelType w:val="hybridMultilevel"/>
    <w:lvl w:ilvl="0">
      <w:lvlJc w:val="left"/>
      <w:lvlText w:val="%1"/>
      <w:numFmt w:val="decimal"/>
      <w:start w:val="1"/>
    </w:lvl>
    <w:lvl w:ilvl="1">
      <w:lvlJc w:val="left"/>
      <w:lvlText w:val="(%2)"/>
      <w:numFmt w:val="decimal"/>
      <w:start w:val="1"/>
    </w:lvl>
  </w:abstractNum>
  <w:abstractNum w:abstractNumId="18">
    <w:nsid w:val="419AC241"/>
    <w:multiLevelType w:val="hybridMultilevel"/>
    <w:lvl w:ilvl="0">
      <w:lvlJc w:val="left"/>
      <w:lvlText w:val="(%1)"/>
      <w:numFmt w:val="decimal"/>
      <w:start w:val="2"/>
    </w:lvl>
    <w:lvl w:ilvl="1">
      <w:lvlJc w:val="left"/>
      <w:lvlText w:val="%2"/>
      <w:numFmt w:val="decimal"/>
      <w:start w:val="1"/>
    </w:lvl>
  </w:abstractNum>
  <w:abstractNum w:abstractNumId="19">
    <w:nsid w:val="5577F8E1"/>
    <w:multiLevelType w:val="hybridMultilevel"/>
    <w:lvl w:ilvl="0">
      <w:lvlJc w:val="left"/>
      <w:lvlText w:val="%1."/>
      <w:numFmt w:val="decimal"/>
      <w:start w:val="16"/>
    </w:lvl>
  </w:abstractNum>
  <w:abstractNum w:abstractNumId="20">
    <w:nsid w:val="440BADFC"/>
    <w:multiLevelType w:val="hybridMultilevel"/>
    <w:lvl w:ilvl="0">
      <w:lvlJc w:val="left"/>
      <w:lvlText w:val="%1."/>
      <w:numFmt w:val="decimal"/>
      <w:start w:val="17"/>
    </w:lvl>
  </w:abstractNum>
  <w:abstractNum w:abstractNumId="21">
    <w:nsid w:val="5072367"/>
    <w:multiLevelType w:val="hybridMultilevel"/>
    <w:lvl w:ilvl="0">
      <w:lvlJc w:val="left"/>
      <w:lvlText w:val="%1."/>
      <w:numFmt w:val="decimal"/>
      <w:start w:val="18"/>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01"/>
    </w:lvl>
  </w:abstractNum>
  <w:abstractNum w:abstractNumId="26">
    <w:nsid w:val="2463B9EA"/>
    <w:multiLevelType w:val="hybridMultilevel"/>
    <w:lvl w:ilvl="0">
      <w:lvlJc w:val="left"/>
      <w:lvlText w:val="*"/>
      <w:numFmt w:val="bullet"/>
      <w:start w:val="1"/>
    </w:lvl>
    <w:lvl w:ilvl="1">
      <w:lvlJc w:val="left"/>
      <w:lvlText w:val="(%2)"/>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lvl w:ilvl="1">
      <w:lvlJc w:val="left"/>
      <w:lvlText w:val="%2"/>
      <w:numFmt w:val="upperLetter"/>
      <w:start w:val="1"/>
    </w:lvl>
  </w:abstractNum>
  <w:abstractNum w:abstractNumId="31">
    <w:nsid w:val="153EA438"/>
    <w:multiLevelType w:val="hybridMultilevel"/>
    <w:lvl w:ilvl="0">
      <w:lvlJc w:val="left"/>
      <w:lvlText w:val="%1"/>
      <w:numFmt w:val="decimal"/>
      <w:start w:val="1"/>
    </w:lvl>
    <w:lvl w:ilvl="1">
      <w:lvlJc w:val="left"/>
      <w:lvlText w:val="%2."/>
      <w:numFmt w:val="upperLetter"/>
      <w:start w:val="2"/>
    </w:lvl>
  </w:abstractNum>
  <w:abstractNum w:abstractNumId="32">
    <w:nsid w:val="3855585C"/>
    <w:multiLevelType w:val="hybridMultilevel"/>
    <w:lvl w:ilvl="0">
      <w:lvlJc w:val="left"/>
      <w:lvlText w:val="%1."/>
      <w:numFmt w:val="decimal"/>
      <w:start w:val="4"/>
    </w:lvl>
    <w:lvl w:ilvl="1">
      <w:lvlJc w:val="left"/>
      <w:lvlText w:val="%2."/>
      <w:numFmt w:val="upperLetter"/>
      <w:start w:val="1"/>
    </w:lvl>
  </w:abstractNum>
  <w:abstractNum w:abstractNumId="33">
    <w:nsid w:val="70A64E2A"/>
    <w:multiLevelType w:val="hybridMultilevel"/>
    <w:lvl w:ilvl="0">
      <w:lvlJc w:val="left"/>
      <w:lvlText w:val="%1"/>
      <w:numFmt w:val="decimal"/>
      <w:start w:val="1"/>
    </w:lvl>
    <w:lvl w:ilvl="1">
      <w:lvlJc w:val="left"/>
      <w:lvlText w:val="%2."/>
      <w:numFmt w:val="upperLetter"/>
      <w:start w:val="3"/>
    </w:lvl>
  </w:abstractNum>
  <w:abstractNum w:abstractNumId="34">
    <w:nsid w:val="6A2342EC"/>
    <w:multiLevelType w:val="hybridMultilevel"/>
    <w:lvl w:ilvl="0">
      <w:lvlJc w:val="left"/>
      <w:lvlText w:val="%1."/>
      <w:numFmt w:val="decimal"/>
      <w:start w:val="6"/>
    </w:lvl>
    <w:lvl w:ilvl="1">
      <w:lvlJc w:val="left"/>
      <w:lvlText w:val="%2"/>
      <w:numFmt w:val="upperLetter"/>
      <w:start w:val="1"/>
    </w:lvl>
  </w:abstractNum>
  <w:abstractNum w:abstractNumId="35">
    <w:nsid w:val="2A487CB0"/>
    <w:multiLevelType w:val="hybridMultilevel"/>
    <w:lvl w:ilvl="0">
      <w:lvlJc w:val="left"/>
      <w:lvlText w:val="%1."/>
      <w:numFmt w:val="upperLetter"/>
      <w:start w:val="1"/>
    </w:lvl>
  </w:abstractNum>
  <w:abstractNum w:abstractNumId="36">
    <w:nsid w:val="1D4ED43B"/>
    <w:multiLevelType w:val="hybridMultilevel"/>
    <w:lvl w:ilvl="0">
      <w:lvlJc w:val="left"/>
      <w:lvlText w:val="%1"/>
      <w:numFmt w:val="decimal"/>
      <w:start w:val="1"/>
    </w:lvl>
    <w:lvl w:ilvl="1">
      <w:lvlJc w:val="left"/>
      <w:lvlText w:val="%2."/>
      <w:numFmt w:val="upperLetter"/>
      <w:start w:val="5"/>
    </w:lvl>
  </w:abstractNum>
  <w:abstractNum w:abstractNumId="37">
    <w:nsid w:val="725A06FB"/>
    <w:multiLevelType w:val="hybridMultilevel"/>
    <w:lvl w:ilvl="0">
      <w:lvlJc w:val="left"/>
      <w:lvlText w:val="%1."/>
      <w:numFmt w:val="decimal"/>
      <w:start w:val="7"/>
    </w:lvl>
    <w:lvl w:ilvl="1">
      <w:lvlJc w:val="left"/>
      <w:lvlText w:val="%2."/>
      <w:numFmt w:val="upperLetter"/>
      <w:start w:val="1"/>
    </w:lvl>
  </w:abstractNum>
  <w:abstractNum w:abstractNumId="38">
    <w:nsid w:val="2CD89A32"/>
    <w:multiLevelType w:val="hybridMultilevel"/>
    <w:lvl w:ilvl="0">
      <w:lvlJc w:val="left"/>
      <w:lvlText w:val="%1."/>
      <w:numFmt w:val="decimal"/>
      <w:start w:val="10"/>
    </w:lvl>
    <w:lvl w:ilvl="1">
      <w:lvlJc w:val="left"/>
      <w:lvlText w:val="%2."/>
      <w:numFmt w:val="upperLetter"/>
      <w:start w:val="1"/>
    </w:lvl>
  </w:abstractNum>
  <w:abstractNum w:abstractNumId="39">
    <w:nsid w:val="57E4CCAF"/>
    <w:multiLevelType w:val="hybridMultilevel"/>
    <w:lvl w:ilvl="0">
      <w:lvlJc w:val="left"/>
      <w:lvlText w:val="%1."/>
      <w:numFmt w:val="upperLetter"/>
      <w:start w:val="7"/>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jpe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68" Type="http://schemas.openxmlformats.org/officeDocument/2006/relationships/hyperlink" Target="http://www.sec.gov/Archives/edgar/data/39020/000114420412011172/v303671_8k.htm" TargetMode="External"/><Relationship Id="rId69" Type="http://schemas.openxmlformats.org/officeDocument/2006/relationships/hyperlink" Target="http://www.sec.gov/Archives/edgar/data/39020/000118518520000896/ex_191621.htm" TargetMode="External"/><Relationship Id="rId71" Type="http://schemas.openxmlformats.org/officeDocument/2006/relationships/hyperlink" Target="http://www.sec.gov/Archives/edgar/data/39020/000118518518000782/ex10-1.htm" TargetMode="External"/><Relationship Id="rId72" Type="http://schemas.openxmlformats.org/officeDocument/2006/relationships/hyperlink" Target="http://www.sec.gov/Archives/edgar/data/39020/000118518516005440/ex10-1.htm" TargetMode="External"/><Relationship Id="rId73" Type="http://schemas.openxmlformats.org/officeDocument/2006/relationships/hyperlink" Target="http://www.sec.gov/Archives/edgar/data/39020/000003902005000049/stockplan8k.txt" TargetMode="External"/><Relationship Id="rId74" Type="http://schemas.openxmlformats.org/officeDocument/2006/relationships/hyperlink" Target="http://www.sec.gov/Archives/edgar/data/39020/0000039020-98-000011.txt" TargetMode="External"/><Relationship Id="rId75" Type="http://schemas.openxmlformats.org/officeDocument/2006/relationships/hyperlink" Target="http://www.sec.gov/Archives/edgar/data/39020/000118518518001293/ex10-13.htm" TargetMode="External"/><Relationship Id="rId76" Type="http://schemas.openxmlformats.org/officeDocument/2006/relationships/hyperlink" Target="http://www.sec.gov/Archives/edgar/data/39020/000118518518001564/ex_122723.htm" TargetMode="External"/><Relationship Id="rId77" Type="http://schemas.openxmlformats.org/officeDocument/2006/relationships/hyperlink" Target="http://www.sec.gov/Archives/edgar/data/39020/000118518518001564/ex_122724.htm" TargetMode="External"/><Relationship Id="rId78" Type="http://schemas.openxmlformats.org/officeDocument/2006/relationships/hyperlink" Target="http://www.sec.gov/Archives/edgar/data/39020/000118518519001020/ex_151317.htm" TargetMode="External"/><Relationship Id="rId79" Type="http://schemas.openxmlformats.org/officeDocument/2006/relationships/hyperlink" Target="http://www.sec.gov/Archives/edgar/data/39020/000118518519001036/ex_152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2020-07-29T15:48:49Z</dcterms:created>
  <dcterms:modified xsi:type="dcterms:W3CDTF">2020-07-29T15:48:49Z</dcterms:modified>
</cp:coreProperties>
</file>