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1700" w:right="2619" w:hanging="428"/>
        <w:spacing w:after="0" w:line="235"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October 31, 2004</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ind w:left="1700" w:right="2519" w:hanging="428"/>
        <w:spacing w:after="0" w:line="235" w:lineRule="auto"/>
        <w:tabs>
          <w:tab w:leader="none" w:pos="148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 (d) OF THE SECURITIES EXCHANGE ACT OF 1934</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 to __________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No. 1-8061</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FREQUENCY ELECTRONICS,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Delaware</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11-1986657</w:t>
            </w:r>
          </w:p>
        </w:tc>
        <w:tc>
          <w:tcPr>
            <w:tcW w:w="1160" w:type="dxa"/>
            <w:vAlign w:val="bottom"/>
          </w:tcPr>
          <w:p>
            <w:pPr>
              <w:spacing w:after="0"/>
              <w:rPr>
                <w:sz w:val="17"/>
                <w:szCs w:val="17"/>
                <w:color w:val="auto"/>
              </w:rPr>
            </w:pPr>
          </w:p>
        </w:tc>
      </w:tr>
      <w:tr>
        <w:trPr>
          <w:trHeight w:val="203"/>
        </w:trPr>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480" w:type="dxa"/>
            <w:vAlign w:val="bottom"/>
          </w:tcPr>
          <w:p>
            <w:pPr>
              <w:spacing w:after="0"/>
              <w:rPr>
                <w:sz w:val="17"/>
                <w:szCs w:val="17"/>
                <w:color w:val="auto"/>
              </w:rPr>
            </w:pPr>
          </w:p>
        </w:tc>
        <w:tc>
          <w:tcPr>
            <w:tcW w:w="4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(I.R.S. Employer Identification No.)</w:t>
            </w:r>
          </w:p>
        </w:tc>
      </w:tr>
      <w:tr>
        <w:trPr>
          <w:trHeight w:val="203"/>
        </w:trPr>
        <w:tc>
          <w:tcPr>
            <w:tcW w:w="3580" w:type="dxa"/>
            <w:vAlign w:val="bottom"/>
            <w:gridSpan w:val="4"/>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380" w:type="dxa"/>
            <w:vAlign w:val="bottom"/>
            <w:gridSpan w:val="7"/>
          </w:tcPr>
          <w:p>
            <w:pPr>
              <w:spacing w:after="0"/>
              <w:rPr>
                <w:sz w:val="20"/>
                <w:szCs w:val="20"/>
                <w:color w:val="auto"/>
              </w:rPr>
            </w:pPr>
            <w:r>
              <w:rPr>
                <w:rFonts w:ascii="Courier New" w:cs="Courier New" w:eastAsia="Courier New" w:hAnsi="Courier New"/>
                <w:sz w:val="18"/>
                <w:szCs w:val="18"/>
                <w:color w:val="auto"/>
              </w:rPr>
              <w:t>55 CHARLES LINDBERGH BLVD., MITCHEL FIELD, N.Y.</w:t>
            </w:r>
          </w:p>
        </w:tc>
        <w:tc>
          <w:tcPr>
            <w:tcW w:w="68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11553</w:t>
            </w:r>
          </w:p>
        </w:tc>
        <w:tc>
          <w:tcPr>
            <w:tcW w:w="1160" w:type="dxa"/>
            <w:vAlign w:val="bottom"/>
          </w:tcPr>
          <w:p>
            <w:pPr>
              <w:spacing w:after="0"/>
              <w:rPr>
                <w:sz w:val="24"/>
                <w:szCs w:val="24"/>
                <w:color w:val="auto"/>
              </w:rPr>
            </w:pPr>
          </w:p>
        </w:tc>
      </w:tr>
      <w:tr>
        <w:trPr>
          <w:trHeight w:val="203"/>
        </w:trPr>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(Address of principal executive</w:t>
            </w:r>
          </w:p>
        </w:tc>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offices)</w:t>
            </w:r>
          </w:p>
        </w:tc>
        <w:tc>
          <w:tcPr>
            <w:tcW w:w="640" w:type="dxa"/>
            <w:vAlign w:val="bottom"/>
          </w:tcPr>
          <w:p>
            <w:pPr>
              <w:spacing w:after="0"/>
              <w:rPr>
                <w:sz w:val="17"/>
                <w:szCs w:val="17"/>
                <w:color w:val="auto"/>
              </w:rPr>
            </w:pPr>
          </w:p>
        </w:tc>
        <w:tc>
          <w:tcPr>
            <w:tcW w:w="1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(Zip Code)</w:t>
            </w:r>
          </w:p>
        </w:tc>
        <w:tc>
          <w:tcPr>
            <w:tcW w:w="1160" w:type="dxa"/>
            <w:vAlign w:val="bottom"/>
          </w:tcPr>
          <w:p>
            <w:pPr>
              <w:spacing w:after="0"/>
              <w:rPr>
                <w:sz w:val="17"/>
                <w:szCs w:val="17"/>
                <w:color w:val="auto"/>
              </w:rPr>
            </w:pPr>
          </w:p>
        </w:tc>
      </w:tr>
      <w:tr>
        <w:trPr>
          <w:trHeight w:val="608"/>
        </w:trPr>
        <w:tc>
          <w:tcPr>
            <w:tcW w:w="4740" w:type="dxa"/>
            <w:vAlign w:val="bottom"/>
            <w:gridSpan w:val="6"/>
          </w:tcPr>
          <w:p>
            <w:pPr>
              <w:spacing w:after="0"/>
              <w:rPr>
                <w:sz w:val="20"/>
                <w:szCs w:val="20"/>
                <w:color w:val="auto"/>
              </w:rPr>
            </w:pPr>
            <w:r>
              <w:rPr>
                <w:rFonts w:ascii="Courier New" w:cs="Courier New" w:eastAsia="Courier New" w:hAnsi="Courier New"/>
                <w:sz w:val="18"/>
                <w:szCs w:val="18"/>
                <w:color w:val="auto"/>
                <w:w w:val="97"/>
              </w:rPr>
              <w:t>Registrant's telephone number, including area</w:t>
            </w:r>
          </w:p>
        </w:tc>
        <w:tc>
          <w:tcPr>
            <w:tcW w:w="2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code: 516-794-4500</w:t>
            </w:r>
          </w:p>
        </w:tc>
        <w:tc>
          <w:tcPr>
            <w:tcW w:w="1160" w:type="dxa"/>
            <w:vAlign w:val="bottom"/>
          </w:tcPr>
          <w:p>
            <w:pPr>
              <w:spacing w:after="0"/>
              <w:rPr>
                <w:sz w:val="24"/>
                <w:szCs w:val="24"/>
                <w:color w:val="auto"/>
              </w:rPr>
            </w:pPr>
          </w:p>
        </w:tc>
      </w:tr>
      <w:tr>
        <w:trPr>
          <w:trHeight w:val="405"/>
        </w:trPr>
        <w:tc>
          <w:tcPr>
            <w:tcW w:w="3580" w:type="dxa"/>
            <w:vAlign w:val="bottom"/>
            <w:gridSpan w:val="4"/>
          </w:tcPr>
          <w:p>
            <w:pPr>
              <w:spacing w:after="0"/>
              <w:rPr>
                <w:sz w:val="20"/>
                <w:szCs w:val="20"/>
                <w:color w:val="auto"/>
              </w:rPr>
            </w:pPr>
            <w:r>
              <w:rPr>
                <w:rFonts w:ascii="Courier New" w:cs="Courier New" w:eastAsia="Courier New" w:hAnsi="Courier New"/>
                <w:sz w:val="18"/>
                <w:szCs w:val="18"/>
                <w:color w:val="auto"/>
                <w:w w:val="96"/>
              </w:rPr>
              <w:t>Indicate by check mark whether the</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Registrant</w:t>
            </w:r>
          </w:p>
        </w:tc>
        <w:tc>
          <w:tcPr>
            <w:tcW w:w="37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(1) has filed all reports required</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filed</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by  Section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or 15</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 of the</w:t>
            </w:r>
          </w:p>
        </w:tc>
        <w:tc>
          <w:tcPr>
            <w:tcW w:w="1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Exchange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Act of 1934</w:t>
            </w:r>
          </w:p>
        </w:tc>
      </w:tr>
      <w:tr>
        <w:trPr>
          <w:trHeight w:val="203"/>
        </w:trPr>
        <w:tc>
          <w:tcPr>
            <w:tcW w:w="3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during the preceding 12 months (or</w:t>
            </w:r>
          </w:p>
        </w:tc>
        <w:tc>
          <w:tcPr>
            <w:tcW w:w="18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for such shorter</w:t>
            </w:r>
          </w:p>
        </w:tc>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period that the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was  required</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to file such</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reports),</w:t>
            </w:r>
          </w:p>
        </w:tc>
        <w:tc>
          <w:tcPr>
            <w:tcW w:w="20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and (2) has been</w:t>
            </w: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subject to such filing</w:t>
            </w: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requirements for the past 90</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days.</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Yes X</w:t>
            </w:r>
          </w:p>
        </w:tc>
        <w:tc>
          <w:tcPr>
            <w:tcW w:w="1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No ___</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Indicate  by check mark</w:t>
            </w:r>
          </w:p>
        </w:tc>
        <w:tc>
          <w:tcPr>
            <w:tcW w:w="1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whether</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13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9"/>
              </w:rPr>
              <w:t>registrant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is an</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accelerated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filer (as</w:t>
            </w: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defined in Exchange Act Rule</w:t>
            </w:r>
          </w:p>
        </w:tc>
        <w:tc>
          <w:tcPr>
            <w:tcW w:w="17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12 b-2). Yes  No</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number of shares outstanding of Registrant's Common Stock, par value $1.00 as of December 9, 2004 - 8,492,877</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23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3420" w:type="dxa"/>
            <w:vAlign w:val="bottom"/>
          </w:tcPr>
          <w:p>
            <w:pPr>
              <w:ind w:left="1000"/>
              <w:spacing w:after="0"/>
              <w:rPr>
                <w:sz w:val="20"/>
                <w:szCs w:val="20"/>
                <w:color w:val="auto"/>
              </w:rPr>
            </w:pPr>
            <w:r>
              <w:rPr>
                <w:rFonts w:ascii="Courier New" w:cs="Courier New" w:eastAsia="Courier New" w:hAnsi="Courier New"/>
                <w:sz w:val="18"/>
                <w:szCs w:val="18"/>
                <w:color w:val="auto"/>
              </w:rPr>
              <w:t>INDEX</w:t>
            </w:r>
          </w:p>
        </w:tc>
        <w:tc>
          <w:tcPr>
            <w:tcW w:w="1580" w:type="dxa"/>
            <w:vAlign w:val="bottom"/>
          </w:tcPr>
          <w:p>
            <w:pPr>
              <w:spacing w:after="0"/>
              <w:rPr>
                <w:sz w:val="17"/>
                <w:szCs w:val="17"/>
                <w:color w:val="auto"/>
              </w:rPr>
            </w:pPr>
          </w:p>
        </w:tc>
      </w:tr>
      <w:tr>
        <w:trPr>
          <w:trHeight w:val="810"/>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580" w:type="dxa"/>
            <w:vAlign w:val="bottom"/>
          </w:tcPr>
          <w:p>
            <w:pPr>
              <w:ind w:left="740"/>
              <w:spacing w:after="0"/>
              <w:rPr>
                <w:sz w:val="20"/>
                <w:szCs w:val="20"/>
                <w:color w:val="auto"/>
              </w:rPr>
            </w:pPr>
            <w:r>
              <w:rPr>
                <w:rFonts w:ascii="Courier New" w:cs="Courier New" w:eastAsia="Courier New" w:hAnsi="Courier New"/>
                <w:sz w:val="18"/>
                <w:szCs w:val="18"/>
                <w:color w:val="auto"/>
                <w:w w:val="94"/>
              </w:rPr>
              <w:t>Page No.</w:t>
            </w:r>
          </w:p>
        </w:tc>
      </w:tr>
      <w:tr>
        <w:trPr>
          <w:trHeight w:val="405"/>
        </w:trPr>
        <w:tc>
          <w:tcPr>
            <w:tcW w:w="64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Item 1 - Financial Statements:</w:t>
            </w:r>
          </w:p>
        </w:tc>
        <w:tc>
          <w:tcPr>
            <w:tcW w:w="1580" w:type="dxa"/>
            <w:vAlign w:val="bottom"/>
          </w:tcPr>
          <w:p>
            <w:pPr>
              <w:spacing w:after="0"/>
              <w:rPr>
                <w:sz w:val="24"/>
                <w:szCs w:val="24"/>
                <w:color w:val="auto"/>
              </w:rPr>
            </w:pP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Balance Sheets -</w:t>
            </w:r>
          </w:p>
        </w:tc>
        <w:tc>
          <w:tcPr>
            <w:tcW w:w="1580" w:type="dxa"/>
            <w:vAlign w:val="bottom"/>
          </w:tcPr>
          <w:p>
            <w:pPr>
              <w:spacing w:after="0"/>
              <w:rPr>
                <w:sz w:val="24"/>
                <w:szCs w:val="24"/>
                <w:color w:val="auto"/>
              </w:rPr>
            </w:pPr>
          </w:p>
        </w:tc>
      </w:tr>
      <w:tr>
        <w:trPr>
          <w:trHeight w:val="203"/>
        </w:trPr>
        <w:tc>
          <w:tcPr>
            <w:tcW w:w="64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October 31, 2004 and April 30, 2004</w:t>
            </w:r>
          </w:p>
        </w:tc>
        <w:tc>
          <w:tcPr>
            <w:tcW w:w="158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8"/>
              </w:rPr>
              <w:t>3-4</w:t>
            </w: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1580" w:type="dxa"/>
            <w:vAlign w:val="bottom"/>
          </w:tcPr>
          <w:p>
            <w:pPr>
              <w:spacing w:after="0"/>
              <w:rPr>
                <w:sz w:val="24"/>
                <w:szCs w:val="24"/>
                <w:color w:val="auto"/>
              </w:rPr>
            </w:pPr>
          </w:p>
        </w:tc>
      </w:tr>
      <w:tr>
        <w:trPr>
          <w:trHeight w:val="203"/>
        </w:trPr>
        <w:tc>
          <w:tcPr>
            <w:tcW w:w="64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Six Months Ended October 31, 2004 and 2003</w:t>
            </w:r>
          </w:p>
        </w:tc>
        <w:tc>
          <w:tcPr>
            <w:tcW w:w="158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2"/>
              </w:rPr>
              <w:t>5</w:t>
            </w: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1580" w:type="dxa"/>
            <w:vAlign w:val="bottom"/>
          </w:tcPr>
          <w:p>
            <w:pPr>
              <w:spacing w:after="0"/>
              <w:rPr>
                <w:sz w:val="24"/>
                <w:szCs w:val="24"/>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October 31, 2004 and 2003</w:t>
            </w:r>
          </w:p>
        </w:tc>
        <w:tc>
          <w:tcPr>
            <w:tcW w:w="158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2"/>
              </w:rPr>
              <w:t>6</w:t>
            </w: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Statements of Cash Flows</w:t>
            </w:r>
          </w:p>
        </w:tc>
        <w:tc>
          <w:tcPr>
            <w:tcW w:w="1580" w:type="dxa"/>
            <w:vAlign w:val="bottom"/>
          </w:tcPr>
          <w:p>
            <w:pPr>
              <w:spacing w:after="0"/>
              <w:rPr>
                <w:sz w:val="24"/>
                <w:szCs w:val="24"/>
                <w:color w:val="auto"/>
              </w:rPr>
            </w:pP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Six Months Ended October 31, 2004 and 2003</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r>
      <w:tr>
        <w:trPr>
          <w:trHeight w:val="405"/>
        </w:trPr>
        <w:tc>
          <w:tcPr>
            <w:tcW w:w="72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8-12</w:t>
            </w: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Item 2</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 Management's Discussion and Analysis of</w:t>
            </w:r>
          </w:p>
        </w:tc>
        <w:tc>
          <w:tcPr>
            <w:tcW w:w="62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12-17</w:t>
            </w:r>
          </w:p>
        </w:tc>
      </w:tr>
      <w:tr>
        <w:trPr>
          <w:trHeight w:val="405"/>
        </w:trPr>
        <w:tc>
          <w:tcPr>
            <w:tcW w:w="72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Item 3- Quantitative and Qualitative Disclosures about Market Risk</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w:t>
            </w:r>
          </w:p>
        </w:tc>
      </w:tr>
      <w:tr>
        <w:trPr>
          <w:trHeight w:val="405"/>
        </w:trPr>
        <w:tc>
          <w:tcPr>
            <w:tcW w:w="7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 4- Controls and Procedures</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380" w:type="dxa"/>
            <w:vAlign w:val="bottom"/>
          </w:tcPr>
          <w:p>
            <w:pPr>
              <w:ind w:left="160"/>
              <w:spacing w:after="0"/>
              <w:rPr>
                <w:sz w:val="20"/>
                <w:szCs w:val="20"/>
                <w:color w:val="auto"/>
              </w:rPr>
            </w:pPr>
            <w:r>
              <w:rPr>
                <w:rFonts w:ascii="Courier New" w:cs="Courier New" w:eastAsia="Courier New" w:hAnsi="Courier New"/>
                <w:sz w:val="18"/>
                <w:szCs w:val="18"/>
                <w:color w:val="auto"/>
              </w:rPr>
              <w:t>Other Information:</w:t>
            </w:r>
          </w:p>
        </w:tc>
        <w:tc>
          <w:tcPr>
            <w:tcW w:w="620" w:type="dxa"/>
            <w:vAlign w:val="bottom"/>
          </w:tcPr>
          <w:p>
            <w:pPr>
              <w:spacing w:after="0"/>
              <w:rPr>
                <w:sz w:val="24"/>
                <w:szCs w:val="24"/>
                <w:color w:val="auto"/>
              </w:rPr>
            </w:pPr>
          </w:p>
        </w:tc>
      </w:tr>
      <w:tr>
        <w:trPr>
          <w:trHeight w:val="405"/>
        </w:trPr>
        <w:tc>
          <w:tcPr>
            <w:tcW w:w="7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Items 1 through 5 are omitted because they are not applicable</w:t>
            </w:r>
          </w:p>
        </w:tc>
        <w:tc>
          <w:tcPr>
            <w:tcW w:w="620" w:type="dxa"/>
            <w:vAlign w:val="bottom"/>
          </w:tcPr>
          <w:p>
            <w:pPr>
              <w:spacing w:after="0"/>
              <w:rPr>
                <w:sz w:val="24"/>
                <w:szCs w:val="24"/>
                <w:color w:val="auto"/>
              </w:rPr>
            </w:pP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Item 6</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 Exhibits and Reports on Form 8-K</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w:t>
            </w:r>
          </w:p>
        </w:tc>
      </w:tr>
      <w:tr>
        <w:trPr>
          <w:trHeight w:val="405"/>
        </w:trPr>
        <w:tc>
          <w:tcPr>
            <w:tcW w:w="7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Signatures</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w:t>
            </w:r>
          </w:p>
        </w:tc>
      </w:tr>
      <w:tr>
        <w:trPr>
          <w:trHeight w:val="405"/>
        </w:trPr>
        <w:tc>
          <w:tcPr>
            <w:tcW w:w="7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Exhibits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20-23</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Frequency Electronics, Inc. and Subsidiaries</w:t>
            </w:r>
          </w:p>
        </w:tc>
        <w:tc>
          <w:tcPr>
            <w:tcW w:w="1420" w:type="dxa"/>
            <w:vAlign w:val="bottom"/>
          </w:tcPr>
          <w:p>
            <w:pPr>
              <w:spacing w:after="0"/>
              <w:rPr>
                <w:sz w:val="17"/>
                <w:szCs w:val="17"/>
                <w:color w:val="auto"/>
              </w:rPr>
            </w:pPr>
          </w:p>
        </w:tc>
      </w:tr>
      <w:tr>
        <w:trPr>
          <w:trHeight w:val="405"/>
        </w:trPr>
        <w:tc>
          <w:tcPr>
            <w:tcW w:w="702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Condensed Consolidated Balance Sheets</w:t>
            </w:r>
          </w:p>
        </w:tc>
        <w:tc>
          <w:tcPr>
            <w:tcW w:w="1420" w:type="dxa"/>
            <w:vAlign w:val="bottom"/>
          </w:tcPr>
          <w:p>
            <w:pPr>
              <w:spacing w:after="0"/>
              <w:rPr>
                <w:sz w:val="24"/>
                <w:szCs w:val="24"/>
                <w:color w:val="auto"/>
              </w:rPr>
            </w:pPr>
          </w:p>
        </w:tc>
      </w:tr>
      <w:tr>
        <w:trPr>
          <w:trHeight w:val="405"/>
        </w:trPr>
        <w:tc>
          <w:tcPr>
            <w:tcW w:w="5020" w:type="dxa"/>
            <w:vAlign w:val="bottom"/>
          </w:tcPr>
          <w:p>
            <w:pPr>
              <w:spacing w:after="0"/>
              <w:rPr>
                <w:sz w:val="24"/>
                <w:szCs w:val="24"/>
                <w:color w:val="auto"/>
              </w:rPr>
            </w:pPr>
          </w:p>
        </w:tc>
        <w:tc>
          <w:tcPr>
            <w:tcW w:w="2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October 31,</w:t>
            </w: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w w:val="96"/>
              </w:rPr>
              <w:t>April 30,</w:t>
            </w:r>
          </w:p>
        </w:tc>
      </w:tr>
      <w:tr>
        <w:trPr>
          <w:trHeight w:val="203"/>
        </w:trPr>
        <w:tc>
          <w:tcPr>
            <w:tcW w:w="5020" w:type="dxa"/>
            <w:vAlign w:val="bottom"/>
          </w:tcPr>
          <w:p>
            <w:pPr>
              <w:spacing w:after="0"/>
              <w:rPr>
                <w:sz w:val="17"/>
                <w:szCs w:val="17"/>
                <w:color w:val="auto"/>
              </w:rPr>
            </w:pP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5020" w:type="dxa"/>
            <w:vAlign w:val="bottom"/>
          </w:tcPr>
          <w:p>
            <w:pPr>
              <w:spacing w:after="0"/>
              <w:rPr>
                <w:sz w:val="17"/>
                <w:szCs w:val="17"/>
                <w:color w:val="auto"/>
              </w:rPr>
            </w:pP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5020" w:type="dxa"/>
            <w:vAlign w:val="bottom"/>
          </w:tcPr>
          <w:p>
            <w:pPr>
              <w:spacing w:after="0"/>
              <w:rPr>
                <w:sz w:val="17"/>
                <w:szCs w:val="17"/>
                <w:color w:val="auto"/>
              </w:rPr>
            </w:pPr>
          </w:p>
        </w:tc>
        <w:tc>
          <w:tcPr>
            <w:tcW w:w="34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Cash and cash equivalents</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3,059</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5,699</w:t>
            </w: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Marketable securities</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29,857</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25,690</w:t>
            </w: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Accounts receivable, net of allowance for</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$140</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14,344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15,036</w:t>
            </w: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Inventories</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21,336</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21,925</w:t>
            </w: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Deferred income taxes</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1,471</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2,585</w:t>
            </w: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Income taxes receivable</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242</w:t>
            </w:r>
          </w:p>
        </w:tc>
      </w:tr>
      <w:tr>
        <w:trPr>
          <w:trHeight w:val="405"/>
        </w:trPr>
        <w:tc>
          <w:tcPr>
            <w:tcW w:w="5020" w:type="dxa"/>
            <w:vAlign w:val="bottom"/>
          </w:tcPr>
          <w:p>
            <w:pPr>
              <w:ind w:left="220"/>
              <w:spacing w:after="0"/>
              <w:rPr>
                <w:sz w:val="20"/>
                <w:szCs w:val="20"/>
                <w:color w:val="auto"/>
              </w:rPr>
            </w:pPr>
            <w:r>
              <w:rPr>
                <w:rFonts w:ascii="Courier New" w:cs="Courier New" w:eastAsia="Courier New" w:hAnsi="Courier New"/>
                <w:sz w:val="18"/>
                <w:szCs w:val="18"/>
                <w:color w:val="auto"/>
              </w:rPr>
              <w:t>Prepaid expenses and other</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1,801</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1,658</w:t>
            </w:r>
          </w:p>
        </w:tc>
      </w:tr>
      <w:tr>
        <w:trPr>
          <w:trHeight w:val="203"/>
        </w:trPr>
        <w:tc>
          <w:tcPr>
            <w:tcW w:w="5020" w:type="dxa"/>
            <w:vAlign w:val="bottom"/>
          </w:tcPr>
          <w:p>
            <w:pPr>
              <w:spacing w:after="0"/>
              <w:rPr>
                <w:sz w:val="17"/>
                <w:szCs w:val="17"/>
                <w:color w:val="auto"/>
              </w:rPr>
            </w:pP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71,868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72,835</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20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11,257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11,486</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618</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593</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Cash surrender value of life insurance</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5,561</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5,355</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Goodwill and other Intangible assets, net</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560</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616</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2,828</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1,982</w:t>
            </w:r>
          </w:p>
        </w:tc>
      </w:tr>
      <w:tr>
        <w:trPr>
          <w:trHeight w:val="203"/>
        </w:trPr>
        <w:tc>
          <w:tcPr>
            <w:tcW w:w="5020" w:type="dxa"/>
            <w:vAlign w:val="bottom"/>
          </w:tcPr>
          <w:p>
            <w:pPr>
              <w:spacing w:after="0"/>
              <w:rPr>
                <w:sz w:val="17"/>
                <w:szCs w:val="17"/>
                <w:color w:val="auto"/>
              </w:rPr>
            </w:pP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$ 92,692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$ 92,867</w:t>
            </w:r>
          </w:p>
        </w:tc>
      </w:tr>
      <w:tr>
        <w:trPr>
          <w:trHeight w:val="203"/>
        </w:trPr>
        <w:tc>
          <w:tcPr>
            <w:tcW w:w="5020" w:type="dxa"/>
            <w:vAlign w:val="bottom"/>
          </w:tcPr>
          <w:p>
            <w:pPr>
              <w:spacing w:after="0"/>
              <w:rPr>
                <w:sz w:val="17"/>
                <w:szCs w:val="17"/>
                <w:color w:val="auto"/>
              </w:rPr>
            </w:pP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120" w:right="1779" w:hanging="532"/>
        <w:spacing w:after="0" w:line="237"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assets at April 30, 2004 have been increased by $207,000 for the retroactive application of the equity method of accounting for the Company's investment in OAO Morion.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717"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Consolidated Balance Sheets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October 31,</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April 30,</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Current liabilities:</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Short-term credit obligations</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1,755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3,408</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payable - trade</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2,673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3,470</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liabilities and other</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2,704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4,106</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Dividend payable</w:t>
            </w:r>
          </w:p>
        </w:tc>
        <w:tc>
          <w:tcPr>
            <w:tcW w:w="332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849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843</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297</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8,278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11,827</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Deferred compensation</w:t>
            </w:r>
          </w:p>
        </w:tc>
        <w:tc>
          <w:tcPr>
            <w:tcW w:w="17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6,884</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6,854</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REIT liability and other liabilities</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10,376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10,755</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25,538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29,436</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Minority interest in subsidiary</w:t>
            </w:r>
          </w:p>
        </w:tc>
        <w:tc>
          <w:tcPr>
            <w:tcW w:w="17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$1.00 par value</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 par value</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9,164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9,164</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45,076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44,442</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10,144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9,104</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64,384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62,710</w:t>
            </w:r>
          </w:p>
        </w:tc>
      </w:tr>
      <w:tr>
        <w:trPr>
          <w:trHeight w:val="405"/>
        </w:trPr>
        <w:tc>
          <w:tcPr>
            <w:tcW w:w="5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Common stock reacquired and held in treasury</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 cost, 671,063 shares at October 31, 2004</w:t>
            </w: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738,428 shares at April 30, 2004</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(2,620)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(2,797)</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stockholders' equity</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5,407</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3,487</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67,154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63,383</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$ 92,692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$ 92,867</w:t>
            </w:r>
          </w:p>
        </w:tc>
      </w:tr>
      <w:tr>
        <w:trPr>
          <w:trHeight w:val="203"/>
        </w:trPr>
        <w:tc>
          <w:tcPr>
            <w:tcW w:w="1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120" w:right="1779" w:hanging="532"/>
        <w:spacing w:after="0" w:line="237"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Retained earnings at April 30, 2004 has been increased by $207,000 for the retroactive application of the equity method of accounting for the Company's investment in OAO Morion.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Condensed Statements of Operations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Six Months Ended October 31,</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1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2004(a)</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2003(a)</w:t>
            </w:r>
          </w:p>
        </w:tc>
      </w:tr>
      <w:tr>
        <w:trPr>
          <w:trHeight w:val="203"/>
        </w:trPr>
        <w:tc>
          <w:tcPr>
            <w:tcW w:w="4540" w:type="dxa"/>
            <w:vAlign w:val="bottom"/>
          </w:tcPr>
          <w:p>
            <w:pPr>
              <w:spacing w:after="0"/>
              <w:rPr>
                <w:sz w:val="17"/>
                <w:szCs w:val="17"/>
                <w:color w:val="auto"/>
              </w:rPr>
            </w:pPr>
          </w:p>
        </w:tc>
        <w:tc>
          <w:tcPr>
            <w:tcW w:w="2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(In thousands except per share data)</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$32,045</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$18,779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21,008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12,892</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margin</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11,037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5,887</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21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6,188</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5,315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2,825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2,915</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ind w:left="320"/>
              <w:spacing w:after="0"/>
              <w:rPr>
                <w:sz w:val="20"/>
                <w:szCs w:val="20"/>
                <w:color w:val="auto"/>
              </w:rPr>
            </w:pPr>
            <w:r>
              <w:rPr>
                <w:rFonts w:ascii="Courier New" w:cs="Courier New" w:eastAsia="Courier New" w:hAnsi="Courier New"/>
                <w:sz w:val="18"/>
                <w:szCs w:val="18"/>
                <w:color w:val="auto"/>
              </w:rPr>
              <w:t>Operating profit (loss)</w:t>
            </w:r>
          </w:p>
        </w:tc>
        <w:tc>
          <w:tcPr>
            <w:tcW w:w="21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2,024</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(2,343)</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829</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1,343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Morion (a)</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(150)</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57</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w w:val="99"/>
              </w:rPr>
              <w:t>Income (Loss) before minority interest and</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2,888</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(1,126)</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Minority interest in loss of</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consolidated subsidiary</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provision/benefit</w:t>
            </w:r>
          </w:p>
        </w:tc>
        <w:tc>
          <w:tcPr>
            <w:tcW w:w="2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income taxes</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2,889</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(1,019)</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Provision (Benefit) for income taxes</w:t>
            </w:r>
          </w:p>
        </w:tc>
        <w:tc>
          <w:tcPr>
            <w:tcW w:w="21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1,000</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(78)</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ind w:left="320"/>
              <w:spacing w:after="0"/>
              <w:rPr>
                <w:sz w:val="20"/>
                <w:szCs w:val="20"/>
                <w:color w:val="auto"/>
              </w:rPr>
            </w:pPr>
            <w:r>
              <w:rPr>
                <w:rFonts w:ascii="Courier New" w:cs="Courier New" w:eastAsia="Courier New" w:hAnsi="Courier New"/>
                <w:sz w:val="18"/>
                <w:szCs w:val="18"/>
                <w:color w:val="auto"/>
              </w:rPr>
              <w:t>Net income (loss)</w:t>
            </w:r>
          </w:p>
        </w:tc>
        <w:tc>
          <w:tcPr>
            <w:tcW w:w="21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$ 1,889</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(941)</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income (loss) per common share</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$ 0.22</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$(0.11)</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$ 0.22</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$(0.11)</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2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8,460,881</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8,357,568</w:t>
            </w:r>
          </w:p>
        </w:tc>
      </w:tr>
      <w:tr>
        <w:trPr>
          <w:trHeight w:val="203"/>
        </w:trPr>
        <w:tc>
          <w:tcPr>
            <w:tcW w:w="4540" w:type="dxa"/>
            <w:vAlign w:val="bottom"/>
          </w:tcPr>
          <w:p>
            <w:pPr>
              <w:spacing w:after="0"/>
              <w:rPr>
                <w:sz w:val="17"/>
                <w:szCs w:val="17"/>
                <w:color w:val="auto"/>
              </w:rPr>
            </w:pPr>
          </w:p>
        </w:tc>
        <w:tc>
          <w:tcPr>
            <w:tcW w:w="2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2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8,660,079</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8,357,568</w:t>
            </w:r>
          </w:p>
        </w:tc>
      </w:tr>
      <w:tr>
        <w:trPr>
          <w:trHeight w:val="203"/>
        </w:trPr>
        <w:tc>
          <w:tcPr>
            <w:tcW w:w="4540" w:type="dxa"/>
            <w:vAlign w:val="bottom"/>
          </w:tcPr>
          <w:p>
            <w:pPr>
              <w:spacing w:after="0"/>
              <w:rPr>
                <w:sz w:val="17"/>
                <w:szCs w:val="17"/>
                <w:color w:val="auto"/>
              </w:rPr>
            </w:pPr>
          </w:p>
        </w:tc>
        <w:tc>
          <w:tcPr>
            <w:tcW w:w="2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120" w:right="1779" w:hanging="532"/>
        <w:spacing w:after="0" w:line="235"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period amounts have been restated to reflect the Company's equity income from its investment in OAO Morion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consolidated condensed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5" w:name="page6"/>
    <w:bookmarkEnd w:id="5"/>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Three Months Ended October 31,</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10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2004</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2003(a)</w:t>
            </w:r>
          </w:p>
        </w:tc>
      </w:tr>
      <w:tr>
        <w:trPr>
          <w:trHeight w:val="203"/>
        </w:trPr>
        <w:tc>
          <w:tcPr>
            <w:tcW w:w="4540" w:type="dxa"/>
            <w:vAlign w:val="bottom"/>
          </w:tcPr>
          <w:p>
            <w:pPr>
              <w:spacing w:after="0"/>
              <w:rPr>
                <w:sz w:val="17"/>
                <w:szCs w:val="17"/>
                <w:color w:val="auto"/>
              </w:rPr>
            </w:pPr>
          </w:p>
        </w:tc>
        <w:tc>
          <w:tcPr>
            <w:tcW w:w="21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(In thousands except per share data)</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$14,362</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$10,025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9,103</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6,705</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margin</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5,259</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3,320</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2,895</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2,778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1,589</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1,247</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(705)</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414</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597</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Morion (a)</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expense, net</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Income (Loss) before minority interest and</w:t>
            </w:r>
          </w:p>
        </w:tc>
        <w:tc>
          <w:tcPr>
            <w:tcW w:w="2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1,186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Minority interest in loss of</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subsidiary</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Income (Loss) before provision</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 income taxes</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1,206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352</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62</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Net income (loss)</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854</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(213)</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income (loss) per common share</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21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$ 0.10</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4540" w:type="dxa"/>
            <w:vAlign w:val="bottom"/>
          </w:tcPr>
          <w:p>
            <w:pPr>
              <w:spacing w:after="0"/>
              <w:rPr>
                <w:sz w:val="17"/>
                <w:szCs w:val="17"/>
                <w:color w:val="auto"/>
              </w:rPr>
            </w:pPr>
          </w:p>
        </w:tc>
        <w:tc>
          <w:tcPr>
            <w:tcW w:w="21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21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$ 0.10</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4540" w:type="dxa"/>
            <w:vAlign w:val="bottom"/>
          </w:tcPr>
          <w:p>
            <w:pPr>
              <w:spacing w:after="0"/>
              <w:rPr>
                <w:sz w:val="17"/>
                <w:szCs w:val="17"/>
                <w:color w:val="auto"/>
              </w:rPr>
            </w:pPr>
          </w:p>
        </w:tc>
        <w:tc>
          <w:tcPr>
            <w:tcW w:w="21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8,487,145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8,367,003</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8,666,792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8,367,003</w:t>
            </w:r>
          </w:p>
        </w:tc>
      </w:tr>
      <w:tr>
        <w:trPr>
          <w:trHeight w:val="203"/>
        </w:trPr>
        <w:tc>
          <w:tcPr>
            <w:tcW w:w="454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120" w:right="1779" w:hanging="532"/>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period amounts have been restated to reflect the Company's equity income from its investment in OAO Morion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6" w:name="page7"/>
    <w:bookmarkEnd w:id="6"/>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Six Months Ended October 31,</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2004(a)</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2003(a)</w:t>
            </w:r>
          </w:p>
        </w:tc>
      </w:tr>
      <w:tr>
        <w:trPr>
          <w:trHeight w:val="203"/>
        </w:trPr>
        <w:tc>
          <w:tcPr>
            <w:tcW w:w="5640" w:type="dxa"/>
            <w:vAlign w:val="bottom"/>
          </w:tcPr>
          <w:p>
            <w:pPr>
              <w:spacing w:after="0"/>
              <w:rPr>
                <w:sz w:val="17"/>
                <w:szCs w:val="17"/>
                <w:color w:val="auto"/>
              </w:rPr>
            </w:pPr>
          </w:p>
        </w:tc>
        <w:tc>
          <w:tcPr>
            <w:tcW w:w="2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$ 1,889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(941)</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charges to earnings</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1,731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863</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changes in other assets and liabilities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(3,880)</w:t>
            </w:r>
          </w:p>
        </w:tc>
      </w:tr>
      <w:tr>
        <w:trPr>
          <w:trHeight w:val="203"/>
        </w:trPr>
        <w:tc>
          <w:tcPr>
            <w:tcW w:w="564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2,861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(3,958)</w:t>
            </w:r>
          </w:p>
        </w:tc>
      </w:tr>
      <w:tr>
        <w:trPr>
          <w:trHeight w:val="203"/>
        </w:trPr>
        <w:tc>
          <w:tcPr>
            <w:tcW w:w="564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acquisition</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(2,643)</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7,397</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marketable securities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(2,272)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(4,879)</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fixed assets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(869)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564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(2,903)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w:t>
            </w:r>
          </w:p>
        </w:tc>
      </w:tr>
      <w:tr>
        <w:trPr>
          <w:trHeight w:val="203"/>
        </w:trPr>
        <w:tc>
          <w:tcPr>
            <w:tcW w:w="564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short-term credit obligations</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1,183</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(843)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on long-term obligations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(1,864)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564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provided by financing activities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(2,611)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564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effect of exchange rate changes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(2,653)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(4,232)</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564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Net decrease in cash</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(2,640)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(4,121)</w:t>
            </w:r>
          </w:p>
        </w:tc>
      </w:tr>
      <w:tr>
        <w:trPr>
          <w:trHeight w:val="405"/>
        </w:trPr>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Cash at beginning of period</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5,699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5,952</w:t>
            </w:r>
          </w:p>
        </w:tc>
      </w:tr>
      <w:tr>
        <w:trPr>
          <w:trHeight w:val="203"/>
        </w:trPr>
        <w:tc>
          <w:tcPr>
            <w:tcW w:w="564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Cash at end of period</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$ 3,059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$ 1,831</w:t>
            </w:r>
          </w:p>
        </w:tc>
      </w:tr>
      <w:tr>
        <w:trPr>
          <w:trHeight w:val="203"/>
        </w:trPr>
        <w:tc>
          <w:tcPr>
            <w:tcW w:w="564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120" w:right="1779" w:hanging="532"/>
        <w:spacing w:after="0" w:line="235"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period amounts have been restated to reflect the Company's equity income from its investment in OAO Morion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7" w:name="page8"/>
    <w:bookmarkEnd w:id="7"/>
    <w:p>
      <w:pPr>
        <w:jc w:val="center"/>
        <w:ind w:right="1779"/>
        <w:spacing w:after="0" w:line="236" w:lineRule="auto"/>
        <w:rPr>
          <w:sz w:val="20"/>
          <w:szCs w:val="20"/>
          <w:color w:val="auto"/>
        </w:rPr>
      </w:pPr>
      <w:r>
        <w:rPr>
          <w:rFonts w:ascii="Courier New" w:cs="Courier New" w:eastAsia="Courier New" w:hAnsi="Courier New"/>
          <w:sz w:val="18"/>
          <w:szCs w:val="18"/>
          <w:color w:val="auto"/>
        </w:rPr>
        <w:t>Frequency Electronics, Inc. and Subsidiaries 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CONSOLIDATED FINANCIAL STATEMENTS</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In the opinion of management of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2004 and the results of its operations and cash flows for the six and three months ended October 31, 2004 and 2003. The April 30, 2004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2004 Annual Report to Stockholders. The results of operations for such interim periods are not necessarily indicative of the operating results for the full year.</w:t>
      </w:r>
    </w:p>
    <w:p>
      <w:pPr>
        <w:sectPr>
          <w:pgSz w:w="11900" w:h="16838" w:orient="portrait"/>
          <w:cols w:equalWidth="0" w:num="1">
            <w:col w:w="10219"/>
          </w:cols>
          <w:pgMar w:left="240" w:top="925" w:right="1440" w:bottom="1440" w:gutter="0" w:footer="0" w:header="0"/>
        </w:sectPr>
      </w:pPr>
    </w:p>
    <w:p>
      <w:pPr>
        <w:spacing w:after="0" w:line="388" w:lineRule="exact"/>
        <w:rPr>
          <w:sz w:val="20"/>
          <w:szCs w:val="20"/>
          <w:color w:val="auto"/>
        </w:rPr>
      </w:pPr>
    </w:p>
    <w:p>
      <w:pPr>
        <w:ind w:firstLine="527"/>
        <w:spacing w:after="0" w:line="279" w:lineRule="auto"/>
        <w:rPr>
          <w:sz w:val="20"/>
          <w:szCs w:val="20"/>
          <w:color w:val="auto"/>
        </w:rPr>
      </w:pPr>
      <w:r>
        <w:rPr>
          <w:rFonts w:ascii="Courier New" w:cs="Courier New" w:eastAsia="Courier New" w:hAnsi="Courier New"/>
          <w:sz w:val="16"/>
          <w:szCs w:val="16"/>
          <w:color w:val="auto"/>
        </w:rPr>
        <w:t>As indicated in Note I below, restated to reflect the Company's its investment in OAO Morion.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1779" w:firstLine="105"/>
        <w:spacing w:after="0" w:line="290" w:lineRule="auto"/>
        <w:rPr>
          <w:sz w:val="20"/>
          <w:szCs w:val="20"/>
          <w:color w:val="auto"/>
        </w:rPr>
      </w:pPr>
      <w:r>
        <w:rPr>
          <w:rFonts w:ascii="Courier New" w:cs="Courier New" w:eastAsia="Courier New" w:hAnsi="Courier New"/>
          <w:sz w:val="16"/>
          <w:szCs w:val="16"/>
          <w:color w:val="auto"/>
        </w:rPr>
        <w:t>prior period financial statements have been change in accounting to the equity method for</w:t>
      </w:r>
    </w:p>
    <w:p>
      <w:pPr>
        <w:spacing w:after="0" w:line="372" w:lineRule="exact"/>
        <w:rPr>
          <w:sz w:val="20"/>
          <w:szCs w:val="20"/>
          <w:color w:val="auto"/>
        </w:rPr>
      </w:pPr>
    </w:p>
    <w:p>
      <w:pPr>
        <w:sectPr>
          <w:pgSz w:w="11900" w:h="16838" w:orient="portrait"/>
          <w:cols w:equalWidth="0" w:num="2">
            <w:col w:w="3580" w:space="120"/>
            <w:col w:w="6519"/>
          </w:cols>
          <w:pgMar w:left="240" w:top="925" w:right="1440" w:bottom="1440" w:gutter="0" w:footer="0" w:header="0"/>
          <w:type w:val="continuous"/>
        </w:sect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 addition, certain prior year amounts have been reclassified to conform to current year presentation. These reclassifications had no effect on reported consolidated earnings.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EARNINGS PER SHARE</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Reconciliation of the weighted average shares outstanding for basic and diluted Earnings Per Share are as follows: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Six</w:t>
            </w:r>
          </w:p>
        </w:tc>
        <w:tc>
          <w:tcPr>
            <w:tcW w:w="14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months</w:t>
            </w:r>
          </w:p>
        </w:tc>
        <w:tc>
          <w:tcPr>
            <w:tcW w:w="226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3320" w:type="dxa"/>
            <w:vAlign w:val="bottom"/>
          </w:tcPr>
          <w:p>
            <w:pPr>
              <w:spacing w:after="0"/>
              <w:rPr>
                <w:sz w:val="17"/>
                <w:szCs w:val="17"/>
                <w:color w:val="auto"/>
              </w:rPr>
            </w:pPr>
          </w:p>
        </w:tc>
        <w:tc>
          <w:tcPr>
            <w:tcW w:w="264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Periods ended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October 31,</w:t>
            </w:r>
          </w:p>
        </w:tc>
        <w:tc>
          <w:tcPr>
            <w:tcW w:w="100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2004</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2003</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2004</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3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EPS Shares outstanding</w:t>
            </w: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(weighted average)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8,460,881</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8,357,568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8,487,145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8,367,003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Securities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199,168</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179,647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EPS Shares outstanding</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8,660,079</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8,357,568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8,666,792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8,367,003</w:t>
            </w:r>
          </w:p>
        </w:tc>
      </w:tr>
      <w:tr>
        <w:trPr>
          <w:trHeight w:val="203"/>
        </w:trPr>
        <w:tc>
          <w:tcPr>
            <w:tcW w:w="3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left="1060" w:right="1779" w:hanging="525"/>
        <w:spacing w:after="0" w:line="236"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Dilutive securities are excluded for the six and three month periods ended October 31, 2003 since the inclusion of such shares would be antidilutive due to the net loss for the periods then ended.</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Options to purchase 411,750 and 471,750 shares of common stock were outstanding during the six and three months ended October 31, 2004, respectively, but were not included in the computation of diluted earnings per share. Since the exercise price of these options was greater than the average market price of the Company's common shares during the periods, their inclusion in the computation would have been antidilutive. Consequently, these options are excluded from the computation of earnings per share.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ACCOUNTS RECEIVABE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Accounts receivable at October 31 and April 30, 2004 include costs and estimated earnings in excess of billings on uncompleted contracts accounted for on the percentage of completion basis of approximately $4,506,000 and $2,428,000, respectively. Such amounts represent revenue recognized on long-term contracts that had not been billed at the balance sheet dates. Such amounts are billed pursuant to contract terms.</w:t>
      </w:r>
    </w:p>
    <w:p>
      <w:pPr>
        <w:sectPr>
          <w:pgSz w:w="11900" w:h="16838" w:orient="portrait"/>
          <w:cols w:equalWidth="0" w:num="1">
            <w:col w:w="10219"/>
          </w:cols>
          <w:pgMar w:left="240" w:top="925" w:right="1440" w:bottom="1440" w:gutter="0" w:footer="0" w:header="0"/>
          <w:type w:val="continuous"/>
        </w:sectPr>
      </w:pPr>
    </w:p>
    <w:bookmarkStart w:id="8" w:name="page9"/>
    <w:bookmarkEnd w:id="8"/>
    <w:p>
      <w:pPr>
        <w:jc w:val="center"/>
        <w:ind w:left="1720"/>
        <w:spacing w:after="0" w:line="236" w:lineRule="auto"/>
        <w:rPr>
          <w:sz w:val="20"/>
          <w:szCs w:val="20"/>
          <w:color w:val="auto"/>
        </w:rPr>
      </w:pPr>
      <w:r>
        <w:rPr>
          <w:rFonts w:ascii="Courier New" w:cs="Courier New" w:eastAsia="Courier New" w:hAnsi="Courier New"/>
          <w:sz w:val="18"/>
          <w:szCs w:val="18"/>
          <w:color w:val="auto"/>
        </w:rPr>
        <w:t>Frequency Electronics, Inc. and Subsidiaries 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INVENTORIES</w:t>
      </w:r>
    </w:p>
    <w:p>
      <w:pPr>
        <w:sectPr>
          <w:pgSz w:w="11900" w:h="16838" w:orient="portrait"/>
          <w:cols w:equalWidth="0" w:num="1">
            <w:col w:w="10219"/>
          </w:cols>
          <w:pgMar w:left="240" w:top="723" w:right="1440" w:bottom="566" w:gutter="0" w:footer="0" w:header="0"/>
        </w:sectPr>
      </w:pPr>
    </w:p>
    <w:p>
      <w:pPr>
        <w:spacing w:after="0" w:line="207" w:lineRule="exact"/>
        <w:rPr>
          <w:sz w:val="20"/>
          <w:szCs w:val="20"/>
          <w:color w:val="auto"/>
        </w:rPr>
      </w:pPr>
    </w:p>
    <w:p>
      <w:pPr>
        <w:ind w:firstLine="527"/>
        <w:spacing w:after="0" w:line="236" w:lineRule="auto"/>
        <w:rPr>
          <w:sz w:val="20"/>
          <w:szCs w:val="20"/>
          <w:color w:val="auto"/>
        </w:rPr>
      </w:pPr>
      <w:r>
        <w:rPr>
          <w:rFonts w:ascii="Courier New" w:cs="Courier New" w:eastAsia="Courier New" w:hAnsi="Courier New"/>
          <w:sz w:val="18"/>
          <w:szCs w:val="18"/>
          <w:color w:val="auto"/>
        </w:rPr>
        <w:t>Inventories, which $3,495,000 at October following: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are</w:t>
        <w:tab/>
        <w:t>reported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and April 30,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tabs>
          <w:tab w:leader="none" w:pos="200" w:val="left"/>
        </w:tabs>
        <w:rPr>
          <w:sz w:val="20"/>
          <w:szCs w:val="20"/>
          <w:color w:val="auto"/>
        </w:rPr>
      </w:pPr>
      <w:r>
        <w:rPr>
          <w:rFonts w:ascii="Courier New" w:cs="Courier New" w:eastAsia="Courier New" w:hAnsi="Courier New"/>
          <w:sz w:val="18"/>
          <w:szCs w:val="18"/>
          <w:color w:val="auto"/>
        </w:rPr>
        <w:t>net</w:t>
      </w:r>
      <w:r>
        <w:rPr>
          <w:sz w:val="20"/>
          <w:szCs w:val="20"/>
          <w:color w:val="auto"/>
        </w:rPr>
        <w:tab/>
      </w:r>
      <w:r>
        <w:rPr>
          <w:rFonts w:ascii="Courier New" w:cs="Courier New" w:eastAsia="Courier New" w:hAnsi="Courier New"/>
          <w:sz w:val="16"/>
          <w:szCs w:val="16"/>
          <w:color w:val="auto"/>
        </w:rPr>
        <w:t>of</w:t>
      </w:r>
    </w:p>
    <w:p>
      <w:pPr>
        <w:jc w:val="center"/>
        <w:spacing w:after="0" w:line="238" w:lineRule="auto"/>
        <w:rPr>
          <w:sz w:val="20"/>
          <w:szCs w:val="20"/>
          <w:color w:val="auto"/>
        </w:rPr>
      </w:pPr>
      <w:r>
        <w:rPr>
          <w:rFonts w:ascii="Courier New" w:cs="Courier New" w:eastAsia="Courier New" w:hAnsi="Courier New"/>
          <w:sz w:val="18"/>
          <w:szCs w:val="18"/>
          <w:color w:val="auto"/>
        </w:rPr>
        <w:t>2004,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firstLine="105"/>
        <w:spacing w:after="0" w:line="290" w:lineRule="auto"/>
        <w:rPr>
          <w:sz w:val="20"/>
          <w:szCs w:val="20"/>
          <w:color w:val="auto"/>
        </w:rPr>
      </w:pPr>
      <w:r>
        <w:rPr>
          <w:rFonts w:ascii="Courier New" w:cs="Courier New" w:eastAsia="Courier New" w:hAnsi="Courier New"/>
          <w:sz w:val="16"/>
          <w:szCs w:val="16"/>
          <w:color w:val="auto"/>
        </w:rPr>
        <w:t>reserves of respectively,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$4,031,000</w:t>
      </w:r>
      <w:r>
        <w:rPr>
          <w:sz w:val="20"/>
          <w:szCs w:val="20"/>
          <w:color w:val="auto"/>
        </w:rPr>
        <w:tab/>
      </w:r>
      <w:r>
        <w:rPr>
          <w:rFonts w:ascii="Courier New" w:cs="Courier New" w:eastAsia="Courier New" w:hAnsi="Courier New"/>
          <w:sz w:val="16"/>
          <w:szCs w:val="16"/>
          <w:color w:val="auto"/>
        </w:rPr>
        <w:t>and</w:t>
      </w:r>
    </w:p>
    <w:p>
      <w:pPr>
        <w:spacing w:after="0"/>
        <w:tabs>
          <w:tab w:leader="none" w:pos="920" w:val="left"/>
        </w:tabs>
        <w:rPr>
          <w:sz w:val="20"/>
          <w:szCs w:val="20"/>
          <w:color w:val="auto"/>
        </w:rPr>
      </w:pPr>
      <w:r>
        <w:rPr>
          <w:rFonts w:ascii="Courier New" w:cs="Courier New" w:eastAsia="Courier New" w:hAnsi="Courier New"/>
          <w:sz w:val="18"/>
          <w:szCs w:val="18"/>
          <w:color w:val="auto"/>
        </w:rPr>
        <w:t>consist</w:t>
      </w:r>
      <w:r>
        <w:rPr>
          <w:sz w:val="20"/>
          <w:szCs w:val="20"/>
          <w:color w:val="auto"/>
        </w:rPr>
        <w:tab/>
      </w:r>
      <w:r>
        <w:rPr>
          <w:rFonts w:ascii="Courier New" w:cs="Courier New" w:eastAsia="Courier New" w:hAnsi="Courier New"/>
          <w:sz w:val="16"/>
          <w:szCs w:val="16"/>
          <w:color w:val="auto"/>
        </w:rPr>
        <w:t>of the</w:t>
      </w:r>
    </w:p>
    <w:p>
      <w:pPr>
        <w:spacing w:after="0" w:line="401" w:lineRule="exact"/>
        <w:rPr>
          <w:sz w:val="20"/>
          <w:szCs w:val="20"/>
          <w:color w:val="auto"/>
        </w:rPr>
      </w:pPr>
    </w:p>
    <w:p>
      <w:pPr>
        <w:sectPr>
          <w:pgSz w:w="11900" w:h="16838" w:orient="portrait"/>
          <w:cols w:equalWidth="0" w:num="5">
            <w:col w:w="2640" w:space="0"/>
            <w:col w:w="1680" w:space="120"/>
            <w:col w:w="720" w:space="120"/>
            <w:col w:w="1360" w:space="220"/>
            <w:col w:w="3359"/>
          </w:cols>
          <w:pgMar w:left="240" w:top="723" w:right="1440" w:bottom="566" w:gutter="0" w:footer="0" w:header="0"/>
          <w:type w:val="continuous"/>
        </w:sectPr>
      </w:pPr>
    </w:p>
    <w:p>
      <w:pPr>
        <w:spacing w:after="0" w:line="3" w:lineRule="exact"/>
        <w:rPr>
          <w:sz w:val="20"/>
          <w:szCs w:val="20"/>
          <w:color w:val="auto"/>
        </w:rPr>
      </w:pPr>
    </w:p>
    <w:p>
      <w:pPr>
        <w:ind w:left="4220"/>
        <w:spacing w:after="0"/>
        <w:tabs>
          <w:tab w:leader="none" w:pos="6520" w:val="left"/>
        </w:tabs>
        <w:rPr>
          <w:sz w:val="20"/>
          <w:szCs w:val="20"/>
          <w:color w:val="auto"/>
        </w:rPr>
      </w:pPr>
      <w:r>
        <w:rPr>
          <w:rFonts w:ascii="Courier New" w:cs="Courier New" w:eastAsia="Courier New" w:hAnsi="Courier New"/>
          <w:sz w:val="18"/>
          <w:szCs w:val="18"/>
          <w:color w:val="auto"/>
        </w:rPr>
        <w:t>October 31, 2004</w:t>
      </w:r>
      <w:r>
        <w:rPr>
          <w:sz w:val="20"/>
          <w:szCs w:val="20"/>
          <w:color w:val="auto"/>
        </w:rPr>
        <w:tab/>
      </w:r>
      <w:r>
        <w:rPr>
          <w:rFonts w:ascii="Courier New" w:cs="Courier New" w:eastAsia="Courier New" w:hAnsi="Courier New"/>
          <w:sz w:val="16"/>
          <w:szCs w:val="16"/>
          <w:color w:val="auto"/>
        </w:rPr>
        <w:t>April 30, 2004</w:t>
      </w:r>
    </w:p>
    <w:p>
      <w:pPr>
        <w:ind w:left="5600"/>
        <w:spacing w:after="0" w:line="238" w:lineRule="auto"/>
        <w:rPr>
          <w:sz w:val="20"/>
          <w:szCs w:val="20"/>
          <w:color w:val="auto"/>
        </w:rPr>
      </w:pPr>
      <w:r>
        <w:rPr>
          <w:rFonts w:ascii="Courier New" w:cs="Courier New" w:eastAsia="Courier New" w:hAnsi="Courier New"/>
          <w:sz w:val="18"/>
          <w:szCs w:val="18"/>
          <w:color w:val="auto"/>
        </w:rPr>
        <w:t>(In thousands)</w:t>
      </w:r>
    </w:p>
    <w:p>
      <w:pPr>
        <w:sectPr>
          <w:pgSz w:w="11900" w:h="16838" w:orient="portrait"/>
          <w:cols w:equalWidth="0" w:num="1">
            <w:col w:w="10219"/>
          </w:cols>
          <w:pgMar w:left="240" w:top="723" w:right="1440" w:bottom="566" w:gutter="0" w:footer="0" w:header="0"/>
          <w:type w:val="continuous"/>
        </w:sectPr>
      </w:pPr>
    </w:p>
    <w:p>
      <w:pPr>
        <w:spacing w:after="0" w:line="207" w:lineRule="exact"/>
        <w:rPr>
          <w:sz w:val="20"/>
          <w:szCs w:val="20"/>
          <w:color w:val="auto"/>
        </w:rPr>
      </w:pPr>
    </w:p>
    <w:p>
      <w:pPr>
        <w:ind w:left="220" w:right="120"/>
        <w:spacing w:after="0" w:line="290" w:lineRule="auto"/>
        <w:rPr>
          <w:sz w:val="20"/>
          <w:szCs w:val="20"/>
          <w:color w:val="auto"/>
        </w:rPr>
      </w:pPr>
      <w:r>
        <w:rPr>
          <w:rFonts w:ascii="Courier New" w:cs="Courier New" w:eastAsia="Courier New" w:hAnsi="Courier New"/>
          <w:sz w:val="16"/>
          <w:szCs w:val="16"/>
          <w:color w:val="auto"/>
        </w:rPr>
        <w:t>Raw materials and Component parts Work in progress and Finished goods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$10,782</w:t>
      </w:r>
    </w:p>
    <w:p>
      <w:pPr>
        <w:spacing w:after="0" w:line="16"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8"/>
          <w:szCs w:val="18"/>
          <w:color w:val="auto"/>
        </w:rPr>
        <w:t>10,554</w:t>
      </w:r>
    </w:p>
    <w:p>
      <w:pPr>
        <w:spacing w:after="0" w:line="4"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$21,336</w:t>
      </w:r>
    </w:p>
    <w:p>
      <w:pPr>
        <w:spacing w:after="0" w:line="21"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$ 8,608</w:t>
      </w:r>
    </w:p>
    <w:p>
      <w:pPr>
        <w:spacing w:after="0" w:line="16"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13,317</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$21,925</w:t>
      </w:r>
    </w:p>
    <w:p>
      <w:pPr>
        <w:spacing w:after="0" w:line="21"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020" w:space="720"/>
            <w:col w:w="1500" w:space="720"/>
            <w:col w:w="3259"/>
          </w:cols>
          <w:pgMar w:left="240" w:top="723" w:right="1440" w:bottom="566"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NOTE E</w:t>
      </w:r>
      <w:r>
        <w:rPr>
          <w:sz w:val="20"/>
          <w:szCs w:val="20"/>
          <w:color w:val="auto"/>
        </w:rPr>
        <w:tab/>
      </w:r>
      <w:r>
        <w:rPr>
          <w:rFonts w:ascii="Courier New" w:cs="Courier New" w:eastAsia="Courier New" w:hAnsi="Courier New"/>
          <w:sz w:val="16"/>
          <w:szCs w:val="16"/>
          <w:color w:val="auto"/>
        </w:rPr>
        <w:t>- COMPREHENSIVE INCOME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six months ended October 31, 2004 and 2003, total comprehensive income was $3,809,000 and $180,000, respectively. Comprehensive income is composed of net income or loss for the period plus the impact of foreign currency translation adjustments and the change in the valuation allowance on marketable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 equity-based compensation</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applies the disclosure-only provisions of FAS 123, "Accounting for Stock-Based Compensation," as amended by FAS 148, "Accounting for Stock-Based Compensation - Transition and Disclosure," and continues to measure compensation cost in accordance with Accounting Principles Board Opinion No. 25, "Accounting for Stock Issued to Employees." Historically, this has not resulted in compensation cost upon the grant of options under a qualified stock option plan. However, in accordance with FAS 123, as amended by FAS 148, the Company provides pro forma disclosures of net earnings (loss) and earnings (loss) per share as if the fair value method had been applied beginning in fiscal 1996.</w:t>
      </w:r>
    </w:p>
    <w:p>
      <w:pPr>
        <w:spacing w:after="0" w:line="18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illustrates the effect on the Company's consolidated statements of operations had compensation cost for stock option awards under the plans been determined based on the fair value at the grant dates consistent with the provisions of FAS 123 as amended by FAS 148:</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274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Six months</w:t>
            </w:r>
          </w:p>
        </w:tc>
        <w:tc>
          <w:tcPr>
            <w:tcW w:w="480" w:type="dxa"/>
            <w:vAlign w:val="bottom"/>
          </w:tcPr>
          <w:p>
            <w:pPr>
              <w:spacing w:after="0"/>
              <w:rPr>
                <w:sz w:val="17"/>
                <w:szCs w:val="17"/>
                <w:color w:val="auto"/>
              </w:rPr>
            </w:pPr>
          </w:p>
        </w:tc>
        <w:tc>
          <w:tcPr>
            <w:tcW w:w="19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4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Periods ended October 31,</w:t>
            </w:r>
          </w:p>
        </w:tc>
        <w:tc>
          <w:tcPr>
            <w:tcW w:w="94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2004</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2003</w:t>
            </w:r>
          </w:p>
        </w:tc>
        <w:tc>
          <w:tcPr>
            <w:tcW w:w="48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2004</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(In thousands except</w:t>
            </w:r>
          </w:p>
        </w:tc>
        <w:tc>
          <w:tcPr>
            <w:tcW w:w="1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per share data)</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Net income (loss), as reported</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$ 1,889</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(941)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854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(213)</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stock options, net of tax</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(354)</w:t>
            </w:r>
          </w:p>
        </w:tc>
        <w:tc>
          <w:tcPr>
            <w:tcW w:w="48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w:t>
            </w:r>
          </w:p>
        </w:tc>
      </w:tr>
      <w:tr>
        <w:trPr>
          <w:trHeight w:val="203"/>
        </w:trPr>
        <w:tc>
          <w:tcPr>
            <w:tcW w:w="44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pro forma</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$ 1,548</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(390)</w:t>
            </w:r>
          </w:p>
        </w:tc>
      </w:tr>
      <w:tr>
        <w:trPr>
          <w:trHeight w:val="203"/>
        </w:trPr>
        <w:tc>
          <w:tcPr>
            <w:tcW w:w="44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w w:val="99"/>
              </w:rPr>
              <w:t>Net income (loss) per share, as reported:</w:t>
            </w: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$ 0.22</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44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$ 0.22</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44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per share- pro forma:</w:t>
            </w:r>
          </w:p>
        </w:tc>
        <w:tc>
          <w:tcPr>
            <w:tcW w:w="1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$ 0.18</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0.08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44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$ 0.18</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0.08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44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weighted average fair value of each option has been estimated on the date of grant using the Black-Scholes options pricing model with the following weighted average assumptions used for grants in fiscal year 2004: dividend yield of 1.83%; expected volatility of 63%; risk free interest rate of 5.5%; and expected lives of ten years.</w:t>
      </w:r>
    </w:p>
    <w:p>
      <w:pPr>
        <w:sectPr>
          <w:pgSz w:w="11900" w:h="16838" w:orient="portrait"/>
          <w:cols w:equalWidth="0" w:num="1">
            <w:col w:w="10219"/>
          </w:cols>
          <w:pgMar w:left="240" w:top="723" w:right="1440" w:bottom="566" w:gutter="0" w:footer="0" w:header="0"/>
          <w:type w:val="continuous"/>
        </w:sectPr>
      </w:pPr>
    </w:p>
    <w:bookmarkStart w:id="9" w:name="page10"/>
    <w:bookmarkEnd w:id="9"/>
    <w:p>
      <w:pPr>
        <w:jc w:val="center"/>
        <w:ind w:right="1779"/>
        <w:spacing w:after="0" w:line="236" w:lineRule="auto"/>
        <w:rPr>
          <w:sz w:val="20"/>
          <w:szCs w:val="20"/>
          <w:color w:val="auto"/>
        </w:rPr>
      </w:pPr>
      <w:r>
        <w:rPr>
          <w:rFonts w:ascii="Courier New" w:cs="Courier New" w:eastAsia="Courier New" w:hAnsi="Courier New"/>
          <w:sz w:val="18"/>
          <w:szCs w:val="18"/>
          <w:color w:val="auto"/>
        </w:rPr>
        <w:t>Frequency Electronics, Inc. and Subsidiaries 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 SEGMENT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operates under four reportable segments:</w:t>
      </w:r>
    </w:p>
    <w:p>
      <w:pPr>
        <w:spacing w:after="0" w:line="4" w:lineRule="exact"/>
        <w:rPr>
          <w:sz w:val="20"/>
          <w:szCs w:val="20"/>
          <w:color w:val="auto"/>
        </w:rPr>
      </w:pPr>
    </w:p>
    <w:p>
      <w:pPr>
        <w:jc w:val="both"/>
        <w:ind w:left="1060" w:right="1779" w:hanging="525"/>
        <w:spacing w:after="0" w:line="268"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communications - consists principally of time and frequency control products used in commercial communication satellites and</w:t>
      </w:r>
    </w:p>
    <w:p>
      <w:pPr>
        <w:ind w:left="106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terrestrial cellular telephone or other ground-based telecommunications.</w:t>
      </w:r>
    </w:p>
    <w:p>
      <w:pPr>
        <w:spacing w:after="0" w:line="5" w:lineRule="exact"/>
        <w:rPr>
          <w:rFonts w:ascii="Courier New" w:cs="Courier New" w:eastAsia="Courier New" w:hAnsi="Courier New"/>
          <w:sz w:val="16"/>
          <w:szCs w:val="16"/>
          <w:color w:val="auto"/>
        </w:rPr>
      </w:pPr>
    </w:p>
    <w:p>
      <w:pPr>
        <w:jc w:val="both"/>
        <w:ind w:left="1060" w:right="1779" w:hanging="525"/>
        <w:spacing w:after="0" w:line="236"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Government - consists of time and frequency control products used in terrestrial and space applications by the Department of Defense and other U.S. government agencies.</w:t>
      </w:r>
    </w:p>
    <w:p>
      <w:pPr>
        <w:spacing w:after="0" w:line="6" w:lineRule="exact"/>
        <w:rPr>
          <w:rFonts w:ascii="Courier New" w:cs="Courier New" w:eastAsia="Courier New" w:hAnsi="Courier New"/>
          <w:sz w:val="18"/>
          <w:szCs w:val="18"/>
          <w:color w:val="auto"/>
        </w:rPr>
      </w:pPr>
    </w:p>
    <w:p>
      <w:pPr>
        <w:ind w:left="1060" w:right="1779" w:hanging="525"/>
        <w:spacing w:after="0" w:line="268"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Gillam-FEI - the products of the Company's Belgian subsidiary consist primarily of wireline synchronization and network monitoring systems.</w:t>
      </w:r>
    </w:p>
    <w:p>
      <w:pPr>
        <w:ind w:left="1060" w:hanging="525"/>
        <w:spacing w:after="0"/>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FEI-Zyfer  - the  products  of the  Company's  subsidiary  incorporate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ind w:left="1060"/>
              <w:spacing w:after="0"/>
              <w:rPr>
                <w:sz w:val="20"/>
                <w:szCs w:val="20"/>
                <w:color w:val="auto"/>
              </w:rPr>
            </w:pPr>
            <w:r>
              <w:rPr>
                <w:rFonts w:ascii="Courier New" w:cs="Courier New" w:eastAsia="Courier New" w:hAnsi="Courier New"/>
                <w:sz w:val="18"/>
                <w:szCs w:val="18"/>
                <w:color w:val="auto"/>
                <w:w w:val="95"/>
              </w:rPr>
              <w:t>Global</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7"/>
              </w:rPr>
              <w:t>Positioning</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System</w:t>
            </w:r>
          </w:p>
        </w:tc>
        <w:tc>
          <w:tcPr>
            <w:tcW w:w="27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(GPS)  technologies  into</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systems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r>
      <w:tr>
        <w:trPr>
          <w:trHeight w:val="203"/>
        </w:trPr>
        <w:tc>
          <w:tcPr>
            <w:tcW w:w="5160" w:type="dxa"/>
            <w:vAlign w:val="bottom"/>
            <w:gridSpan w:val="4"/>
          </w:tcPr>
          <w:p>
            <w:pPr>
              <w:ind w:left="1060"/>
              <w:spacing w:after="0" w:line="203" w:lineRule="exact"/>
              <w:rPr>
                <w:sz w:val="20"/>
                <w:szCs w:val="20"/>
                <w:color w:val="auto"/>
              </w:rPr>
            </w:pPr>
            <w:r>
              <w:rPr>
                <w:rFonts w:ascii="Courier New" w:cs="Courier New" w:eastAsia="Courier New" w:hAnsi="Courier New"/>
                <w:sz w:val="18"/>
                <w:szCs w:val="18"/>
                <w:color w:val="auto"/>
              </w:rPr>
              <w:t>subsystems for secure communications,</w:t>
            </w:r>
          </w:p>
        </w:tc>
        <w:tc>
          <w:tcPr>
            <w:tcW w:w="17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both government</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and commercial,</w:t>
            </w:r>
          </w:p>
        </w:tc>
      </w:tr>
      <w:tr>
        <w:trPr>
          <w:trHeight w:val="203"/>
        </w:trPr>
        <w:tc>
          <w:tcPr>
            <w:tcW w:w="5160" w:type="dxa"/>
            <w:vAlign w:val="bottom"/>
            <w:gridSpan w:val="4"/>
          </w:tcPr>
          <w:p>
            <w:pPr>
              <w:ind w:left="1060"/>
              <w:spacing w:after="0" w:line="203" w:lineRule="exact"/>
              <w:rPr>
                <w:sz w:val="20"/>
                <w:szCs w:val="20"/>
                <w:color w:val="auto"/>
              </w:rPr>
            </w:pPr>
            <w:r>
              <w:rPr>
                <w:rFonts w:ascii="Courier New" w:cs="Courier New" w:eastAsia="Courier New" w:hAnsi="Courier New"/>
                <w:sz w:val="18"/>
                <w:szCs w:val="18"/>
                <w:color w:val="auto"/>
              </w:rPr>
              <w:t>and other locator applications.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1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  table</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below  presents</w:t>
            </w:r>
          </w:p>
        </w:tc>
        <w:tc>
          <w:tcPr>
            <w:tcW w:w="1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information</w:t>
            </w:r>
          </w:p>
        </w:tc>
        <w:tc>
          <w:tcPr>
            <w:tcW w:w="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about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reported</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segments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with</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reconciliation</w:t>
            </w:r>
          </w:p>
        </w:tc>
        <w:tc>
          <w:tcPr>
            <w:tcW w:w="2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of segment  amounts to</w:t>
            </w:r>
          </w:p>
        </w:tc>
        <w:tc>
          <w:tcPr>
            <w:tcW w:w="1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amounts as</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reported in the</w:t>
            </w:r>
          </w:p>
        </w:tc>
      </w:tr>
      <w:tr>
        <w:trPr>
          <w:trHeight w:val="203"/>
        </w:trPr>
        <w:tc>
          <w:tcPr>
            <w:tcW w:w="5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statement  of  operations  or the  balance  sheet</w:t>
            </w:r>
          </w:p>
        </w:tc>
        <w:tc>
          <w:tcPr>
            <w:tcW w:w="220" w:type="dxa"/>
            <w:vAlign w:val="bottom"/>
          </w:tcPr>
          <w:p>
            <w:pPr>
              <w:spacing w:after="0"/>
              <w:rPr>
                <w:sz w:val="17"/>
                <w:szCs w:val="17"/>
                <w:color w:val="auto"/>
              </w:rPr>
            </w:pP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for each of the</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periods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Six months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Three months</w:t>
            </w:r>
          </w:p>
        </w:tc>
        <w:tc>
          <w:tcPr>
            <w:tcW w:w="4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Periods</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ended October</w:t>
            </w:r>
          </w:p>
        </w:tc>
        <w:tc>
          <w:tcPr>
            <w:tcW w:w="11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31,</w:t>
            </w:r>
          </w:p>
        </w:tc>
        <w:tc>
          <w:tcPr>
            <w:tcW w:w="4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2003</w:t>
            </w:r>
          </w:p>
        </w:tc>
        <w:tc>
          <w:tcPr>
            <w:tcW w:w="4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sales:</w:t>
            </w: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3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$20,121</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$10,696</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$ 8,807</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$ 5,827</w:t>
            </w:r>
          </w:p>
        </w:tc>
        <w:tc>
          <w:tcPr>
            <w:tcW w:w="420" w:type="dxa"/>
            <w:vAlign w:val="bottom"/>
          </w:tcPr>
          <w:p>
            <w:pPr>
              <w:spacing w:after="0"/>
              <w:rPr>
                <w:sz w:val="17"/>
                <w:szCs w:val="17"/>
                <w:color w:val="auto"/>
              </w:rPr>
            </w:pPr>
          </w:p>
        </w:tc>
      </w:tr>
      <w:tr>
        <w:trPr>
          <w:trHeight w:val="203"/>
        </w:trPr>
        <w:tc>
          <w:tcPr>
            <w:tcW w:w="3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U.S. Government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3,315</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3,658</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1,574</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2,014</w:t>
            </w:r>
          </w:p>
        </w:tc>
        <w:tc>
          <w:tcPr>
            <w:tcW w:w="420" w:type="dxa"/>
            <w:vAlign w:val="bottom"/>
          </w:tcPr>
          <w:p>
            <w:pPr>
              <w:spacing w:after="0"/>
              <w:rPr>
                <w:sz w:val="17"/>
                <w:szCs w:val="17"/>
                <w:color w:val="auto"/>
              </w:rPr>
            </w:pPr>
          </w:p>
        </w:tc>
      </w:tr>
      <w:tr>
        <w:trPr>
          <w:trHeight w:val="203"/>
        </w:trPr>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Gillam-FEI</w:t>
            </w:r>
          </w:p>
        </w:tc>
        <w:tc>
          <w:tcPr>
            <w:tcW w:w="1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5,032</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2,527</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2,292</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1,180</w:t>
            </w:r>
          </w:p>
        </w:tc>
        <w:tc>
          <w:tcPr>
            <w:tcW w:w="420" w:type="dxa"/>
            <w:vAlign w:val="bottom"/>
          </w:tcPr>
          <w:p>
            <w:pPr>
              <w:spacing w:after="0"/>
              <w:rPr>
                <w:sz w:val="17"/>
                <w:szCs w:val="17"/>
                <w:color w:val="auto"/>
              </w:rPr>
            </w:pPr>
          </w:p>
        </w:tc>
      </w:tr>
      <w:tr>
        <w:trPr>
          <w:trHeight w:val="203"/>
        </w:trPr>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FEI-Zyfer</w:t>
            </w:r>
          </w:p>
        </w:tc>
        <w:tc>
          <w:tcPr>
            <w:tcW w:w="1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4,177</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1,968</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2,143</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1,056</w:t>
            </w:r>
          </w:p>
        </w:tc>
        <w:tc>
          <w:tcPr>
            <w:tcW w:w="420" w:type="dxa"/>
            <w:vAlign w:val="bottom"/>
          </w:tcPr>
          <w:p>
            <w:pPr>
              <w:spacing w:after="0"/>
              <w:rPr>
                <w:sz w:val="17"/>
                <w:szCs w:val="17"/>
                <w:color w:val="auto"/>
              </w:rPr>
            </w:pPr>
          </w:p>
        </w:tc>
      </w:tr>
      <w:tr>
        <w:trPr>
          <w:trHeight w:val="203"/>
        </w:trPr>
        <w:tc>
          <w:tcPr>
            <w:tcW w:w="3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4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r>
      <w:tr>
        <w:trPr>
          <w:trHeight w:val="203"/>
        </w:trPr>
        <w:tc>
          <w:tcPr>
            <w:tcW w:w="33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Consolidated sales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$32,045</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$18,779</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$14,362</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$10,025</w:t>
            </w:r>
          </w:p>
        </w:tc>
        <w:tc>
          <w:tcPr>
            <w:tcW w:w="4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Note- Certain prior period segment sales amounts have been adjusted to conform</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6640" w:type="dxa"/>
            <w:vAlign w:val="bottom"/>
            <w:gridSpan w:val="4"/>
          </w:tcPr>
          <w:p>
            <w:pPr>
              <w:ind w:left="1580"/>
              <w:spacing w:after="0"/>
              <w:rPr>
                <w:sz w:val="20"/>
                <w:szCs w:val="20"/>
                <w:color w:val="auto"/>
              </w:rPr>
            </w:pPr>
            <w:r>
              <w:rPr>
                <w:rFonts w:ascii="Courier New" w:cs="Courier New" w:eastAsia="Courier New" w:hAnsi="Courier New"/>
                <w:sz w:val="18"/>
                <w:szCs w:val="18"/>
                <w:color w:val="auto"/>
                <w:w w:val="99"/>
              </w:rPr>
              <w:t>to the presentation in the current fiscal year.</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Operating profit (loss):</w:t>
            </w: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$ 3,411</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273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$ 1,447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547</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U.S. Government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(399)</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328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w:t>
            </w:r>
          </w:p>
        </w:tc>
        <w:tc>
          <w:tcPr>
            <w:tcW w:w="4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257</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Gillam-FEI</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(839)</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(1,587)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(728)</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FEI-Zyfer</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(531)</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less intercompany</w:t>
            </w: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transactions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Corporate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(269)</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30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Consolidated operating</w:t>
            </w: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profit (loss)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$ 2,024</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$(2,343)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775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(705)</w:t>
            </w:r>
          </w:p>
        </w:tc>
      </w:tr>
      <w:tr>
        <w:trPr>
          <w:trHeight w:val="203"/>
        </w:trPr>
        <w:tc>
          <w:tcPr>
            <w:tcW w:w="30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October 31, 2004</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April 30, 2004</w:t>
            </w:r>
          </w:p>
        </w:tc>
      </w:tr>
      <w:tr>
        <w:trPr>
          <w:trHeight w:val="203"/>
        </w:trPr>
        <w:tc>
          <w:tcPr>
            <w:tcW w:w="3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$23,374</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$22,988</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U.S. Government</w:t>
            </w: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5,998</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5,189</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Gillam-FEI</w:t>
            </w: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12,464</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14,904</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FEI-Zyfer</w:t>
            </w: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5,040</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5,541</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less intercompany balances</w:t>
            </w:r>
          </w:p>
        </w:tc>
        <w:tc>
          <w:tcPr>
            <w:tcW w:w="1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(5,987)</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(5,673)</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Corporate</w:t>
            </w: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51,803</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49,918</w:t>
            </w:r>
          </w:p>
        </w:tc>
      </w:tr>
      <w:tr>
        <w:trPr>
          <w:trHeight w:val="203"/>
        </w:trPr>
        <w:tc>
          <w:tcPr>
            <w:tcW w:w="3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Consolidated identifiable assets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$92,692</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$92,867</w:t>
            </w:r>
          </w:p>
        </w:tc>
      </w:tr>
      <w:tr>
        <w:trPr>
          <w:trHeight w:val="203"/>
        </w:trPr>
        <w:tc>
          <w:tcPr>
            <w:tcW w:w="3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bl>
    <w:p>
      <w:pPr>
        <w:sectPr>
          <w:pgSz w:w="11900" w:h="16838" w:orient="portrait"/>
          <w:cols w:equalWidth="0" w:num="1">
            <w:col w:w="10219"/>
          </w:cols>
          <w:pgMar w:left="240" w:top="925" w:right="1440" w:bottom="1440" w:gutter="0" w:footer="0" w:header="0"/>
        </w:sectPr>
      </w:pPr>
    </w:p>
    <w:bookmarkStart w:id="10" w:name="page11"/>
    <w:bookmarkEnd w:id="10"/>
    <w:p>
      <w:pPr>
        <w:jc w:val="center"/>
        <w:ind w:right="1779"/>
        <w:spacing w:after="0" w:line="236" w:lineRule="auto"/>
        <w:rPr>
          <w:sz w:val="20"/>
          <w:szCs w:val="20"/>
          <w:color w:val="auto"/>
        </w:rPr>
      </w:pPr>
      <w:r>
        <w:rPr>
          <w:rFonts w:ascii="Courier New" w:cs="Courier New" w:eastAsia="Courier New" w:hAnsi="Courier New"/>
          <w:sz w:val="18"/>
          <w:szCs w:val="18"/>
          <w:color w:val="auto"/>
        </w:rPr>
        <w:t>Frequency Electronics, Inc. and Subsidiaries 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H - ACQUISITION OF FEI-ZYFER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May 9, 2003, the Company acquired the business and net assets of Zyfer, Inc., a wholly-owned subsidiary of Odetics, Inc., in a cash transaction. The business of the subsidiary, FEI-Zyfer, Inc., is the design and manufacture of products for precision time and frequency generation and synchronization, primarily incorporating GPS technology.</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paid $2.3 million at closing, plus acquisition costs of approximately $400,000. According to the terms of the purchase agreement, the Company is required to make additional payments up to a maximum of $1 million in each of fiscal years 2004 and 2005 if FEI-Zyfer achieves certain revenue levels in those years. The contingent payments are based on a percentage of revenues in excess of $6 million in fiscal year 2004 and as a percentage of revenues in excess of $8 million in fiscal year 2005. The acquired business recorded revenue of $6.5 million for the year ended April 30, 2004. Accordingly, the Company paid the former owners an additional $135,000 and recorded goodwill in the same amount.</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FEI-Zyfer acquisition is treated as a purchase acquisition. The purchase price (exclusive of the contingent payment noted above) has been allocated to net assets acquired of approximately $1.8 million. The purchase price in excess of net assets acquired, approximately $900,000, has been allocated to fixed assets ($300,000) and to customer lists ($600,000) which will be amortized over the next 3 to 5 years. Amortization expense for the six and three months ended October 31, 2004 was $51,000 and $26,000, respectively. No amortization expense was recorded during the first half of fiscal year 2004 since the Company had not yet completed the process of determining the appropriate allocation of the purchase price.</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accompanying condensed consolidated statements of operations for the six- and three-month periods ended October 31, 2003, includes the results of operations of FEI-Zyfer from May 9, 2003 through October 31, 2003. The pro forma financial information set forth below is based upon the Company's historical consolidated statements of operations for the six and three months ended October 31, 2003, adjusted to give effect to the acquisition of FEI-Zyfer as of the beginning of the periods.</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pro forma financial information is presented for informational purposes only and may not be indicative of what actual results of operations would have been had the acquisition occurred on May 1, 2003, nor does it purport to represent the results of operations for future periods.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520" w:type="dxa"/>
            <w:vAlign w:val="bottom"/>
          </w:tcPr>
          <w:p>
            <w:pPr>
              <w:spacing w:after="0"/>
              <w:rPr>
                <w:sz w:val="17"/>
                <w:szCs w:val="17"/>
                <w:color w:val="auto"/>
              </w:rPr>
            </w:pPr>
          </w:p>
        </w:tc>
        <w:tc>
          <w:tcPr>
            <w:tcW w:w="44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Pro forma periods ended October 31, 2003</w:t>
            </w:r>
          </w:p>
        </w:tc>
      </w:tr>
      <w:tr>
        <w:trPr>
          <w:trHeight w:val="203"/>
        </w:trPr>
        <w:tc>
          <w:tcPr>
            <w:tcW w:w="3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1360" w:type="dxa"/>
            <w:vAlign w:val="bottom"/>
          </w:tcPr>
          <w:p>
            <w:pPr>
              <w:spacing w:after="0"/>
              <w:rPr>
                <w:sz w:val="17"/>
                <w:szCs w:val="17"/>
                <w:color w:val="auto"/>
              </w:rPr>
            </w:pPr>
          </w:p>
        </w:tc>
      </w:tr>
      <w:tr>
        <w:trPr>
          <w:trHeight w:val="203"/>
        </w:trPr>
        <w:tc>
          <w:tcPr>
            <w:tcW w:w="35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Six months</w:t>
            </w:r>
          </w:p>
        </w:tc>
        <w:tc>
          <w:tcPr>
            <w:tcW w:w="2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Three months</w:t>
            </w:r>
          </w:p>
        </w:tc>
      </w:tr>
      <w:tr>
        <w:trPr>
          <w:trHeight w:val="203"/>
        </w:trPr>
        <w:tc>
          <w:tcPr>
            <w:tcW w:w="3520" w:type="dxa"/>
            <w:vAlign w:val="bottom"/>
          </w:tcPr>
          <w:p>
            <w:pPr>
              <w:spacing w:after="0"/>
              <w:rPr>
                <w:sz w:val="17"/>
                <w:szCs w:val="17"/>
                <w:color w:val="auto"/>
              </w:rPr>
            </w:pPr>
          </w:p>
        </w:tc>
        <w:tc>
          <w:tcPr>
            <w:tcW w:w="4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35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$18,880</w:t>
            </w:r>
          </w:p>
        </w:tc>
        <w:tc>
          <w:tcPr>
            <w:tcW w:w="29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$10,025</w:t>
            </w:r>
          </w:p>
        </w:tc>
      </w:tr>
      <w:tr>
        <w:trPr>
          <w:trHeight w:val="203"/>
        </w:trPr>
        <w:tc>
          <w:tcPr>
            <w:tcW w:w="352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loss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$(2,423)</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(705)</w:t>
            </w:r>
          </w:p>
        </w:tc>
      </w:tr>
      <w:tr>
        <w:trPr>
          <w:trHeight w:val="203"/>
        </w:trPr>
        <w:tc>
          <w:tcPr>
            <w:tcW w:w="352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(215)</w:t>
            </w:r>
          </w:p>
        </w:tc>
      </w:tr>
      <w:tr>
        <w:trPr>
          <w:trHeight w:val="203"/>
        </w:trPr>
        <w:tc>
          <w:tcPr>
            <w:tcW w:w="352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per share- basic</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$(0.12)</w:t>
            </w:r>
          </w:p>
        </w:tc>
        <w:tc>
          <w:tcPr>
            <w:tcW w:w="154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$(0.03)</w:t>
            </w:r>
          </w:p>
        </w:tc>
      </w:tr>
      <w:tr>
        <w:trPr>
          <w:trHeight w:val="203"/>
        </w:trPr>
        <w:tc>
          <w:tcPr>
            <w:tcW w:w="352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per share- diluted</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$(0.12)</w:t>
            </w:r>
          </w:p>
        </w:tc>
        <w:tc>
          <w:tcPr>
            <w:tcW w:w="154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$(0.03)</w:t>
            </w:r>
          </w:p>
        </w:tc>
      </w:tr>
      <w:tr>
        <w:trPr>
          <w:trHeight w:val="203"/>
        </w:trPr>
        <w:tc>
          <w:tcPr>
            <w:tcW w:w="352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w:t>
            </w:r>
          </w:p>
        </w:tc>
      </w:tr>
    </w:tbl>
    <w:p>
      <w:pPr>
        <w:sectPr>
          <w:pgSz w:w="11900" w:h="16838" w:orient="portrait"/>
          <w:cols w:equalWidth="0" w:num="1">
            <w:col w:w="10219"/>
          </w:cols>
          <w:pgMar w:left="240" w:top="925" w:right="1440" w:bottom="1440" w:gutter="0" w:footer="0" w:header="0"/>
        </w:sectPr>
      </w:pPr>
    </w:p>
    <w:bookmarkStart w:id="11" w:name="page12"/>
    <w:bookmarkEnd w:id="11"/>
    <w:p>
      <w:pPr>
        <w:jc w:val="center"/>
        <w:ind w:right="1779"/>
        <w:spacing w:after="0" w:line="236" w:lineRule="auto"/>
        <w:rPr>
          <w:sz w:val="20"/>
          <w:szCs w:val="20"/>
          <w:color w:val="auto"/>
        </w:rPr>
      </w:pPr>
      <w:r>
        <w:rPr>
          <w:rFonts w:ascii="Courier New" w:cs="Courier New" w:eastAsia="Courier New" w:hAnsi="Courier New"/>
          <w:sz w:val="18"/>
          <w:szCs w:val="18"/>
          <w:color w:val="auto"/>
        </w:rPr>
        <w:t>Frequency Electronics, Inc. and Subsidiaries 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 - INVESTMENT IN MORION, INC.</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September 2004, the Company increased its investment in OAO Morion ("Morion") from 19.8% to 36% of the privately-held Russian company's outstanding shares. The acquisition was accomplished through a combination of cash and the issuance of 42,488 shares of the Company's common stock.</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As a result of the increased ownership of Morion, the Company changed its method of carrying the investment from cost to equity as required by generally accepted accounting principles. Under the equity method, the Company records its proportionate share of the earnings of Morion. The effect of the change for the six and three month periods ended October 31, 2004, was to increase income before provision for income taxes and net income by $128,000 ($0.02 per diluted share) and $70,000 ($0.01 per diluted share), respectively. The financial statements for the six and three months ended October 31, 2003 have been restated for the change which resulted in a decrease in the loss before income taxes and the net loss by $36,000 ($0.01 per share) and $21,000 (less than 1 cent per share), respectively. Retained earnings as of the beginning of fiscal year 2005 has been increased by $207,000 for the effect of retroactive application of the equity method.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At October 31, 2004 and 2003, the Company's share of the underlying net assets of Morion exceeded the investment by $695,000 and $70,000, respectively. The excess relates to certain property, plant and equipment and is being amortized into income by increasing the Company's share of Morion's net income. The Company uses the straightline method to amortize the excess over the remaining useful lives of the property, plant and equipment.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J - Recently Issued Accounting Pronouncements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has evaluated all recent accounting pronouncements and their related effective dates. The adoption of these statements did not have a material impact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ectPr>
          <w:pgSz w:w="11900" w:h="16838" w:orient="portrait"/>
          <w:cols w:equalWidth="0" w:num="1">
            <w:col w:w="10219"/>
          </w:cols>
          <w:pgMar w:left="240" w:top="925" w:right="1440" w:bottom="1440"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tabs>
          <w:tab w:leader="none" w:pos="1040" w:val="left"/>
          <w:tab w:leader="none" w:pos="2300" w:val="left"/>
          <w:tab w:leader="none" w:pos="3360" w:val="left"/>
          <w:tab w:leader="none" w:pos="3880" w:val="left"/>
        </w:tabs>
        <w:rPr>
          <w:sz w:val="20"/>
          <w:szCs w:val="20"/>
          <w:color w:val="auto"/>
        </w:rPr>
      </w:pPr>
      <w:r>
        <w:rPr>
          <w:rFonts w:ascii="Courier New" w:cs="Courier New" w:eastAsia="Courier New" w:hAnsi="Courier New"/>
          <w:sz w:val="18"/>
          <w:szCs w:val="18"/>
          <w:color w:val="auto"/>
        </w:rPr>
        <w:t>Critical</w:t>
        <w:tab/>
        <w:t>Accounting</w:t>
        <w:tab/>
        <w:t>Policies</w:t>
        <w:tab/>
        <w:t>and</w:t>
      </w:r>
      <w:r>
        <w:rPr>
          <w:sz w:val="20"/>
          <w:szCs w:val="20"/>
          <w:color w:val="auto"/>
        </w:rPr>
        <w:tab/>
      </w:r>
      <w:r>
        <w:rPr>
          <w:rFonts w:ascii="Courier New" w:cs="Courier New" w:eastAsia="Courier New" w:hAnsi="Courier New"/>
          <w:sz w:val="16"/>
          <w:szCs w:val="16"/>
          <w:color w:val="auto"/>
        </w:rPr>
        <w:t>Estimates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significant accounting policies are described in Note 1 to the consolidated financial statements included in the Company's April 30, 2004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Revenue Recognition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Revenues under larger, long-term contracts, generally defined as orders in excess of $100,000,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10"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For contracts in the Company's Gillam-FEI and FEI-Zyfer segments, smaller contracts or orders in the other business segments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Costs and Expenses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Contract costs include all direct material, direct labor, manufacturing overhead and other direct costs related to contract performance. Selling, general and administrative costs are charged to expense as incurred.</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Inventory</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Change in Accounting</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In September 2004, the Company increased its investment in OAO Morion ("Morion") from 19.8% to 36% of the privately-held Russian company's outstanding shares. Accordingly, the Company changed its method of carrying the investment from cost to equity as required by generally accepted accounting principles. Under the equity method, the Company records its proportionate share of the earnings of Morion. In addition, certain amounts in prior period financial statements have been adjusted for the retroactive application of the equity method since the inception of the Company's investment in Morion.</w:t>
      </w:r>
    </w:p>
    <w:p>
      <w:pPr>
        <w:sectPr>
          <w:pgSz w:w="11900" w:h="16838" w:orient="portrait"/>
          <w:cols w:equalWidth="0" w:num="1">
            <w:col w:w="10219"/>
          </w:cols>
          <w:pgMar w:left="240" w:top="717"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table below sets forth for the respective periods of fiscal years 2005 and 2004 the percentage of consolidated net sales represented by certain items in the Company's consolidated statements of operations: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22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Six months</w:t>
            </w:r>
          </w:p>
        </w:tc>
        <w:tc>
          <w:tcPr>
            <w:tcW w:w="20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4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2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Periods ended October 31,</w:t>
            </w:r>
          </w:p>
        </w:tc>
      </w:tr>
      <w:tr>
        <w:trPr>
          <w:trHeight w:val="203"/>
        </w:trPr>
        <w:tc>
          <w:tcPr>
            <w:tcW w:w="4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58.1%</w:t>
            </w:r>
          </w:p>
        </w:tc>
      </w:tr>
      <w:tr>
        <w:trPr>
          <w:trHeight w:val="203"/>
        </w:trPr>
        <w:tc>
          <w:tcPr>
            <w:tcW w:w="4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U.S. Government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19.5</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11.0</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4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Gillam-FEI</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13.4</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16.0</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4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FEI-Zyfer</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14.9</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4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4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68.7</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63.4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66.9</w:t>
            </w:r>
          </w:p>
        </w:tc>
      </w:tr>
      <w:tr>
        <w:trPr>
          <w:trHeight w:val="203"/>
        </w:trPr>
        <w:tc>
          <w:tcPr>
            <w:tcW w:w="4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Gross Margin</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31.3</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36.6</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33.1</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and administrative expenses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28.3</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20.1</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15.5</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11.1</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4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5.4</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w:t>
            </w:r>
          </w:p>
        </w:tc>
      </w:tr>
      <w:tr>
        <w:trPr>
          <w:trHeight w:val="405"/>
        </w:trPr>
        <w:tc>
          <w:tcPr>
            <w:tcW w:w="4100" w:type="dxa"/>
            <w:vAlign w:val="bottom"/>
          </w:tcPr>
          <w:p>
            <w:pPr>
              <w:spacing w:after="0"/>
              <w:rPr>
                <w:sz w:val="20"/>
                <w:szCs w:val="20"/>
                <w:color w:val="auto"/>
              </w:rPr>
            </w:pPr>
            <w:r>
              <w:rPr>
                <w:rFonts w:ascii="Courier New" w:cs="Courier New" w:eastAsia="Courier New" w:hAnsi="Courier New"/>
                <w:sz w:val="18"/>
                <w:szCs w:val="18"/>
                <w:color w:val="auto"/>
              </w:rPr>
              <w:t>Other income, net &amp; Minority interest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7.1</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3.0</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w:t>
            </w:r>
          </w:p>
        </w:tc>
      </w:tr>
      <w:tr>
        <w:trPr>
          <w:trHeight w:val="203"/>
        </w:trPr>
        <w:tc>
          <w:tcPr>
            <w:tcW w:w="4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Pretax Income (Loss)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8.4</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(Benefit) for income taxes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4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Net Income (Loss)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six months ended October 31, 2004, the operating profit of $2.0 million increased by $4.4 million over the loss of $2.3 million for the same period ended October 31, 2003. Net income for the first six months of fiscal year 2005 was $1.9 million, an increase of $2.8 million over the net loss of $941,000 reported in the same period of fiscal year 2004. This substantial improvement in operating results is due to the over 70% increase in revenue in fiscal year 2005 compared to the first half of fiscal year 2004 which reflects the continuation of the improving telecommunications market that began in the second half of last fiscal year.</w:t>
      </w:r>
    </w:p>
    <w:p>
      <w:pPr>
        <w:spacing w:after="0" w:line="214"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Net sales for the six and three months ended October 31, 2004, increased by $13.2 million (71%) and $4.3 million (43%), respectively, from the same periods of fiscal year 2004. On a segment by segment basis, the comparison of revenues for the six and three month periods ended October 31, 2004 to the comparable periods of fiscal year 2004 were as follows: Commercial Communications revenues increased by $9.4 million (88%) and $3.0 million (51%), respectively; US Government revenues decreased by $343,000 (9%) and $440,000 (22%), respectively; Gillam-FEI revenues increased by $2.5 million (99%) and $1.1 million (94%), respectively; and FEI-Zyfer revenues increased by $2.2 million (112%) and $1.1 million (103%), respectively. In addition, intersegment sales, principally from the Commercial Communications segment to other segments, increased by $530,000 (757%) and $402,000 (773%), respectively.</w:t>
      </w:r>
    </w:p>
    <w:p>
      <w:pPr>
        <w:spacing w:after="0" w:line="391"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Commercial Communications revenues reflect growth in capital spending in the wireless infrastructure industry as well as increases in commercial communication satellite activity, both of which began in the last half of fiscal year 2004. The pace of increased capital spending slowed during the Company's second quarter of fiscal year 2005 with a consequent sequential decrease in revenue from the levels achieved in the fourth quarter of fiscal year 2004 and the first quarter of fiscal year 2005. However, the Company expects the wireless industry to continue to invest in infrastructure with greater activity anticipated in calendar year 2005 during the Company's fiscal year fourth quarter and into fiscal year 2006. During the second quarter of fiscal year 2005, the Company also recorded revenue of approximately $750,000 related to certain pricing adjustments with a customer. In addition, the Company's FEI-Asia subsidiary realized increased revenues on sales to both third parties and to support other subsidiaries of the Company.</w:t>
      </w:r>
    </w:p>
    <w:p>
      <w:pPr>
        <w:sectPr>
          <w:pgSz w:w="11900" w:h="16838" w:orient="portrait"/>
          <w:cols w:equalWidth="0" w:num="1">
            <w:col w:w="10219"/>
          </w:cols>
          <w:pgMar w:left="240" w:top="717" w:right="1440" w:bottom="768"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US Government segment revenues declined as the Company continued work on several developmental, pre-production programs under US Government contracts. The Company expects to be awarded initial low-rate production orders on these programs in fiscal year 2006. Gillam-FEI revenues reflect the improvement in telecommunications infrastructure spending in Europe. The Company expects to realize continued year-over-year improvement in the revenues from this segment. Revenues for the FEI-Zyfer segment reflect the Company's contribution to that segment's financial condition after it was acquired in May 2003. With parent-company support, FEI-Zyfer was able to establish credibility with former customers and to develop new customers. Increased revenues are anticipated from this segment although the quarterly growth comparisons to fiscal year 2004 will not be as significant since FEI-Zyfer began to realize greater sales in the second half of the prior fiscal year. Actual quarterly results for each segment are dependent on the timing of the release of customer orders and contracts.</w:t>
      </w:r>
    </w:p>
    <w:p>
      <w:pPr>
        <w:spacing w:after="0" w:line="388"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Gross margin rates for the six and three months ended October 31, 2004, improved to 34.4% and 36.6%, respectively, from 31.3% and 33.1%, respectively, in the same periods of fiscal year 2004. The improvement is attributable to increased sales which were able to absorb a greater amount of fixed costs. In particular, during the second quarter of fiscal year 2005, the Company's FEI-Asia subsidiary, on the strength of increased revenues, as noted above, realized its first positive gross and operating margins since its inception. This factor accounted for approximately 2% of the Company's consolidated gross margin improvement. Gross margin rates are lower than the Company's target of 40% because margins on initial and early stage development US Government contracts are generally lower than production orders and margins realized by Gillam-FEI are historically lower due to higher labor and social service costs. With continued strong sales, the Company expects to realize gross margin rates in future periods which are comparable to the most recent fiscal quarter.</w:t>
      </w:r>
    </w:p>
    <w:p>
      <w:pPr>
        <w:spacing w:after="0" w:line="388"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Selling and administrative costs for the six and three months ended October 31, 2004, increased by $873,000 (16%) and $117,000 (4%) over the same periods of fiscal year 2004. Most of the increase is attributable to increased personnel costs both in terms of increased headcount as well as accruals for incentive compensation plans due to improving profitability. Additional increases were experienced in selling and marketing expenses, including higher sales commissions as a result of increased sales. These cost increases were partially offset by a 10% decrease in selling and administrative expenses at Gillam-FEI following the restructuring process that was completed during the last fiscal year. During the second quarter of fiscal year 2004, Gillam-FEI recorded a restructuring charge of $126,000, which amount was included in selling and administrative expense in that period. The ratio of selling and administrative costs to net sales for the first half of fiscal year 2005 was 19.3% which met the Company's target of a ratio which is less than 20% of revenues. This is the result both of increased revenue levels and cost containment activities. In future quarters of fiscal year 2005, the Company expects to continue to achieve its targeted ratio of costs to sales.</w:t>
      </w:r>
    </w:p>
    <w:p>
      <w:pPr>
        <w:spacing w:after="0" w:line="209"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Research and development spending in the six months ended October 31, 2004 decreased by $90,000 (3%) compared to the same period of fiscal year 2004 and increased by $342,000 (27%) compared to the three months ended October 31, 2003. This level of spending continues to reflect the application of certain developmental resources on funded research contracts rather than internal research and development efforts, the costs of which are borne by the Company. The costs of those resources assigned to funded programs are reflected in cost of sales rather than in research and development expense. During the second quarter of fiscal year 2005, more resources were applied to internal research and development activities than in previous quarters. During fiscal year 2005, the Company's efforts are focused on the final phases of the development of Gillam-FEI's next generation wireline signal synchronization unit (designated "US5G"), developing a digital rubidium oscillator, and further improving the performance of crystal oscillators, including low-g (gravity) sensitivity crystal oscillators which have broad applications in both commercial and US Government systems. The Company targets research and development spending at approximately 10% of sales,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ectPr>
          <w:pgSz w:w="11900" w:h="16838" w:orient="portrait"/>
          <w:cols w:equalWidth="0" w:num="1">
            <w:col w:w="10219"/>
          </w:cols>
          <w:pgMar w:left="240" w:top="717" w:right="1440" w:bottom="953"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Net nonoperating income and expense decreased by $353,000 (29%) and $91,000 (18%) in the six and three month periods ended October 31, 2004 compared to the same periods of fiscal year 2004. Included in this category is the Company's equity from the earnings of Morion. The Company commenced recording its share of Morion's earnings upon the increase of its ownership interest in Morion from 19% to 36% during the quarter ended October 31, 2004. All prior period financial statements have been restated to report the Company's equity income from the time of its original investment in Morion. For the six and three month periods ended October 31, 2004, equity in Morion's earnings increased by $92,000 (256%) and $49,000 (233%) compared to the same periods of fiscal year 2004. These increases are attributable both to the Company's increased ownership percentage (from 9% to 19%) as well as improved profitability at Morion resulting from increased sales.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Other components of nonoperating income and expense include investment income, interest expense and other income (expense), net. Investment income decreased by $514,000 (38%) and $183,000 (31%) during the six and three months ended October 31, 2004 compared to the same periods of fiscal year 2004. The decline is principally due to realized gains of approximately $483,000 and $178,000 recorded in the year-ago periods compared to no gains or losses reported in the fiscal year 2005 periods. For the six and three month periods ended October 31, 2004, interest expense increased by $26,000 (21%) and $7,000 (11%) compared to the same periods of fiscal year 2004. This increase reflects increases in the short-term borrowing requirements of the Company. Other income (expense), net, increased by $95,000 and $50,000 during the six and three-month periods ended October 31, 2004 compared to the same periods of fiscal year 2004. This increase is the result of two events during fiscal year 2005 at the Company's French subsidiary: a governmental grant received in the first quarter and recovery of value added taxes during the second quarter of the year. Other income (expense), net, consists principally of certain non-recurring transactions and is generally not significant to net income.</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is subject to taxation in several countries as well as the states of New York and California. The statutory federal rates vary from 34% in the United States to 35% in Europe. Tax losses originating at the Company's European and Asian subsidiaries are not consolidated with US source income which, when combined with US state taxes, contributes to a higher effective tax rate. The availability of Research and Development tax credits partially offset US-based taxes. The Company's European subsidiaries have available net operating loss carryforwards of approximately $2.6 million to offset future taxable income.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balance sheet continues to reflect a strong working capital position of $64 million at October 31, 2004, which is comparable to working capital at April 30, 2004. Included in working capital at October 31, 2004 is $32.9 million of cash, cash equivalents and marketable securities, including $14.7 million of REIT units that are convertible to Reckson Associates Realty Corp. common stock.</w:t>
      </w:r>
    </w:p>
    <w:p>
      <w:pPr>
        <w:spacing w:after="0" w:line="210"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Net cash provided by operating activities for the six months ended October 31, 2004, was $2.9 million compared to $4.0 million used in operations in the comparable fiscal year 2004 period. This significant improvement in cash flows is due to the return to profitability in fiscal year 2005 plus collections on accounts receivable which was partially offset by payments on accounts payable and accrued liabilities. In the first half of fiscal year 2004, approximately $1.8 million was used to support the operations of the Company's new subsidiary, FEI-Zyfer. In the first six months of fiscal year 2005, FEI-Zyfer generated positive cash flow from operations. The Company expects that it will continue to generate positive cash flow from operating activities during fiscal year 2005.</w:t>
      </w:r>
    </w:p>
    <w:p>
      <w:pPr>
        <w:spacing w:after="0" w:line="189"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Net cash used in investing activities for the six months ended October 31, 2004, was $2.9 million compared to $365,000 for the same period of fiscal year 2004. During the second quarter of fiscal year 2005, the Company acquired an additional 16% interest in Morion, Inc. and the remaining 14% of its French subsidiary it did not already own, for an aggregate cash payment of $830,000. Additional cash was used to acquire certain marketable securities aggregating $1.7 million, net of sales of other marketable securities. The Company also purchased capital equipment for approximately $870,000. The Company may continue to acquire or sell marketable securities as dictated by its investment strategies as well as by the cash requirements for its development activities. Requirements for additional capital equipment are expected to be less than $2.0</w:t>
      </w:r>
    </w:p>
    <w:p>
      <w:pPr>
        <w:sectPr>
          <w:pgSz w:w="11900" w:h="16838" w:orient="portrait"/>
          <w:cols w:equalWidth="0" w:num="1">
            <w:col w:w="10219"/>
          </w:cols>
          <w:pgMar w:left="240" w:top="717" w:right="1440" w:bottom="0"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million during fiscal year 2005. Internally generated cash will be adequate to acquire this capital equipment.</w:t>
      </w:r>
    </w:p>
    <w:p>
      <w:pPr>
        <w:spacing w:after="0" w:line="208"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Net cash used in financing activities for the six months ended October 31, 2004, was $2.6 million compared to cash provided by financing activities in the amount of $91,000 during the comparable fiscal year 2004 period. Included in both fiscal periods is payment of the Company's semiannual dividend in the amount of $843,000 and $834,000, respectively. During fiscal year 2004, the Company took advantage of the low interest rate environment and borrowed $2.7 million against a credit line which is secured by a substantial portion of the Company's portfolio of marketable securities. During the first six months of fiscal year 2005, the Company repaid $1.0 million of this credit line and made other scheduled payments against debt and other obligations of $864,000.</w:t>
      </w:r>
    </w:p>
    <w:p>
      <w:pPr>
        <w:spacing w:after="0" w:line="386"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At October 31, 2004, the Company's backlog amounted to approximately $29 million compared to the approximately $36 million backlog at April 30, 2004. Of this backlog, approximately 80% is realizable in the next twelve months.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Company is exposed to market risk related to changes in interest rates and market values of securities, including participation units in the Reckson Operating Partnership, L.P. The Company's investments in fixed income and equity securities were $15.1 million and $14.8 million, respectively, at October 31, 2004.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October 31, 2004, a 10% change in market interest rates would not have a material effect on the fair value of the Company's fixed income securities or results of operations.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October 31, 2004, the amount related to foreign currency exchange rates is a $3,746,000 unrealized gain. Note that the value of the Chinese Yuan is "pegged" to the value of the US dollar. Accordingly, no foreign currency gains or losses have been realized or are included in the unrealized gain indicated above. If the Chinese government decides to change its policy and permits the Yuan to "float" against other world currencies, the Company would report the effect in other comprehensive income, as appropriate.</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ectPr>
          <w:pgSz w:w="11900" w:h="16838" w:orient="portrait"/>
          <w:cols w:equalWidth="0" w:num="1">
            <w:col w:w="10219"/>
          </w:cols>
          <w:pgMar w:left="240" w:top="717"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Controls and Procedures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Disclosure Controls and Procedures.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Internal Control Over Financial Reporting.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 through 5 are omitted because they are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 and Reports on Form 8-K</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(a) Exhibits:</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31.1</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Certification by the</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Chief Executive Officer Pursuant</w:t>
            </w:r>
          </w:p>
        </w:tc>
      </w:tr>
      <w:tr>
        <w:trPr>
          <w:trHeight w:val="203"/>
        </w:trPr>
        <w:tc>
          <w:tcPr>
            <w:tcW w:w="14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to Section</w:t>
            </w:r>
          </w:p>
        </w:tc>
        <w:tc>
          <w:tcPr>
            <w:tcW w:w="4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302 of the Sarbanes-Oxley Act of 2002.</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31.2</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Certification by the</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Chief Financial Officer Pursuant</w:t>
            </w:r>
          </w:p>
        </w:tc>
      </w:tr>
      <w:tr>
        <w:trPr>
          <w:trHeight w:val="203"/>
        </w:trPr>
        <w:tc>
          <w:tcPr>
            <w:tcW w:w="14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to Section</w:t>
            </w:r>
          </w:p>
        </w:tc>
        <w:tc>
          <w:tcPr>
            <w:tcW w:w="4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302 of the Sarbanes-Oxley Act of 2002</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32.1</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Certification by the</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Chief Executive Officer Pursuant</w:t>
            </w:r>
          </w:p>
        </w:tc>
      </w:tr>
      <w:tr>
        <w:trPr>
          <w:trHeight w:val="203"/>
        </w:trPr>
        <w:tc>
          <w:tcPr>
            <w:tcW w:w="148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18 U.S.C. Section</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1350</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Adopted Pursuant to Section</w:t>
            </w:r>
          </w:p>
        </w:tc>
      </w:tr>
      <w:tr>
        <w:trPr>
          <w:trHeight w:val="203"/>
        </w:trPr>
        <w:tc>
          <w:tcPr>
            <w:tcW w:w="14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906 of the</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Sarbanes-Oxley</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of 2002.</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32.2</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Certification by the</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Chief Financial Officer Pursuant</w:t>
            </w:r>
          </w:p>
        </w:tc>
      </w:tr>
      <w:tr>
        <w:trPr>
          <w:trHeight w:val="203"/>
        </w:trPr>
        <w:tc>
          <w:tcPr>
            <w:tcW w:w="148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18 U.S.C. Section</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1350</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Adopted Pursuant to Section</w:t>
            </w:r>
          </w:p>
        </w:tc>
      </w:tr>
      <w:tr>
        <w:trPr>
          <w:trHeight w:val="203"/>
        </w:trPr>
        <w:tc>
          <w:tcPr>
            <w:tcW w:w="1480" w:type="dxa"/>
            <w:vAlign w:val="bottom"/>
          </w:tcPr>
          <w:p>
            <w:pPr>
              <w:spacing w:after="0"/>
              <w:rPr>
                <w:sz w:val="17"/>
                <w:szCs w:val="17"/>
                <w:color w:val="auto"/>
              </w:rPr>
            </w:pP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906 of the</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Sarbanes-Oxley</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of 2002.</w:t>
            </w:r>
          </w:p>
        </w:tc>
      </w:tr>
    </w:tbl>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jc w:val="both"/>
        <w:ind w:left="1060" w:right="2619"/>
        <w:spacing w:after="0" w:line="237" w:lineRule="auto"/>
        <w:rPr>
          <w:sz w:val="20"/>
          <w:szCs w:val="20"/>
          <w:color w:val="auto"/>
        </w:rPr>
      </w:pPr>
      <w:r>
        <w:rPr>
          <w:rFonts w:ascii="Courier New" w:cs="Courier New" w:eastAsia="Courier New" w:hAnsi="Courier New"/>
          <w:sz w:val="18"/>
          <w:szCs w:val="18"/>
          <w:color w:val="auto"/>
        </w:rPr>
        <w:t>Form 8-K, dated September 7, 2004, containing disclosure under Item 4.01 (Changes in Registrant's Certifying Accountant), was filed with the Securities and Exchange Commission on September 10, 2004.</w:t>
      </w:r>
    </w:p>
    <w:p>
      <w:pPr>
        <w:spacing w:after="0" w:line="207" w:lineRule="exact"/>
        <w:rPr>
          <w:sz w:val="20"/>
          <w:szCs w:val="20"/>
          <w:color w:val="auto"/>
        </w:rPr>
      </w:pPr>
    </w:p>
    <w:p>
      <w:pPr>
        <w:jc w:val="both"/>
        <w:ind w:left="1060" w:right="2519"/>
        <w:spacing w:after="0" w:line="279" w:lineRule="auto"/>
        <w:rPr>
          <w:sz w:val="20"/>
          <w:szCs w:val="20"/>
          <w:color w:val="auto"/>
        </w:rPr>
      </w:pPr>
      <w:r>
        <w:rPr>
          <w:rFonts w:ascii="Courier New" w:cs="Courier New" w:eastAsia="Courier New" w:hAnsi="Courier New"/>
          <w:sz w:val="16"/>
          <w:szCs w:val="16"/>
          <w:color w:val="auto"/>
        </w:rPr>
        <w:t>Form 8-K, dated September 30, 2004, containing disclosure under Item 8.01 (Declaration of Semi-annual Dividend), was filed with the Securities and Exchange Commission on October 5, 2004.</w:t>
      </w:r>
    </w:p>
    <w:p>
      <w:pPr>
        <w:sectPr>
          <w:pgSz w:w="11900" w:h="16838" w:orient="portrait"/>
          <w:cols w:equalWidth="0" w:num="1">
            <w:col w:w="10219"/>
          </w:cols>
          <w:pgMar w:left="240" w:top="717" w:right="1440" w:bottom="1440" w:gutter="0" w:footer="0" w:header="0"/>
        </w:sectPr>
      </w:pPr>
    </w:p>
    <w:bookmarkStart w:id="18" w:name="page19"/>
    <w:bookmarkEnd w:id="18"/>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FREQUENCY ELECTRONICS, INC.</w:t>
      </w:r>
    </w:p>
    <w:p>
      <w:pPr>
        <w:ind w:left="51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14, 2004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tabs>
          <w:tab w:leader="none" w:pos="9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Alan Miller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and Controller</w:t>
      </w:r>
    </w:p>
    <w:p>
      <w:pPr>
        <w:sectPr>
          <w:pgSz w:w="11900" w:h="16838" w:orient="portrait"/>
          <w:cols w:equalWidth="0" w:num="3">
            <w:col w:w="3600" w:space="720"/>
            <w:col w:w="220" w:space="0"/>
            <w:col w:w="5679"/>
          </w:cols>
          <w:pgMar w:left="240" w:top="919" w:right="1440" w:bottom="1440" w:gutter="0" w:footer="0" w:header="0"/>
          <w:type w:val="continuous"/>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B. Bloch, Chief Executive Officer,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Bloch</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14, 2004</w:t>
      </w:r>
    </w:p>
    <w:p>
      <w:pPr>
        <w:sectPr>
          <w:pgSz w:w="11900" w:h="16838" w:orient="portrait"/>
          <w:cols w:equalWidth="0" w:num="2">
            <w:col w:w="5600" w:space="720"/>
            <w:col w:w="3899"/>
          </w:cols>
          <w:pgMar w:left="240" w:top="919" w:right="1440" w:bottom="1440" w:gutter="0" w:footer="0" w:header="0"/>
          <w:type w:val="continuous"/>
        </w:sectPr>
      </w:pPr>
    </w:p>
    <w:bookmarkStart w:id="20" w:name="page21"/>
    <w:bookmarkEnd w:id="20"/>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Alan L. Miller, Chief Financial Officer,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14" w:right="1440" w:bottom="1440" w:gutter="0" w:footer="0" w:header="0"/>
        </w:sectPr>
      </w:pPr>
    </w:p>
    <w:p>
      <w:pPr>
        <w:spacing w:after="0" w:line="203"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Alan L. Miller</w:t>
      </w:r>
    </w:p>
    <w:p>
      <w:pPr>
        <w:ind w:left="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14, 2004</w:t>
      </w:r>
    </w:p>
    <w:p>
      <w:pPr>
        <w:sectPr>
          <w:pgSz w:w="11900" w:h="16838" w:orient="portrait"/>
          <w:cols w:equalWidth="0" w:num="2">
            <w:col w:w="5500" w:space="720"/>
            <w:col w:w="3999"/>
          </w:cols>
          <w:pgMar w:left="240" w:top="514" w:right="1440" w:bottom="1440" w:gutter="0" w:footer="0" w:header="0"/>
          <w:type w:val="continuous"/>
        </w:sectPr>
      </w:pPr>
    </w:p>
    <w:bookmarkStart w:id="21" w:name="page22"/>
    <w:bookmarkEnd w:id="21"/>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October 31, 2004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210" w:lineRule="exact"/>
        <w:rPr>
          <w:sz w:val="20"/>
          <w:szCs w:val="20"/>
          <w:color w:val="auto"/>
        </w:rPr>
      </w:pPr>
    </w:p>
    <w:p>
      <w:pPr>
        <w:ind w:left="1060" w:right="1779" w:hanging="525"/>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Bloch</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14, 2004</w:t>
      </w:r>
    </w:p>
    <w:p>
      <w:pPr>
        <w:spacing w:after="0" w:line="807" w:lineRule="exact"/>
        <w:rPr>
          <w:sz w:val="20"/>
          <w:szCs w:val="20"/>
          <w:color w:val="auto"/>
        </w:rPr>
      </w:pPr>
    </w:p>
    <w:p>
      <w:pPr>
        <w:sectPr>
          <w:pgSz w:w="11900" w:h="16838" w:orient="portrait"/>
          <w:cols w:equalWidth="0" w:num="2">
            <w:col w:w="5400" w:space="720"/>
            <w:col w:w="409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6"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0219"/>
          </w:cols>
          <w:pgMar w:left="240" w:top="919" w:right="1440" w:bottom="1440" w:gutter="0" w:footer="0" w:header="0"/>
          <w:type w:val="continuous"/>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October 31, 2004 as filed with the Securities and Exchange Commission on the date hereof (the "Report"), I, Alan L. Miller, Chief Financial Officer of the Company, certify, pursuant to Section 18 U.S.C. 1350, as adopted pursuant to Section 906 of the Sarbanes-Oxley Act of 2002, that:</w:t>
      </w:r>
    </w:p>
    <w:p>
      <w:pPr>
        <w:spacing w:after="0" w:line="210" w:lineRule="exact"/>
        <w:rPr>
          <w:sz w:val="20"/>
          <w:szCs w:val="20"/>
          <w:color w:val="auto"/>
        </w:rPr>
      </w:pPr>
    </w:p>
    <w:p>
      <w:pPr>
        <w:ind w:left="1060" w:right="1779" w:hanging="525"/>
        <w:spacing w:after="0" w:line="235"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14, 2004</w:t>
      </w:r>
    </w:p>
    <w:p>
      <w:pPr>
        <w:spacing w:after="0" w:line="807" w:lineRule="exact"/>
        <w:rPr>
          <w:sz w:val="20"/>
          <w:szCs w:val="20"/>
          <w:color w:val="auto"/>
        </w:rPr>
      </w:pPr>
    </w:p>
    <w:p>
      <w:pPr>
        <w:sectPr>
          <w:pgSz w:w="11900" w:h="16838" w:orient="portrait"/>
          <w:cols w:equalWidth="0" w:num="2">
            <w:col w:w="5400" w:space="720"/>
            <w:col w:w="409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6"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2019-12-13T01:38:14Z</dcterms:created>
  <dcterms:modified xsi:type="dcterms:W3CDTF">2019-12-13T01:38:14Z</dcterms:modified>
</cp:coreProperties>
</file>