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3197860</wp:posOffset>
            </wp:positionH>
            <wp:positionV relativeFrom="paragraph">
              <wp:posOffset>151765</wp:posOffset>
            </wp:positionV>
            <wp:extent cx="8864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6460" cy="5715"/>
                    </a:xfrm>
                    <a:prstGeom prst="rect">
                      <a:avLst/>
                    </a:prstGeom>
                    <a:noFill/>
                  </pic:spPr>
                </pic:pic>
              </a:graphicData>
            </a:graphic>
          </wp:anchor>
        </w:drawing>
      </w: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80" w:type="dxa"/>
            <w:vAlign w:val="bottom"/>
            <w:gridSpan w:val="2"/>
          </w:tcPr>
          <w:p>
            <w:pPr>
              <w:jc w:val="center"/>
              <w:ind w:right="1080"/>
              <w:spacing w:after="0"/>
              <w:rPr>
                <w:sz w:val="20"/>
                <w:szCs w:val="20"/>
                <w:color w:val="auto"/>
              </w:rPr>
            </w:pPr>
            <w:r>
              <w:rPr>
                <w:rFonts w:ascii="Arial" w:cs="Arial" w:eastAsia="Arial" w:hAnsi="Arial"/>
                <w:sz w:val="19"/>
                <w:szCs w:val="19"/>
                <w:b w:val="1"/>
                <w:bCs w:val="1"/>
                <w:color w:val="auto"/>
              </w:rPr>
              <w:t>FORM 10-K</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(Mark one)</w:t>
            </w:r>
          </w:p>
        </w:tc>
        <w:tc>
          <w:tcPr>
            <w:tcW w:w="5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0" w:type="dxa"/>
            <w:vAlign w:val="bottom"/>
            <w:tcBorders>
              <w:bottom w:val="single" w:sz="8" w:color="808080"/>
            </w:tcBorders>
          </w:tcPr>
          <w:p>
            <w:pPr>
              <w:spacing w:after="0"/>
              <w:rPr>
                <w:sz w:val="5"/>
                <w:szCs w:val="5"/>
                <w:color w:val="auto"/>
              </w:rPr>
            </w:pPr>
          </w:p>
        </w:tc>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2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720" w:type="dxa"/>
            <w:vAlign w:val="bottom"/>
          </w:tcPr>
          <w:p>
            <w:pPr>
              <w:ind w:left="540"/>
              <w:spacing w:after="0"/>
              <w:rPr>
                <w:sz w:val="20"/>
                <w:szCs w:val="20"/>
                <w:color w:val="auto"/>
              </w:rPr>
            </w:pPr>
            <w:r>
              <w:rPr>
                <w:rFonts w:ascii="Arial" w:cs="Arial" w:eastAsia="Arial" w:hAnsi="Arial"/>
                <w:sz w:val="12"/>
                <w:szCs w:val="12"/>
                <w:color w:val="auto"/>
              </w:rPr>
              <w:t>x</w:t>
            </w:r>
          </w:p>
        </w:tc>
        <w:tc>
          <w:tcPr>
            <w:tcW w:w="6800" w:type="dxa"/>
            <w:vAlign w:val="bottom"/>
            <w:gridSpan w:val="10"/>
          </w:tcPr>
          <w:p>
            <w:pPr>
              <w:ind w:left="140"/>
              <w:spacing w:after="0"/>
              <w:rPr>
                <w:sz w:val="20"/>
                <w:szCs w:val="20"/>
                <w:color w:val="auto"/>
              </w:rPr>
            </w:pPr>
            <w:r>
              <w:rPr>
                <w:rFonts w:ascii="Arial" w:cs="Arial" w:eastAsia="Arial" w:hAnsi="Arial"/>
                <w:sz w:val="12"/>
                <w:szCs w:val="12"/>
                <w:color w:val="auto"/>
              </w:rPr>
              <w:t>ANNUAL REPORT PURSUANT TO SECTION 13 or 15 (d) OF THE SECURITIES EXCHANGE ACT OF 1934</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gridSpan w:val="3"/>
          </w:tcPr>
          <w:p>
            <w:pPr>
              <w:jc w:val="center"/>
              <w:ind w:right="520"/>
              <w:spacing w:after="0"/>
              <w:rPr>
                <w:sz w:val="20"/>
                <w:szCs w:val="20"/>
                <w:color w:val="auto"/>
              </w:rPr>
            </w:pPr>
            <w:r>
              <w:rPr>
                <w:rFonts w:ascii="Arial" w:cs="Arial" w:eastAsia="Arial" w:hAnsi="Arial"/>
                <w:sz w:val="12"/>
                <w:szCs w:val="12"/>
                <w:color w:val="auto"/>
                <w:w w:val="90"/>
              </w:rPr>
              <w:t>For the Fiscal Year ended April 30, 2013</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80" w:type="dxa"/>
            <w:vAlign w:val="bottom"/>
            <w:gridSpan w:val="2"/>
          </w:tcPr>
          <w:p>
            <w:pPr>
              <w:jc w:val="center"/>
              <w:ind w:right="1100"/>
              <w:spacing w:after="0"/>
              <w:rPr>
                <w:sz w:val="20"/>
                <w:szCs w:val="20"/>
                <w:color w:val="auto"/>
              </w:rPr>
            </w:pPr>
            <w:r>
              <w:rPr>
                <w:rFonts w:ascii="Arial" w:cs="Arial" w:eastAsia="Arial" w:hAnsi="Arial"/>
                <w:sz w:val="12"/>
                <w:szCs w:val="12"/>
                <w:b w:val="1"/>
                <w:bCs w:val="1"/>
                <w:color w:val="auto"/>
                <w:w w:val="99"/>
              </w:rPr>
              <w:t>OR</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ind w:left="540"/>
              <w:spacing w:after="0"/>
              <w:rPr>
                <w:sz w:val="20"/>
                <w:szCs w:val="20"/>
                <w:color w:val="auto"/>
              </w:rPr>
            </w:pPr>
            <w:r>
              <w:rPr>
                <w:rFonts w:ascii="Arial" w:cs="Arial" w:eastAsia="Arial" w:hAnsi="Arial"/>
                <w:sz w:val="12"/>
                <w:szCs w:val="12"/>
                <w:color w:val="auto"/>
              </w:rPr>
              <w:t>o</w:t>
            </w:r>
          </w:p>
        </w:tc>
        <w:tc>
          <w:tcPr>
            <w:tcW w:w="6800" w:type="dxa"/>
            <w:vAlign w:val="bottom"/>
            <w:gridSpan w:val="10"/>
          </w:tcPr>
          <w:p>
            <w:pPr>
              <w:ind w:left="140"/>
              <w:spacing w:after="0"/>
              <w:rPr>
                <w:sz w:val="20"/>
                <w:szCs w:val="20"/>
                <w:color w:val="auto"/>
              </w:rPr>
            </w:pPr>
            <w:r>
              <w:rPr>
                <w:rFonts w:ascii="Arial" w:cs="Arial" w:eastAsia="Arial" w:hAnsi="Arial"/>
                <w:sz w:val="12"/>
                <w:szCs w:val="12"/>
                <w:color w:val="auto"/>
              </w:rPr>
              <w:t>TRANSITION REPORT PURSUANT TO SECTION 13 or 15 (d) OF THE SECURITIES EXCHANGE ACT OF 1934</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gridSpan w:val="4"/>
          </w:tcPr>
          <w:p>
            <w:pPr>
              <w:jc w:val="center"/>
              <w:ind w:right="20"/>
              <w:spacing w:after="0"/>
              <w:rPr>
                <w:sz w:val="20"/>
                <w:szCs w:val="20"/>
                <w:color w:val="auto"/>
              </w:rPr>
            </w:pPr>
            <w:r>
              <w:rPr>
                <w:rFonts w:ascii="Arial" w:cs="Arial" w:eastAsia="Arial" w:hAnsi="Arial"/>
                <w:sz w:val="12"/>
                <w:szCs w:val="12"/>
                <w:color w:val="auto"/>
                <w:w w:val="91"/>
              </w:rPr>
              <w:t>For the transition period from __________ to __________</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40" w:type="dxa"/>
            <w:vAlign w:val="bottom"/>
            <w:gridSpan w:val="3"/>
          </w:tcPr>
          <w:p>
            <w:pPr>
              <w:jc w:val="center"/>
              <w:ind w:right="520"/>
              <w:spacing w:after="0"/>
              <w:rPr>
                <w:sz w:val="20"/>
                <w:szCs w:val="20"/>
                <w:color w:val="auto"/>
              </w:rPr>
            </w:pPr>
            <w:r>
              <w:rPr>
                <w:rFonts w:ascii="Arial" w:cs="Arial" w:eastAsia="Arial" w:hAnsi="Arial"/>
                <w:sz w:val="12"/>
                <w:szCs w:val="12"/>
                <w:color w:val="auto"/>
                <w:w w:val="92"/>
              </w:rPr>
              <w:t>Commission File No. 1-8061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tcBorders>
              <w:bottom w:val="single" w:sz="8" w:color="auto"/>
            </w:tcBorders>
            <w:gridSpan w:val="4"/>
          </w:tcPr>
          <w:p>
            <w:pPr>
              <w:jc w:val="center"/>
              <w:spacing w:after="0"/>
              <w:rPr>
                <w:sz w:val="20"/>
                <w:szCs w:val="20"/>
                <w:color w:val="auto"/>
              </w:rPr>
            </w:pPr>
            <w:r>
              <w:rPr>
                <w:rFonts w:ascii="Arial" w:cs="Arial" w:eastAsia="Arial" w:hAnsi="Arial"/>
                <w:sz w:val="22"/>
                <w:szCs w:val="22"/>
                <w:b w:val="1"/>
                <w:bCs w:val="1"/>
                <w:color w:val="auto"/>
                <w:w w:val="99"/>
              </w:rPr>
              <w:t>FREQUENCY ELECTRONICS, INC.</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560" w:type="dxa"/>
            <w:vAlign w:val="bottom"/>
            <w:gridSpan w:val="4"/>
          </w:tcPr>
          <w:p>
            <w:pPr>
              <w:jc w:val="center"/>
              <w:spacing w:after="0"/>
              <w:rPr>
                <w:sz w:val="20"/>
                <w:szCs w:val="20"/>
                <w:color w:val="auto"/>
              </w:rPr>
            </w:pPr>
            <w:r>
              <w:rPr>
                <w:rFonts w:ascii="Arial" w:cs="Arial" w:eastAsia="Arial" w:hAnsi="Arial"/>
                <w:sz w:val="12"/>
                <w:szCs w:val="12"/>
                <w:color w:val="auto"/>
                <w:w w:val="90"/>
              </w:rPr>
              <w:t>(Exact name of Registrant as specified in its charter)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00" w:type="dxa"/>
            <w:vAlign w:val="bottom"/>
            <w:gridSpan w:val="7"/>
          </w:tcPr>
          <w:p>
            <w:pPr>
              <w:jc w:val="center"/>
              <w:ind w:right="4420"/>
              <w:spacing w:after="0"/>
              <w:rPr>
                <w:sz w:val="20"/>
                <w:szCs w:val="20"/>
                <w:color w:val="auto"/>
              </w:rPr>
            </w:pPr>
            <w:r>
              <w:rPr>
                <w:rFonts w:ascii="Arial" w:cs="Arial" w:eastAsia="Arial" w:hAnsi="Arial"/>
                <w:sz w:val="12"/>
                <w:szCs w:val="12"/>
                <w:b w:val="1"/>
                <w:bCs w:val="1"/>
                <w:color w:val="auto"/>
                <w:w w:val="91"/>
              </w:rPr>
              <w:t>Delaware</w:t>
            </w:r>
          </w:p>
        </w:tc>
        <w:tc>
          <w:tcPr>
            <w:tcW w:w="1480" w:type="dxa"/>
            <w:vAlign w:val="bottom"/>
            <w:gridSpan w:val="6"/>
          </w:tcPr>
          <w:p>
            <w:pPr>
              <w:jc w:val="right"/>
              <w:ind w:right="100"/>
              <w:spacing w:after="0"/>
              <w:rPr>
                <w:sz w:val="20"/>
                <w:szCs w:val="20"/>
                <w:color w:val="auto"/>
              </w:rPr>
            </w:pPr>
            <w:r>
              <w:rPr>
                <w:rFonts w:ascii="Arial" w:cs="Arial" w:eastAsia="Arial" w:hAnsi="Arial"/>
                <w:sz w:val="12"/>
                <w:szCs w:val="12"/>
                <w:b w:val="1"/>
                <w:bCs w:val="1"/>
                <w:color w:val="auto"/>
              </w:rPr>
              <w:t>11-1986657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60" w:type="dxa"/>
            <w:vAlign w:val="bottom"/>
            <w:gridSpan w:val="9"/>
          </w:tcPr>
          <w:p>
            <w:pPr>
              <w:jc w:val="center"/>
              <w:ind w:right="3100"/>
              <w:spacing w:after="0"/>
              <w:rPr>
                <w:sz w:val="20"/>
                <w:szCs w:val="20"/>
                <w:color w:val="auto"/>
              </w:rPr>
            </w:pPr>
            <w:r>
              <w:rPr>
                <w:rFonts w:ascii="Arial" w:cs="Arial" w:eastAsia="Arial" w:hAnsi="Arial"/>
                <w:sz w:val="12"/>
                <w:szCs w:val="12"/>
                <w:color w:val="auto"/>
                <w:w w:val="93"/>
              </w:rPr>
              <w:t>(State or other jurisdiction of</w:t>
            </w:r>
          </w:p>
        </w:tc>
        <w:tc>
          <w:tcPr>
            <w:tcW w:w="1960" w:type="dxa"/>
            <w:vAlign w:val="bottom"/>
            <w:gridSpan w:val="7"/>
            <w:vMerge w:val="restart"/>
          </w:tcPr>
          <w:p>
            <w:pPr>
              <w:jc w:val="center"/>
              <w:ind w:left="160"/>
              <w:spacing w:after="0"/>
              <w:rPr>
                <w:sz w:val="20"/>
                <w:szCs w:val="20"/>
                <w:color w:val="auto"/>
              </w:rPr>
            </w:pPr>
            <w:r>
              <w:rPr>
                <w:rFonts w:ascii="Arial" w:cs="Arial" w:eastAsia="Arial" w:hAnsi="Arial"/>
                <w:sz w:val="12"/>
                <w:szCs w:val="12"/>
                <w:color w:val="auto"/>
                <w:w w:val="94"/>
              </w:rPr>
              <w:t>(I.R.S. Employer Identification No.)</w:t>
            </w: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60" w:type="dxa"/>
            <w:vAlign w:val="bottom"/>
            <w:gridSpan w:val="9"/>
            <w:vMerge w:val="restart"/>
          </w:tcPr>
          <w:p>
            <w:pPr>
              <w:jc w:val="center"/>
              <w:ind w:right="3060"/>
              <w:spacing w:after="0"/>
              <w:rPr>
                <w:sz w:val="20"/>
                <w:szCs w:val="20"/>
                <w:color w:val="auto"/>
              </w:rPr>
            </w:pPr>
            <w:r>
              <w:rPr>
                <w:rFonts w:ascii="Arial" w:cs="Arial" w:eastAsia="Arial" w:hAnsi="Arial"/>
                <w:sz w:val="12"/>
                <w:szCs w:val="12"/>
                <w:color w:val="auto"/>
                <w:w w:val="92"/>
              </w:rPr>
              <w:t>incorporation or organization)</w:t>
            </w:r>
          </w:p>
        </w:tc>
        <w:tc>
          <w:tcPr>
            <w:tcW w:w="1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60" w:type="dxa"/>
            <w:vAlign w:val="bottom"/>
            <w:gridSpan w:val="9"/>
            <w:vMerge w:val="continue"/>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720" w:type="dxa"/>
            <w:vAlign w:val="bottom"/>
          </w:tcPr>
          <w:p>
            <w:pPr>
              <w:spacing w:after="0"/>
              <w:rPr>
                <w:sz w:val="22"/>
                <w:szCs w:val="22"/>
                <w:color w:val="auto"/>
              </w:rPr>
            </w:pPr>
          </w:p>
        </w:tc>
        <w:tc>
          <w:tcPr>
            <w:tcW w:w="6800" w:type="dxa"/>
            <w:vAlign w:val="bottom"/>
            <w:gridSpan w:val="10"/>
          </w:tcPr>
          <w:p>
            <w:pPr>
              <w:jc w:val="center"/>
              <w:ind w:right="2540"/>
              <w:spacing w:after="0"/>
              <w:rPr>
                <w:sz w:val="20"/>
                <w:szCs w:val="20"/>
                <w:color w:val="auto"/>
              </w:rPr>
            </w:pPr>
            <w:r>
              <w:rPr>
                <w:rFonts w:ascii="Arial" w:cs="Arial" w:eastAsia="Arial" w:hAnsi="Arial"/>
                <w:sz w:val="12"/>
                <w:szCs w:val="12"/>
                <w:b w:val="1"/>
                <w:bCs w:val="1"/>
                <w:color w:val="auto"/>
              </w:rPr>
              <w:t>55 CHARLES LINDBERGH BLVD., MITCHEL FIELD, N.Y.</w:t>
            </w:r>
          </w:p>
        </w:tc>
        <w:tc>
          <w:tcPr>
            <w:tcW w:w="1380" w:type="dxa"/>
            <w:vAlign w:val="bottom"/>
            <w:gridSpan w:val="5"/>
          </w:tcPr>
          <w:p>
            <w:pPr>
              <w:jc w:val="right"/>
              <w:ind w:right="140"/>
              <w:spacing w:after="0"/>
              <w:rPr>
                <w:sz w:val="20"/>
                <w:szCs w:val="20"/>
                <w:color w:val="auto"/>
              </w:rPr>
            </w:pPr>
            <w:r>
              <w:rPr>
                <w:rFonts w:ascii="Arial" w:cs="Arial" w:eastAsia="Arial" w:hAnsi="Arial"/>
                <w:sz w:val="12"/>
                <w:szCs w:val="12"/>
                <w:b w:val="1"/>
                <w:bCs w:val="1"/>
                <w:color w:val="auto"/>
              </w:rPr>
              <w:t>11553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20" w:type="dxa"/>
            <w:vAlign w:val="bottom"/>
            <w:gridSpan w:val="6"/>
          </w:tcPr>
          <w:p>
            <w:pPr>
              <w:jc w:val="center"/>
              <w:spacing w:after="0"/>
              <w:rPr>
                <w:sz w:val="20"/>
                <w:szCs w:val="20"/>
                <w:color w:val="auto"/>
              </w:rPr>
            </w:pPr>
            <w:r>
              <w:rPr>
                <w:rFonts w:ascii="Arial" w:cs="Arial" w:eastAsia="Arial" w:hAnsi="Arial"/>
                <w:sz w:val="12"/>
                <w:szCs w:val="12"/>
                <w:color w:val="auto"/>
                <w:w w:val="92"/>
              </w:rPr>
              <w:t>(Address of principal executive offices)</w:t>
            </w:r>
          </w:p>
        </w:tc>
        <w:tc>
          <w:tcPr>
            <w:tcW w:w="3040" w:type="dxa"/>
            <w:vAlign w:val="bottom"/>
            <w:gridSpan w:val="3"/>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5"/>
          </w:tcPr>
          <w:p>
            <w:pPr>
              <w:jc w:val="center"/>
              <w:ind w:right="580"/>
              <w:spacing w:after="0"/>
              <w:rPr>
                <w:sz w:val="20"/>
                <w:szCs w:val="20"/>
                <w:color w:val="auto"/>
              </w:rPr>
            </w:pPr>
            <w:r>
              <w:rPr>
                <w:rFonts w:ascii="Arial" w:cs="Arial" w:eastAsia="Arial" w:hAnsi="Arial"/>
                <w:sz w:val="12"/>
                <w:szCs w:val="12"/>
                <w:color w:val="auto"/>
                <w:w w:val="95"/>
              </w:rPr>
              <w:t>(Zip Code)</w:t>
            </w:r>
          </w:p>
        </w:tc>
        <w:tc>
          <w:tcPr>
            <w:tcW w:w="0" w:type="dxa"/>
            <w:vAlign w:val="bottom"/>
          </w:tcPr>
          <w:p>
            <w:pPr>
              <w:spacing w:after="0"/>
              <w:rPr>
                <w:sz w:val="1"/>
                <w:szCs w:val="1"/>
                <w:color w:val="auto"/>
              </w:rPr>
            </w:pPr>
          </w:p>
        </w:tc>
      </w:tr>
      <w:tr>
        <w:trPr>
          <w:trHeight w:val="288"/>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gridSpan w:val="4"/>
          </w:tcPr>
          <w:p>
            <w:pPr>
              <w:jc w:val="center"/>
              <w:spacing w:after="0"/>
              <w:rPr>
                <w:sz w:val="20"/>
                <w:szCs w:val="20"/>
                <w:color w:val="auto"/>
              </w:rPr>
            </w:pPr>
            <w:r>
              <w:rPr>
                <w:rFonts w:ascii="Arial" w:cs="Arial" w:eastAsia="Arial" w:hAnsi="Arial"/>
                <w:sz w:val="12"/>
                <w:szCs w:val="12"/>
                <w:color w:val="auto"/>
                <w:w w:val="90"/>
              </w:rPr>
              <w:t xml:space="preserve">Registrant's telephone number, including area code: </w:t>
            </w:r>
            <w:r>
              <w:rPr>
                <w:rFonts w:ascii="Arial" w:cs="Arial" w:eastAsia="Arial" w:hAnsi="Arial"/>
                <w:sz w:val="12"/>
                <w:szCs w:val="12"/>
                <w:b w:val="1"/>
                <w:bCs w:val="1"/>
                <w:color w:val="auto"/>
                <w:w w:val="90"/>
              </w:rPr>
              <w:t>516-794-4500</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gridSpan w:val="4"/>
          </w:tcPr>
          <w:p>
            <w:pPr>
              <w:jc w:val="center"/>
              <w:spacing w:after="0"/>
              <w:rPr>
                <w:sz w:val="20"/>
                <w:szCs w:val="20"/>
                <w:color w:val="auto"/>
              </w:rPr>
            </w:pPr>
            <w:r>
              <w:rPr>
                <w:rFonts w:ascii="Arial" w:cs="Arial" w:eastAsia="Arial" w:hAnsi="Arial"/>
                <w:sz w:val="12"/>
                <w:szCs w:val="12"/>
                <w:color w:val="auto"/>
                <w:w w:val="90"/>
              </w:rPr>
              <w:t>Securities registered pursuant to Section 12 (b) of the Act: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60" w:type="dxa"/>
            <w:vAlign w:val="bottom"/>
            <w:gridSpan w:val="7"/>
          </w:tcPr>
          <w:p>
            <w:pPr>
              <w:jc w:val="center"/>
              <w:ind w:left="160"/>
              <w:spacing w:after="0"/>
              <w:rPr>
                <w:sz w:val="20"/>
                <w:szCs w:val="20"/>
                <w:color w:val="auto"/>
              </w:rPr>
            </w:pPr>
            <w:r>
              <w:rPr>
                <w:rFonts w:ascii="Arial" w:cs="Arial" w:eastAsia="Arial" w:hAnsi="Arial"/>
                <w:sz w:val="12"/>
                <w:szCs w:val="12"/>
                <w:color w:val="auto"/>
                <w:w w:val="88"/>
              </w:rPr>
              <w:t>Name of each exchange on</w:t>
            </w: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60" w:type="dxa"/>
            <w:vAlign w:val="bottom"/>
            <w:gridSpan w:val="3"/>
          </w:tcPr>
          <w:p>
            <w:pPr>
              <w:jc w:val="center"/>
              <w:spacing w:after="0" w:line="126" w:lineRule="exact"/>
              <w:rPr>
                <w:sz w:val="20"/>
                <w:szCs w:val="20"/>
                <w:color w:val="auto"/>
              </w:rPr>
            </w:pPr>
            <w:r>
              <w:rPr>
                <w:rFonts w:ascii="Arial" w:cs="Arial" w:eastAsia="Arial" w:hAnsi="Arial"/>
                <w:sz w:val="12"/>
                <w:szCs w:val="12"/>
                <w:color w:val="auto"/>
                <w:w w:val="89"/>
              </w:rPr>
              <w:t>Title of each class</w:t>
            </w:r>
          </w:p>
        </w:tc>
        <w:tc>
          <w:tcPr>
            <w:tcW w:w="4220" w:type="dxa"/>
            <w:vAlign w:val="bottom"/>
            <w:gridSpan w:val="5"/>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gridSpan w:val="6"/>
          </w:tcPr>
          <w:p>
            <w:pPr>
              <w:jc w:val="center"/>
              <w:ind w:right="480"/>
              <w:spacing w:after="0" w:line="126" w:lineRule="exact"/>
              <w:rPr>
                <w:sz w:val="20"/>
                <w:szCs w:val="20"/>
                <w:color w:val="auto"/>
              </w:rPr>
            </w:pPr>
            <w:r>
              <w:rPr>
                <w:rFonts w:ascii="Arial" w:cs="Arial" w:eastAsia="Arial" w:hAnsi="Arial"/>
                <w:sz w:val="12"/>
                <w:szCs w:val="12"/>
                <w:color w:val="auto"/>
                <w:w w:val="91"/>
              </w:rPr>
              <w:t>which registered</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42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60" w:type="dxa"/>
            <w:vAlign w:val="bottom"/>
            <w:gridSpan w:val="9"/>
          </w:tcPr>
          <w:p>
            <w:pPr>
              <w:jc w:val="center"/>
              <w:ind w:right="3100"/>
              <w:spacing w:after="0"/>
              <w:rPr>
                <w:sz w:val="20"/>
                <w:szCs w:val="20"/>
                <w:color w:val="auto"/>
              </w:rPr>
            </w:pPr>
            <w:r>
              <w:rPr>
                <w:rFonts w:ascii="Arial" w:cs="Arial" w:eastAsia="Arial" w:hAnsi="Arial"/>
                <w:sz w:val="12"/>
                <w:szCs w:val="12"/>
                <w:b w:val="1"/>
                <w:bCs w:val="1"/>
                <w:color w:val="auto"/>
                <w:w w:val="90"/>
              </w:rPr>
              <w:t>Common Stock (par value $1.00 per share)</w:t>
            </w:r>
          </w:p>
        </w:tc>
        <w:tc>
          <w:tcPr>
            <w:tcW w:w="1960" w:type="dxa"/>
            <w:vAlign w:val="bottom"/>
            <w:gridSpan w:val="7"/>
          </w:tcPr>
          <w:p>
            <w:pPr>
              <w:jc w:val="center"/>
              <w:ind w:left="160"/>
              <w:spacing w:after="0"/>
              <w:rPr>
                <w:sz w:val="20"/>
                <w:szCs w:val="20"/>
                <w:color w:val="auto"/>
              </w:rPr>
            </w:pPr>
            <w:r>
              <w:rPr>
                <w:rFonts w:ascii="Arial" w:cs="Arial" w:eastAsia="Arial" w:hAnsi="Arial"/>
                <w:sz w:val="12"/>
                <w:szCs w:val="12"/>
                <w:b w:val="1"/>
                <w:bCs w:val="1"/>
                <w:color w:val="auto"/>
                <w:w w:val="96"/>
              </w:rPr>
              <w:t>NASDAQ Global Market</w:t>
            </w: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60" w:type="dxa"/>
            <w:vAlign w:val="bottom"/>
            <w:gridSpan w:val="4"/>
          </w:tcPr>
          <w:p>
            <w:pPr>
              <w:jc w:val="center"/>
              <w:spacing w:after="0"/>
              <w:rPr>
                <w:sz w:val="20"/>
                <w:szCs w:val="20"/>
                <w:color w:val="auto"/>
              </w:rPr>
            </w:pPr>
            <w:r>
              <w:rPr>
                <w:rFonts w:ascii="Arial" w:cs="Arial" w:eastAsia="Arial" w:hAnsi="Arial"/>
                <w:sz w:val="12"/>
                <w:szCs w:val="12"/>
                <w:color w:val="auto"/>
                <w:w w:val="90"/>
              </w:rPr>
              <w:t>Securities registered pursuant to Section 12 (g) of the Act: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None</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 o  No x</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Exchange Act. Yes o  No x</w:t>
      </w:r>
    </w:p>
    <w:p>
      <w:pPr>
        <w:spacing w:after="0" w:line="168" w:lineRule="exact"/>
        <w:rPr>
          <w:sz w:val="24"/>
          <w:szCs w:val="24"/>
          <w:color w:val="auto"/>
        </w:rPr>
      </w:pPr>
    </w:p>
    <w:p>
      <w:pPr>
        <w:ind w:right="20"/>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15"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x No o</w:t>
      </w:r>
    </w:p>
    <w:p>
      <w:pPr>
        <w:spacing w:after="0" w:line="115"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15" w:lineRule="exact"/>
        <w:rPr>
          <w:sz w:val="24"/>
          <w:szCs w:val="24"/>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80"/>
          </w:cols>
          <w:pgMar w:left="220" w:top="244" w:right="199" w:bottom="1440" w:gutter="0" w:footer="0" w:header="0"/>
        </w:sectPr>
      </w:pPr>
    </w:p>
    <w:p>
      <w:pPr>
        <w:spacing w:after="0" w:line="133" w:lineRule="exact"/>
        <w:rPr>
          <w:sz w:val="24"/>
          <w:szCs w:val="24"/>
          <w:color w:val="auto"/>
        </w:rPr>
      </w:pPr>
    </w:p>
    <w:p>
      <w:pPr>
        <w:spacing w:after="0"/>
        <w:rPr>
          <w:sz w:val="20"/>
          <w:szCs w:val="20"/>
          <w:color w:val="auto"/>
        </w:rPr>
      </w:pPr>
      <w:r>
        <w:rPr>
          <w:rFonts w:ascii="Arial" w:cs="Arial" w:eastAsia="Arial" w:hAnsi="Arial"/>
          <w:sz w:val="10"/>
          <w:szCs w:val="10"/>
          <w:color w:val="auto"/>
        </w:rPr>
        <w:t>Large 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0"/>
          <w:szCs w:val="10"/>
          <w:color w:val="auto"/>
        </w:rPr>
        <w:t>Non-accelerated filer o</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0"/>
          <w:szCs w:val="10"/>
          <w:color w:val="auto"/>
        </w:rPr>
        <w:t>Smaller Reporting Company x</w:t>
      </w:r>
    </w:p>
    <w:p>
      <w:pPr>
        <w:spacing w:after="0" w:line="191" w:lineRule="exact"/>
        <w:rPr>
          <w:sz w:val="24"/>
          <w:szCs w:val="24"/>
          <w:color w:val="auto"/>
        </w:rPr>
      </w:pPr>
    </w:p>
    <w:p>
      <w:pPr>
        <w:sectPr>
          <w:pgSz w:w="11900" w:h="16838" w:orient="portrait"/>
          <w:cols w:equalWidth="0" w:num="4">
            <w:col w:w="2140" w:space="720"/>
            <w:col w:w="2160" w:space="720"/>
            <w:col w:w="2160" w:space="720"/>
            <w:col w:w="2860"/>
          </w:cols>
          <w:pgMar w:left="220" w:top="244" w:right="199" w:bottom="1440" w:gutter="0" w:footer="0" w:header="0"/>
          <w:type w:val="continuous"/>
        </w:sectPr>
      </w:pPr>
    </w:p>
    <w:p>
      <w:pPr>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  No x</w:t>
      </w:r>
    </w:p>
    <w:p>
      <w:pPr>
        <w:sectPr>
          <w:pgSz w:w="11900" w:h="16838" w:orient="portrait"/>
          <w:cols w:equalWidth="0" w:num="1">
            <w:col w:w="11480"/>
          </w:cols>
          <w:pgMar w:left="220" w:top="244" w:right="199" w:bottom="1440" w:gutter="0" w:footer="0" w:header="0"/>
          <w:type w:val="continuous"/>
        </w:sectPr>
      </w:pPr>
    </w:p>
    <w:p>
      <w:pPr>
        <w:spacing w:after="0" w:line="162" w:lineRule="exact"/>
        <w:rPr>
          <w:sz w:val="24"/>
          <w:szCs w:val="24"/>
          <w:color w:val="auto"/>
        </w:rPr>
      </w:pPr>
    </w:p>
    <w:p>
      <w:pPr>
        <w:spacing w:after="0"/>
        <w:rPr>
          <w:sz w:val="20"/>
          <w:szCs w:val="20"/>
          <w:color w:val="auto"/>
        </w:rPr>
      </w:pPr>
      <w:r>
        <w:rPr>
          <w:rFonts w:ascii="Arial" w:cs="Arial" w:eastAsia="Arial" w:hAnsi="Arial"/>
          <w:sz w:val="12"/>
          <w:szCs w:val="12"/>
          <w:color w:val="auto"/>
        </w:rPr>
        <w:t>The aggregate market value of voting stock held by non-affiliates of the Registrant as of October 31, 2012 - $45,300,000</w:t>
      </w:r>
    </w:p>
    <w:p>
      <w:pPr>
        <w:spacing w:after="0" w:line="168" w:lineRule="exact"/>
        <w:rPr>
          <w:sz w:val="24"/>
          <w:szCs w:val="24"/>
          <w:color w:val="auto"/>
        </w:rPr>
      </w:pPr>
    </w:p>
    <w:p>
      <w:pPr>
        <w:ind w:left="4460"/>
        <w:spacing w:after="0"/>
        <w:rPr>
          <w:sz w:val="20"/>
          <w:szCs w:val="20"/>
          <w:color w:val="auto"/>
        </w:rPr>
      </w:pPr>
      <w:r>
        <w:rPr>
          <w:rFonts w:ascii="Arial" w:cs="Arial" w:eastAsia="Arial" w:hAnsi="Arial"/>
          <w:sz w:val="12"/>
          <w:szCs w:val="12"/>
          <w:color w:val="auto"/>
        </w:rPr>
        <w:t>APPLICABLE ONLY TO CORPORATE ISSUERS:</w:t>
      </w:r>
    </w:p>
    <w:p>
      <w:pPr>
        <w:spacing w:after="0" w:line="168" w:lineRule="exact"/>
        <w:rPr>
          <w:sz w:val="24"/>
          <w:szCs w:val="24"/>
          <w:color w:val="auto"/>
        </w:rPr>
      </w:pPr>
    </w:p>
    <w:p>
      <w:pPr>
        <w:spacing w:after="0"/>
        <w:rPr>
          <w:sz w:val="20"/>
          <w:szCs w:val="20"/>
          <w:color w:val="auto"/>
        </w:rPr>
      </w:pPr>
      <w:r>
        <w:rPr>
          <w:rFonts w:ascii="Arial" w:cs="Arial" w:eastAsia="Arial" w:hAnsi="Arial"/>
          <w:sz w:val="12"/>
          <w:szCs w:val="12"/>
          <w:color w:val="auto"/>
        </w:rPr>
        <w:t>The number of shares outstanding of Registrant's Common Stock, par value $1.00 as of July 22, 2013 – 8,493,333</w:t>
      </w:r>
    </w:p>
    <w:p>
      <w:pPr>
        <w:spacing w:after="0" w:line="168" w:lineRule="exact"/>
        <w:rPr>
          <w:sz w:val="24"/>
          <w:szCs w:val="24"/>
          <w:color w:val="auto"/>
        </w:rPr>
      </w:pPr>
    </w:p>
    <w:p>
      <w:pPr>
        <w:spacing w:after="0"/>
        <w:rPr>
          <w:sz w:val="20"/>
          <w:szCs w:val="20"/>
          <w:color w:val="auto"/>
        </w:rPr>
      </w:pPr>
      <w:r>
        <w:rPr>
          <w:rFonts w:ascii="Arial" w:cs="Arial" w:eastAsia="Arial" w:hAnsi="Arial"/>
          <w:sz w:val="11"/>
          <w:szCs w:val="11"/>
          <w:color w:val="auto"/>
        </w:rPr>
        <w:t>DOCUMENTS INCORPORATED BY REFERENCE: PART III incorporates information by reference from the definitive proxy statement to be filed for the Annual Meeting of Stockholders to be held on or about October 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287655</wp:posOffset>
            </wp:positionV>
            <wp:extent cx="7299325"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244" w:right="199" w:bottom="1440" w:gutter="0" w:footer="0" w:header="0"/>
          <w:type w:val="continuous"/>
        </w:sectPr>
      </w:pPr>
    </w:p>
    <w:bookmarkStart w:id="1" w:name="page2"/>
    <w:bookmarkEnd w:id="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20" w:type="dxa"/>
            <w:vAlign w:val="bottom"/>
            <w:gridSpan w:val="6"/>
          </w:tcPr>
          <w:p>
            <w:pPr>
              <w:jc w:val="center"/>
              <w:ind w:right="1440"/>
              <w:spacing w:after="0"/>
              <w:rPr>
                <w:sz w:val="20"/>
                <w:szCs w:val="20"/>
                <w:color w:val="auto"/>
              </w:rPr>
            </w:pPr>
            <w:r>
              <w:rPr>
                <w:rFonts w:ascii="Arial" w:cs="Arial" w:eastAsia="Arial" w:hAnsi="Arial"/>
                <w:sz w:val="14"/>
                <w:szCs w:val="14"/>
                <w:b w:val="1"/>
                <w:bCs w:val="1"/>
                <w:color w:val="auto"/>
              </w:rPr>
              <w:t>FREQUENCY ELECTRONICS, INC. and SUBSIDIARIES</w:t>
            </w:r>
          </w:p>
        </w:tc>
        <w:tc>
          <w:tcPr>
            <w:tcW w:w="2020" w:type="dxa"/>
            <w:vAlign w:val="bottom"/>
          </w:tcPr>
          <w:p>
            <w:pPr>
              <w:spacing w:after="0"/>
              <w:rPr>
                <w:sz w:val="16"/>
                <w:szCs w:val="16"/>
                <w:color w:val="auto"/>
              </w:rPr>
            </w:pPr>
          </w:p>
        </w:tc>
      </w:tr>
      <w:tr>
        <w:trPr>
          <w:trHeight w:val="300"/>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60" w:type="dxa"/>
            <w:vAlign w:val="bottom"/>
            <w:gridSpan w:val="5"/>
          </w:tcPr>
          <w:p>
            <w:pPr>
              <w:jc w:val="center"/>
              <w:ind w:right="2680"/>
              <w:spacing w:after="0"/>
              <w:rPr>
                <w:sz w:val="20"/>
                <w:szCs w:val="20"/>
                <w:color w:val="auto"/>
              </w:rPr>
            </w:pPr>
            <w:r>
              <w:rPr>
                <w:rFonts w:ascii="Arial" w:cs="Arial" w:eastAsia="Arial" w:hAnsi="Arial"/>
                <w:sz w:val="12"/>
                <w:szCs w:val="12"/>
                <w:b w:val="1"/>
                <w:bCs w:val="1"/>
                <w:color w:val="auto"/>
                <w:w w:val="98"/>
              </w:rPr>
              <w:t>TABLE OF CONTENTS</w:t>
            </w:r>
          </w:p>
        </w:tc>
        <w:tc>
          <w:tcPr>
            <w:tcW w:w="2020" w:type="dxa"/>
            <w:vAlign w:val="bottom"/>
          </w:tcPr>
          <w:p>
            <w:pPr>
              <w:spacing w:after="0"/>
              <w:rPr>
                <w:sz w:val="24"/>
                <w:szCs w:val="24"/>
                <w:color w:val="auto"/>
              </w:rPr>
            </w:pPr>
          </w:p>
        </w:tc>
      </w:tr>
      <w:tr>
        <w:trPr>
          <w:trHeight w:val="306"/>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jc w:val="center"/>
              <w:ind w:right="3400"/>
              <w:spacing w:after="0"/>
              <w:rPr>
                <w:sz w:val="20"/>
                <w:szCs w:val="20"/>
                <w:color w:val="auto"/>
              </w:rPr>
            </w:pPr>
            <w:r>
              <w:rPr>
                <w:rFonts w:ascii="Arial" w:cs="Arial" w:eastAsia="Arial" w:hAnsi="Arial"/>
                <w:sz w:val="12"/>
                <w:szCs w:val="12"/>
                <w:b w:val="1"/>
                <w:bCs w:val="1"/>
                <w:color w:val="auto"/>
                <w:w w:val="96"/>
              </w:rPr>
              <w:t>PART I</w:t>
            </w:r>
          </w:p>
        </w:tc>
        <w:tc>
          <w:tcPr>
            <w:tcW w:w="2020" w:type="dxa"/>
            <w:vAlign w:val="bottom"/>
          </w:tcPr>
          <w:p>
            <w:pPr>
              <w:spacing w:after="0"/>
              <w:rPr>
                <w:sz w:val="24"/>
                <w:szCs w:val="24"/>
                <w:color w:val="auto"/>
              </w:rPr>
            </w:pPr>
          </w:p>
        </w:tc>
      </w:tr>
      <w:tr>
        <w:trPr>
          <w:trHeight w:val="261"/>
        </w:trPr>
        <w:tc>
          <w:tcPr>
            <w:tcW w:w="1020" w:type="dxa"/>
            <w:vAlign w:val="bottom"/>
            <w:gridSpan w:val="2"/>
          </w:tcPr>
          <w:p>
            <w:pPr>
              <w:spacing w:after="0"/>
              <w:rPr>
                <w:sz w:val="20"/>
                <w:szCs w:val="20"/>
                <w:color w:val="auto"/>
              </w:rPr>
            </w:pPr>
            <w:r>
              <w:rPr>
                <w:rFonts w:ascii="Arial" w:cs="Arial" w:eastAsia="Arial" w:hAnsi="Arial"/>
                <w:sz w:val="12"/>
                <w:szCs w:val="12"/>
                <w:color w:val="auto"/>
              </w:rPr>
              <w:t>Item 1.</w:t>
            </w:r>
          </w:p>
        </w:tc>
        <w:tc>
          <w:tcPr>
            <w:tcW w:w="8440" w:type="dxa"/>
            <w:vAlign w:val="bottom"/>
            <w:gridSpan w:val="17"/>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Business.</w:t>
              </w:r>
            </w:hyperlink>
          </w:p>
        </w:tc>
        <w:tc>
          <w:tcPr>
            <w:tcW w:w="202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2.</w:t>
            </w:r>
          </w:p>
        </w:tc>
        <w:tc>
          <w:tcPr>
            <w:tcW w:w="8440" w:type="dxa"/>
            <w:vAlign w:val="bottom"/>
            <w:gridSpan w:val="17"/>
          </w:tcPr>
          <w:p>
            <w:pPr>
              <w:spacing w:after="0" w:line="124" w:lineRule="exact"/>
              <w:rPr>
                <w:rFonts w:ascii="Arial" w:cs="Arial" w:eastAsia="Arial" w:hAnsi="Arial"/>
                <w:sz w:val="12"/>
                <w:szCs w:val="12"/>
                <w:color w:val="0000EE"/>
              </w:rPr>
            </w:pPr>
            <w:hyperlink w:anchor="page11">
              <w:r>
                <w:rPr>
                  <w:rFonts w:ascii="Arial" w:cs="Arial" w:eastAsia="Arial" w:hAnsi="Arial"/>
                  <w:sz w:val="12"/>
                  <w:szCs w:val="12"/>
                  <w:color w:val="0000EE"/>
                </w:rPr>
                <w:t>Properties.</w:t>
              </w:r>
            </w:hyperlink>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11</w:t>
            </w: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3.</w:t>
            </w:r>
          </w:p>
        </w:tc>
        <w:tc>
          <w:tcPr>
            <w:tcW w:w="8440" w:type="dxa"/>
            <w:vAlign w:val="bottom"/>
            <w:gridSpan w:val="17"/>
          </w:tcPr>
          <w:p>
            <w:pPr>
              <w:spacing w:after="0" w:line="124" w:lineRule="exact"/>
              <w:rPr>
                <w:rFonts w:ascii="Arial" w:cs="Arial" w:eastAsia="Arial" w:hAnsi="Arial"/>
                <w:sz w:val="12"/>
                <w:szCs w:val="12"/>
                <w:color w:val="0000EE"/>
              </w:rPr>
            </w:pPr>
            <w:hyperlink w:anchor="page11">
              <w:r>
                <w:rPr>
                  <w:rFonts w:ascii="Arial" w:cs="Arial" w:eastAsia="Arial" w:hAnsi="Arial"/>
                  <w:sz w:val="12"/>
                  <w:szCs w:val="12"/>
                  <w:color w:val="0000EE"/>
                </w:rPr>
                <w:t>Legal Proceedings</w:t>
              </w:r>
            </w:hyperlink>
            <w:r>
              <w:rPr>
                <w:rFonts w:ascii="Arial" w:cs="Arial" w:eastAsia="Arial" w:hAnsi="Arial"/>
                <w:sz w:val="12"/>
                <w:szCs w:val="12"/>
                <w:color w:val="000000"/>
              </w:rPr>
              <w:t>.</w:t>
            </w:r>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11</w:t>
            </w:r>
          </w:p>
        </w:tc>
      </w:tr>
      <w:tr>
        <w:trPr>
          <w:trHeight w:val="295"/>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jc w:val="center"/>
              <w:ind w:right="3380"/>
              <w:spacing w:after="0"/>
              <w:rPr>
                <w:sz w:val="20"/>
                <w:szCs w:val="20"/>
                <w:color w:val="auto"/>
              </w:rPr>
            </w:pPr>
            <w:r>
              <w:rPr>
                <w:rFonts w:ascii="Arial" w:cs="Arial" w:eastAsia="Arial" w:hAnsi="Arial"/>
                <w:sz w:val="12"/>
                <w:szCs w:val="12"/>
                <w:b w:val="1"/>
                <w:bCs w:val="1"/>
                <w:color w:val="auto"/>
              </w:rPr>
              <w:t>PART II</w:t>
            </w:r>
          </w:p>
        </w:tc>
        <w:tc>
          <w:tcPr>
            <w:tcW w:w="2020" w:type="dxa"/>
            <w:vAlign w:val="bottom"/>
          </w:tcPr>
          <w:p>
            <w:pPr>
              <w:spacing w:after="0"/>
              <w:rPr>
                <w:sz w:val="24"/>
                <w:szCs w:val="24"/>
                <w:color w:val="auto"/>
              </w:rPr>
            </w:pPr>
          </w:p>
        </w:tc>
      </w:tr>
      <w:tr>
        <w:trPr>
          <w:trHeight w:val="261"/>
        </w:trPr>
        <w:tc>
          <w:tcPr>
            <w:tcW w:w="1020" w:type="dxa"/>
            <w:vAlign w:val="bottom"/>
            <w:gridSpan w:val="2"/>
          </w:tcPr>
          <w:p>
            <w:pPr>
              <w:spacing w:after="0"/>
              <w:rPr>
                <w:sz w:val="20"/>
                <w:szCs w:val="20"/>
                <w:color w:val="auto"/>
              </w:rPr>
            </w:pPr>
            <w:r>
              <w:rPr>
                <w:rFonts w:ascii="Arial" w:cs="Arial" w:eastAsia="Arial" w:hAnsi="Arial"/>
                <w:sz w:val="12"/>
                <w:szCs w:val="12"/>
                <w:color w:val="auto"/>
              </w:rPr>
              <w:t>Item 5.</w:t>
            </w:r>
          </w:p>
        </w:tc>
        <w:tc>
          <w:tcPr>
            <w:tcW w:w="5460" w:type="dxa"/>
            <w:vAlign w:val="bottom"/>
            <w:tcBorders>
              <w:bottom w:val="single" w:sz="8" w:color="0000EE"/>
            </w:tcBorders>
            <w:gridSpan w:val="16"/>
          </w:tcPr>
          <w:p>
            <w:pPr>
              <w:spacing w:after="0"/>
              <w:rPr>
                <w:rFonts w:ascii="Arial" w:cs="Arial" w:eastAsia="Arial" w:hAnsi="Arial"/>
                <w:sz w:val="12"/>
                <w:szCs w:val="12"/>
                <w:color w:val="0000EE"/>
                <w:w w:val="90"/>
              </w:rPr>
            </w:pPr>
            <w:hyperlink w:anchor="page12">
              <w:r>
                <w:rPr>
                  <w:rFonts w:ascii="Arial" w:cs="Arial" w:eastAsia="Arial" w:hAnsi="Arial"/>
                  <w:sz w:val="12"/>
                  <w:szCs w:val="12"/>
                  <w:color w:val="0000EE"/>
                  <w:w w:val="90"/>
                </w:rPr>
                <w:t>Market For Registrant’s Common Equity, Related Stockholder Matters and Issuer Purchases of Equity Securities.</w:t>
              </w:r>
            </w:hyperlink>
          </w:p>
        </w:tc>
        <w:tc>
          <w:tcPr>
            <w:tcW w:w="2980" w:type="dxa"/>
            <w:vAlign w:val="bottom"/>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7.</w:t>
            </w:r>
          </w:p>
        </w:tc>
        <w:tc>
          <w:tcPr>
            <w:tcW w:w="8440" w:type="dxa"/>
            <w:vAlign w:val="bottom"/>
            <w:gridSpan w:val="17"/>
          </w:tcPr>
          <w:p>
            <w:pPr>
              <w:spacing w:after="0" w:line="124" w:lineRule="exact"/>
              <w:rPr>
                <w:rFonts w:ascii="Arial" w:cs="Arial" w:eastAsia="Arial" w:hAnsi="Arial"/>
                <w:sz w:val="12"/>
                <w:szCs w:val="12"/>
                <w:color w:val="0000EE"/>
              </w:rPr>
            </w:pPr>
            <w:hyperlink w:anchor="page13">
              <w:r>
                <w:rPr>
                  <w:rFonts w:ascii="Arial" w:cs="Arial" w:eastAsia="Arial" w:hAnsi="Arial"/>
                  <w:sz w:val="12"/>
                  <w:szCs w:val="12"/>
                  <w:color w:val="0000EE"/>
                </w:rPr>
                <w:t>Management’s Discussion and Analysis of Financial Condition and Results of Operations.</w:t>
              </w:r>
            </w:hyperlink>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13</w:t>
            </w: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8.</w:t>
            </w:r>
          </w:p>
        </w:tc>
        <w:tc>
          <w:tcPr>
            <w:tcW w:w="2260" w:type="dxa"/>
            <w:vAlign w:val="bottom"/>
            <w:tcBorders>
              <w:top w:val="single" w:sz="8" w:color="0000EE"/>
              <w:bottom w:val="single" w:sz="8" w:color="0000EE"/>
            </w:tcBorders>
            <w:gridSpan w:val="10"/>
          </w:tcPr>
          <w:p>
            <w:pPr>
              <w:spacing w:after="0" w:line="124" w:lineRule="exact"/>
              <w:rPr>
                <w:rFonts w:ascii="Arial" w:cs="Arial" w:eastAsia="Arial" w:hAnsi="Arial"/>
                <w:sz w:val="12"/>
                <w:szCs w:val="12"/>
                <w:color w:val="0000EE"/>
                <w:w w:val="89"/>
              </w:rPr>
            </w:pPr>
            <w:hyperlink w:anchor="page23">
              <w:r>
                <w:rPr>
                  <w:rFonts w:ascii="Arial" w:cs="Arial" w:eastAsia="Arial" w:hAnsi="Arial"/>
                  <w:sz w:val="12"/>
                  <w:szCs w:val="12"/>
                  <w:color w:val="0000EE"/>
                  <w:w w:val="89"/>
                </w:rPr>
                <w:t>Financial Statements and Supplementary Data.</w:t>
              </w:r>
            </w:hyperlink>
          </w:p>
        </w:tc>
        <w:tc>
          <w:tcPr>
            <w:tcW w:w="2080" w:type="dxa"/>
            <w:vAlign w:val="bottom"/>
            <w:tcBorders>
              <w:top w:val="single" w:sz="8" w:color="0000EE"/>
            </w:tcBorders>
            <w:gridSpan w:val="3"/>
          </w:tcPr>
          <w:p>
            <w:pPr>
              <w:spacing w:after="0"/>
              <w:rPr>
                <w:sz w:val="10"/>
                <w:szCs w:val="10"/>
                <w:color w:val="auto"/>
              </w:rPr>
            </w:pPr>
          </w:p>
        </w:tc>
        <w:tc>
          <w:tcPr>
            <w:tcW w:w="4100" w:type="dxa"/>
            <w:vAlign w:val="bottom"/>
            <w:gridSpan w:val="4"/>
          </w:tcPr>
          <w:p>
            <w:pPr>
              <w:spacing w:after="0"/>
              <w:rPr>
                <w:sz w:val="10"/>
                <w:szCs w:val="10"/>
                <w:color w:val="auto"/>
              </w:rPr>
            </w:pPr>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23</w:t>
            </w: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9.</w:t>
            </w:r>
          </w:p>
        </w:tc>
        <w:tc>
          <w:tcPr>
            <w:tcW w:w="8440" w:type="dxa"/>
            <w:vAlign w:val="bottom"/>
            <w:gridSpan w:val="17"/>
          </w:tcPr>
          <w:p>
            <w:pPr>
              <w:spacing w:after="0" w:line="124" w:lineRule="exact"/>
              <w:rPr>
                <w:rFonts w:ascii="Arial" w:cs="Arial" w:eastAsia="Arial" w:hAnsi="Arial"/>
                <w:sz w:val="12"/>
                <w:szCs w:val="12"/>
                <w:color w:val="0000EE"/>
              </w:rPr>
            </w:pPr>
            <w:hyperlink w:anchor="page48">
              <w:r>
                <w:rPr>
                  <w:rFonts w:ascii="Arial" w:cs="Arial" w:eastAsia="Arial" w:hAnsi="Arial"/>
                  <w:sz w:val="12"/>
                  <w:szCs w:val="12"/>
                  <w:color w:val="0000EE"/>
                </w:rPr>
                <w:t>Changes in and Disagreements With Accountants on Accounting and Financial Disclosure.</w:t>
              </w:r>
            </w:hyperlink>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48</w:t>
            </w: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9A.</w:t>
            </w:r>
          </w:p>
        </w:tc>
        <w:tc>
          <w:tcPr>
            <w:tcW w:w="1220" w:type="dxa"/>
            <w:vAlign w:val="bottom"/>
            <w:tcBorders>
              <w:top w:val="single" w:sz="8" w:color="0000EE"/>
              <w:bottom w:val="single" w:sz="8" w:color="0000EE"/>
            </w:tcBorders>
            <w:gridSpan w:val="6"/>
          </w:tcPr>
          <w:p>
            <w:pPr>
              <w:spacing w:after="0" w:line="124" w:lineRule="exact"/>
              <w:rPr>
                <w:rFonts w:ascii="Arial" w:cs="Arial" w:eastAsia="Arial" w:hAnsi="Arial"/>
                <w:sz w:val="12"/>
                <w:szCs w:val="12"/>
                <w:color w:val="0000EE"/>
                <w:w w:val="88"/>
              </w:rPr>
            </w:pPr>
            <w:hyperlink w:anchor="page48">
              <w:r>
                <w:rPr>
                  <w:rFonts w:ascii="Arial" w:cs="Arial" w:eastAsia="Arial" w:hAnsi="Arial"/>
                  <w:sz w:val="12"/>
                  <w:szCs w:val="12"/>
                  <w:color w:val="0000EE"/>
                  <w:w w:val="88"/>
                </w:rPr>
                <w:t>Controls and Procedures.</w:t>
              </w:r>
            </w:hyperlink>
          </w:p>
        </w:tc>
        <w:tc>
          <w:tcPr>
            <w:tcW w:w="3160" w:type="dxa"/>
            <w:vAlign w:val="bottom"/>
            <w:tcBorders>
              <w:top w:val="single" w:sz="8" w:color="0000EE"/>
            </w:tcBorders>
            <w:gridSpan w:val="8"/>
          </w:tcPr>
          <w:p>
            <w:pPr>
              <w:spacing w:after="0"/>
              <w:rPr>
                <w:sz w:val="10"/>
                <w:szCs w:val="10"/>
                <w:color w:val="auto"/>
              </w:rPr>
            </w:pPr>
          </w:p>
        </w:tc>
        <w:tc>
          <w:tcPr>
            <w:tcW w:w="4060" w:type="dxa"/>
            <w:vAlign w:val="bottom"/>
            <w:gridSpan w:val="3"/>
          </w:tcPr>
          <w:p>
            <w:pPr>
              <w:spacing w:after="0"/>
              <w:rPr>
                <w:sz w:val="10"/>
                <w:szCs w:val="10"/>
                <w:color w:val="auto"/>
              </w:rPr>
            </w:pPr>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48</w:t>
            </w: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9B.</w:t>
            </w:r>
          </w:p>
        </w:tc>
        <w:tc>
          <w:tcPr>
            <w:tcW w:w="8440" w:type="dxa"/>
            <w:vAlign w:val="bottom"/>
            <w:gridSpan w:val="17"/>
          </w:tcPr>
          <w:p>
            <w:pPr>
              <w:spacing w:after="0" w:line="124" w:lineRule="exact"/>
              <w:rPr>
                <w:rFonts w:ascii="Arial" w:cs="Arial" w:eastAsia="Arial" w:hAnsi="Arial"/>
                <w:sz w:val="12"/>
                <w:szCs w:val="12"/>
                <w:color w:val="0000EE"/>
              </w:rPr>
            </w:pPr>
            <w:hyperlink w:anchor="page48">
              <w:r>
                <w:rPr>
                  <w:rFonts w:ascii="Arial" w:cs="Arial" w:eastAsia="Arial" w:hAnsi="Arial"/>
                  <w:sz w:val="12"/>
                  <w:szCs w:val="12"/>
                  <w:color w:val="0000EE"/>
                </w:rPr>
                <w:t>Other Information.</w:t>
              </w:r>
            </w:hyperlink>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48</w:t>
            </w:r>
          </w:p>
        </w:tc>
      </w:tr>
      <w:tr>
        <w:trPr>
          <w:trHeight w:val="295"/>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jc w:val="center"/>
              <w:ind w:right="3380"/>
              <w:spacing w:after="0"/>
              <w:rPr>
                <w:sz w:val="20"/>
                <w:szCs w:val="20"/>
                <w:color w:val="auto"/>
              </w:rPr>
            </w:pPr>
            <w:r>
              <w:rPr>
                <w:rFonts w:ascii="Arial" w:cs="Arial" w:eastAsia="Arial" w:hAnsi="Arial"/>
                <w:sz w:val="12"/>
                <w:szCs w:val="12"/>
                <w:b w:val="1"/>
                <w:bCs w:val="1"/>
                <w:color w:val="auto"/>
              </w:rPr>
              <w:t>PART III</w:t>
            </w:r>
          </w:p>
        </w:tc>
        <w:tc>
          <w:tcPr>
            <w:tcW w:w="2020" w:type="dxa"/>
            <w:vAlign w:val="bottom"/>
          </w:tcPr>
          <w:p>
            <w:pPr>
              <w:spacing w:after="0"/>
              <w:rPr>
                <w:sz w:val="24"/>
                <w:szCs w:val="24"/>
                <w:color w:val="auto"/>
              </w:rPr>
            </w:pPr>
          </w:p>
        </w:tc>
      </w:tr>
      <w:tr>
        <w:trPr>
          <w:trHeight w:val="261"/>
        </w:trPr>
        <w:tc>
          <w:tcPr>
            <w:tcW w:w="1020" w:type="dxa"/>
            <w:vAlign w:val="bottom"/>
            <w:gridSpan w:val="2"/>
          </w:tcPr>
          <w:p>
            <w:pPr>
              <w:spacing w:after="0"/>
              <w:rPr>
                <w:sz w:val="20"/>
                <w:szCs w:val="20"/>
                <w:color w:val="auto"/>
              </w:rPr>
            </w:pPr>
            <w:r>
              <w:rPr>
                <w:rFonts w:ascii="Arial" w:cs="Arial" w:eastAsia="Arial" w:hAnsi="Arial"/>
                <w:sz w:val="12"/>
                <w:szCs w:val="12"/>
                <w:color w:val="auto"/>
              </w:rPr>
              <w:t>Item 10.</w:t>
            </w:r>
          </w:p>
        </w:tc>
        <w:tc>
          <w:tcPr>
            <w:tcW w:w="2420" w:type="dxa"/>
            <w:vAlign w:val="bottom"/>
            <w:tcBorders>
              <w:bottom w:val="single" w:sz="8" w:color="0000EE"/>
            </w:tcBorders>
            <w:gridSpan w:val="11"/>
          </w:tcPr>
          <w:p>
            <w:pPr>
              <w:spacing w:after="0"/>
              <w:rPr>
                <w:rFonts w:ascii="Arial" w:cs="Arial" w:eastAsia="Arial" w:hAnsi="Arial"/>
                <w:sz w:val="12"/>
                <w:szCs w:val="12"/>
                <w:color w:val="0000EE"/>
                <w:w w:val="91"/>
              </w:rPr>
            </w:pPr>
            <w:hyperlink w:anchor="page49">
              <w:r>
                <w:rPr>
                  <w:rFonts w:ascii="Arial" w:cs="Arial" w:eastAsia="Arial" w:hAnsi="Arial"/>
                  <w:sz w:val="12"/>
                  <w:szCs w:val="12"/>
                  <w:color w:val="0000EE"/>
                  <w:w w:val="91"/>
                </w:rPr>
                <w:t>Directors and Executive Officers of the Company.</w:t>
              </w:r>
            </w:hyperlink>
          </w:p>
        </w:tc>
        <w:tc>
          <w:tcPr>
            <w:tcW w:w="6020" w:type="dxa"/>
            <w:vAlign w:val="bottom"/>
            <w:gridSpan w:val="6"/>
          </w:tcPr>
          <w:p>
            <w:pPr>
              <w:spacing w:after="0"/>
              <w:rPr>
                <w:sz w:val="22"/>
                <w:szCs w:val="22"/>
                <w:color w:val="auto"/>
              </w:rPr>
            </w:pPr>
          </w:p>
        </w:tc>
        <w:tc>
          <w:tcPr>
            <w:tcW w:w="2020" w:type="dxa"/>
            <w:vAlign w:val="bottom"/>
          </w:tcPr>
          <w:p>
            <w:pPr>
              <w:jc w:val="right"/>
              <w:spacing w:after="0"/>
              <w:rPr>
                <w:sz w:val="20"/>
                <w:szCs w:val="20"/>
                <w:color w:val="auto"/>
              </w:rPr>
            </w:pPr>
            <w:r>
              <w:rPr>
                <w:rFonts w:ascii="Arial" w:cs="Arial" w:eastAsia="Arial" w:hAnsi="Arial"/>
                <w:sz w:val="12"/>
                <w:szCs w:val="12"/>
                <w:color w:val="auto"/>
              </w:rPr>
              <w:t>49</w:t>
            </w: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11.</w:t>
            </w:r>
          </w:p>
        </w:tc>
        <w:tc>
          <w:tcPr>
            <w:tcW w:w="8440" w:type="dxa"/>
            <w:vAlign w:val="bottom"/>
            <w:gridSpan w:val="17"/>
          </w:tcPr>
          <w:p>
            <w:pPr>
              <w:spacing w:after="0" w:line="124" w:lineRule="exact"/>
              <w:rPr>
                <w:rFonts w:ascii="Arial" w:cs="Arial" w:eastAsia="Arial" w:hAnsi="Arial"/>
                <w:sz w:val="12"/>
                <w:szCs w:val="12"/>
                <w:color w:val="0000EE"/>
              </w:rPr>
            </w:pPr>
            <w:hyperlink w:anchor="page49">
              <w:r>
                <w:rPr>
                  <w:rFonts w:ascii="Arial" w:cs="Arial" w:eastAsia="Arial" w:hAnsi="Arial"/>
                  <w:sz w:val="12"/>
                  <w:szCs w:val="12"/>
                  <w:color w:val="0000EE"/>
                </w:rPr>
                <w:t>Executive Compensation.</w:t>
              </w:r>
            </w:hyperlink>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49</w:t>
            </w:r>
          </w:p>
        </w:tc>
      </w:tr>
      <w:tr>
        <w:trPr>
          <w:trHeight w:val="20"/>
        </w:trPr>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12.</w:t>
            </w:r>
          </w:p>
        </w:tc>
        <w:tc>
          <w:tcPr>
            <w:tcW w:w="8440" w:type="dxa"/>
            <w:vAlign w:val="bottom"/>
            <w:gridSpan w:val="17"/>
          </w:tcPr>
          <w:p>
            <w:pPr>
              <w:spacing w:after="0" w:line="124" w:lineRule="exact"/>
              <w:rPr>
                <w:rFonts w:ascii="Arial" w:cs="Arial" w:eastAsia="Arial" w:hAnsi="Arial"/>
                <w:sz w:val="12"/>
                <w:szCs w:val="12"/>
                <w:color w:val="0000EE"/>
              </w:rPr>
            </w:pPr>
            <w:hyperlink w:anchor="page49">
              <w:r>
                <w:rPr>
                  <w:rFonts w:ascii="Arial" w:cs="Arial" w:eastAsia="Arial" w:hAnsi="Arial"/>
                  <w:sz w:val="12"/>
                  <w:szCs w:val="12"/>
                  <w:color w:val="0000EE"/>
                </w:rPr>
                <w:t>Security Ownership of Certain Beneficial Owners and Management and Related Stockholder Matters.</w:t>
              </w:r>
            </w:hyperlink>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49</w:t>
            </w: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13.</w:t>
            </w:r>
          </w:p>
        </w:tc>
        <w:tc>
          <w:tcPr>
            <w:tcW w:w="3680" w:type="dxa"/>
            <w:vAlign w:val="bottom"/>
            <w:tcBorders>
              <w:top w:val="single" w:sz="8" w:color="0000EE"/>
              <w:bottom w:val="single" w:sz="8" w:color="0000EE"/>
            </w:tcBorders>
            <w:gridSpan w:val="12"/>
          </w:tcPr>
          <w:p>
            <w:pPr>
              <w:spacing w:after="0" w:line="124" w:lineRule="exact"/>
              <w:rPr>
                <w:rFonts w:ascii="Arial" w:cs="Arial" w:eastAsia="Arial" w:hAnsi="Arial"/>
                <w:sz w:val="12"/>
                <w:szCs w:val="12"/>
                <w:color w:val="0000EE"/>
                <w:w w:val="89"/>
              </w:rPr>
            </w:pPr>
            <w:hyperlink w:anchor="page49">
              <w:r>
                <w:rPr>
                  <w:rFonts w:ascii="Arial" w:cs="Arial" w:eastAsia="Arial" w:hAnsi="Arial"/>
                  <w:sz w:val="12"/>
                  <w:szCs w:val="12"/>
                  <w:color w:val="0000EE"/>
                  <w:w w:val="89"/>
                </w:rPr>
                <w:t>Certain Relationships and Related Transactions, and Director Independence.</w:t>
              </w:r>
            </w:hyperlink>
          </w:p>
        </w:tc>
        <w:tc>
          <w:tcPr>
            <w:tcW w:w="1220" w:type="dxa"/>
            <w:vAlign w:val="bottom"/>
            <w:tcBorders>
              <w:top w:val="single" w:sz="8" w:color="0000EE"/>
            </w:tcBorders>
            <w:gridSpan w:val="3"/>
          </w:tcPr>
          <w:p>
            <w:pPr>
              <w:spacing w:after="0"/>
              <w:rPr>
                <w:sz w:val="10"/>
                <w:szCs w:val="10"/>
                <w:color w:val="auto"/>
              </w:rPr>
            </w:pPr>
          </w:p>
        </w:tc>
        <w:tc>
          <w:tcPr>
            <w:tcW w:w="3540" w:type="dxa"/>
            <w:vAlign w:val="bottom"/>
            <w:gridSpan w:val="2"/>
          </w:tcPr>
          <w:p>
            <w:pPr>
              <w:spacing w:after="0"/>
              <w:rPr>
                <w:sz w:val="10"/>
                <w:szCs w:val="10"/>
                <w:color w:val="auto"/>
              </w:rPr>
            </w:pPr>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49</w:t>
            </w:r>
          </w:p>
        </w:tc>
      </w:tr>
      <w:tr>
        <w:trPr>
          <w:trHeight w:val="124"/>
        </w:trPr>
        <w:tc>
          <w:tcPr>
            <w:tcW w:w="1020" w:type="dxa"/>
            <w:vAlign w:val="bottom"/>
            <w:gridSpan w:val="2"/>
          </w:tcPr>
          <w:p>
            <w:pPr>
              <w:spacing w:after="0" w:line="124" w:lineRule="exact"/>
              <w:rPr>
                <w:sz w:val="20"/>
                <w:szCs w:val="20"/>
                <w:color w:val="auto"/>
              </w:rPr>
            </w:pPr>
            <w:r>
              <w:rPr>
                <w:rFonts w:ascii="Arial" w:cs="Arial" w:eastAsia="Arial" w:hAnsi="Arial"/>
                <w:sz w:val="12"/>
                <w:szCs w:val="12"/>
                <w:color w:val="auto"/>
              </w:rPr>
              <w:t>Item 14.</w:t>
            </w:r>
          </w:p>
        </w:tc>
        <w:tc>
          <w:tcPr>
            <w:tcW w:w="8440" w:type="dxa"/>
            <w:vAlign w:val="bottom"/>
            <w:gridSpan w:val="17"/>
          </w:tcPr>
          <w:p>
            <w:pPr>
              <w:spacing w:after="0" w:line="124" w:lineRule="exact"/>
              <w:rPr>
                <w:rFonts w:ascii="Arial" w:cs="Arial" w:eastAsia="Arial" w:hAnsi="Arial"/>
                <w:sz w:val="12"/>
                <w:szCs w:val="12"/>
                <w:color w:val="0000EE"/>
              </w:rPr>
            </w:pPr>
            <w:hyperlink w:anchor="page49">
              <w:r>
                <w:rPr>
                  <w:rFonts w:ascii="Arial" w:cs="Arial" w:eastAsia="Arial" w:hAnsi="Arial"/>
                  <w:sz w:val="12"/>
                  <w:szCs w:val="12"/>
                  <w:color w:val="0000EE"/>
                </w:rPr>
                <w:t>Principal Accountant Fees and Services.</w:t>
              </w:r>
            </w:hyperlink>
          </w:p>
        </w:tc>
        <w:tc>
          <w:tcPr>
            <w:tcW w:w="2020" w:type="dxa"/>
            <w:vAlign w:val="bottom"/>
          </w:tcPr>
          <w:p>
            <w:pPr>
              <w:jc w:val="right"/>
              <w:spacing w:after="0" w:line="124" w:lineRule="exact"/>
              <w:rPr>
                <w:sz w:val="20"/>
                <w:szCs w:val="20"/>
                <w:color w:val="auto"/>
              </w:rPr>
            </w:pPr>
            <w:r>
              <w:rPr>
                <w:rFonts w:ascii="Arial" w:cs="Arial" w:eastAsia="Arial" w:hAnsi="Arial"/>
                <w:sz w:val="12"/>
                <w:szCs w:val="12"/>
                <w:color w:val="auto"/>
              </w:rPr>
              <w:t>49</w:t>
            </w:r>
          </w:p>
        </w:tc>
      </w:tr>
      <w:tr>
        <w:trPr>
          <w:trHeight w:val="295"/>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gridSpan w:val="3"/>
          </w:tcPr>
          <w:p>
            <w:pPr>
              <w:jc w:val="center"/>
              <w:ind w:right="3380"/>
              <w:spacing w:after="0"/>
              <w:rPr>
                <w:sz w:val="20"/>
                <w:szCs w:val="20"/>
                <w:color w:val="auto"/>
              </w:rPr>
            </w:pPr>
            <w:r>
              <w:rPr>
                <w:rFonts w:ascii="Arial" w:cs="Arial" w:eastAsia="Arial" w:hAnsi="Arial"/>
                <w:sz w:val="12"/>
                <w:szCs w:val="12"/>
                <w:b w:val="1"/>
                <w:bCs w:val="1"/>
                <w:color w:val="auto"/>
              </w:rPr>
              <w:t>PART IV</w:t>
            </w:r>
          </w:p>
        </w:tc>
        <w:tc>
          <w:tcPr>
            <w:tcW w:w="2020" w:type="dxa"/>
            <w:vAlign w:val="bottom"/>
          </w:tcPr>
          <w:p>
            <w:pPr>
              <w:spacing w:after="0"/>
              <w:rPr>
                <w:sz w:val="24"/>
                <w:szCs w:val="24"/>
                <w:color w:val="auto"/>
              </w:rPr>
            </w:pPr>
          </w:p>
        </w:tc>
      </w:tr>
      <w:tr>
        <w:trPr>
          <w:trHeight w:val="261"/>
        </w:trPr>
        <w:tc>
          <w:tcPr>
            <w:tcW w:w="1020" w:type="dxa"/>
            <w:vAlign w:val="bottom"/>
            <w:gridSpan w:val="2"/>
          </w:tcPr>
          <w:p>
            <w:pPr>
              <w:spacing w:after="0"/>
              <w:rPr>
                <w:sz w:val="20"/>
                <w:szCs w:val="20"/>
                <w:color w:val="auto"/>
              </w:rPr>
            </w:pPr>
            <w:r>
              <w:rPr>
                <w:rFonts w:ascii="Arial" w:cs="Arial" w:eastAsia="Arial" w:hAnsi="Arial"/>
                <w:sz w:val="12"/>
                <w:szCs w:val="12"/>
                <w:color w:val="auto"/>
              </w:rPr>
              <w:t>Item 15.</w:t>
            </w:r>
          </w:p>
        </w:tc>
        <w:tc>
          <w:tcPr>
            <w:tcW w:w="8440" w:type="dxa"/>
            <w:vAlign w:val="bottom"/>
            <w:gridSpan w:val="17"/>
          </w:tcPr>
          <w:p>
            <w:pPr>
              <w:spacing w:after="0"/>
              <w:rPr>
                <w:rFonts w:ascii="Arial" w:cs="Arial" w:eastAsia="Arial" w:hAnsi="Arial"/>
                <w:sz w:val="12"/>
                <w:szCs w:val="12"/>
                <w:color w:val="0000EE"/>
              </w:rPr>
            </w:pPr>
            <w:hyperlink w:anchor="page50">
              <w:r>
                <w:rPr>
                  <w:rFonts w:ascii="Arial" w:cs="Arial" w:eastAsia="Arial" w:hAnsi="Arial"/>
                  <w:sz w:val="12"/>
                  <w:szCs w:val="12"/>
                  <w:color w:val="0000EE"/>
                </w:rPr>
                <w:t>Exhibits and Financial Statement Schedules.</w:t>
              </w:r>
            </w:hyperlink>
          </w:p>
        </w:tc>
        <w:tc>
          <w:tcPr>
            <w:tcW w:w="2020" w:type="dxa"/>
            <w:vAlign w:val="bottom"/>
          </w:tcPr>
          <w:p>
            <w:pPr>
              <w:jc w:val="right"/>
              <w:spacing w:after="0"/>
              <w:rPr>
                <w:sz w:val="20"/>
                <w:szCs w:val="20"/>
                <w:color w:val="auto"/>
              </w:rPr>
            </w:pPr>
            <w:r>
              <w:rPr>
                <w:rFonts w:ascii="Arial" w:cs="Arial" w:eastAsia="Arial" w:hAnsi="Arial"/>
                <w:sz w:val="12"/>
                <w:szCs w:val="12"/>
                <w:color w:val="auto"/>
              </w:rPr>
              <w:t>50</w:t>
            </w:r>
          </w:p>
        </w:tc>
      </w:tr>
      <w:tr>
        <w:trPr>
          <w:trHeight w:val="268"/>
        </w:trPr>
        <w:tc>
          <w:tcPr>
            <w:tcW w:w="1020" w:type="dxa"/>
            <w:vAlign w:val="bottom"/>
            <w:gridSpan w:val="2"/>
          </w:tcPr>
          <w:p>
            <w:pPr>
              <w:spacing w:after="0"/>
              <w:rPr>
                <w:rFonts w:ascii="Arial" w:cs="Arial" w:eastAsia="Arial" w:hAnsi="Arial"/>
                <w:sz w:val="12"/>
                <w:szCs w:val="12"/>
                <w:color w:val="0000EE"/>
              </w:rPr>
            </w:pPr>
            <w:hyperlink w:anchor="page51">
              <w:r>
                <w:rPr>
                  <w:rFonts w:ascii="Arial" w:cs="Arial" w:eastAsia="Arial" w:hAnsi="Arial"/>
                  <w:sz w:val="12"/>
                  <w:szCs w:val="12"/>
                  <w:color w:val="0000EE"/>
                </w:rPr>
                <w:t>SIGNATURES</w:t>
              </w:r>
            </w:hyperlink>
          </w:p>
        </w:tc>
        <w:tc>
          <w:tcPr>
            <w:tcW w:w="12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70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2"/>
                <w:szCs w:val="12"/>
                <w:color w:val="auto"/>
              </w:rPr>
              <w:t>51</w:t>
            </w:r>
          </w:p>
        </w:tc>
      </w:tr>
      <w:tr>
        <w:trPr>
          <w:trHeight w:val="20"/>
        </w:trPr>
        <w:tc>
          <w:tcPr>
            <w:tcW w:w="7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320" w:type="dxa"/>
            <w:vAlign w:val="bottom"/>
            <w:gridSpan w:val="1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68"/>
        </w:trPr>
        <w:tc>
          <w:tcPr>
            <w:tcW w:w="9460" w:type="dxa"/>
            <w:vAlign w:val="bottom"/>
            <w:gridSpan w:val="19"/>
          </w:tcPr>
          <w:p>
            <w:pPr>
              <w:spacing w:after="0"/>
              <w:rPr>
                <w:rFonts w:ascii="Arial" w:cs="Arial" w:eastAsia="Arial" w:hAnsi="Arial"/>
                <w:sz w:val="12"/>
                <w:szCs w:val="12"/>
                <w:color w:val="0000EE"/>
              </w:rPr>
            </w:pPr>
            <w:hyperlink w:anchor="page52">
              <w:r>
                <w:rPr>
                  <w:rFonts w:ascii="Arial" w:cs="Arial" w:eastAsia="Arial" w:hAnsi="Arial"/>
                  <w:sz w:val="12"/>
                  <w:szCs w:val="12"/>
                  <w:color w:val="0000EE"/>
                </w:rPr>
                <w:t>INDEX TO EXHIBITS</w:t>
              </w:r>
            </w:hyperlink>
          </w:p>
        </w:tc>
        <w:tc>
          <w:tcPr>
            <w:tcW w:w="2020" w:type="dxa"/>
            <w:vAlign w:val="bottom"/>
          </w:tcPr>
          <w:p>
            <w:pPr>
              <w:jc w:val="right"/>
              <w:spacing w:after="0"/>
              <w:rPr>
                <w:sz w:val="20"/>
                <w:szCs w:val="20"/>
                <w:color w:val="auto"/>
              </w:rPr>
            </w:pPr>
            <w:r>
              <w:rPr>
                <w:rFonts w:ascii="Arial" w:cs="Arial" w:eastAsia="Arial" w:hAnsi="Arial"/>
                <w:sz w:val="12"/>
                <w:szCs w:val="12"/>
                <w:color w:val="auto"/>
              </w:rPr>
              <w:t>52</w:t>
            </w:r>
          </w:p>
        </w:tc>
      </w:tr>
      <w:tr>
        <w:trPr>
          <w:trHeight w:val="443"/>
        </w:trPr>
        <w:tc>
          <w:tcPr>
            <w:tcW w:w="720" w:type="dxa"/>
            <w:vAlign w:val="bottom"/>
            <w:tcBorders>
              <w:top w:val="single" w:sz="8" w:color="0000EE"/>
              <w:bottom w:val="single" w:sz="8" w:color="808080"/>
            </w:tcBorders>
          </w:tcPr>
          <w:p>
            <w:pPr>
              <w:spacing w:after="0"/>
              <w:rPr>
                <w:sz w:val="24"/>
                <w:szCs w:val="24"/>
                <w:color w:val="auto"/>
              </w:rPr>
            </w:pPr>
          </w:p>
        </w:tc>
        <w:tc>
          <w:tcPr>
            <w:tcW w:w="300" w:type="dxa"/>
            <w:vAlign w:val="bottom"/>
            <w:tcBorders>
              <w:top w:val="single" w:sz="8" w:color="0000EE"/>
              <w:bottom w:val="single" w:sz="8" w:color="808080"/>
            </w:tcBorders>
          </w:tcPr>
          <w:p>
            <w:pPr>
              <w:spacing w:after="0"/>
              <w:rPr>
                <w:sz w:val="24"/>
                <w:szCs w:val="24"/>
                <w:color w:val="auto"/>
              </w:rPr>
            </w:pPr>
          </w:p>
        </w:tc>
        <w:tc>
          <w:tcPr>
            <w:tcW w:w="120" w:type="dxa"/>
            <w:vAlign w:val="bottom"/>
            <w:tcBorders>
              <w:top w:val="single" w:sz="8" w:color="0000EE"/>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0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 w:name="page3"/>
    <w:bookmarkEnd w:id="2"/>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Item 1. Business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GENERAL DISCUSSION</w:t>
      </w:r>
    </w:p>
    <w:p>
      <w:pPr>
        <w:spacing w:after="0" w:line="168"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Frequency Electronics, Inc. (sometimes referred to as "Registrant", "Frequency Electronics" or the "Company") is a world leader in precision time and frequency technology which is employed in commercial, government, C4ISR and other military electronic systems. Its technology is used for a wide range of terrestrial and space applications.</w:t>
      </w:r>
    </w:p>
    <w:p>
      <w:pPr>
        <w:spacing w:after="0" w:line="133"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2"/>
          <w:szCs w:val="12"/>
          <w:i w:val="1"/>
          <w:iCs w:val="1"/>
          <w:u w:val="single" w:color="auto"/>
          <w:color w:val="auto"/>
        </w:rPr>
        <w:t>www.frequencyelectronics.com</w:t>
      </w:r>
      <w:r>
        <w:rPr>
          <w:rFonts w:ascii="Arial" w:cs="Arial" w:eastAsia="Arial" w:hAnsi="Arial"/>
          <w:sz w:val="12"/>
          <w:szCs w:val="12"/>
          <w:i w:val="1"/>
          <w:iCs w:val="1"/>
          <w:color w:val="auto"/>
        </w:rPr>
        <w:t>.</w:t>
      </w:r>
    </w:p>
    <w:p>
      <w:pPr>
        <w:spacing w:after="0" w:line="141"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2"/>
          <w:szCs w:val="12"/>
          <w:color w:val="auto"/>
        </w:rPr>
        <w:t>Frequency Electronics was founded in 1961 as a research and development firm generating proprietary precision time and frequency technology primarily under contracts for the United States (“U.S.”) Government end-use.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MARKETS</w:t>
      </w:r>
    </w:p>
    <w:p>
      <w:pPr>
        <w:spacing w:after="0" w:line="168"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2"/>
          <w:szCs w:val="12"/>
          <w:color w:val="auto"/>
        </w:rPr>
        <w:t>The Company’s dominant business area is satellite payloads. It has a unique legacy of providing master timing systems, power converters, and frequency generation, synthesis and distribution systems. It is currently addressing new opportunities in frequency converters, transmitters and receivers, representing a significant increase in the potential revenue for FEI products on any one satellite. These products support primary and hosted payloads for both commercial and U.S. government end-use. Currently, approximately one thousand satellites with varying remaining years of useful life are operating in High/Geostationary, Medium and Low Earth Orbits. This number of operational satellites is expected to continue to grow over the next ten years as many new satellites are added and older ones are replaced.</w:t>
      </w:r>
    </w:p>
    <w:p>
      <w:pPr>
        <w:spacing w:after="0" w:line="143" w:lineRule="exact"/>
        <w:rPr>
          <w:sz w:val="20"/>
          <w:szCs w:val="20"/>
          <w:color w:val="auto"/>
        </w:rPr>
      </w:pPr>
    </w:p>
    <w:p>
      <w:pPr>
        <w:ind w:left="328"/>
        <w:spacing w:after="0"/>
        <w:rPr>
          <w:sz w:val="20"/>
          <w:szCs w:val="20"/>
          <w:color w:val="auto"/>
        </w:rPr>
      </w:pPr>
      <w:r>
        <w:rPr>
          <w:rFonts w:ascii="Arial" w:cs="Arial" w:eastAsia="Arial" w:hAnsi="Arial"/>
          <w:sz w:val="11"/>
          <w:szCs w:val="11"/>
          <w:color w:val="auto"/>
        </w:rPr>
        <w:t>The Company’s products support multiple C4ISR (“Command, Control, Communication, Computer, Intelligence, Security and Reconnaissance”), counter measures and additional defense electronic applications for the U.S.</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government on land, sea and air-borne platforms.</w:t>
      </w:r>
    </w:p>
    <w:p>
      <w:pPr>
        <w:spacing w:after="0" w:line="159"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Commercial markets include network infrastructure and other industrial uses. The Company’s products support precise signal synchronization in mobile communication networks to maintain quality of service. Its products support expanded bandwidth and security in public and enterprise networks. The vast world-wide wireline network infrastructure incorporates thousands of central offices which provide network integrity and interconnectivity. The Company provides remote terminal units (“RTU”) for management of networks such as power grids and gas lines as well as specialized timing technology for oil and gas exploration.</w:t>
      </w:r>
    </w:p>
    <w:p>
      <w:pPr>
        <w:spacing w:after="0" w:line="141"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To address these markets, the Company has several corporate entities which operate under three reportable segments primarily based on the geographic locations of its subsidiaries. For additional information about these reportable segments, see “Item 1 – REPORTABLE SEGMENTS AND PRODUCTS.”:</w:t>
      </w:r>
    </w:p>
    <w:p>
      <w:pPr>
        <w:spacing w:after="0" w:line="129" w:lineRule="exact"/>
        <w:rPr>
          <w:sz w:val="20"/>
          <w:szCs w:val="20"/>
          <w:color w:val="auto"/>
        </w:rPr>
      </w:pPr>
    </w:p>
    <w:p>
      <w:pPr>
        <w:ind w:left="328" w:hanging="328"/>
        <w:spacing w:after="0" w:line="331" w:lineRule="auto"/>
        <w:tabs>
          <w:tab w:leader="none" w:pos="328" w:val="left"/>
        </w:tabs>
        <w:numPr>
          <w:ilvl w:val="0"/>
          <w:numId w:val="1"/>
        </w:numPr>
        <w:rPr>
          <w:rFonts w:ascii="Arial" w:cs="Arial" w:eastAsia="Arial" w:hAnsi="Arial"/>
          <w:sz w:val="11"/>
          <w:szCs w:val="11"/>
          <w:color w:val="auto"/>
        </w:rPr>
      </w:pPr>
      <w:r>
        <w:rPr>
          <w:rFonts w:ascii="Arial" w:cs="Arial" w:eastAsia="Arial" w:hAnsi="Arial"/>
          <w:sz w:val="11"/>
          <w:szCs w:val="11"/>
          <w:b w:val="1"/>
          <w:bCs w:val="1"/>
          <w:u w:val="single" w:color="auto"/>
          <w:color w:val="auto"/>
        </w:rPr>
        <w:t>FEI-NY</w:t>
      </w:r>
      <w:r>
        <w:rPr>
          <w:rFonts w:ascii="Arial" w:cs="Arial" w:eastAsia="Arial" w:hAnsi="Arial"/>
          <w:sz w:val="11"/>
          <w:szCs w:val="11"/>
          <w:b w:val="1"/>
          <w:bCs w:val="1"/>
          <w:color w:val="auto"/>
        </w:rPr>
        <w:t xml:space="preserve"> </w:t>
      </w:r>
      <w:r>
        <w:rPr>
          <w:rFonts w:ascii="Arial" w:cs="Arial" w:eastAsia="Arial" w:hAnsi="Arial"/>
          <w:sz w:val="11"/>
          <w:szCs w:val="11"/>
          <w:color w:val="auto"/>
        </w:rPr>
        <w:t>The Company’s satellite payload products for U.S. Government and commercial satellite programs are designed, developed and manufactured at its Long Island, New York facility. At this location the Company also applies</w:t>
      </w:r>
      <w:r>
        <w:rPr>
          <w:rFonts w:ascii="Arial" w:cs="Arial" w:eastAsia="Arial" w:hAnsi="Arial"/>
          <w:sz w:val="11"/>
          <w:szCs w:val="11"/>
          <w:b w:val="1"/>
          <w:bCs w:val="1"/>
          <w:color w:val="auto"/>
        </w:rPr>
        <w:t xml:space="preserve"> </w:t>
      </w:r>
      <w:r>
        <w:rPr>
          <w:rFonts w:ascii="Arial" w:cs="Arial" w:eastAsia="Arial" w:hAnsi="Arial"/>
          <w:sz w:val="11"/>
          <w:szCs w:val="11"/>
          <w:color w:val="auto"/>
        </w:rPr>
        <w:t>its technology and legacy to products for the U.S. military and other U.S. Government agencies, for certain terrestrial commercial communication products and for other industrial applications.</w:t>
      </w: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3" w:name="page4"/>
    <w:bookmarkEnd w:id="3"/>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left="328"/>
        <w:spacing w:after="0" w:line="276" w:lineRule="auto"/>
        <w:rPr>
          <w:sz w:val="20"/>
          <w:szCs w:val="20"/>
          <w:color w:val="auto"/>
        </w:rPr>
      </w:pPr>
      <w:r>
        <w:rPr>
          <w:rFonts w:ascii="Arial" w:cs="Arial" w:eastAsia="Arial" w:hAnsi="Arial"/>
          <w:sz w:val="12"/>
          <w:szCs w:val="12"/>
          <w:color w:val="auto"/>
        </w:rPr>
        <w:t>Frequency Electronics, Inc. Asia (“FEI-Asia”) was established in fiscal year 2002 to be the Company’s Asian-based low cost manufacturer of certain commercial communications products used primarily in the wireless and wireline markets. FEI-Asia is located in the Free-Trade Zone in Tianjin, China.</w:t>
      </w:r>
    </w:p>
    <w:p>
      <w:pPr>
        <w:spacing w:after="0" w:line="133" w:lineRule="exact"/>
        <w:rPr>
          <w:sz w:val="20"/>
          <w:szCs w:val="20"/>
          <w:color w:val="auto"/>
        </w:rPr>
      </w:pPr>
    </w:p>
    <w:p>
      <w:pPr>
        <w:jc w:val="both"/>
        <w:ind w:left="328"/>
        <w:spacing w:after="0" w:line="263" w:lineRule="auto"/>
        <w:rPr>
          <w:sz w:val="20"/>
          <w:szCs w:val="20"/>
          <w:color w:val="auto"/>
        </w:rPr>
      </w:pPr>
      <w:r>
        <w:rPr>
          <w:rFonts w:ascii="Arial" w:cs="Arial" w:eastAsia="Arial" w:hAnsi="Arial"/>
          <w:sz w:val="12"/>
          <w:szCs w:val="12"/>
          <w:color w:val="auto"/>
        </w:rPr>
        <w:t>In February 2012, the Company completed the acquisition of Elcom Technologies, Inc. (now FEI-Elcom Tech, Inc. or “FEI-Elcom”). FEI-Elcom designs and manufactures RF microwave devices and subsystems up to 46 GHz including fast switching, ultra low phase noise synthesizers, up-down converters, receivers, ceramic resonant oscillators and dielectric resonant oscillators. These instruments and components are critical for communication, surveillance, signal intelligence, automatic testing, satellite ground stations and satellite payloads.</w:t>
      </w:r>
    </w:p>
    <w:p>
      <w:pPr>
        <w:spacing w:after="0" w:line="137" w:lineRule="exact"/>
        <w:rPr>
          <w:sz w:val="20"/>
          <w:szCs w:val="20"/>
          <w:color w:val="auto"/>
        </w:rPr>
      </w:pPr>
    </w:p>
    <w:p>
      <w:pPr>
        <w:ind w:left="328" w:right="20" w:hanging="328"/>
        <w:spacing w:after="0" w:line="283" w:lineRule="auto"/>
        <w:tabs>
          <w:tab w:leader="none" w:pos="328" w:val="left"/>
        </w:tabs>
        <w:numPr>
          <w:ilvl w:val="0"/>
          <w:numId w:val="2"/>
        </w:numPr>
        <w:rPr>
          <w:rFonts w:ascii="Arial" w:cs="Arial" w:eastAsia="Arial" w:hAnsi="Arial"/>
          <w:sz w:val="12"/>
          <w:szCs w:val="12"/>
          <w:color w:val="auto"/>
        </w:rPr>
      </w:pPr>
      <w:r>
        <w:rPr>
          <w:rFonts w:ascii="Arial" w:cs="Arial" w:eastAsia="Arial" w:hAnsi="Arial"/>
          <w:sz w:val="12"/>
          <w:szCs w:val="12"/>
          <w:b w:val="1"/>
          <w:bCs w:val="1"/>
          <w:u w:val="single" w:color="auto"/>
          <w:color w:val="auto"/>
        </w:rPr>
        <w:t>Gillam-FEI</w:t>
      </w:r>
      <w:r>
        <w:rPr>
          <w:rFonts w:ascii="Arial" w:cs="Arial" w:eastAsia="Arial" w:hAnsi="Arial"/>
          <w:sz w:val="12"/>
          <w:szCs w:val="12"/>
          <w:b w:val="1"/>
          <w:bCs w:val="1"/>
          <w:color w:val="auto"/>
        </w:rPr>
        <w:t xml:space="preserve"> </w:t>
      </w:r>
      <w:r>
        <w:rPr>
          <w:rFonts w:ascii="Arial" w:cs="Arial" w:eastAsia="Arial" w:hAnsi="Arial"/>
          <w:sz w:val="12"/>
          <w:szCs w:val="12"/>
          <w:color w:val="auto"/>
        </w:rPr>
        <w:t>- The Company’s Belgian subsidiary, acquired in September 2000, develops and manufactures products for various network management and synchronization systems for different industries, utilities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telecommunications providers in Europe, Africa, the Middle East and Asia.</w:t>
      </w:r>
    </w:p>
    <w:p>
      <w:pPr>
        <w:spacing w:after="0" w:line="124" w:lineRule="exact"/>
        <w:rPr>
          <w:rFonts w:ascii="Arial" w:cs="Arial" w:eastAsia="Arial" w:hAnsi="Arial"/>
          <w:sz w:val="12"/>
          <w:szCs w:val="12"/>
          <w:color w:val="auto"/>
        </w:rPr>
      </w:pPr>
    </w:p>
    <w:p>
      <w:pPr>
        <w:jc w:val="both"/>
        <w:ind w:left="328" w:hanging="328"/>
        <w:spacing w:after="0" w:line="267" w:lineRule="auto"/>
        <w:tabs>
          <w:tab w:leader="none" w:pos="328" w:val="left"/>
        </w:tabs>
        <w:numPr>
          <w:ilvl w:val="0"/>
          <w:numId w:val="2"/>
        </w:numPr>
        <w:rPr>
          <w:rFonts w:ascii="Arial" w:cs="Arial" w:eastAsia="Arial" w:hAnsi="Arial"/>
          <w:sz w:val="12"/>
          <w:szCs w:val="12"/>
          <w:color w:val="auto"/>
        </w:rPr>
      </w:pPr>
      <w:r>
        <w:rPr>
          <w:rFonts w:ascii="Arial" w:cs="Arial" w:eastAsia="Arial" w:hAnsi="Arial"/>
          <w:sz w:val="12"/>
          <w:szCs w:val="12"/>
          <w:b w:val="1"/>
          <w:bCs w:val="1"/>
          <w:u w:val="single" w:color="auto"/>
          <w:color w:val="auto"/>
        </w:rPr>
        <w:t>FEI-Zyfer</w:t>
      </w:r>
      <w:r>
        <w:rPr>
          <w:rFonts w:ascii="Arial" w:cs="Arial" w:eastAsia="Arial" w:hAnsi="Arial"/>
          <w:sz w:val="12"/>
          <w:szCs w:val="12"/>
          <w:b w:val="1"/>
          <w:bCs w:val="1"/>
          <w:color w:val="auto"/>
        </w:rPr>
        <w:t xml:space="preserve"> </w:t>
      </w:r>
      <w:r>
        <w:rPr>
          <w:rFonts w:ascii="Arial" w:cs="Arial" w:eastAsia="Arial" w:hAnsi="Arial"/>
          <w:sz w:val="12"/>
          <w:szCs w:val="12"/>
          <w:color w:val="auto"/>
        </w:rPr>
        <w:t>- Precision time and frequency products that incorporate global positioning systems (“GPS”) technology are manufactured by the Company’s subsidiary FEI-Zyfer, Inc. (“FEI-Zyfer”), which was acquired in fiscal year</w:t>
      </w:r>
      <w:r>
        <w:rPr>
          <w:rFonts w:ascii="Arial" w:cs="Arial" w:eastAsia="Arial" w:hAnsi="Arial"/>
          <w:sz w:val="12"/>
          <w:szCs w:val="12"/>
          <w:b w:val="1"/>
          <w:bCs w:val="1"/>
          <w:color w:val="auto"/>
        </w:rPr>
        <w:t xml:space="preserve"> </w:t>
      </w:r>
      <w:r>
        <w:rPr>
          <w:rFonts w:ascii="Arial" w:cs="Arial" w:eastAsia="Arial" w:hAnsi="Arial"/>
          <w:sz w:val="12"/>
          <w:szCs w:val="12"/>
          <w:color w:val="auto"/>
        </w:rPr>
        <w:t>2004. FEI-Zyfer’s GPS capability complements the Company’s existing technologies and permits the combined entities to provide a broader range of embedded systems for a variety of timing functions and anti-spoofing (“SAASM”) applications. FEI-Zyfer also provides sales and support in the U.S. for the Company’s wireline telecommunications family of products.</w:t>
      </w:r>
    </w:p>
    <w:p>
      <w:pPr>
        <w:spacing w:after="0" w:line="138"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In addition to its subsidiaries, the Company has a strategic investment in Morion, Inc. (“Morion”), a Russian crystal oscillator manufacturer located in St. Petersburg, Russia. The Company’s ownership of 4.6% of the outstanding shares of Morion’s common stock permits the Company to secure a cost-effective source for high precision quartz resonators and crystal oscillators. The Morion investment is accounted for under the cost method. (See “NOTES TO CONSOLIDATED FINANCIAL STATEMENTS – 9. Investment in Morion, Inc.”)</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FISCAL YEAR 2013 SUBSEQUENT EVENT</w:t>
      </w:r>
    </w:p>
    <w:p>
      <w:pPr>
        <w:spacing w:after="0" w:line="164" w:lineRule="exact"/>
        <w:rPr>
          <w:sz w:val="20"/>
          <w:szCs w:val="20"/>
          <w:color w:val="auto"/>
        </w:rPr>
      </w:pPr>
    </w:p>
    <w:p>
      <w:pPr>
        <w:ind w:left="328"/>
        <w:spacing w:after="0"/>
        <w:rPr>
          <w:sz w:val="20"/>
          <w:szCs w:val="20"/>
          <w:color w:val="auto"/>
        </w:rPr>
      </w:pPr>
      <w:r>
        <w:rPr>
          <w:rFonts w:ascii="Arial" w:cs="Arial" w:eastAsia="Arial" w:hAnsi="Arial"/>
          <w:sz w:val="12"/>
          <w:szCs w:val="12"/>
          <w:b w:val="1"/>
          <w:bCs w:val="1"/>
          <w:color w:val="auto"/>
        </w:rPr>
        <w:t>Refinance Debt with Revolving Credit Agreement.</w:t>
      </w:r>
    </w:p>
    <w:p>
      <w:pPr>
        <w:spacing w:after="0" w:line="172" w:lineRule="exact"/>
        <w:rPr>
          <w:sz w:val="20"/>
          <w:szCs w:val="20"/>
          <w:color w:val="auto"/>
        </w:rPr>
      </w:pPr>
    </w:p>
    <w:p>
      <w:pPr>
        <w:jc w:val="both"/>
        <w:ind w:left="8" w:firstLine="324"/>
        <w:spacing w:after="0" w:line="257" w:lineRule="auto"/>
        <w:rPr>
          <w:sz w:val="20"/>
          <w:szCs w:val="20"/>
          <w:color w:val="auto"/>
        </w:rPr>
      </w:pPr>
      <w:r>
        <w:rPr>
          <w:rFonts w:ascii="Arial" w:cs="Arial" w:eastAsia="Arial" w:hAnsi="Arial"/>
          <w:sz w:val="12"/>
          <w:szCs w:val="12"/>
          <w:color w:val="auto"/>
        </w:rPr>
        <w:t>On June 6, 2013, the Company obtained a five-year credit facility (the “Facility”) from JPMorgan Chase Bank, N.A. (“JPMorgan”) pursuant to a credit agreement (the “Credit Agreement”) between the Company and JPMorgan. The maximum aggregate amount of the Facility is $25.0 million, of which the Company immediately borrowed $7.2 million, using the proceeds to repay the outstanding balance under the $9.3 million line of credit with another financial institution which formerly managed a substantial portion of the Company’s investment portfolio. As a result of this refinancing of short-term credit with a long-term obligation, as of April 30, 2013, the Company reclassified the $6.0 million balance payable under the replaced line of credit to long-term debt. For a full description of the Facility, see NOTES TO CONSOLIDATED FINANCIAL STATEMENTS – 7. Debt Obligations and Subsequent Event.” Proceeds from the Facility will be used for working capital and to finance acquisitions.</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REPORTABLE SEGMENTS AND PRODUCTS</w:t>
      </w:r>
    </w:p>
    <w:p>
      <w:pPr>
        <w:spacing w:after="0" w:line="168" w:lineRule="exact"/>
        <w:rPr>
          <w:sz w:val="20"/>
          <w:szCs w:val="20"/>
          <w:color w:val="auto"/>
        </w:rPr>
      </w:pPr>
    </w:p>
    <w:p>
      <w:pPr>
        <w:jc w:val="both"/>
        <w:ind w:left="8" w:firstLine="324"/>
        <w:spacing w:after="0" w:line="286" w:lineRule="auto"/>
        <w:rPr>
          <w:sz w:val="20"/>
          <w:szCs w:val="20"/>
          <w:color w:val="auto"/>
        </w:rPr>
      </w:pPr>
      <w:r>
        <w:rPr>
          <w:rFonts w:ascii="Arial" w:cs="Arial" w:eastAsia="Arial" w:hAnsi="Arial"/>
          <w:sz w:val="11"/>
          <w:szCs w:val="11"/>
          <w:color w:val="auto"/>
        </w:rPr>
        <w:t>The Company operates under three reportable segments, primarily aligned with the geographical locations of its subsidiaries: (1) FEI-NY, (2) Gillam-FEI; and (3)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subsidiaries, FEI-Asia and FEI-Elcom. FEI-Asia functions as a manufacturing facility for FEI-NY and other segments with minimal sales to outside customers. FEI-Elcom, in addition to its own product line, provides design and technical support for the FEI-NY segment’s satellite business.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4" w:name="page5"/>
    <w:bookmarkEnd w:id="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products for the FEI-NY segment are principally marketed to the commercial and U.S. Government satellite markets, to other U.S. Department of Defense (“DOD”) programs and to wireless communications networks. The Gillam-FEI segment operates out of Belgium and France and designs, develops and manufactures products for network synchronization and monitoring. Its products are currently sold primarily to non-U.S. customers. The primary business of the FEI-Zyfer segment, which operates out of California, is the design and manufacture of products which incorporate GPS technologies. FEI-Zyfer sells its products to both commercial and U.S. Government customers, collaborates with other FEI segments on joint product development activities and provides sales and support for network synchronization products.</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During fiscal years 2013 and 2012, approximately 76% and 70%, respectively, of the Company’s consolidated revenues were from products sold by the FEI-NY segment. Sales by Gillam-FEI were approximately 17% and 20% of consolidated revenues for fiscal years 2013 and 2012, respectively. In fiscal years 2013 and 2012, sales for the FEI-Zyfer segment were 15% and 18% of consolidated revenues, respectively. (The sum of annual sales percentages exceeds 100% due to intersegment sales.)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Consolidated revenues include sales to end-users in countries located outside of the U.S.. During fiscal years 2013 and 2012, foreign sales comprised 26% and 33%, respectively, of consolidated revenues. For segment information, see “NOTES TO CONSOLIDATED FINANCIAL STATEMENTS – 15. Segment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FEI-NY </w:t>
      </w:r>
      <w:r>
        <w:rPr>
          <w:rFonts w:ascii="Arial" w:cs="Arial" w:eastAsia="Arial" w:hAnsi="Arial"/>
          <w:sz w:val="8"/>
          <w:szCs w:val="8"/>
          <w:b w:val="1"/>
          <w:bCs w:val="1"/>
          <w:color w:val="auto"/>
        </w:rPr>
        <w:t>SEGMENT</w:t>
      </w:r>
      <w:r>
        <w:rPr>
          <w:rFonts w:ascii="Arial" w:cs="Arial" w:eastAsia="Arial" w:hAnsi="Arial"/>
          <w:sz w:val="12"/>
          <w:szCs w:val="12"/>
          <w:b w:val="1"/>
          <w:bCs w:val="1"/>
          <w:color w:val="auto"/>
        </w:rPr>
        <w:t>:</w:t>
      </w:r>
    </w:p>
    <w:p>
      <w:pPr>
        <w:spacing w:after="0" w:line="17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Company provides precision time, frequency generation and synchronization products and subsystems that are found in ground-based communication stations, on-board satellites and imbedded in moving platforms operated by the U.S. military. The Company has made a substantial investment in research and development to apply its core technologies to satellite payloads, non-space DOD programs and network infrastructure markets. Revenues from satellite payloads, both for commercial and U.S. Government applications have increased in recent years while the portion of network infrastructure sales was reduced. The Company expects to continue to generate substantial revenues from deployment of new and replacement satellites and other U.S. Government/DOD applications including sales of ruggedized subsystems for moving platforms of the U.S. military.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Satellite Payloads</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2"/>
          <w:szCs w:val="12"/>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cesium) and other significant timing and frequency generation products for communication satellite,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and upgraded frequency generators, synthesizers, and up/down converters and receivers have augmented the Company’s product offerings and positioned the Company to provide a greater share of a typical satellite’s payload. Commercial satellite programs which utilize the Company’s space-qualified products include Iridium NEXT, MexSat, MSV, ICO, TerreStar, GlobalStar, Intelsat, Inmarsat and numerous others.</w:t>
      </w:r>
    </w:p>
    <w:p>
      <w:pPr>
        <w:spacing w:after="0" w:line="14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In the years ahead, the Company expects that the U.S. DOD will require more secure communication capabilities, more assets in space and greater bandwidth. The Global Positioning Satellite System, the MILSTAR Satellite System and the AEHF Satellite System are examples of the programs in which the Company participates - programs which management believes are important to the success of the U.S. Government’s security, communication and intelligence needs.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 w:name="page6"/>
    <w:bookmarkEnd w:id="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U.S. Government- non-space:</w:t>
      </w:r>
    </w:p>
    <w:p>
      <w:pPr>
        <w:spacing w:after="0" w:line="15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In addition to space-based programs, the Company’s proprietary products have been used in airborne and ground-based guidance, navigation, communications, radar, sonar surveillance and electronic countermeasure and timing systems. The Company has developed and patented a low g-sensitivity (gravity) technology which offers a 100-fold improvement in performance under shock, vibration and other environmental effects. Products are built in accordance with DOD standards and are in use on many of the U.S.’ important military applications. The Company anticipates that adequate funds will be provided by the U.S. Government to ensure that these programs are sustained.</w:t>
      </w:r>
    </w:p>
    <w:p>
      <w:pPr>
        <w:spacing w:after="0" w:line="12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FEI-Elcom designs and manufactures RF microwave devices and subsystems up to 46 GHz including fast switching, ultra low phase noise synthesizers, up-down converters, receivers, ceramic resonant oscillators and dielectric resonant oscillators. These instruments and components are important for communication, surveillance, signal intelligence, automatic testing, satellite ground stations and satellite payloads.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1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In March 2013, the Budget Control Act of 2011 went into effect to reduce the federal deficit by a process known as sequestration. Unless Congress passes a subsequent law to offset it, expenditures by the Department of Defense will be significantly reduced for the foreseeable future. As indicated above, many of the programs and platforms for which Frequency supplies products and systems, are used by the U.S. Government for maintaining secure communications world-wide, for obtaining vital intelligence and enabling precision targeting capabilities. It is the belief of management that the future success of the mission of the U.S. military and intelligence gathering community is heavily dependent on successful and timely deployment of these systems. Thus, the Company anticipates that adequate funds will be provided by the U.S. Government to ensure that the programs are completed. It is possible, however, that some programs or product sales could be slowed or delayed due to U.S. Government spending constraints.</w:t>
      </w:r>
    </w:p>
    <w:p>
      <w:pPr>
        <w:spacing w:after="0" w:line="1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Recently the Company has also received several cost-plus-fee contracts. Under these contracts, the Company may be able to recover all of its direct and indirect costs related to the programs plus a pre-determined fee. In the event of substantial cost overruns, the fee may be reduced.</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2"/>
          <w:szCs w:val="12"/>
          <w:b w:val="1"/>
          <w:bCs w:val="1"/>
          <w:color w:val="auto"/>
        </w:rPr>
        <w:t>Network Infrastructure</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development of new and enhanced technologies brings expanded and more reliable telecommunications and Internet services to the public. As digital cellular systems and Personal Communication Systems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 w:name="page7"/>
    <w:bookmarkEnd w:id="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conjunction with its European subsidiary, Gillam-FEI, the Company has developed state-of-the-art network synchronization equipment. These products are intended to provide synchronization and timing references for communication and enterprise networks within the U.S. and overseas.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w:t>
      </w:r>
      <w:r>
        <w:rPr>
          <w:rFonts w:ascii="Arial" w:cs="Arial" w:eastAsia="Arial" w:hAnsi="Arial"/>
          <w:sz w:val="8"/>
          <w:szCs w:val="8"/>
          <w:b w:val="1"/>
          <w:bCs w:val="1"/>
          <w:color w:val="auto"/>
        </w:rPr>
        <w:t>ILLAM</w:t>
      </w:r>
      <w:r>
        <w:rPr>
          <w:rFonts w:ascii="Arial" w:cs="Arial" w:eastAsia="Arial" w:hAnsi="Arial"/>
          <w:sz w:val="12"/>
          <w:szCs w:val="12"/>
          <w:b w:val="1"/>
          <w:bCs w:val="1"/>
          <w:color w:val="auto"/>
        </w:rPr>
        <w:t xml:space="preserve">-FEI </w:t>
      </w:r>
      <w:r>
        <w:rPr>
          <w:rFonts w:ascii="Arial" w:cs="Arial" w:eastAsia="Arial" w:hAnsi="Arial"/>
          <w:sz w:val="8"/>
          <w:szCs w:val="8"/>
          <w:b w:val="1"/>
          <w:bCs w:val="1"/>
          <w:color w:val="auto"/>
        </w:rPr>
        <w:t>SEGMENT</w:t>
      </w:r>
      <w:r>
        <w:rPr>
          <w:rFonts w:ascii="Arial" w:cs="Arial" w:eastAsia="Arial" w:hAnsi="Arial"/>
          <w:sz w:val="12"/>
          <w:szCs w:val="12"/>
          <w:b w:val="1"/>
          <w:bCs w:val="1"/>
          <w:color w:val="auto"/>
        </w:rPr>
        <w:t>:</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Gillam-FEI extends the Company’s competencies into network synchronization, network management, and specialized test equipment. With the advent of new digital broadband transmission technologies, reliable synchronization remains the warranty to quality of service for telecommunications operators. Gillam-FEI is among the world leaders in the field of wireline synchronization technology and its products are targeted for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Gillam-FEI also provides ancillary products intended for deployment in the European, Middle Eastern, Asian and African markets. Included in its family of products is a remote terminal unit (“GRTU”) that Gillam-FEI developed in concert with a major French electric utility company. The GRTU is intended to monitor the electrical current in a power grid and relay the information to a central location. Gillam-FEI intends to market this product to other electric utility companies in projects to create “smart” grids.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FEI-Z</w:t>
      </w:r>
      <w:r>
        <w:rPr>
          <w:rFonts w:ascii="Arial" w:cs="Arial" w:eastAsia="Arial" w:hAnsi="Arial"/>
          <w:sz w:val="8"/>
          <w:szCs w:val="8"/>
          <w:b w:val="1"/>
          <w:bCs w:val="1"/>
          <w:color w:val="auto"/>
        </w:rPr>
        <w:t>YFER SEGMENT</w:t>
      </w:r>
      <w:r>
        <w:rPr>
          <w:rFonts w:ascii="Arial" w:cs="Arial" w:eastAsia="Arial" w:hAnsi="Arial"/>
          <w:sz w:val="12"/>
          <w:szCs w:val="12"/>
          <w:b w:val="1"/>
          <w:bCs w:val="1"/>
          <w:color w:val="auto"/>
        </w:rPr>
        <w:t>:</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 In addition, FEI-Zyfer provides sales and support for the Company’s family of wireline telecommunications and derivative products.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BACKLOG</w:t>
      </w:r>
    </w:p>
    <w:p>
      <w:pPr>
        <w:spacing w:after="0" w:line="16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As of April 30, 2013, the Company's consolidated backlog amounted to approximately $51 million compared to approximately $57 million at the end of the prior fiscal year. Approximately 70% of the current backlog is expected to be filled during the Company’s fiscal year ending April 30, 2014. Included in the backlog at April 30, 2013 is approximately $700,000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April 30, 2013, was approximately $3 million. The Company expects these contracts to become fully funded over time and will be added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CUSTOMERS AND SUPPLIERS</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markets its products both directly and through approximately 30 independent sales representative organizations located in the U.S., Europe and Asia. Sales to non-U.S. end-users, including the revenues of its overseas subsidiaries, totaled approximately 26% and 33% of net revenues in fiscal years 2013 and 2012, respectively.</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products are sold to both commercial and governmental customers. For the years ended April 30, 2013 and 2012, approximately 62% and 46%, respectively, of the Company's sales were made under contracts to the U.S. Government or subcontracts for U.S. Government end-use.</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During fiscal year 2013 and 2012, Northrop Grumman Corporation (“Northrop”), Boeing Corporation (“Boeing”) and Thales Alenia Space each accounted for more than 10% of consolidated and FEI-NY segment revenues.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 w:name="page8"/>
    <w:bookmarkEnd w:id="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fiscal years 2013 and 2012, Belgacom was a major customer of the Gillam-FEI segment, accounting for more than 10% of that segment’s revenues each year.</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fiscal year 2013, AT&amp;T and Raytheon Corporation were major customers of the FEI-Zyfer segment as each accounted for more than 10% of the segment’s revenues. During fiscal year 2012, AT&amp;T accounted for more than 10% of FEI-Zyfer’s revenues.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33"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RESEARCH AND DEVELOPMENT</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technological leadership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2013 and 2012, the Company expended $5.7 million and $3.9 million of its own funds, respectively, on such research and development activity. See “Item 7. Management’s Discussion and Analysis of Financial Condition and Results of Operations.” During fiscal years 2013 and 2012, many of the Company’s development resources were applied to certain cost-plus-fee contracts and the design-stage of fixed-price satellite payload programs. As a result, some of the Company’s development efforts were customer-funded and the costs appear in cost of revenues resulting in reduced internal research and development spending. For fiscal year 2014, the Company is targeting to spend between $5.0 million and $6.0 million on internal research and development projects. The actual amount spent in fiscal year 2014 will depend on market conditions and identification of new opportunities.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PATENTS AND LICENSES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 In 2006, the Company obtained a basic patent for its low g-sensitivity technology which management believes will permit greatly enhanced performance of devices on moving platforms and under externally imposed shock or vibration.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 w:name="page9"/>
    <w:bookmarkEnd w:id="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COMPETITION</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The Company experiences competition in all areas of its business. Many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in space or in extreme hostile environments, prompt and responsive contract performance and technical competence. The Company has a unique and broad product line which includes quartz, rubidium, and cesium based timing references and specialized RF microwave technology. On very high precision products, the Company encounters fewer competitors than for lower precision products for which there are a significant number of suppliers.</w:t>
      </w:r>
    </w:p>
    <w:p>
      <w:pPr>
        <w:spacing w:after="0" w:line="1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Company’s principal competition for space products is the in-house capability of its major customers such as the Boeing Corporation, Northrop Grumman, Lockheed Martin and Space Systems Loral as well as a number of other firms capable of providing high-reliability microwave frequency generators. With respect to non-space products, instruments and systems for timing and synchronization, the Company competes with large domestic companies such as Agilent Technologies, EG&amp;G, Inc., Symmetricom, Inc., and Vectron, Inc., a division of Dover Corp. The Company also competes against multiple foreign entities including Indian, Korean and other Far East enterprises such as the Chinese company, Huawei. In Europe large competitors include Siemens, Schneider Electric and Oscilloquartz, a division of Swatch.</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has successfully outsourced certain manufacturing processes to third parties and to its wholly-owned subsidiary, FEI-Asia in Tianjin, China and to Russian-based Morion, Inc., in which the Company is a minority shareholder. The Company conducts this outsourcing to maintain a competitive position on cost while adhering to its high quality standards.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EMPLOYEES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 employs approximately 420 full-time persons worldwide. None of the U.S., European or Chinese employees is represented by labor unions.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OTHER ASPECTS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Company's business is not seasonal although it expects to experience some fluctuation in revenues during the second fiscal quarter as a result of summer holiday periods. No unusual working capital requirements exist.</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EXECUTIVE OFFICERS OF THE COMPANY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executive officers hold office until the annual meeting of the Board of Directors following the annual meeting of stockholders, subject to earlier removal by the Board of Directors.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names of all executive officers of the Company and all positions and offices with the Company which they presently hold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00" w:type="dxa"/>
            <w:vAlign w:val="bottom"/>
          </w:tcPr>
          <w:p>
            <w:pPr>
              <w:ind w:left="320"/>
              <w:spacing w:after="0"/>
              <w:rPr>
                <w:sz w:val="20"/>
                <w:szCs w:val="20"/>
                <w:color w:val="auto"/>
              </w:rPr>
            </w:pPr>
            <w:r>
              <w:rPr>
                <w:rFonts w:ascii="Arial" w:cs="Arial" w:eastAsia="Arial" w:hAnsi="Arial"/>
                <w:sz w:val="12"/>
                <w:szCs w:val="12"/>
                <w:color w:val="auto"/>
              </w:rPr>
              <w:t>Joseph P. Franklin</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80" w:type="dxa"/>
            <w:vAlign w:val="bottom"/>
          </w:tcPr>
          <w:p>
            <w:pPr>
              <w:ind w:left="260"/>
              <w:spacing w:after="0"/>
              <w:rPr>
                <w:sz w:val="20"/>
                <w:szCs w:val="20"/>
                <w:color w:val="auto"/>
              </w:rPr>
            </w:pPr>
            <w:r>
              <w:rPr>
                <w:rFonts w:ascii="Arial" w:cs="Arial" w:eastAsia="Arial" w:hAnsi="Arial"/>
                <w:sz w:val="12"/>
                <w:szCs w:val="12"/>
                <w:color w:val="auto"/>
              </w:rPr>
              <w:t>Chairman of the Board of Directors</w:t>
            </w:r>
          </w:p>
        </w:tc>
      </w:tr>
      <w:tr>
        <w:trPr>
          <w:trHeight w:val="144"/>
        </w:trPr>
        <w:tc>
          <w:tcPr>
            <w:tcW w:w="1800" w:type="dxa"/>
            <w:vAlign w:val="bottom"/>
          </w:tcPr>
          <w:p>
            <w:pPr>
              <w:ind w:left="320"/>
              <w:spacing w:after="0"/>
              <w:rPr>
                <w:sz w:val="20"/>
                <w:szCs w:val="20"/>
                <w:color w:val="auto"/>
              </w:rPr>
            </w:pPr>
            <w:r>
              <w:rPr>
                <w:rFonts w:ascii="Arial" w:cs="Arial" w:eastAsia="Arial" w:hAnsi="Arial"/>
                <w:sz w:val="12"/>
                <w:szCs w:val="12"/>
                <w:color w:val="auto"/>
              </w:rPr>
              <w:t>Martin B. Bloch</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80" w:type="dxa"/>
            <w:vAlign w:val="bottom"/>
          </w:tcPr>
          <w:p>
            <w:pPr>
              <w:ind w:left="260"/>
              <w:spacing w:after="0"/>
              <w:rPr>
                <w:sz w:val="20"/>
                <w:szCs w:val="20"/>
                <w:color w:val="auto"/>
              </w:rPr>
            </w:pPr>
            <w:r>
              <w:rPr>
                <w:rFonts w:ascii="Arial" w:cs="Arial" w:eastAsia="Arial" w:hAnsi="Arial"/>
                <w:sz w:val="12"/>
                <w:szCs w:val="12"/>
                <w:color w:val="auto"/>
              </w:rPr>
              <w:t>President, Chief Executive Officer and Director</w:t>
            </w:r>
          </w:p>
        </w:tc>
      </w:tr>
      <w:tr>
        <w:trPr>
          <w:trHeight w:val="144"/>
        </w:trPr>
        <w:tc>
          <w:tcPr>
            <w:tcW w:w="1800" w:type="dxa"/>
            <w:vAlign w:val="bottom"/>
          </w:tcPr>
          <w:p>
            <w:pPr>
              <w:ind w:left="320"/>
              <w:spacing w:after="0"/>
              <w:rPr>
                <w:sz w:val="20"/>
                <w:szCs w:val="20"/>
                <w:color w:val="auto"/>
              </w:rPr>
            </w:pPr>
            <w:r>
              <w:rPr>
                <w:rFonts w:ascii="Arial" w:cs="Arial" w:eastAsia="Arial" w:hAnsi="Arial"/>
                <w:sz w:val="12"/>
                <w:szCs w:val="12"/>
                <w:color w:val="auto"/>
              </w:rPr>
              <w:t>Markus Hechler</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80" w:type="dxa"/>
            <w:vAlign w:val="bottom"/>
          </w:tcPr>
          <w:p>
            <w:pPr>
              <w:ind w:left="260"/>
              <w:spacing w:after="0"/>
              <w:rPr>
                <w:sz w:val="20"/>
                <w:szCs w:val="20"/>
                <w:color w:val="auto"/>
              </w:rPr>
            </w:pPr>
            <w:r>
              <w:rPr>
                <w:rFonts w:ascii="Arial" w:cs="Arial" w:eastAsia="Arial" w:hAnsi="Arial"/>
                <w:sz w:val="12"/>
                <w:szCs w:val="12"/>
                <w:color w:val="auto"/>
              </w:rPr>
              <w:t>Executive Vice President, President of FEI Government Systems, Inc. and Assistant Secretary</w:t>
            </w:r>
          </w:p>
        </w:tc>
      </w:tr>
      <w:tr>
        <w:trPr>
          <w:trHeight w:val="144"/>
        </w:trPr>
        <w:tc>
          <w:tcPr>
            <w:tcW w:w="1800" w:type="dxa"/>
            <w:vAlign w:val="bottom"/>
          </w:tcPr>
          <w:p>
            <w:pPr>
              <w:ind w:left="320"/>
              <w:spacing w:after="0"/>
              <w:rPr>
                <w:sz w:val="20"/>
                <w:szCs w:val="20"/>
                <w:color w:val="auto"/>
              </w:rPr>
            </w:pPr>
            <w:r>
              <w:rPr>
                <w:rFonts w:ascii="Arial" w:cs="Arial" w:eastAsia="Arial" w:hAnsi="Arial"/>
                <w:sz w:val="12"/>
                <w:szCs w:val="12"/>
                <w:color w:val="auto"/>
              </w:rPr>
              <w:t>Oleandro Mancini</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80" w:type="dxa"/>
            <w:vAlign w:val="bottom"/>
          </w:tcPr>
          <w:p>
            <w:pPr>
              <w:ind w:left="260"/>
              <w:spacing w:after="0"/>
              <w:rPr>
                <w:sz w:val="20"/>
                <w:szCs w:val="20"/>
                <w:color w:val="auto"/>
              </w:rPr>
            </w:pPr>
            <w:r>
              <w:rPr>
                <w:rFonts w:ascii="Arial" w:cs="Arial" w:eastAsia="Arial" w:hAnsi="Arial"/>
                <w:sz w:val="12"/>
                <w:szCs w:val="12"/>
                <w:color w:val="auto"/>
              </w:rPr>
              <w:t>Senior Vice President, Business Development</w:t>
            </w:r>
          </w:p>
        </w:tc>
      </w:tr>
      <w:tr>
        <w:trPr>
          <w:trHeight w:val="144"/>
        </w:trPr>
        <w:tc>
          <w:tcPr>
            <w:tcW w:w="1800" w:type="dxa"/>
            <w:vAlign w:val="bottom"/>
          </w:tcPr>
          <w:p>
            <w:pPr>
              <w:ind w:left="320"/>
              <w:spacing w:after="0"/>
              <w:rPr>
                <w:sz w:val="20"/>
                <w:szCs w:val="20"/>
                <w:color w:val="auto"/>
              </w:rPr>
            </w:pPr>
            <w:r>
              <w:rPr>
                <w:rFonts w:ascii="Arial" w:cs="Arial" w:eastAsia="Arial" w:hAnsi="Arial"/>
                <w:sz w:val="12"/>
                <w:szCs w:val="12"/>
                <w:color w:val="auto"/>
              </w:rPr>
              <w:t>Steven Strang</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80" w:type="dxa"/>
            <w:vAlign w:val="bottom"/>
          </w:tcPr>
          <w:p>
            <w:pPr>
              <w:ind w:left="260"/>
              <w:spacing w:after="0"/>
              <w:rPr>
                <w:sz w:val="20"/>
                <w:szCs w:val="20"/>
                <w:color w:val="auto"/>
              </w:rPr>
            </w:pPr>
            <w:r>
              <w:rPr>
                <w:rFonts w:ascii="Arial" w:cs="Arial" w:eastAsia="Arial" w:hAnsi="Arial"/>
                <w:sz w:val="12"/>
                <w:szCs w:val="12"/>
                <w:color w:val="auto"/>
              </w:rPr>
              <w:t>President, FEI-Zyfer</w:t>
            </w:r>
          </w:p>
        </w:tc>
      </w:tr>
      <w:tr>
        <w:trPr>
          <w:trHeight w:val="144"/>
        </w:trPr>
        <w:tc>
          <w:tcPr>
            <w:tcW w:w="1800" w:type="dxa"/>
            <w:vAlign w:val="bottom"/>
          </w:tcPr>
          <w:p>
            <w:pPr>
              <w:ind w:left="320"/>
              <w:spacing w:after="0"/>
              <w:rPr>
                <w:sz w:val="20"/>
                <w:szCs w:val="20"/>
                <w:color w:val="auto"/>
              </w:rPr>
            </w:pPr>
            <w:r>
              <w:rPr>
                <w:rFonts w:ascii="Arial" w:cs="Arial" w:eastAsia="Arial" w:hAnsi="Arial"/>
                <w:sz w:val="12"/>
                <w:szCs w:val="12"/>
                <w:color w:val="auto"/>
              </w:rPr>
              <w:t>Leonard Martire</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80" w:type="dxa"/>
            <w:vAlign w:val="bottom"/>
          </w:tcPr>
          <w:p>
            <w:pPr>
              <w:ind w:left="260"/>
              <w:spacing w:after="0"/>
              <w:rPr>
                <w:sz w:val="20"/>
                <w:szCs w:val="20"/>
                <w:color w:val="auto"/>
              </w:rPr>
            </w:pPr>
            <w:r>
              <w:rPr>
                <w:rFonts w:ascii="Arial" w:cs="Arial" w:eastAsia="Arial" w:hAnsi="Arial"/>
                <w:sz w:val="12"/>
                <w:szCs w:val="12"/>
                <w:color w:val="auto"/>
              </w:rPr>
              <w:t>Vice President, Program Management</w:t>
            </w:r>
          </w:p>
        </w:tc>
      </w:tr>
      <w:tr>
        <w:trPr>
          <w:trHeight w:val="144"/>
        </w:trPr>
        <w:tc>
          <w:tcPr>
            <w:tcW w:w="1800" w:type="dxa"/>
            <w:vAlign w:val="bottom"/>
          </w:tcPr>
          <w:p>
            <w:pPr>
              <w:ind w:left="320"/>
              <w:spacing w:after="0"/>
              <w:rPr>
                <w:sz w:val="20"/>
                <w:szCs w:val="20"/>
                <w:color w:val="auto"/>
              </w:rPr>
            </w:pPr>
            <w:r>
              <w:rPr>
                <w:rFonts w:ascii="Arial" w:cs="Arial" w:eastAsia="Arial" w:hAnsi="Arial"/>
                <w:sz w:val="12"/>
                <w:szCs w:val="12"/>
                <w:color w:val="auto"/>
              </w:rPr>
              <w:t>Thomas McClelland</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80" w:type="dxa"/>
            <w:vAlign w:val="bottom"/>
          </w:tcPr>
          <w:p>
            <w:pPr>
              <w:ind w:left="260"/>
              <w:spacing w:after="0"/>
              <w:rPr>
                <w:sz w:val="20"/>
                <w:szCs w:val="20"/>
                <w:color w:val="auto"/>
              </w:rPr>
            </w:pPr>
            <w:r>
              <w:rPr>
                <w:rFonts w:ascii="Arial" w:cs="Arial" w:eastAsia="Arial" w:hAnsi="Arial"/>
                <w:sz w:val="12"/>
                <w:szCs w:val="12"/>
                <w:color w:val="auto"/>
              </w:rPr>
              <w:t>Vice President, Advanced Development</w:t>
            </w:r>
          </w:p>
        </w:tc>
      </w:tr>
      <w:tr>
        <w:trPr>
          <w:trHeight w:val="144"/>
        </w:trPr>
        <w:tc>
          <w:tcPr>
            <w:tcW w:w="1800" w:type="dxa"/>
            <w:vAlign w:val="bottom"/>
          </w:tcPr>
          <w:p>
            <w:pPr>
              <w:ind w:left="320"/>
              <w:spacing w:after="0"/>
              <w:rPr>
                <w:sz w:val="20"/>
                <w:szCs w:val="20"/>
                <w:color w:val="auto"/>
              </w:rPr>
            </w:pPr>
            <w:r>
              <w:rPr>
                <w:rFonts w:ascii="Arial" w:cs="Arial" w:eastAsia="Arial" w:hAnsi="Arial"/>
                <w:sz w:val="12"/>
                <w:szCs w:val="12"/>
                <w:color w:val="auto"/>
              </w:rPr>
              <w:t>Adrian Lalicata</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80" w:type="dxa"/>
            <w:vAlign w:val="bottom"/>
          </w:tcPr>
          <w:p>
            <w:pPr>
              <w:ind w:left="260"/>
              <w:spacing w:after="0"/>
              <w:rPr>
                <w:sz w:val="20"/>
                <w:szCs w:val="20"/>
                <w:color w:val="auto"/>
              </w:rPr>
            </w:pPr>
            <w:r>
              <w:rPr>
                <w:rFonts w:ascii="Arial" w:cs="Arial" w:eastAsia="Arial" w:hAnsi="Arial"/>
                <w:sz w:val="12"/>
                <w:szCs w:val="12"/>
                <w:color w:val="auto"/>
              </w:rPr>
              <w:t>Vice President, RF &amp; Microwave Systems</w:t>
            </w:r>
          </w:p>
        </w:tc>
      </w:tr>
      <w:tr>
        <w:trPr>
          <w:trHeight w:val="144"/>
        </w:trPr>
        <w:tc>
          <w:tcPr>
            <w:tcW w:w="1800" w:type="dxa"/>
            <w:vAlign w:val="bottom"/>
          </w:tcPr>
          <w:p>
            <w:pPr>
              <w:ind w:left="320"/>
              <w:spacing w:after="0"/>
              <w:rPr>
                <w:sz w:val="20"/>
                <w:szCs w:val="20"/>
                <w:color w:val="auto"/>
              </w:rPr>
            </w:pPr>
            <w:r>
              <w:rPr>
                <w:rFonts w:ascii="Arial" w:cs="Arial" w:eastAsia="Arial" w:hAnsi="Arial"/>
                <w:sz w:val="12"/>
                <w:szCs w:val="12"/>
                <w:color w:val="auto"/>
              </w:rPr>
              <w:t>Alan Miller</w:t>
            </w: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80" w:type="dxa"/>
            <w:vAlign w:val="bottom"/>
          </w:tcPr>
          <w:p>
            <w:pPr>
              <w:ind w:left="260"/>
              <w:spacing w:after="0"/>
              <w:rPr>
                <w:sz w:val="20"/>
                <w:szCs w:val="20"/>
                <w:color w:val="auto"/>
              </w:rPr>
            </w:pPr>
            <w:r>
              <w:rPr>
                <w:rFonts w:ascii="Arial" w:cs="Arial" w:eastAsia="Arial" w:hAnsi="Arial"/>
                <w:sz w:val="12"/>
                <w:szCs w:val="12"/>
                <w:color w:val="auto"/>
              </w:rPr>
              <w:t>Secretary/Treasurer and Chief Financial Officer</w:t>
            </w:r>
          </w:p>
        </w:tc>
      </w:tr>
      <w:tr>
        <w:trPr>
          <w:trHeight w:val="153"/>
        </w:trPr>
        <w:tc>
          <w:tcPr>
            <w:tcW w:w="1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80" w:type="dxa"/>
            <w:vAlign w:val="bottom"/>
          </w:tcPr>
          <w:p>
            <w:pPr>
              <w:ind w:left="260"/>
              <w:spacing w:after="0"/>
              <w:rPr>
                <w:sz w:val="20"/>
                <w:szCs w:val="20"/>
                <w:color w:val="auto"/>
              </w:rPr>
            </w:pPr>
            <w:r>
              <w:rPr>
                <w:rFonts w:ascii="Arial" w:cs="Arial" w:eastAsia="Arial" w:hAnsi="Arial"/>
                <w:sz w:val="12"/>
                <w:szCs w:val="12"/>
                <w:color w:val="auto"/>
              </w:rPr>
              <w:t>None of the officers and directors is related.</w:t>
            </w:r>
          </w:p>
        </w:tc>
      </w:tr>
      <w:tr>
        <w:trPr>
          <w:trHeight w:val="405"/>
        </w:trPr>
        <w:tc>
          <w:tcPr>
            <w:tcW w:w="1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80" w:type="dxa"/>
            <w:vAlign w:val="bottom"/>
          </w:tcPr>
          <w:p>
            <w:pPr>
              <w:ind w:left="3100"/>
              <w:spacing w:after="0"/>
              <w:rPr>
                <w:sz w:val="20"/>
                <w:szCs w:val="20"/>
                <w:color w:val="auto"/>
              </w:rPr>
            </w:pPr>
            <w:r>
              <w:rPr>
                <w:rFonts w:ascii="Arial" w:cs="Arial" w:eastAsia="Arial" w:hAnsi="Arial"/>
                <w:sz w:val="12"/>
                <w:szCs w:val="12"/>
                <w:color w:val="auto"/>
              </w:rPr>
              <w:t>9</w:t>
            </w:r>
          </w:p>
        </w:tc>
      </w:tr>
      <w:tr>
        <w:trPr>
          <w:trHeight w:val="76"/>
        </w:trPr>
        <w:tc>
          <w:tcPr>
            <w:tcW w:w="180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88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7283450</wp:posOffset>
            </wp:positionH>
            <wp:positionV relativeFrom="paragraph">
              <wp:posOffset>-11430</wp:posOffset>
            </wp:positionV>
            <wp:extent cx="1270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 w:name="page10"/>
    <w:bookmarkEnd w:id="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Joseph P. Franklin, age 79,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U.S. Army until he retired in July 1987.</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Martin B. Bloch, age 77,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Markus Hechler, age 67,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Oleandro Mancini, age 64, joined the Company in August 2000 as Vice President, Business Development and was promoted to Senior Vice President in 2010.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Steven Strang, age 49, was named President of FEI-Zyfer, Inc., effective May 1, 2005. Previously, Mr. Strang was Executive Vice President of this subsidiary and its predecessor companies where he has served for 19 years in various technical and management positions.</w:t>
      </w:r>
    </w:p>
    <w:p>
      <w:pPr>
        <w:spacing w:after="0" w:line="13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Leonard Martire, age 76, joined the Company in August 1987 and served as Executive Vice President of FEI Microwave, Inc., the Company's wholly-owned subsidiary, until May 1993 when he was elected Vice President, Marketing and Sales. In fiscal year 2007, Mr. Martire assumed the role of Vice President Program Management.</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Thomas McClelland, age 58,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Adrian Lalicata, age 66,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141"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Alan Miller, age 64, joined the Company in November 1995 as its corporate controller and was elected to the position of Treasurer and Chief Financial Officer in October 1998. In May 2010, Mr. Miller was also named corporate Secretary. Prior to joining the Company, Mr. Miller served as an operations manager and a consultant to small businesses from 1992 through 1995 and as a Senior Audit Manager with Ernst &amp; Young, L.L.P. from 1980 to 1991.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 w:name="page11"/>
    <w:bookmarkEnd w:id="1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2. Properties</w:t>
      </w:r>
    </w:p>
    <w:p>
      <w:pPr>
        <w:spacing w:after="0" w:line="168" w:lineRule="exact"/>
        <w:rPr>
          <w:sz w:val="20"/>
          <w:szCs w:val="20"/>
          <w:color w:val="auto"/>
        </w:rPr>
      </w:pPr>
    </w:p>
    <w:p>
      <w:pPr>
        <w:ind w:left="320"/>
        <w:spacing w:after="0"/>
        <w:tabs>
          <w:tab w:leader="none" w:pos="4080" w:val="left"/>
          <w:tab w:leader="none" w:pos="8440" w:val="left"/>
        </w:tabs>
        <w:rPr>
          <w:sz w:val="20"/>
          <w:szCs w:val="20"/>
          <w:color w:val="auto"/>
        </w:rPr>
      </w:pPr>
      <w:r>
        <w:rPr>
          <w:rFonts w:ascii="Arial" w:cs="Arial" w:eastAsia="Arial" w:hAnsi="Arial"/>
          <w:sz w:val="12"/>
          <w:szCs w:val="12"/>
          <w:color w:val="auto"/>
        </w:rPr>
        <w:t>The Company operates out of several facilities located around the world.</w:t>
        <w:tab/>
        <w:t>Each facility is used for manufacturing its products and for administrative activities.</w:t>
      </w:r>
      <w:r>
        <w:rPr>
          <w:sz w:val="20"/>
          <w:szCs w:val="20"/>
          <w:color w:val="auto"/>
        </w:rPr>
        <w:tab/>
      </w:r>
      <w:r>
        <w:rPr>
          <w:rFonts w:ascii="Arial" w:cs="Arial" w:eastAsia="Arial" w:hAnsi="Arial"/>
          <w:sz w:val="11"/>
          <w:szCs w:val="11"/>
          <w:color w:val="auto"/>
        </w:rPr>
        <w:t>The following table presents the location, size and terms of</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40" w:type="dxa"/>
            <w:vAlign w:val="bottom"/>
            <w:gridSpan w:val="2"/>
          </w:tcPr>
          <w:p>
            <w:pPr>
              <w:spacing w:after="0"/>
              <w:rPr>
                <w:sz w:val="20"/>
                <w:szCs w:val="20"/>
                <w:color w:val="auto"/>
              </w:rPr>
            </w:pPr>
            <w:r>
              <w:rPr>
                <w:rFonts w:ascii="Arial" w:cs="Arial" w:eastAsia="Arial" w:hAnsi="Arial"/>
                <w:sz w:val="12"/>
                <w:szCs w:val="12"/>
                <w:color w:val="auto"/>
              </w:rPr>
              <w:t>ownership/occupation:</w:t>
            </w:r>
          </w:p>
        </w:tc>
        <w:tc>
          <w:tcPr>
            <w:tcW w:w="3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20" w:type="dxa"/>
            <w:vAlign w:val="bottom"/>
          </w:tcPr>
          <w:p>
            <w:pPr>
              <w:spacing w:after="0"/>
              <w:rPr>
                <w:sz w:val="13"/>
                <w:szCs w:val="13"/>
                <w:color w:val="auto"/>
              </w:rPr>
            </w:pPr>
          </w:p>
        </w:tc>
      </w:tr>
      <w:tr>
        <w:trPr>
          <w:trHeight w:val="297"/>
        </w:trPr>
        <w:tc>
          <w:tcPr>
            <w:tcW w:w="1440" w:type="dxa"/>
            <w:vAlign w:val="bottom"/>
          </w:tcPr>
          <w:p>
            <w:pPr>
              <w:spacing w:after="0"/>
              <w:rPr>
                <w:sz w:val="24"/>
                <w:szCs w:val="24"/>
                <w:color w:val="auto"/>
              </w:rPr>
            </w:pPr>
          </w:p>
        </w:tc>
        <w:tc>
          <w:tcPr>
            <w:tcW w:w="3100" w:type="dxa"/>
            <w:vAlign w:val="bottom"/>
            <w:tcBorders>
              <w:bottom w:val="single" w:sz="8" w:color="auto"/>
            </w:tcBorders>
          </w:tcPr>
          <w:p>
            <w:pPr>
              <w:ind w:left="1320"/>
              <w:spacing w:after="0"/>
              <w:rPr>
                <w:sz w:val="20"/>
                <w:szCs w:val="20"/>
                <w:color w:val="auto"/>
              </w:rPr>
            </w:pPr>
            <w:r>
              <w:rPr>
                <w:rFonts w:ascii="Arial" w:cs="Arial" w:eastAsia="Arial" w:hAnsi="Arial"/>
                <w:sz w:val="12"/>
                <w:szCs w:val="12"/>
                <w:b w:val="1"/>
                <w:bCs w:val="1"/>
                <w:color w:val="auto"/>
              </w:rPr>
              <w:t>Location</w:t>
            </w:r>
          </w:p>
        </w:tc>
        <w:tc>
          <w:tcPr>
            <w:tcW w:w="380" w:type="dxa"/>
            <w:vAlign w:val="bottom"/>
          </w:tcPr>
          <w:p>
            <w:pPr>
              <w:spacing w:after="0"/>
              <w:rPr>
                <w:sz w:val="24"/>
                <w:szCs w:val="24"/>
                <w:color w:val="auto"/>
              </w:rPr>
            </w:pPr>
          </w:p>
        </w:tc>
        <w:tc>
          <w:tcPr>
            <w:tcW w:w="194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Size (sq. ft.)</w:t>
            </w:r>
          </w:p>
        </w:tc>
        <w:tc>
          <w:tcPr>
            <w:tcW w:w="380" w:type="dxa"/>
            <w:vAlign w:val="bottom"/>
          </w:tcPr>
          <w:p>
            <w:pPr>
              <w:spacing w:after="0"/>
              <w:rPr>
                <w:sz w:val="24"/>
                <w:szCs w:val="24"/>
                <w:color w:val="auto"/>
              </w:rPr>
            </w:pPr>
          </w:p>
        </w:tc>
        <w:tc>
          <w:tcPr>
            <w:tcW w:w="2820" w:type="dxa"/>
            <w:vAlign w:val="bottom"/>
            <w:tcBorders>
              <w:bottom w:val="single" w:sz="8" w:color="auto"/>
            </w:tcBorders>
          </w:tcPr>
          <w:p>
            <w:pPr>
              <w:ind w:left="1040"/>
              <w:spacing w:after="0"/>
              <w:rPr>
                <w:sz w:val="20"/>
                <w:szCs w:val="20"/>
                <w:color w:val="auto"/>
              </w:rPr>
            </w:pPr>
            <w:r>
              <w:rPr>
                <w:rFonts w:ascii="Arial" w:cs="Arial" w:eastAsia="Arial" w:hAnsi="Arial"/>
                <w:sz w:val="12"/>
                <w:szCs w:val="12"/>
                <w:b w:val="1"/>
                <w:bCs w:val="1"/>
                <w:color w:val="auto"/>
              </w:rPr>
              <w:t>Own or Lease</w:t>
            </w:r>
          </w:p>
        </w:tc>
      </w:tr>
      <w:tr>
        <w:trPr>
          <w:trHeight w:val="142"/>
        </w:trPr>
        <w:tc>
          <w:tcPr>
            <w:tcW w:w="1440" w:type="dxa"/>
            <w:vAlign w:val="bottom"/>
          </w:tcPr>
          <w:p>
            <w:pPr>
              <w:spacing w:after="0"/>
              <w:rPr>
                <w:sz w:val="12"/>
                <w:szCs w:val="12"/>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Long Island, NY</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93,000</w:t>
            </w:r>
          </w:p>
        </w:tc>
        <w:tc>
          <w:tcPr>
            <w:tcW w:w="32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Lease</w:t>
            </w:r>
          </w:p>
        </w:tc>
      </w:tr>
      <w:tr>
        <w:trPr>
          <w:trHeight w:val="144"/>
        </w:trPr>
        <w:tc>
          <w:tcPr>
            <w:tcW w:w="1440" w:type="dxa"/>
            <w:vAlign w:val="bottom"/>
          </w:tcPr>
          <w:p>
            <w:pPr>
              <w:spacing w:after="0"/>
              <w:rPr>
                <w:sz w:val="12"/>
                <w:szCs w:val="12"/>
                <w:color w:val="auto"/>
              </w:rPr>
            </w:pPr>
          </w:p>
        </w:tc>
        <w:tc>
          <w:tcPr>
            <w:tcW w:w="3100" w:type="dxa"/>
            <w:vAlign w:val="bottom"/>
          </w:tcPr>
          <w:p>
            <w:pPr>
              <w:ind w:left="80"/>
              <w:spacing w:after="0"/>
              <w:rPr>
                <w:sz w:val="20"/>
                <w:szCs w:val="20"/>
                <w:color w:val="auto"/>
              </w:rPr>
            </w:pPr>
            <w:r>
              <w:rPr>
                <w:rFonts w:ascii="Arial" w:cs="Arial" w:eastAsia="Arial" w:hAnsi="Arial"/>
                <w:sz w:val="12"/>
                <w:szCs w:val="12"/>
                <w:color w:val="auto"/>
              </w:rPr>
              <w:t>Garden Grove, CA</w:t>
            </w:r>
          </w:p>
        </w:tc>
        <w:tc>
          <w:tcPr>
            <w:tcW w:w="2320" w:type="dxa"/>
            <w:vAlign w:val="bottom"/>
            <w:gridSpan w:val="2"/>
          </w:tcPr>
          <w:p>
            <w:pPr>
              <w:jc w:val="right"/>
              <w:spacing w:after="0"/>
              <w:rPr>
                <w:sz w:val="20"/>
                <w:szCs w:val="20"/>
                <w:color w:val="auto"/>
              </w:rPr>
            </w:pPr>
            <w:r>
              <w:rPr>
                <w:rFonts w:ascii="Arial" w:cs="Arial" w:eastAsia="Arial" w:hAnsi="Arial"/>
                <w:sz w:val="12"/>
                <w:szCs w:val="12"/>
                <w:color w:val="auto"/>
              </w:rPr>
              <w:t>27,850</w:t>
            </w:r>
          </w:p>
        </w:tc>
        <w:tc>
          <w:tcPr>
            <w:tcW w:w="3200" w:type="dxa"/>
            <w:vAlign w:val="bottom"/>
            <w:gridSpan w:val="2"/>
          </w:tcPr>
          <w:p>
            <w:pPr>
              <w:ind w:left="380"/>
              <w:spacing w:after="0"/>
              <w:rPr>
                <w:sz w:val="20"/>
                <w:szCs w:val="20"/>
                <w:color w:val="auto"/>
              </w:rPr>
            </w:pPr>
            <w:r>
              <w:rPr>
                <w:rFonts w:ascii="Arial" w:cs="Arial" w:eastAsia="Arial" w:hAnsi="Arial"/>
                <w:sz w:val="12"/>
                <w:szCs w:val="12"/>
                <w:color w:val="auto"/>
              </w:rPr>
              <w:t>Lease</w:t>
            </w:r>
          </w:p>
        </w:tc>
      </w:tr>
      <w:tr>
        <w:trPr>
          <w:trHeight w:val="144"/>
        </w:trPr>
        <w:tc>
          <w:tcPr>
            <w:tcW w:w="1440" w:type="dxa"/>
            <w:vAlign w:val="bottom"/>
          </w:tcPr>
          <w:p>
            <w:pPr>
              <w:spacing w:after="0"/>
              <w:rPr>
                <w:sz w:val="12"/>
                <w:szCs w:val="12"/>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Liege, Belgium</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34,000</w:t>
            </w:r>
          </w:p>
        </w:tc>
        <w:tc>
          <w:tcPr>
            <w:tcW w:w="32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Own</w:t>
            </w:r>
          </w:p>
        </w:tc>
      </w:tr>
      <w:tr>
        <w:trPr>
          <w:trHeight w:val="144"/>
        </w:trPr>
        <w:tc>
          <w:tcPr>
            <w:tcW w:w="1440" w:type="dxa"/>
            <w:vAlign w:val="bottom"/>
          </w:tcPr>
          <w:p>
            <w:pPr>
              <w:spacing w:after="0"/>
              <w:rPr>
                <w:sz w:val="12"/>
                <w:szCs w:val="12"/>
                <w:color w:val="auto"/>
              </w:rPr>
            </w:pPr>
          </w:p>
        </w:tc>
        <w:tc>
          <w:tcPr>
            <w:tcW w:w="3100" w:type="dxa"/>
            <w:vAlign w:val="bottom"/>
          </w:tcPr>
          <w:p>
            <w:pPr>
              <w:ind w:left="80"/>
              <w:spacing w:after="0"/>
              <w:rPr>
                <w:sz w:val="20"/>
                <w:szCs w:val="20"/>
                <w:color w:val="auto"/>
              </w:rPr>
            </w:pPr>
            <w:r>
              <w:rPr>
                <w:rFonts w:ascii="Arial" w:cs="Arial" w:eastAsia="Arial" w:hAnsi="Arial"/>
                <w:sz w:val="12"/>
                <w:szCs w:val="12"/>
                <w:color w:val="auto"/>
              </w:rPr>
              <w:t>Chalon Sur Saone, France</w:t>
            </w:r>
          </w:p>
        </w:tc>
        <w:tc>
          <w:tcPr>
            <w:tcW w:w="2320" w:type="dxa"/>
            <w:vAlign w:val="bottom"/>
            <w:gridSpan w:val="2"/>
          </w:tcPr>
          <w:p>
            <w:pPr>
              <w:jc w:val="right"/>
              <w:spacing w:after="0"/>
              <w:rPr>
                <w:sz w:val="20"/>
                <w:szCs w:val="20"/>
                <w:color w:val="auto"/>
              </w:rPr>
            </w:pPr>
            <w:r>
              <w:rPr>
                <w:rFonts w:ascii="Arial" w:cs="Arial" w:eastAsia="Arial" w:hAnsi="Arial"/>
                <w:sz w:val="12"/>
                <w:szCs w:val="12"/>
                <w:color w:val="auto"/>
              </w:rPr>
              <w:t>5,000</w:t>
            </w:r>
          </w:p>
        </w:tc>
        <w:tc>
          <w:tcPr>
            <w:tcW w:w="3200" w:type="dxa"/>
            <w:vAlign w:val="bottom"/>
            <w:gridSpan w:val="2"/>
          </w:tcPr>
          <w:p>
            <w:pPr>
              <w:ind w:left="380"/>
              <w:spacing w:after="0"/>
              <w:rPr>
                <w:sz w:val="20"/>
                <w:szCs w:val="20"/>
                <w:color w:val="auto"/>
              </w:rPr>
            </w:pPr>
            <w:r>
              <w:rPr>
                <w:rFonts w:ascii="Arial" w:cs="Arial" w:eastAsia="Arial" w:hAnsi="Arial"/>
                <w:sz w:val="12"/>
                <w:szCs w:val="12"/>
                <w:color w:val="auto"/>
              </w:rPr>
              <w:t>Lease</w:t>
            </w:r>
          </w:p>
        </w:tc>
      </w:tr>
      <w:tr>
        <w:trPr>
          <w:trHeight w:val="144"/>
        </w:trPr>
        <w:tc>
          <w:tcPr>
            <w:tcW w:w="1440" w:type="dxa"/>
            <w:vAlign w:val="bottom"/>
          </w:tcPr>
          <w:p>
            <w:pPr>
              <w:spacing w:after="0"/>
              <w:rPr>
                <w:sz w:val="12"/>
                <w:szCs w:val="12"/>
                <w:color w:val="auto"/>
              </w:rPr>
            </w:pPr>
          </w:p>
        </w:tc>
        <w:tc>
          <w:tcPr>
            <w:tcW w:w="3100" w:type="dxa"/>
            <w:vAlign w:val="bottom"/>
            <w:shd w:val="clear" w:color="auto" w:fill="CCEEFF"/>
          </w:tcPr>
          <w:p>
            <w:pPr>
              <w:ind w:left="80"/>
              <w:spacing w:after="0"/>
              <w:rPr>
                <w:sz w:val="20"/>
                <w:szCs w:val="20"/>
                <w:color w:val="auto"/>
              </w:rPr>
            </w:pPr>
            <w:r>
              <w:rPr>
                <w:rFonts w:ascii="Arial" w:cs="Arial" w:eastAsia="Arial" w:hAnsi="Arial"/>
                <w:sz w:val="12"/>
                <w:szCs w:val="12"/>
                <w:color w:val="auto"/>
              </w:rPr>
              <w:t>Tianjin, China</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28,000</w:t>
            </w:r>
          </w:p>
        </w:tc>
        <w:tc>
          <w:tcPr>
            <w:tcW w:w="3200" w:type="dxa"/>
            <w:vAlign w:val="bottom"/>
            <w:gridSpan w:val="2"/>
            <w:shd w:val="clear" w:color="auto" w:fill="CCEEFF"/>
          </w:tcPr>
          <w:p>
            <w:pPr>
              <w:ind w:left="380"/>
              <w:spacing w:after="0"/>
              <w:rPr>
                <w:sz w:val="20"/>
                <w:szCs w:val="20"/>
                <w:color w:val="auto"/>
              </w:rPr>
            </w:pPr>
            <w:r>
              <w:rPr>
                <w:rFonts w:ascii="Arial" w:cs="Arial" w:eastAsia="Arial" w:hAnsi="Arial"/>
                <w:sz w:val="12"/>
                <w:szCs w:val="12"/>
                <w:color w:val="auto"/>
              </w:rPr>
              <w:t>Lease</w:t>
            </w:r>
          </w:p>
        </w:tc>
      </w:tr>
      <w:tr>
        <w:trPr>
          <w:trHeight w:val="153"/>
        </w:trPr>
        <w:tc>
          <w:tcPr>
            <w:tcW w:w="1440" w:type="dxa"/>
            <w:vAlign w:val="bottom"/>
          </w:tcPr>
          <w:p>
            <w:pPr>
              <w:spacing w:after="0"/>
              <w:rPr>
                <w:sz w:val="13"/>
                <w:szCs w:val="13"/>
                <w:color w:val="auto"/>
              </w:rPr>
            </w:pPr>
          </w:p>
        </w:tc>
        <w:tc>
          <w:tcPr>
            <w:tcW w:w="3100" w:type="dxa"/>
            <w:vAlign w:val="bottom"/>
          </w:tcPr>
          <w:p>
            <w:pPr>
              <w:ind w:left="80"/>
              <w:spacing w:after="0"/>
              <w:rPr>
                <w:sz w:val="20"/>
                <w:szCs w:val="20"/>
                <w:color w:val="auto"/>
              </w:rPr>
            </w:pPr>
            <w:r>
              <w:rPr>
                <w:rFonts w:ascii="Arial" w:cs="Arial" w:eastAsia="Arial" w:hAnsi="Arial"/>
                <w:sz w:val="12"/>
                <w:szCs w:val="12"/>
                <w:color w:val="auto"/>
              </w:rPr>
              <w:t>Rockleigh, NJ</w:t>
            </w:r>
          </w:p>
        </w:tc>
        <w:tc>
          <w:tcPr>
            <w:tcW w:w="2320" w:type="dxa"/>
            <w:vAlign w:val="bottom"/>
            <w:gridSpan w:val="2"/>
          </w:tcPr>
          <w:p>
            <w:pPr>
              <w:jc w:val="right"/>
              <w:spacing w:after="0"/>
              <w:rPr>
                <w:sz w:val="20"/>
                <w:szCs w:val="20"/>
                <w:color w:val="auto"/>
              </w:rPr>
            </w:pPr>
            <w:r>
              <w:rPr>
                <w:rFonts w:ascii="Arial" w:cs="Arial" w:eastAsia="Arial" w:hAnsi="Arial"/>
                <w:sz w:val="12"/>
                <w:szCs w:val="12"/>
                <w:color w:val="auto"/>
              </w:rPr>
              <w:t>32,000</w:t>
            </w:r>
          </w:p>
        </w:tc>
        <w:tc>
          <w:tcPr>
            <w:tcW w:w="3200" w:type="dxa"/>
            <w:vAlign w:val="bottom"/>
            <w:gridSpan w:val="2"/>
          </w:tcPr>
          <w:p>
            <w:pPr>
              <w:ind w:left="380"/>
              <w:spacing w:after="0"/>
              <w:rPr>
                <w:sz w:val="20"/>
                <w:szCs w:val="20"/>
                <w:color w:val="auto"/>
              </w:rPr>
            </w:pPr>
            <w:r>
              <w:rPr>
                <w:rFonts w:ascii="Arial" w:cs="Arial" w:eastAsia="Arial" w:hAnsi="Arial"/>
                <w:sz w:val="12"/>
                <w:szCs w:val="12"/>
                <w:color w:val="auto"/>
              </w:rPr>
              <w:t>Lease</w:t>
            </w:r>
          </w:p>
        </w:tc>
      </w:tr>
    </w:tbl>
    <w:p>
      <w:pPr>
        <w:spacing w:after="0" w:line="1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Company leased its manufacturing and office space from Reckson under an initial 11-year lease. The Company has exercised its option to renew the lease for an additional 5-year period at an annual rental of $600,000 per year with the Company paying its pro rata share of real estate taxes along with the costs of utilities and insurance. During fiscal year 2013, the Company renewed the lease with Reckson for the second 5-year renewal period at an annual rental of $800,000 to begin in February 2014. The lease will end in January 2019. The leased space is adequate to meet the Company’s domestic operational needs which encompass the principal operations of the FEI-NY segment and also serves as the Company’s world-wide corporate headquarters.</w:t>
      </w:r>
    </w:p>
    <w:p>
      <w:pPr>
        <w:spacing w:after="0" w:line="14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Garden Grove, California facility is leased by the Company’s subsidiary, FEI-Zyfer, Inc. The facility consists of a combination office and manufacturing space. The lease, which expires in August 2017, currently requires monthly payments of $28,700 and will increase each year over the remaining 52 months of the lease term.</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subsidiary, Gillam-FEI, owns a manufacturing and office facility in Liege, Belgium. Gillam-FEI’s French operation leases space in Chalon Sur Saone, France. These facilities are adequate to meet the present and future operational requirements of Gillam-FEI.</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Tianjin, China facility is the location of the Company’s wholly-owned subsidiary, FEI-Asia. The subsidiary’s office and manufacturing facility is located in the Tianjin Free-Trade Zone. The lease is renewable annually with monthly rent of $6,800 through February 2014. The facility is adequate for the near-term manufacturing expectations for the Company.</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FEI-Elcom operates out of a leased facility located in Rockleigh, New Jersey. The facility consists of a combination office and manufacturing space. The lease, which expires in March 2016, requires monthly payments of $26,700.</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3. Legal Proceedings</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From time to time, the Company is a defendant in litigation arising out of the ordinary course of business. As of July 22, 2013, the Company is not a party to any material, pending legal proceeding other than routine litigation incidental to its business.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1" w:name="page12"/>
    <w:bookmarkEnd w:id="1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5520"/>
        <w:spacing w:after="0"/>
        <w:rPr>
          <w:sz w:val="20"/>
          <w:szCs w:val="20"/>
          <w:color w:val="auto"/>
        </w:rPr>
      </w:pPr>
      <w:r>
        <w:rPr>
          <w:rFonts w:ascii="Arial" w:cs="Arial" w:eastAsia="Arial" w:hAnsi="Arial"/>
          <w:sz w:val="12"/>
          <w:szCs w:val="12"/>
          <w:b w:val="1"/>
          <w:bCs w:val="1"/>
          <w:color w:val="auto"/>
        </w:rPr>
        <w:t>PART II</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5. Market for Registrant's Common Equity, Related Stockholder Matters and Issuer Purchases of Equity Securities</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Common Stock of the Company is listed on The Nasdaq Global Market (“NASDAQ”) under the ticker symbol “FEIM.” The following table shows the high and low sale price for the Company's Common Stock for the quarters indicated, as reported on the NASDAQ.</w:t>
      </w:r>
    </w:p>
    <w:p>
      <w:pPr>
        <w:spacing w:after="0" w:line="129"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4080" w:type="dxa"/>
            <w:vAlign w:val="bottom"/>
            <w:gridSpan w:val="2"/>
          </w:tcPr>
          <w:p>
            <w:pPr>
              <w:spacing w:after="0"/>
              <w:rPr>
                <w:sz w:val="20"/>
                <w:szCs w:val="20"/>
                <w:color w:val="auto"/>
              </w:rPr>
            </w:pPr>
            <w:r>
              <w:rPr>
                <w:rFonts w:ascii="Arial" w:cs="Arial" w:eastAsia="Arial" w:hAnsi="Arial"/>
                <w:sz w:val="12"/>
                <w:szCs w:val="12"/>
                <w:b w:val="1"/>
                <w:bCs w:val="1"/>
                <w:color w:val="auto"/>
              </w:rPr>
              <w:t>FISCAL QUARTER</w:t>
            </w:r>
          </w:p>
        </w:tc>
        <w:tc>
          <w:tcPr>
            <w:tcW w:w="7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b w:val="1"/>
                <w:bCs w:val="1"/>
                <w:color w:val="auto"/>
              </w:rPr>
              <w:t>HIGH SALE</w:t>
            </w: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tcPr>
          <w:p>
            <w:pPr>
              <w:jc w:val="right"/>
              <w:ind w:right="20"/>
              <w:spacing w:after="0"/>
              <w:rPr>
                <w:sz w:val="20"/>
                <w:szCs w:val="20"/>
                <w:color w:val="auto"/>
              </w:rPr>
            </w:pPr>
            <w:r>
              <w:rPr>
                <w:rFonts w:ascii="Arial" w:cs="Arial" w:eastAsia="Arial" w:hAnsi="Arial"/>
                <w:sz w:val="12"/>
                <w:szCs w:val="12"/>
                <w:b w:val="1"/>
                <w:bCs w:val="1"/>
                <w:color w:val="auto"/>
              </w:rPr>
              <w:t>LOW SALE</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060" w:type="dxa"/>
            <w:vAlign w:val="bottom"/>
            <w:tcBorders>
              <w:top w:val="single" w:sz="8" w:color="auto"/>
            </w:tcBorders>
          </w:tcPr>
          <w:p>
            <w:pPr>
              <w:ind w:left="320"/>
              <w:spacing w:after="0"/>
              <w:rPr>
                <w:sz w:val="20"/>
                <w:szCs w:val="20"/>
                <w:color w:val="auto"/>
              </w:rPr>
            </w:pPr>
            <w:r>
              <w:rPr>
                <w:rFonts w:ascii="Arial" w:cs="Arial" w:eastAsia="Arial" w:hAnsi="Arial"/>
                <w:sz w:val="12"/>
                <w:szCs w:val="12"/>
                <w:color w:val="auto"/>
              </w:rPr>
              <w:t>2013–</w:t>
            </w:r>
          </w:p>
        </w:tc>
        <w:tc>
          <w:tcPr>
            <w:tcW w:w="72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FIRST QUARTER</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w:t>
            </w:r>
          </w:p>
        </w:tc>
        <w:tc>
          <w:tcPr>
            <w:tcW w:w="3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060" w:type="dxa"/>
            <w:vAlign w:val="bottom"/>
          </w:tcPr>
          <w:p>
            <w:pPr>
              <w:ind w:left="200"/>
              <w:spacing w:after="0"/>
              <w:rPr>
                <w:sz w:val="20"/>
                <w:szCs w:val="20"/>
                <w:color w:val="auto"/>
              </w:rPr>
            </w:pPr>
            <w:r>
              <w:rPr>
                <w:rFonts w:ascii="Arial" w:cs="Arial" w:eastAsia="Arial" w:hAnsi="Arial"/>
                <w:sz w:val="12"/>
                <w:szCs w:val="12"/>
                <w:color w:val="auto"/>
              </w:rPr>
              <w:t>SECOND QUARTER</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9.74</w:t>
            </w: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8.39</w:t>
            </w:r>
          </w:p>
        </w:tc>
        <w:tc>
          <w:tcPr>
            <w:tcW w:w="3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THIRD QUARTER</w:t>
            </w: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w:t>
            </w:r>
          </w:p>
        </w:tc>
        <w:tc>
          <w:tcPr>
            <w:tcW w:w="38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4060" w:type="dxa"/>
            <w:vAlign w:val="bottom"/>
          </w:tcPr>
          <w:p>
            <w:pPr>
              <w:ind w:left="200"/>
              <w:spacing w:after="0"/>
              <w:rPr>
                <w:sz w:val="20"/>
                <w:szCs w:val="20"/>
                <w:color w:val="auto"/>
              </w:rPr>
            </w:pPr>
            <w:r>
              <w:rPr>
                <w:rFonts w:ascii="Arial" w:cs="Arial" w:eastAsia="Arial" w:hAnsi="Arial"/>
                <w:sz w:val="12"/>
                <w:szCs w:val="12"/>
                <w:color w:val="auto"/>
              </w:rPr>
              <w:t>FOURTH QUARTER</w:t>
            </w: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10.25</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8.52</w:t>
            </w:r>
          </w:p>
        </w:tc>
        <w:tc>
          <w:tcPr>
            <w:tcW w:w="380" w:type="dxa"/>
            <w:vAlign w:val="bottom"/>
          </w:tcPr>
          <w:p>
            <w:pPr>
              <w:spacing w:after="0"/>
              <w:rPr>
                <w:sz w:val="13"/>
                <w:szCs w:val="13"/>
                <w:color w:val="auto"/>
              </w:rPr>
            </w:pPr>
          </w:p>
        </w:tc>
      </w:tr>
      <w:tr>
        <w:trPr>
          <w:trHeight w:val="279"/>
        </w:trPr>
        <w:tc>
          <w:tcPr>
            <w:tcW w:w="20" w:type="dxa"/>
            <w:vAlign w:val="bottom"/>
          </w:tcPr>
          <w:p>
            <w:pPr>
              <w:spacing w:after="0"/>
              <w:rPr>
                <w:sz w:val="24"/>
                <w:szCs w:val="24"/>
                <w:color w:val="auto"/>
              </w:rPr>
            </w:pPr>
          </w:p>
        </w:tc>
        <w:tc>
          <w:tcPr>
            <w:tcW w:w="4060" w:type="dxa"/>
            <w:vAlign w:val="bottom"/>
          </w:tcPr>
          <w:p>
            <w:pPr>
              <w:ind w:left="320"/>
              <w:spacing w:after="0"/>
              <w:rPr>
                <w:sz w:val="20"/>
                <w:szCs w:val="20"/>
                <w:color w:val="auto"/>
              </w:rPr>
            </w:pPr>
            <w:r>
              <w:rPr>
                <w:rFonts w:ascii="Arial" w:cs="Arial" w:eastAsia="Arial" w:hAnsi="Arial"/>
                <w:sz w:val="12"/>
                <w:szCs w:val="12"/>
                <w:color w:val="auto"/>
              </w:rPr>
              <w:t>2012 –</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FIRST QUARTER</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11.79</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w:t>
            </w:r>
          </w:p>
        </w:tc>
        <w:tc>
          <w:tcPr>
            <w:tcW w:w="3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060" w:type="dxa"/>
            <w:vAlign w:val="bottom"/>
          </w:tcPr>
          <w:p>
            <w:pPr>
              <w:ind w:left="200"/>
              <w:spacing w:after="0"/>
              <w:rPr>
                <w:sz w:val="20"/>
                <w:szCs w:val="20"/>
                <w:color w:val="auto"/>
              </w:rPr>
            </w:pPr>
            <w:r>
              <w:rPr>
                <w:rFonts w:ascii="Arial" w:cs="Arial" w:eastAsia="Arial" w:hAnsi="Arial"/>
                <w:sz w:val="12"/>
                <w:szCs w:val="12"/>
                <w:color w:val="auto"/>
              </w:rPr>
              <w:t>SECOND QUARTER</w:t>
            </w: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w w:val="93"/>
              </w:rPr>
              <w:t>10.75</w:t>
            </w:r>
          </w:p>
        </w:tc>
        <w:tc>
          <w:tcPr>
            <w:tcW w:w="7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8.15</w:t>
            </w:r>
          </w:p>
        </w:tc>
        <w:tc>
          <w:tcPr>
            <w:tcW w:w="3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THIRD QUARTER</w:t>
            </w:r>
          </w:p>
        </w:tc>
        <w:tc>
          <w:tcPr>
            <w:tcW w:w="7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9.16</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6.91</w:t>
            </w:r>
          </w:p>
        </w:tc>
        <w:tc>
          <w:tcPr>
            <w:tcW w:w="38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4060" w:type="dxa"/>
            <w:vAlign w:val="bottom"/>
          </w:tcPr>
          <w:p>
            <w:pPr>
              <w:ind w:left="200"/>
              <w:spacing w:after="0"/>
              <w:rPr>
                <w:sz w:val="20"/>
                <w:szCs w:val="20"/>
                <w:color w:val="auto"/>
              </w:rPr>
            </w:pPr>
            <w:r>
              <w:rPr>
                <w:rFonts w:ascii="Arial" w:cs="Arial" w:eastAsia="Arial" w:hAnsi="Arial"/>
                <w:sz w:val="12"/>
                <w:szCs w:val="12"/>
                <w:color w:val="auto"/>
              </w:rPr>
              <w:t>FOURTH QUARTER</w:t>
            </w:r>
          </w:p>
        </w:tc>
        <w:tc>
          <w:tcPr>
            <w:tcW w:w="7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8.89</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7.28</w:t>
            </w:r>
          </w:p>
        </w:tc>
        <w:tc>
          <w:tcPr>
            <w:tcW w:w="380" w:type="dxa"/>
            <w:vAlign w:val="bottom"/>
          </w:tcPr>
          <w:p>
            <w:pPr>
              <w:spacing w:after="0"/>
              <w:rPr>
                <w:sz w:val="13"/>
                <w:szCs w:val="13"/>
                <w:color w:val="auto"/>
              </w:rPr>
            </w:pPr>
          </w:p>
        </w:tc>
      </w:tr>
    </w:tbl>
    <w:p>
      <w:pPr>
        <w:spacing w:after="0" w:line="1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As of July 22, 2013, the approximate number of holders of record of common stock was 700. The closing share price of the Company’s stock on April 30, 2013 was $10.02. The closing share price of the Company’s stock on July 22, 2013 was $10.60.</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DIVIDEND POLICY</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Board of Directors reviews the Company’s dividend policy at each regular meeting. On December 12, 2012, the Company’s Board of Directors declared a special cash dividend of $0.20 per share, payable on December 31, 2012 to shareholders of record on December 24, 2012. Accordingly, the Company paid a cash dividend of $1,684,000 during fiscal year 2013.</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STOCK BUYBACK PROGRAM</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2013 or 2012.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tcPr>
          <w:p>
            <w:pPr>
              <w:spacing w:after="0"/>
              <w:rPr>
                <w:rFonts w:ascii="Arial" w:cs="Arial" w:eastAsia="Arial" w:hAnsi="Arial"/>
                <w:sz w:val="10"/>
                <w:szCs w:val="10"/>
                <w:color w:val="0000EE"/>
                <w:w w:val="83"/>
              </w:rPr>
            </w:pPr>
            <w:hyperlink w:anchor="page2">
              <w:r>
                <w:rPr>
                  <w:rFonts w:ascii="Arial" w:cs="Arial" w:eastAsia="Arial" w:hAnsi="Arial"/>
                  <w:sz w:val="10"/>
                  <w:szCs w:val="10"/>
                  <w:color w:val="0000EE"/>
                  <w:w w:val="83"/>
                </w:rPr>
                <w:t>Table of Contents</w:t>
              </w:r>
            </w:hyperlink>
          </w:p>
        </w:tc>
        <w:tc>
          <w:tcPr>
            <w:tcW w:w="456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5240" w:type="dxa"/>
            <w:vAlign w:val="bottom"/>
            <w:gridSpan w:val="4"/>
          </w:tcPr>
          <w:p>
            <w:pPr>
              <w:spacing w:after="0"/>
              <w:rPr>
                <w:sz w:val="20"/>
                <w:szCs w:val="20"/>
                <w:color w:val="auto"/>
              </w:rPr>
            </w:pPr>
            <w:r>
              <w:rPr>
                <w:rFonts w:ascii="Arial" w:cs="Arial" w:eastAsia="Arial" w:hAnsi="Arial"/>
                <w:sz w:val="12"/>
                <w:szCs w:val="12"/>
                <w:color w:val="auto"/>
              </w:rPr>
              <w:t>EQUITY COMPENSATION PLAN INFORMATION</w:t>
            </w: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6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Number of securities</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remaining available for</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89"/>
              </w:rPr>
              <w:t>Number of securities to be</w:t>
            </w:r>
          </w:p>
        </w:tc>
        <w:tc>
          <w:tcPr>
            <w:tcW w:w="220" w:type="dxa"/>
            <w:vAlign w:val="bottom"/>
          </w:tcPr>
          <w:p>
            <w:pPr>
              <w:spacing w:after="0"/>
              <w:rPr>
                <w:sz w:val="12"/>
                <w:szCs w:val="12"/>
                <w:color w:val="auto"/>
              </w:rPr>
            </w:pP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86"/>
              </w:rPr>
              <w:t>Weighted-average exercise</w:t>
            </w:r>
          </w:p>
        </w:tc>
        <w:tc>
          <w:tcPr>
            <w:tcW w:w="220" w:type="dxa"/>
            <w:vAlign w:val="bottom"/>
          </w:tcPr>
          <w:p>
            <w:pPr>
              <w:spacing w:after="0"/>
              <w:rPr>
                <w:sz w:val="12"/>
                <w:szCs w:val="12"/>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7"/>
              </w:rPr>
              <w:t>future issuance under</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84"/>
              </w:rPr>
              <w:t>issued upon exercise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0"/>
              <w:spacing w:after="0"/>
              <w:rPr>
                <w:sz w:val="20"/>
                <w:szCs w:val="20"/>
                <w:color w:val="auto"/>
              </w:rPr>
            </w:pPr>
            <w:r>
              <w:rPr>
                <w:rFonts w:ascii="Arial" w:cs="Arial" w:eastAsia="Arial" w:hAnsi="Arial"/>
                <w:sz w:val="12"/>
                <w:szCs w:val="12"/>
                <w:b w:val="1"/>
                <w:bCs w:val="1"/>
                <w:color w:val="auto"/>
                <w:w w:val="88"/>
              </w:rPr>
              <w:t>price of outstanding</w:t>
            </w:r>
          </w:p>
        </w:tc>
        <w:tc>
          <w:tcPr>
            <w:tcW w:w="220" w:type="dxa"/>
            <w:vAlign w:val="bottom"/>
          </w:tcPr>
          <w:p>
            <w:pPr>
              <w:spacing w:after="0"/>
              <w:rPr>
                <w:sz w:val="12"/>
                <w:szCs w:val="12"/>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equity compensation</w:t>
            </w: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86"/>
              </w:rPr>
              <w:t>outstanding options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options warrants and</w:t>
            </w:r>
          </w:p>
        </w:tc>
        <w:tc>
          <w:tcPr>
            <w:tcW w:w="220" w:type="dxa"/>
            <w:vAlign w:val="bottom"/>
          </w:tcPr>
          <w:p>
            <w:pPr>
              <w:spacing w:after="0"/>
              <w:rPr>
                <w:sz w:val="12"/>
                <w:szCs w:val="12"/>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plans(excluding securities</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0" w:type="dxa"/>
            <w:vAlign w:val="bottom"/>
            <w:gridSpan w:val="2"/>
          </w:tcPr>
          <w:p>
            <w:pPr>
              <w:ind w:left="80"/>
              <w:spacing w:after="0"/>
              <w:rPr>
                <w:sz w:val="20"/>
                <w:szCs w:val="20"/>
                <w:color w:val="auto"/>
              </w:rPr>
            </w:pPr>
            <w:r>
              <w:rPr>
                <w:rFonts w:ascii="Arial" w:cs="Arial" w:eastAsia="Arial" w:hAnsi="Arial"/>
                <w:sz w:val="12"/>
                <w:szCs w:val="12"/>
                <w:b w:val="1"/>
                <w:bCs w:val="1"/>
                <w:color w:val="auto"/>
              </w:rPr>
              <w:t>Plan Category</w:t>
            </w:r>
          </w:p>
        </w:tc>
        <w:tc>
          <w:tcPr>
            <w:tcW w:w="12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1"/>
              </w:rPr>
              <w:t>warrants and rights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rights</w:t>
            </w:r>
          </w:p>
        </w:tc>
        <w:tc>
          <w:tcPr>
            <w:tcW w:w="220" w:type="dxa"/>
            <w:vAlign w:val="bottom"/>
          </w:tcPr>
          <w:p>
            <w:pPr>
              <w:spacing w:after="0"/>
              <w:rPr>
                <w:sz w:val="13"/>
                <w:szCs w:val="13"/>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reflected in column (a))</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1"/>
              </w:rPr>
              <w:t>(b)</w:t>
            </w:r>
          </w:p>
        </w:tc>
        <w:tc>
          <w:tcPr>
            <w:tcW w:w="220" w:type="dxa"/>
            <w:vAlign w:val="bottom"/>
          </w:tcPr>
          <w:p>
            <w:pPr>
              <w:spacing w:after="0"/>
              <w:rPr>
                <w:sz w:val="12"/>
                <w:szCs w:val="12"/>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Equity Compensation Plans</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0" w:type="dxa"/>
            <w:vAlign w:val="bottom"/>
            <w:gridSpan w:val="2"/>
            <w:shd w:val="clear" w:color="auto" w:fill="CCEEFF"/>
          </w:tcPr>
          <w:p>
            <w:pPr>
              <w:ind w:left="100"/>
              <w:spacing w:after="0"/>
              <w:rPr>
                <w:sz w:val="20"/>
                <w:szCs w:val="20"/>
                <w:color w:val="auto"/>
              </w:rPr>
            </w:pPr>
            <w:r>
              <w:rPr>
                <w:rFonts w:ascii="Arial" w:cs="Arial" w:eastAsia="Arial" w:hAnsi="Arial"/>
                <w:sz w:val="12"/>
                <w:szCs w:val="12"/>
                <w:color w:val="auto"/>
              </w:rPr>
              <w:t>Approved by Security Holders (1)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1,678,625</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8.25</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166,743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11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38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Equity Compensation Plans Not</w:t>
            </w:r>
          </w:p>
        </w:tc>
        <w:tc>
          <w:tcPr>
            <w:tcW w:w="1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2"/>
                <w:szCs w:val="12"/>
                <w:color w:val="auto"/>
              </w:rPr>
              <w:t>Approved by Security Holders (1)</w:t>
            </w:r>
          </w:p>
        </w:tc>
        <w:tc>
          <w:tcPr>
            <w:tcW w:w="1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67,500</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10.27</w:t>
            </w:r>
          </w:p>
        </w:tc>
        <w:tc>
          <w:tcPr>
            <w:tcW w:w="2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0" w:type="dxa"/>
            <w:vAlign w:val="bottom"/>
            <w:gridSpan w:val="2"/>
          </w:tcPr>
          <w:p>
            <w:pPr>
              <w:ind w:left="80"/>
              <w:spacing w:after="0"/>
              <w:rPr>
                <w:sz w:val="20"/>
                <w:szCs w:val="20"/>
                <w:color w:val="auto"/>
              </w:rPr>
            </w:pPr>
            <w:r>
              <w:rPr>
                <w:rFonts w:ascii="Arial" w:cs="Arial" w:eastAsia="Arial" w:hAnsi="Arial"/>
                <w:sz w:val="12"/>
                <w:szCs w:val="12"/>
                <w:color w:val="auto"/>
              </w:rPr>
              <w:t>TOTAL</w:t>
            </w:r>
          </w:p>
        </w:tc>
        <w:tc>
          <w:tcPr>
            <w:tcW w:w="1480" w:type="dxa"/>
            <w:vAlign w:val="bottom"/>
            <w:gridSpan w:val="2"/>
          </w:tcPr>
          <w:p>
            <w:pPr>
              <w:jc w:val="right"/>
              <w:spacing w:after="0"/>
              <w:rPr>
                <w:sz w:val="20"/>
                <w:szCs w:val="20"/>
                <w:color w:val="auto"/>
              </w:rPr>
            </w:pPr>
            <w:r>
              <w:rPr>
                <w:rFonts w:ascii="Arial" w:cs="Arial" w:eastAsia="Arial" w:hAnsi="Arial"/>
                <w:sz w:val="12"/>
                <w:szCs w:val="12"/>
                <w:color w:val="auto"/>
              </w:rPr>
              <w:t>1,746,125</w:t>
            </w:r>
          </w:p>
        </w:tc>
        <w:tc>
          <w:tcPr>
            <w:tcW w:w="320" w:type="dxa"/>
            <w:vAlign w:val="bottom"/>
            <w:gridSpan w:val="2"/>
          </w:tcPr>
          <w:p>
            <w:pPr>
              <w:ind w:left="220"/>
              <w:spacing w:after="0"/>
              <w:rPr>
                <w:sz w:val="20"/>
                <w:szCs w:val="20"/>
                <w:color w:val="auto"/>
              </w:rPr>
            </w:pPr>
            <w:r>
              <w:rPr>
                <w:rFonts w:ascii="Arial" w:cs="Arial" w:eastAsia="Arial" w:hAnsi="Arial"/>
                <w:sz w:val="12"/>
                <w:szCs w:val="12"/>
                <w:color w:val="auto"/>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8.32</w:t>
            </w:r>
          </w:p>
        </w:tc>
        <w:tc>
          <w:tcPr>
            <w:tcW w:w="1620" w:type="dxa"/>
            <w:vAlign w:val="bottom"/>
            <w:gridSpan w:val="2"/>
          </w:tcPr>
          <w:p>
            <w:pPr>
              <w:jc w:val="right"/>
              <w:spacing w:after="0"/>
              <w:rPr>
                <w:sz w:val="20"/>
                <w:szCs w:val="20"/>
                <w:color w:val="auto"/>
              </w:rPr>
            </w:pPr>
            <w:r>
              <w:rPr>
                <w:rFonts w:ascii="Arial" w:cs="Arial" w:eastAsia="Arial" w:hAnsi="Arial"/>
                <w:sz w:val="12"/>
                <w:szCs w:val="12"/>
                <w:color w:val="auto"/>
              </w:rPr>
              <w:t>166,743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4440" w:firstLine="1521"/>
        <w:spacing w:after="0" w:line="529" w:lineRule="auto"/>
        <w:tabs>
          <w:tab w:leader="none" w:pos="1729"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The Company’s equity compensation plans are described in Note 12 of the Consolidated Financial Statements. </w:t>
      </w:r>
      <w:r>
        <w:rPr>
          <w:rFonts w:ascii="Arial" w:cs="Arial" w:eastAsia="Arial" w:hAnsi="Arial"/>
          <w:sz w:val="12"/>
          <w:szCs w:val="12"/>
          <w:u w:val="single" w:color="auto"/>
          <w:color w:val="auto"/>
        </w:rPr>
        <w:t>Item 7. Management’s Discussion and Analysis of Financial Condition and Results of Operations</w:t>
      </w:r>
    </w:p>
    <w:p>
      <w:pPr>
        <w:jc w:val="center"/>
        <w:spacing w:after="0"/>
        <w:rPr>
          <w:sz w:val="20"/>
          <w:szCs w:val="20"/>
          <w:color w:val="auto"/>
        </w:rPr>
      </w:pPr>
      <w:r>
        <w:rPr>
          <w:rFonts w:ascii="Arial" w:cs="Arial" w:eastAsia="Arial" w:hAnsi="Arial"/>
          <w:sz w:val="12"/>
          <w:szCs w:val="12"/>
          <w:b w:val="1"/>
          <w:bCs w:val="1"/>
          <w:color w:val="auto"/>
        </w:rPr>
        <w:t>“Safe Harbor” Statement under the Private Securities Litigation Reform Act of 1995:</w:t>
      </w:r>
    </w:p>
    <w:p>
      <w:pPr>
        <w:spacing w:after="0" w:line="1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1"/>
          <w:szCs w:val="11"/>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13" w:name="page14"/>
    <w:bookmarkEnd w:id="13"/>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Revenue Recognition</w:t>
      </w:r>
    </w:p>
    <w:p>
      <w:pPr>
        <w:spacing w:after="0" w:line="16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On production-type orders, revenue is recorded as units are delivered with the related cost of sales recognized on each shipment based upon a percentage of estimated final program costs.</w:t>
      </w:r>
    </w:p>
    <w:p>
      <w:pPr>
        <w:spacing w:after="0" w:line="1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Costs and Expenses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Contract costs include all direct material, direct labor costs, manufacturing overhead and other direct costs related to contract performance. Selling, general and administrative costs are charged to expense as incurred.</w:t>
      </w:r>
    </w:p>
    <w:p>
      <w:pPr>
        <w:spacing w:after="0" w:line="180"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Inventory</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accordance with industry practice, inventoried costs contain amounts relating to contracts and programs with long production cycles, a portion of which will not be realized within one year. Inventory write downs are established for slow-moving materials,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Marketable Securities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 w:name="page15"/>
    <w:bookmarkEnd w:id="1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Impact of FEI-Elcom Acquisition</w:t>
      </w:r>
    </w:p>
    <w:p>
      <w:pPr>
        <w:spacing w:after="0" w:line="150"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Fiscal year 2013 results include the results of operations of the Company’s subsidiary, FEI-Elcom Tech, Inc. (formerly Elcom Technologies, Inc. or “Elcom” and after the acquisition, “FEI-Elcom”), which was acquired during the fourth quarter of fiscal year 2012. FEI-Elcom’s operations are included in the FEI-NY segment. For the year ended April 30, 2013, FEI-Elcom’s third-party revenues were approximately $8.7 million and this subsidiary recorded an operating loss of approximately $490,000. In the comparable twelve-month period of the prior fiscal year, including the periods before and after the acquisition, Elcom recorded revenues of approximately $7.4 million, an operating loss of approximately $660,000 and a net loss of approximately $400,000. In the discussion below, all amounts for the year ended April 30, 2012, include FEI-Elcom only for the two and one-half months from the date of acquisition through the end of the fiscal year, with the exception of the Company’s “Other income (expenses)” which includes a $730,000 gain on its Elcom investment, a $650,000 equity loss from the Company’s minority interest in Elcom through the date of acquisition and a $350,000 impairment charge against the Company’s investment in Elcom and certain notes receivable from Elcom.</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RESULTS OF OPERATIONS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table below sets forth for the fiscal years ended April 30, 2013 and 2012, the percentage of consolidated net sales represented by certain items in the Company’s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gridSpan w:val="3"/>
          </w:tcPr>
          <w:p>
            <w:pPr>
              <w:ind w:left="620"/>
              <w:spacing w:after="0"/>
              <w:rPr>
                <w:sz w:val="20"/>
                <w:szCs w:val="20"/>
                <w:color w:val="auto"/>
              </w:rPr>
            </w:pPr>
            <w:r>
              <w:rPr>
                <w:rFonts w:ascii="Arial" w:cs="Arial" w:eastAsia="Arial" w:hAnsi="Arial"/>
                <w:sz w:val="12"/>
                <w:szCs w:val="12"/>
                <w:color w:val="auto"/>
              </w:rPr>
              <w:t>Revenues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FEI-NY</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76.3%</w:t>
            </w:r>
          </w:p>
        </w:tc>
        <w:tc>
          <w:tcPr>
            <w:tcW w:w="10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70.3%</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ind w:left="200"/>
              <w:spacing w:after="0"/>
              <w:rPr>
                <w:sz w:val="20"/>
                <w:szCs w:val="20"/>
                <w:color w:val="auto"/>
              </w:rPr>
            </w:pPr>
            <w:r>
              <w:rPr>
                <w:rFonts w:ascii="Arial" w:cs="Arial" w:eastAsia="Arial" w:hAnsi="Arial"/>
                <w:sz w:val="12"/>
                <w:szCs w:val="12"/>
                <w:color w:val="auto"/>
              </w:rPr>
              <w:t>Gillam-FEI</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17.1</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20.1</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FEI-Zyfer</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w:t>
            </w:r>
          </w:p>
        </w:tc>
        <w:tc>
          <w:tcPr>
            <w:tcW w:w="14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ind w:left="200"/>
              <w:spacing w:after="0"/>
              <w:rPr>
                <w:sz w:val="20"/>
                <w:szCs w:val="20"/>
                <w:color w:val="auto"/>
              </w:rPr>
            </w:pPr>
            <w:r>
              <w:rPr>
                <w:rFonts w:ascii="Arial" w:cs="Arial" w:eastAsia="Arial" w:hAnsi="Arial"/>
                <w:sz w:val="12"/>
                <w:szCs w:val="12"/>
                <w:color w:val="auto"/>
                <w:w w:val="94"/>
              </w:rPr>
              <w:t>Less intersegment revenues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(8.7)</w:t>
            </w:r>
          </w:p>
        </w:tc>
        <w:tc>
          <w:tcPr>
            <w:tcW w:w="1040" w:type="dxa"/>
            <w:vAlign w:val="bottom"/>
          </w:tcPr>
          <w:p>
            <w:pPr>
              <w:spacing w:after="0"/>
              <w:rPr>
                <w:sz w:val="12"/>
                <w:szCs w:val="12"/>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2"/>
                <w:szCs w:val="12"/>
                <w:color w:val="auto"/>
              </w:rPr>
              <w:t>(8.5)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w:t>
            </w:r>
          </w:p>
        </w:tc>
        <w:tc>
          <w:tcPr>
            <w:tcW w:w="260" w:type="dxa"/>
            <w:vAlign w:val="bottom"/>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100.0</w:t>
            </w:r>
          </w:p>
        </w:tc>
        <w:tc>
          <w:tcPr>
            <w:tcW w:w="14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spacing w:after="0"/>
              <w:rPr>
                <w:sz w:val="20"/>
                <w:szCs w:val="20"/>
                <w:color w:val="auto"/>
              </w:rPr>
            </w:pPr>
            <w:r>
              <w:rPr>
                <w:rFonts w:ascii="Arial" w:cs="Arial" w:eastAsia="Arial" w:hAnsi="Arial"/>
                <w:sz w:val="12"/>
                <w:szCs w:val="12"/>
                <w:color w:val="auto"/>
              </w:rPr>
              <w:t>Cost of Revenues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63.6</w:t>
            </w:r>
          </w:p>
        </w:tc>
        <w:tc>
          <w:tcPr>
            <w:tcW w:w="26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61.3</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shd w:val="clear" w:color="auto" w:fill="CCEEFF"/>
          </w:tcPr>
          <w:p>
            <w:pPr>
              <w:ind w:left="860"/>
              <w:spacing w:after="0"/>
              <w:rPr>
                <w:sz w:val="20"/>
                <w:szCs w:val="20"/>
                <w:color w:val="auto"/>
              </w:rPr>
            </w:pPr>
            <w:r>
              <w:rPr>
                <w:rFonts w:ascii="Arial" w:cs="Arial" w:eastAsia="Arial" w:hAnsi="Arial"/>
                <w:sz w:val="12"/>
                <w:szCs w:val="12"/>
                <w:color w:val="auto"/>
              </w:rPr>
              <w:t>Gross Margin</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w:t>
            </w:r>
          </w:p>
        </w:tc>
        <w:tc>
          <w:tcPr>
            <w:tcW w:w="14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3"/>
          </w:tcPr>
          <w:p>
            <w:pPr>
              <w:spacing w:after="0"/>
              <w:rPr>
                <w:sz w:val="20"/>
                <w:szCs w:val="20"/>
                <w:color w:val="auto"/>
              </w:rPr>
            </w:pPr>
            <w:r>
              <w:rPr>
                <w:rFonts w:ascii="Arial" w:cs="Arial" w:eastAsia="Arial" w:hAnsi="Arial"/>
                <w:sz w:val="12"/>
                <w:szCs w:val="12"/>
                <w:color w:val="auto"/>
                <w:w w:val="94"/>
              </w:rPr>
              <w:t>Selling and Administrative expenses</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21.3</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22.1</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w w:val="89"/>
              </w:rPr>
              <w:t>Research and Development expenses</w:t>
            </w:r>
          </w:p>
        </w:tc>
        <w:tc>
          <w:tcPr>
            <w:tcW w:w="7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26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140" w:type="dxa"/>
            <w:vAlign w:val="bottom"/>
            <w:tcBorders>
              <w:bottom w:val="single" w:sz="8" w:color="CCEEFF"/>
            </w:tcBorders>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ind w:left="740"/>
              <w:spacing w:after="0"/>
              <w:rPr>
                <w:sz w:val="20"/>
                <w:szCs w:val="20"/>
                <w:color w:val="auto"/>
              </w:rPr>
            </w:pPr>
            <w:r>
              <w:rPr>
                <w:rFonts w:ascii="Arial" w:cs="Arial" w:eastAsia="Arial" w:hAnsi="Arial"/>
                <w:sz w:val="12"/>
                <w:szCs w:val="12"/>
                <w:color w:val="auto"/>
              </w:rPr>
              <w:t>Operating Profit</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6.8</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10.5</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(Expenses), net</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w:t>
            </w:r>
          </w:p>
        </w:tc>
        <w:tc>
          <w:tcPr>
            <w:tcW w:w="14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3"/>
          </w:tcPr>
          <w:p>
            <w:pPr>
              <w:spacing w:after="0"/>
              <w:rPr>
                <w:sz w:val="20"/>
                <w:szCs w:val="20"/>
                <w:color w:val="auto"/>
              </w:rPr>
            </w:pPr>
            <w:r>
              <w:rPr>
                <w:rFonts w:ascii="Arial" w:cs="Arial" w:eastAsia="Arial" w:hAnsi="Arial"/>
                <w:sz w:val="12"/>
                <w:szCs w:val="12"/>
                <w:color w:val="auto"/>
                <w:w w:val="93"/>
              </w:rPr>
              <w:t>(Provision) Benefit for Income Taxes</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2"/>
                <w:szCs w:val="12"/>
                <w:color w:val="auto"/>
              </w:rPr>
              <w:t>(2.0)</w:t>
            </w:r>
          </w:p>
        </w:tc>
        <w:tc>
          <w:tcPr>
            <w:tcW w:w="10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0.9</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gridSpan w:val="2"/>
            <w:shd w:val="clear" w:color="auto" w:fill="CCEEFF"/>
          </w:tcPr>
          <w:p>
            <w:pPr>
              <w:ind w:left="860"/>
              <w:spacing w:after="0"/>
              <w:rPr>
                <w:sz w:val="20"/>
                <w:szCs w:val="20"/>
                <w:color w:val="auto"/>
              </w:rPr>
            </w:pPr>
            <w:r>
              <w:rPr>
                <w:rFonts w:ascii="Arial" w:cs="Arial" w:eastAsia="Arial" w:hAnsi="Arial"/>
                <w:sz w:val="12"/>
                <w:szCs w:val="12"/>
                <w:color w:val="auto"/>
              </w:rPr>
              <w:t>Net Income</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5.4%</w:t>
            </w:r>
          </w:p>
        </w:tc>
        <w:tc>
          <w:tcPr>
            <w:tcW w:w="10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11.6%</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20" w:type="dxa"/>
            <w:vAlign w:val="bottom"/>
          </w:tcPr>
          <w:p>
            <w:pPr>
              <w:spacing w:after="0"/>
              <w:rPr>
                <w:sz w:val="22"/>
                <w:szCs w:val="22"/>
                <w:color w:val="auto"/>
              </w:rPr>
            </w:pP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Revenues</w:t>
            </w:r>
          </w:p>
        </w:tc>
        <w:tc>
          <w:tcPr>
            <w:tcW w:w="1640" w:type="dxa"/>
            <w:vAlign w:val="bottom"/>
            <w:tcBorders>
              <w:top w:val="single" w:sz="8" w:color="CCEEFF"/>
            </w:tcBorders>
            <w:gridSpan w:val="2"/>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72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760" w:type="dxa"/>
            <w:vAlign w:val="bottom"/>
            <w:tcBorders>
              <w:top w:val="single" w:sz="8" w:color="CCEEFF"/>
            </w:tcBorders>
          </w:tcPr>
          <w:p>
            <w:pPr>
              <w:spacing w:after="0"/>
              <w:rPr>
                <w:sz w:val="22"/>
                <w:szCs w:val="22"/>
                <w:color w:val="auto"/>
              </w:rPr>
            </w:pPr>
          </w:p>
        </w:tc>
        <w:tc>
          <w:tcPr>
            <w:tcW w:w="7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260" w:type="dxa"/>
            <w:vAlign w:val="bottom"/>
            <w:tcBorders>
              <w:top w:val="single" w:sz="8" w:color="CCEEFF"/>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4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rPr>
              <w:t>Fiscal years ended April 30,</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40" w:type="dxa"/>
            <w:vAlign w:val="bottom"/>
            <w:gridSpan w:val="4"/>
          </w:tcPr>
          <w:p>
            <w:pPr>
              <w:jc w:val="right"/>
              <w:ind w:right="640"/>
              <w:spacing w:after="0"/>
              <w:rPr>
                <w:sz w:val="20"/>
                <w:szCs w:val="20"/>
                <w:color w:val="auto"/>
              </w:rPr>
            </w:pPr>
            <w:r>
              <w:rPr>
                <w:rFonts w:ascii="Arial" w:cs="Arial" w:eastAsia="Arial" w:hAnsi="Arial"/>
                <w:sz w:val="12"/>
                <w:szCs w:val="12"/>
                <w:b w:val="1"/>
                <w:bCs w:val="1"/>
                <w:color w:val="auto"/>
              </w:rPr>
              <w:t>(in thousands)</w:t>
            </w:r>
          </w:p>
        </w:tc>
        <w:tc>
          <w:tcPr>
            <w:tcW w:w="60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Change</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vMerge w:val="continue"/>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97"/>
              </w:rPr>
              <w:t>2013</w:t>
            </w:r>
          </w:p>
        </w:tc>
        <w:tc>
          <w:tcPr>
            <w:tcW w:w="7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2012</w:t>
            </w:r>
          </w:p>
        </w:tc>
        <w:tc>
          <w:tcPr>
            <w:tcW w:w="7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FEI-NY</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52,567</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44,711</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7,856</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w w:val="93"/>
              </w:rPr>
              <w:t>%</w:t>
            </w:r>
          </w:p>
        </w:tc>
        <w:tc>
          <w:tcPr>
            <w:tcW w:w="14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tcPr>
          <w:p>
            <w:pPr>
              <w:spacing w:after="0"/>
              <w:rPr>
                <w:sz w:val="20"/>
                <w:szCs w:val="20"/>
                <w:color w:val="auto"/>
              </w:rPr>
            </w:pPr>
            <w:r>
              <w:rPr>
                <w:rFonts w:ascii="Arial" w:cs="Arial" w:eastAsia="Arial" w:hAnsi="Arial"/>
                <w:sz w:val="12"/>
                <w:szCs w:val="12"/>
                <w:color w:val="auto"/>
              </w:rPr>
              <w:t>Gillam-FEI</w:t>
            </w: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11,825</w:t>
            </w: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12,811</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(986</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(8</w:t>
            </w:r>
          </w:p>
        </w:tc>
        <w:tc>
          <w:tcPr>
            <w:tcW w:w="460" w:type="dxa"/>
            <w:vAlign w:val="bottom"/>
            <w:gridSpan w:val="2"/>
          </w:tcPr>
          <w:p>
            <w:pPr>
              <w:ind w:left="320"/>
              <w:spacing w:after="0"/>
              <w:rPr>
                <w:sz w:val="20"/>
                <w:szCs w:val="20"/>
                <w:color w:val="auto"/>
              </w:rPr>
            </w:pPr>
            <w:r>
              <w:rPr>
                <w:rFonts w:ascii="Arial" w:cs="Arial" w:eastAsia="Arial" w:hAnsi="Arial"/>
                <w:sz w:val="11"/>
                <w:szCs w:val="11"/>
                <w:color w:val="auto"/>
                <w:w w:val="74"/>
              </w:rPr>
              <w: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FEI-Zyfer</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10,523</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11,494</w:t>
            </w: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(971</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w w:val="74"/>
              </w:rPr>
              <w:t>%)</w:t>
            </w:r>
          </w:p>
        </w:tc>
        <w:tc>
          <w:tcPr>
            <w:tcW w:w="14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tcPr>
          <w:p>
            <w:pPr>
              <w:spacing w:after="0"/>
              <w:rPr>
                <w:sz w:val="20"/>
                <w:szCs w:val="20"/>
                <w:color w:val="auto"/>
              </w:rPr>
            </w:pPr>
            <w:r>
              <w:rPr>
                <w:rFonts w:ascii="Arial" w:cs="Arial" w:eastAsia="Arial" w:hAnsi="Arial"/>
                <w:sz w:val="12"/>
                <w:szCs w:val="12"/>
                <w:color w:val="auto"/>
              </w:rPr>
              <w:t>Intersegment sales</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(5,983</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(5,421</w:t>
            </w:r>
          </w:p>
        </w:tc>
        <w:tc>
          <w:tcPr>
            <w:tcW w:w="74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(562</w:t>
            </w: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68,932</w:t>
            </w:r>
          </w:p>
        </w:tc>
        <w:tc>
          <w:tcPr>
            <w:tcW w:w="7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63,595</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5,337</w:t>
            </w: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w w:val="93"/>
              </w:rPr>
              <w:t>%</w:t>
            </w:r>
          </w:p>
        </w:tc>
        <w:tc>
          <w:tcPr>
            <w:tcW w:w="144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ind w:right="80"/>
              <w:spacing w:after="0"/>
              <w:rPr>
                <w:sz w:val="20"/>
                <w:szCs w:val="20"/>
                <w:color w:val="auto"/>
              </w:rPr>
            </w:pPr>
            <w:r>
              <w:rPr>
                <w:rFonts w:ascii="Arial" w:cs="Arial" w:eastAsia="Arial" w:hAnsi="Arial"/>
                <w:sz w:val="12"/>
                <w:szCs w:val="12"/>
                <w:color w:val="auto"/>
              </w:rPr>
              <w:t>15</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3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14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60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7283450</wp:posOffset>
            </wp:positionH>
            <wp:positionV relativeFrom="paragraph">
              <wp:posOffset>-11430</wp:posOffset>
            </wp:positionV>
            <wp:extent cx="1270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 w:name="page16"/>
    <w:bookmarkEnd w:id="1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Fiscal year 2013 compared to fiscal year 2012:</w:t>
      </w:r>
    </w:p>
    <w:p>
      <w:pPr>
        <w:spacing w:after="0" w:line="168" w:lineRule="exact"/>
        <w:rPr>
          <w:sz w:val="20"/>
          <w:szCs w:val="20"/>
          <w:color w:val="auto"/>
        </w:rPr>
      </w:pPr>
    </w:p>
    <w:p>
      <w:pPr>
        <w:jc w:val="both"/>
        <w:ind w:firstLine="324"/>
        <w:spacing w:after="0" w:line="280" w:lineRule="auto"/>
        <w:rPr>
          <w:sz w:val="20"/>
          <w:szCs w:val="20"/>
          <w:color w:val="auto"/>
        </w:rPr>
      </w:pPr>
      <w:r>
        <w:rPr>
          <w:rFonts w:ascii="Arial" w:cs="Arial" w:eastAsia="Arial" w:hAnsi="Arial"/>
          <w:sz w:val="11"/>
          <w:szCs w:val="11"/>
          <w:color w:val="auto"/>
        </w:rPr>
        <w:t>For the year ended April 30, 2013, FEI-NY revenues from commercial and U.S. Government satellite programs increased 11% over the prior year. Revenues from these programs accounted for 50% of fiscal year 2013 consolidated sales, approximately the same ratio as for fiscal year 2012. Revenues on these long-term contracts are recognized primarily under the percentage of completion method. For the year ended April 30, 2013, sales from the non-space U.S. Government/DOD business area accounted for more than 25% of consolidated revenues and increased by more than 40% over fiscal year 2012. This increase is due to the impact of FEI-Elcom which was acquired by the Company in late fiscal year 2012 and is part of the FEI-NY segment. For the year ended April 30, 2013, total revenues from both satellite and non-space programs for which the U.S. Government is the end-user, accounted for approximately 60% of consolidated revenues compared to approximately 45% in the prior fiscal year. Such revenues are recorded in the FEI-Zyfer segment as well as FEI-NY (including FEI-Elcom). For the year ended April 30, 2013, network infrastructure sales, which are recorded in all three segments, accounted for approximately 17% of consolidated revenues as compared to approximately 20% of revenues in the prior fiscal year. Network infrastructure sales were 8% lower in fiscal year 2013 compared to fiscal year 2012 and is the partial cause of decreased revenue at the FEI-Zyfer and Gillam-FEI segments. The decline in revenues at the Gillam-FEI segment is also partially attributable to a 6% year-over-year decrease in the rate of exchange between the U.S. dollar and the euro. The revenue decline at FEI-Zyfer is also due to delays in orders from U.S. Government customers as a result of recent U.S. budget issues.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Fiscal year 2012 compared to fiscal year 2011:</w:t>
      </w:r>
    </w:p>
    <w:p>
      <w:pPr>
        <w:spacing w:after="0" w:line="168" w:lineRule="exact"/>
        <w:rPr>
          <w:sz w:val="20"/>
          <w:szCs w:val="20"/>
          <w:color w:val="auto"/>
        </w:rPr>
      </w:pPr>
    </w:p>
    <w:p>
      <w:pPr>
        <w:jc w:val="both"/>
        <w:ind w:firstLine="324"/>
        <w:spacing w:after="0" w:line="316" w:lineRule="auto"/>
        <w:rPr>
          <w:sz w:val="20"/>
          <w:szCs w:val="20"/>
          <w:color w:val="auto"/>
        </w:rPr>
      </w:pPr>
      <w:r>
        <w:rPr>
          <w:rFonts w:ascii="Arial" w:cs="Arial" w:eastAsia="Arial" w:hAnsi="Arial"/>
          <w:sz w:val="10"/>
          <w:szCs w:val="10"/>
          <w:color w:val="auto"/>
        </w:rPr>
        <w:t>The 20% increase in consolidated revenues in fiscal year 2012 over the prior year is primarily due to satellite payload revenues generated by the FEI-NY segment. For the year ended April 30, 2012, revenues from commercial and U.S. Government satellite programs accounted for approximately half of consolidated revenues compared to approximately 30% of revenues during fiscal year 2011. Revenues on these long-term contracts are recognized primarily under the percentage of completion method. Fiscal year 2012 revenues from FEI-Elcom, after the acquisition, were less than $1.0 million and are included in the FEI-NY segment’s revenues. Increased network infrastructure revenues generated by the FEI-Zyfer segment were offset by declines in that business area in the Gillam-FEI segment and lower wireless infrastructure sales in the FEI-NY segment. Network infrastructure revenues were less than 20% of consolidated revenues for the year ended April 30, 2012 compared to approximately 25% for fiscal year 2011. In fiscal year 2012, revenues from the non-space U.S. Government/DOD business area, which are recorded in the FEI-NY and FEI-Zyfer segments, were approximately 20% of consolidated revenues compared to 25% for fiscal year 2011. Fiscal year 2012 revenues were lower due to completion of certain long-term programs and delays in new program awards.</w:t>
      </w:r>
    </w:p>
    <w:p>
      <w:pPr>
        <w:spacing w:after="0" w:line="11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Based on the Company’s current backlog, over three-fourths of which represent satellite payload business, and the potential for additional new orders, fiscal year 2014 revenues are expected to grow. Satellite payload revenues will remain the dominant portion of the Company’s business and represent the Company’s best opportunity for long-term growth, benefiting from both commercial and U.S. Government programs. Fiscal year 2014 revenues from the other major business areas, U.S. Government/DOD non-space and network infrastructure, are expected to remain in approximately the same range as realized in fiscal year 2013.</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Gross Margin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1"/>
              </w:rPr>
              <w:t>Fiscal years ended April 30,</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8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7"/>
              </w:rPr>
              <w:t>(in thousands)</w:t>
            </w:r>
          </w:p>
        </w:tc>
        <w:tc>
          <w:tcPr>
            <w:tcW w:w="580" w:type="dxa"/>
            <w:vAlign w:val="bottom"/>
          </w:tcPr>
          <w:p>
            <w:pPr>
              <w:spacing w:after="0"/>
              <w:rPr>
                <w:sz w:val="13"/>
                <w:szCs w:val="13"/>
                <w:color w:val="auto"/>
              </w:rPr>
            </w:pPr>
          </w:p>
        </w:tc>
        <w:tc>
          <w:tcPr>
            <w:tcW w:w="1760" w:type="dxa"/>
            <w:vAlign w:val="bottom"/>
            <w:gridSpan w:val="2"/>
            <w:vMerge w:val="restart"/>
          </w:tcPr>
          <w:p>
            <w:pPr>
              <w:jc w:val="right"/>
              <w:ind w:right="1180"/>
              <w:spacing w:after="0"/>
              <w:rPr>
                <w:sz w:val="20"/>
                <w:szCs w:val="20"/>
                <w:color w:val="auto"/>
              </w:rPr>
            </w:pPr>
            <w:r>
              <w:rPr>
                <w:rFonts w:ascii="Arial" w:cs="Arial" w:eastAsia="Arial" w:hAnsi="Arial"/>
                <w:sz w:val="12"/>
                <w:szCs w:val="12"/>
                <w:b w:val="1"/>
                <w:bCs w:val="1"/>
                <w:color w:val="auto"/>
              </w:rPr>
              <w:t>Change</w:t>
            </w: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2013</w:t>
            </w:r>
          </w:p>
        </w:tc>
        <w:tc>
          <w:tcPr>
            <w:tcW w:w="7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97"/>
              </w:rPr>
              <w:t>2012</w:t>
            </w:r>
          </w:p>
        </w:tc>
        <w:tc>
          <w:tcPr>
            <w:tcW w:w="7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spacing w:after="0"/>
              <w:rPr>
                <w:sz w:val="12"/>
                <w:szCs w:val="12"/>
                <w:color w:val="auto"/>
              </w:rPr>
            </w:pP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25,110</w:t>
            </w:r>
          </w:p>
        </w:tc>
        <w:tc>
          <w:tcPr>
            <w:tcW w:w="7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24,618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440" w:type="dxa"/>
            <w:vAlign w:val="bottom"/>
          </w:tcPr>
          <w:p>
            <w:pPr>
              <w:spacing w:after="0"/>
              <w:rPr>
                <w:sz w:val="13"/>
                <w:szCs w:val="13"/>
                <w:color w:val="auto"/>
              </w:rPr>
            </w:pPr>
          </w:p>
        </w:tc>
        <w:tc>
          <w:tcPr>
            <w:tcW w:w="1760" w:type="dxa"/>
            <w:vAlign w:val="bottom"/>
            <w:gridSpan w:val="2"/>
          </w:tcPr>
          <w:p>
            <w:pPr>
              <w:jc w:val="right"/>
              <w:ind w:right="1320"/>
              <w:spacing w:after="0"/>
              <w:rPr>
                <w:sz w:val="20"/>
                <w:szCs w:val="20"/>
                <w:color w:val="auto"/>
              </w:rPr>
            </w:pPr>
            <w:r>
              <w:rPr>
                <w:rFonts w:ascii="Arial" w:cs="Arial" w:eastAsia="Arial" w:hAnsi="Arial"/>
                <w:sz w:val="12"/>
                <w:szCs w:val="12"/>
                <w:color w:val="auto"/>
                <w:w w:val="87"/>
              </w:rPr>
              <w:t>GM Rate</w:t>
            </w:r>
          </w:p>
        </w:tc>
        <w:tc>
          <w:tcPr>
            <w:tcW w:w="780" w:type="dxa"/>
            <w:vAlign w:val="bottom"/>
          </w:tcPr>
          <w:p>
            <w:pPr>
              <w:jc w:val="right"/>
              <w:spacing w:after="0"/>
              <w:rPr>
                <w:sz w:val="20"/>
                <w:szCs w:val="20"/>
                <w:color w:val="auto"/>
              </w:rPr>
            </w:pPr>
            <w:r>
              <w:rPr>
                <w:rFonts w:ascii="Arial" w:cs="Arial" w:eastAsia="Arial" w:hAnsi="Arial"/>
                <w:sz w:val="12"/>
                <w:szCs w:val="12"/>
                <w:color w:val="auto"/>
              </w:rPr>
              <w:t>36.4</w:t>
            </w:r>
          </w:p>
        </w:tc>
        <w:tc>
          <w:tcPr>
            <w:tcW w:w="7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38.7</w:t>
            </w:r>
          </w:p>
        </w:tc>
        <w:tc>
          <w:tcPr>
            <w:tcW w:w="78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6"/>
        </w:trPr>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16</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14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7283450</wp:posOffset>
            </wp:positionH>
            <wp:positionV relativeFrom="paragraph">
              <wp:posOffset>-11430</wp:posOffset>
            </wp:positionV>
            <wp:extent cx="1270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6" w:name="page17"/>
    <w:bookmarkEnd w:id="1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1"/>
          <w:szCs w:val="11"/>
          <w:color w:val="auto"/>
        </w:rPr>
        <w:t>For each of the years ended April 30, 2013 and 2012, gross margin increased as a result of increased revenues. In the fourth quarter of fiscal year 2013 gross margin was reduced by $1.4 million (2% of consolidated revenues) as a result of the write down of certain inventory recorded in the Gillam-FEI segment due to lack of certainty regarding the realizability of such inventory. Based on slower than anticipated rollout of implementation of the French government’s plans to initiate a “smart grid,” the Company has less visibility regarding the probable schedule for obtaining production-level orders which are now anticipated to occur no earlier than fiscal year 2015. Improved gross margins from satellite payload revenues in the FEI-NY segment were offset by historically lower gross margins at FEI-Elcom. Gross margin rates in the FEI-Zyfer and Gillam-FEI segments were also lower on reduced sales. For fiscal year 2012, the gross margin rate improved over the 37.5% rate recorded in the prior fiscal year. The largest gross margin rate improvement during fiscal year 2012 occurred in the Company’s FEI-NY segment as a higher volume of business covered more of that segment’s fixed costs. During the fiscal year ended April 30, 2013, cost of sales included approximately $2.4 million of inventory write downs, including the Gillam-FEI inventory write down.. During fiscal year 2012, cost of sales included increases to warranty reserves and inventory write downs which aggregated approximately $1.1 million. These charges reduced gross margin rates by 3.4% in fiscal year 2013 and by 1.8% in fiscal year 2012. Fiscal year 2012 gross margin was also reduced by the fourth quarter acquisition of FEI-Elcom whose operating results are included in the FEI-NY segment. With the current mix of programs and orders in its backlog, the Company expects its gross margin rate to approach its target rate of 40%. As revenues increase in future periods, the Company expects to realize a higher gross margin as more of its fixed costs are covered.</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Selling and Administrative Expenses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44"/>
        </w:trPr>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Fiscal years ended April 30,</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(in thousands)</w:t>
            </w:r>
          </w:p>
        </w:tc>
        <w:tc>
          <w:tcPr>
            <w:tcW w:w="240" w:type="dxa"/>
            <w:vAlign w:val="bottom"/>
          </w:tcPr>
          <w:p>
            <w:pPr>
              <w:spacing w:after="0"/>
              <w:rPr>
                <w:sz w:val="13"/>
                <w:szCs w:val="13"/>
                <w:color w:val="auto"/>
              </w:rPr>
            </w:pPr>
          </w:p>
        </w:tc>
        <w:tc>
          <w:tcPr>
            <w:tcW w:w="2340" w:type="dxa"/>
            <w:vAlign w:val="bottom"/>
            <w:gridSpan w:val="3"/>
            <w:vMerge w:val="restart"/>
          </w:tcPr>
          <w:p>
            <w:pPr>
              <w:jc w:val="right"/>
              <w:ind w:right="166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2013</w:t>
            </w:r>
          </w:p>
        </w:tc>
        <w:tc>
          <w:tcPr>
            <w:tcW w:w="720" w:type="dxa"/>
            <w:vAlign w:val="bottom"/>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w:t>
            </w:r>
          </w:p>
        </w:tc>
        <w:tc>
          <w:tcPr>
            <w:tcW w:w="2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14,704</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2"/>
              </w:rPr>
              <w:t>14,055</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the fiscal years ended April 30, 2013 and 2012, selling and administrative costs were 21% and 22%, respectively, of consolidated revenues. Fiscal year 2013 expenses include a full year of selling and administrative expenses incurred by FEI-Elcom. For the years ended April 30, 2013 and 2012, selling and administrative expenses include stock compensation expense of $538,000 and $359,000, respectively. Fiscal year 2012 expenses also include approximately $230,000 of transaction costs related to the FEI-Elcom acquisition as well as approximately $140,000 related to a stock award to the Company’s employees in celebration of its 50th anniversary. The Company expects fiscal year 2014 selling and administrative expenses to be incurred at approximately the same rate relative to revenues.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Research and Development Expenses</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44"/>
        </w:trPr>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 April 30,</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(in thousands)</w:t>
            </w:r>
          </w:p>
        </w:tc>
        <w:tc>
          <w:tcPr>
            <w:tcW w:w="300" w:type="dxa"/>
            <w:vAlign w:val="bottom"/>
          </w:tcPr>
          <w:p>
            <w:pPr>
              <w:spacing w:after="0"/>
              <w:rPr>
                <w:sz w:val="13"/>
                <w:szCs w:val="13"/>
                <w:color w:val="auto"/>
              </w:rPr>
            </w:pPr>
          </w:p>
        </w:tc>
        <w:tc>
          <w:tcPr>
            <w:tcW w:w="2340" w:type="dxa"/>
            <w:vAlign w:val="bottom"/>
            <w:gridSpan w:val="3"/>
            <w:vMerge w:val="restart"/>
          </w:tcPr>
          <w:p>
            <w:pPr>
              <w:jc w:val="right"/>
              <w:ind w:right="166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2013</w:t>
            </w:r>
          </w:p>
        </w:tc>
        <w:tc>
          <w:tcPr>
            <w:tcW w:w="720" w:type="dxa"/>
            <w:vAlign w:val="bottom"/>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w:t>
            </w: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5,727</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3,860</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1,867</w:t>
            </w:r>
          </w:p>
        </w:tc>
        <w:tc>
          <w:tcPr>
            <w:tcW w:w="234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1"/>
          <w:szCs w:val="11"/>
          <w:color w:val="auto"/>
        </w:rPr>
        <w:t>Research and development (“R&amp;D”) expenditures represent investments intended to keep the Company’s products at the leading edge of time and frequency technology and enhance competitiveness for future revenues. R&amp;D spending for the year ended April 30, 2013 was approximately 8% of revenues compared to approximately 6% of revenues for fiscal year 2012. Approximately half of the increased R&amp;D spending in fiscal year 2013 was due to product development expenditures at recently acquired FEI-Elcom on its own product line. Additionally, the FEI-NY segment, including engineering resources at FEI-Elcom, accelerated development of new satellite payload microwave receivers/converters from DC to Ka band, development and improvement of miniaturized rubidium atomic clocks, development of new GPS-based synchronization products and further enhancement of the capabilities of its line of low g-sensitivity and ruggedized rubidium oscillators. The lower rate and lower R&amp;D expenditures in fiscal year 2012 were due primarily to the dedication of resources to customer-funded programs rather than to internal R&amp;D programs. Some customer-funded development activity continued into fiscal year 2013 but with the added resources from FEI-Elcom, the Company spent more on internal R&amp;D. The costs of customer-funded development efforts appear in cost of revenues, thus reducing the level of internal R&amp;D spending. Although funding is obtained from customers, the Company retains the rights to any products developed. The Company will continue to devote significant resources to develop new products, enhance existing products and implement efficient manufacturing processes. For fiscal year 2014, the Company anticipates that internal research and development spending will be less than 10% of revenues. The Company believes that internally generated cash and cash reserves are adequate to fund these development efforts.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 w:name="page18"/>
    <w:bookmarkEnd w:id="1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Operating Profit</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44"/>
        </w:trPr>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70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 April 30,</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(in thousands)</w:t>
            </w:r>
          </w:p>
        </w:tc>
        <w:tc>
          <w:tcPr>
            <w:tcW w:w="3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Change</w:t>
            </w: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2013</w:t>
            </w:r>
          </w:p>
        </w:tc>
        <w:tc>
          <w:tcPr>
            <w:tcW w:w="72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w:t>
            </w:r>
          </w:p>
        </w:tc>
        <w:tc>
          <w:tcPr>
            <w:tcW w:w="34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4,679</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6,703</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8"/>
              </w:rPr>
              <w:t>(2,024</w:t>
            </w:r>
          </w:p>
        </w:tc>
        <w:tc>
          <w:tcPr>
            <w:tcW w:w="7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For the year ended April 30, 2013, operating profit was reduced by the $1.4 million inventory write down in the Gillam-FEI segment, higher selling and administrative costs and increased R&amp;D spending. All of the fiscal year 2013 operating profit was generated by the FEI-NY segment which enjoyed the benefit of rising satellite payload revenues. The Company’s other segments, FEI-Zyfer and Gillam-FEI, both incurred operating losses on reduced revenues, higher costs and the inventory write down.</w:t>
      </w:r>
    </w:p>
    <w:p>
      <w:pPr>
        <w:spacing w:after="0" w:line="14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For the year ended April 30, 2012, higher revenues, improved gross margin rates and operating expenses in line with expectations enabled the Company to record an operating profit that was nearly twice the operating profit recorded in the preceding fiscal year. On a segment basis, the operating profit of FEI-NY increased as a result of a 35% increase in revenues and improved gross margin rates. The fiscal year 2012 operating profit at Gillam-FEI was favorably impacted by an improved product mix despite lower revenues than for fiscal year 2011. FEI-Zyfer realized an operating loss due to lower gross margins partially due to increased warranty reserves as well as product mix.</w:t>
      </w:r>
    </w:p>
    <w:p>
      <w:pPr>
        <w:spacing w:after="0" w:line="12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On anticipated increased revenues and favorable product mix, the Company expects to realize an improved gross margin while maintaining other operating expenses within their targeted amounts. Thus, the Company expects to report higher operating profits in fiscal year 2014.</w:t>
      </w:r>
    </w:p>
    <w:p>
      <w:pPr>
        <w:spacing w:after="0" w:line="121" w:lineRule="exact"/>
        <w:rPr>
          <w:sz w:val="20"/>
          <w:szCs w:val="20"/>
          <w:color w:val="auto"/>
        </w:rPr>
      </w:pPr>
    </w:p>
    <w:tbl>
      <w:tblPr>
        <w:tblLayout w:type="fixed"/>
        <w:tblInd w:w="320" w:type="dxa"/>
        <w:tblCellMar>
          <w:top w:w="0" w:type="dxa"/>
          <w:left w:w="0" w:type="dxa"/>
          <w:bottom w:w="0" w:type="dxa"/>
          <w:right w:w="0" w:type="dxa"/>
        </w:tblCellMar>
      </w:tblPr>
      <w:tr>
        <w:trPr>
          <w:trHeight w:val="138"/>
        </w:trPr>
        <w:tc>
          <w:tcPr>
            <w:tcW w:w="2580" w:type="dxa"/>
            <w:vAlign w:val="bottom"/>
            <w:gridSpan w:val="3"/>
          </w:tcPr>
          <w:p>
            <w:pPr>
              <w:spacing w:after="0"/>
              <w:rPr>
                <w:sz w:val="20"/>
                <w:szCs w:val="20"/>
                <w:color w:val="auto"/>
              </w:rPr>
            </w:pPr>
            <w:r>
              <w:rPr>
                <w:rFonts w:ascii="Arial" w:cs="Arial" w:eastAsia="Arial" w:hAnsi="Arial"/>
                <w:sz w:val="12"/>
                <w:szCs w:val="12"/>
                <w:b w:val="1"/>
                <w:bCs w:val="1"/>
                <w:color w:val="auto"/>
              </w:rPr>
              <w:t>Other Income (Expense)</w:t>
            </w: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0" w:type="dxa"/>
            <w:vAlign w:val="bottom"/>
            <w:gridSpan w:val="3"/>
          </w:tcPr>
          <w:p>
            <w:pPr>
              <w:jc w:val="center"/>
              <w:ind w:left="80"/>
              <w:spacing w:after="0"/>
              <w:rPr>
                <w:sz w:val="20"/>
                <w:szCs w:val="20"/>
                <w:color w:val="auto"/>
              </w:rPr>
            </w:pPr>
            <w:r>
              <w:rPr>
                <w:rFonts w:ascii="Arial" w:cs="Arial" w:eastAsia="Arial" w:hAnsi="Arial"/>
                <w:sz w:val="12"/>
                <w:szCs w:val="12"/>
                <w:b w:val="1"/>
                <w:bCs w:val="1"/>
                <w:color w:val="auto"/>
                <w:w w:val="89"/>
              </w:rPr>
              <w:t>Fiscal years ended April 30,</w:t>
            </w: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0" w:type="dxa"/>
            <w:vAlign w:val="bottom"/>
            <w:gridSpan w:val="3"/>
          </w:tcPr>
          <w:p>
            <w:pPr>
              <w:jc w:val="center"/>
              <w:ind w:left="80"/>
              <w:spacing w:after="0"/>
              <w:rPr>
                <w:sz w:val="20"/>
                <w:szCs w:val="20"/>
                <w:color w:val="auto"/>
              </w:rPr>
            </w:pPr>
            <w:r>
              <w:rPr>
                <w:rFonts w:ascii="Arial" w:cs="Arial" w:eastAsia="Arial" w:hAnsi="Arial"/>
                <w:sz w:val="12"/>
                <w:szCs w:val="12"/>
                <w:b w:val="1"/>
                <w:bCs w:val="1"/>
                <w:color w:val="auto"/>
                <w:w w:val="89"/>
              </w:rPr>
              <w:t>(in thousands)</w:t>
            </w:r>
          </w:p>
        </w:tc>
        <w:tc>
          <w:tcPr>
            <w:tcW w:w="6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Change</w:t>
            </w: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7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97"/>
              </w:rPr>
              <w:t>2012</w:t>
            </w:r>
          </w:p>
        </w:tc>
        <w:tc>
          <w:tcPr>
            <w:tcW w:w="7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b w:val="1"/>
                <w:bCs w:val="1"/>
                <w:color w:val="auto"/>
              </w:rPr>
              <w:t>$</w:t>
            </w:r>
          </w:p>
        </w:tc>
        <w:tc>
          <w:tcPr>
            <w:tcW w:w="740" w:type="dxa"/>
            <w:vAlign w:val="bottom"/>
          </w:tcPr>
          <w:p>
            <w:pPr>
              <w:spacing w:after="0"/>
              <w:rPr>
                <w:sz w:val="12"/>
                <w:szCs w:val="12"/>
                <w:color w:val="auto"/>
              </w:rPr>
            </w:pPr>
          </w:p>
        </w:tc>
        <w:tc>
          <w:tcPr>
            <w:tcW w:w="10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Investment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671</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7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4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60" w:type="dxa"/>
            <w:vAlign w:val="bottom"/>
            <w:gridSpan w:val="2"/>
          </w:tcPr>
          <w:p>
            <w:pPr>
              <w:spacing w:after="0" w:line="136" w:lineRule="exact"/>
              <w:rPr>
                <w:sz w:val="20"/>
                <w:szCs w:val="20"/>
                <w:color w:val="auto"/>
              </w:rPr>
            </w:pPr>
            <w:r>
              <w:rPr>
                <w:rFonts w:ascii="Arial" w:cs="Arial" w:eastAsia="Arial" w:hAnsi="Arial"/>
                <w:sz w:val="12"/>
                <w:szCs w:val="12"/>
                <w:color w:val="auto"/>
              </w:rPr>
              <w:t>Gain on investment in</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80" w:type="dxa"/>
            <w:vAlign w:val="bottom"/>
            <w:gridSpan w:val="3"/>
          </w:tcPr>
          <w:p>
            <w:pPr>
              <w:ind w:left="1100"/>
              <w:spacing w:after="0"/>
              <w:rPr>
                <w:sz w:val="20"/>
                <w:szCs w:val="20"/>
                <w:color w:val="auto"/>
              </w:rPr>
            </w:pPr>
            <w:r>
              <w:rPr>
                <w:rFonts w:ascii="Arial" w:cs="Arial" w:eastAsia="Arial" w:hAnsi="Arial"/>
                <w:sz w:val="12"/>
                <w:szCs w:val="12"/>
                <w:color w:val="auto"/>
              </w:rPr>
              <w:t>affiliate</w:t>
            </w:r>
          </w:p>
        </w:tc>
        <w:tc>
          <w:tcPr>
            <w:tcW w:w="4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730</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(730</w:t>
            </w:r>
          </w:p>
        </w:tc>
        <w:tc>
          <w:tcPr>
            <w:tcW w:w="74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NM</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Equity loss</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650</w:t>
            </w:r>
          </w:p>
        </w:tc>
        <w:tc>
          <w:tcPr>
            <w:tcW w:w="7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NM</w:t>
            </w: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1460" w:type="dxa"/>
            <w:vAlign w:val="bottom"/>
            <w:gridSpan w:val="2"/>
          </w:tcPr>
          <w:p>
            <w:pPr>
              <w:spacing w:after="0"/>
              <w:rPr>
                <w:sz w:val="20"/>
                <w:szCs w:val="20"/>
                <w:color w:val="auto"/>
              </w:rPr>
            </w:pPr>
            <w:r>
              <w:rPr>
                <w:rFonts w:ascii="Arial" w:cs="Arial" w:eastAsia="Arial" w:hAnsi="Arial"/>
                <w:sz w:val="12"/>
                <w:szCs w:val="12"/>
                <w:color w:val="auto"/>
              </w:rPr>
              <w:t>Impairment charge</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(350</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5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350</w:t>
            </w:r>
          </w:p>
        </w:tc>
        <w:tc>
          <w:tcPr>
            <w:tcW w:w="7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NM</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1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Interest expense</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(195</w:t>
            </w:r>
          </w:p>
        </w:tc>
        <w:tc>
          <w:tcPr>
            <w:tcW w:w="74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w:t>
            </w:r>
          </w:p>
        </w:tc>
        <w:tc>
          <w:tcPr>
            <w:tcW w:w="7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5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8"/>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480" w:type="dxa"/>
            <w:vAlign w:val="bottom"/>
            <w:shd w:val="clear" w:color="auto" w:fill="CCEEFF"/>
          </w:tcPr>
          <w:p>
            <w:pPr>
              <w:ind w:left="320"/>
              <w:spacing w:after="0"/>
              <w:rPr>
                <w:sz w:val="20"/>
                <w:szCs w:val="20"/>
                <w:color w:val="auto"/>
              </w:rPr>
            </w:pPr>
            <w:r>
              <w:rPr>
                <w:rFonts w:ascii="Arial" w:cs="Arial" w:eastAsia="Arial" w:hAnsi="Arial"/>
                <w:sz w:val="12"/>
                <w:szCs w:val="12"/>
                <w:color w:val="auto"/>
                <w:w w:val="95"/>
              </w:rPr>
              <w:t>%)</w:t>
            </w: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1460" w:type="dxa"/>
            <w:vAlign w:val="bottom"/>
            <w:gridSpan w:val="2"/>
          </w:tcPr>
          <w:p>
            <w:pPr>
              <w:spacing w:after="0"/>
              <w:rPr>
                <w:sz w:val="20"/>
                <w:szCs w:val="20"/>
                <w:color w:val="auto"/>
              </w:rPr>
            </w:pPr>
            <w:r>
              <w:rPr>
                <w:rFonts w:ascii="Arial" w:cs="Arial" w:eastAsia="Arial" w:hAnsi="Arial"/>
                <w:sz w:val="12"/>
                <w:szCs w:val="12"/>
                <w:color w:val="auto"/>
              </w:rPr>
              <w:t>Other expense, net</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w:t>
            </w:r>
          </w:p>
        </w:tc>
        <w:tc>
          <w:tcPr>
            <w:tcW w:w="74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w:t>
            </w:r>
          </w:p>
        </w:tc>
        <w:tc>
          <w:tcPr>
            <w:tcW w:w="720" w:type="dxa"/>
            <w:vAlign w:val="bottom"/>
          </w:tcPr>
          <w:p>
            <w:pPr>
              <w:jc w:val="center"/>
              <w:spacing w:after="0"/>
              <w:rPr>
                <w:sz w:val="20"/>
                <w:szCs w:val="20"/>
                <w:color w:val="auto"/>
              </w:rPr>
            </w:pPr>
            <w:r>
              <w:rPr>
                <w:rFonts w:ascii="Arial" w:cs="Arial" w:eastAsia="Arial" w:hAnsi="Arial"/>
                <w:sz w:val="12"/>
                <w:szCs w:val="12"/>
                <w:color w:val="auto"/>
                <w:w w:val="98"/>
              </w:rPr>
              <w:t>)</w:t>
            </w:r>
          </w:p>
        </w:tc>
        <w:tc>
          <w:tcPr>
            <w:tcW w:w="5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w:t>
            </w:r>
          </w:p>
        </w:tc>
        <w:tc>
          <w:tcPr>
            <w:tcW w:w="74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w:t>
            </w:r>
          </w:p>
        </w:tc>
        <w:tc>
          <w:tcPr>
            <w:tcW w:w="480" w:type="dxa"/>
            <w:vAlign w:val="bottom"/>
          </w:tcPr>
          <w:p>
            <w:pPr>
              <w:ind w:lef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407</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w:t>
            </w:r>
          </w:p>
        </w:tc>
        <w:tc>
          <w:tcPr>
            <w:tcW w:w="74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w:t>
            </w:r>
          </w:p>
        </w:tc>
        <w:tc>
          <w:tcPr>
            <w:tcW w:w="4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Investment income includes interest and dividend income on marketable securities. Earnings on these securities may vary based on fluctuating dividends and interest rates and the timing of purchases or sales of securities. During the year ended April 30, 2012, the Company broadened its investment portfolio to include higher yielding marketable securities thus generating greater investment income than in fiscal year 2011. During fiscal years 2013 and 2012, investment income included gains upon the sale or redemption of marketable securities of approximately $46,000 and $20,000, respectively. During fiscal year 2014, the Company anticipates that investment income will be approximately the same as that earned in fiscal year 2013, depending on the yield of its investment portfolio.</w:t>
      </w:r>
    </w:p>
    <w:p>
      <w:pPr>
        <w:spacing w:after="0" w:line="1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fiscal year 2012 step acquisition of FEI-Elcom resulted in the recognition of a gain of approximately $730,000. Equity losses of $650,000 represent the Company’s share of the losses recorded by FEI-Elcom prior to the Company’s fiscal year 2012 fourth quarter acquisition of that company See “NOTES TO CONSOLIDATED FINANCIAL STATEMENTS - 11. Acquisition of Elcom Technologies, Inc. In addition, during the second quarter of fiscal year 2012, based on comparisons to comparable companies as well as FEI-Elcom’s forecasts of future financial results, the Company recorded an impairment charge in the amount of $350,000. Since FEI-Elcom is a wholly-owned subsidiary of the Company for all of fiscal year 2013, there is no comparable income or expense items for the year ended April 30, 2013.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8" w:name="page19"/>
    <w:bookmarkEnd w:id="1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fiscal years 2013 and 2012, interest expense was incurred on borrowings under short-term credit obligations, on deferred compensation payments and capital leases for equipment. During the year ended April 30, 2012, to complete the acquisition of FEI-Elcom, the Company decided to draw on its bank line of credit rather than liquidate any of its investment in marketable securities. In addition, subsequent to April 30, 2013, the Company established a five-year, $25 million credit facility with a bank, replacing the previous $9.3 million credit line. As a result of the new credit facility, the Company expects to maintain a higher level of debt and anticipates that interest expense in fiscal year 2014 will be higher than that incurred in fiscal year 2013.</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Other expenses for the year ended April 30, 2013, consists primarily of an uninsured loss sustained by the Company’s Gillam-FEI segment. For the year ended April 30, 2012, other expenses consisted primarily of amortization of certain non-operating assets that was partially offset by gains of approximately $137,000 derived from the excess of proceeds over the cash values of life insurance policies covering a former employee. The Company anticipates that in future years items in this category will not be significant to pretax earnings.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Income Tax Provision (Benefit)</w:t>
      </w:r>
    </w:p>
    <w:p>
      <w:pPr>
        <w:spacing w:after="0" w:line="168" w:lineRule="exact"/>
        <w:rPr>
          <w:sz w:val="20"/>
          <w:szCs w:val="20"/>
          <w:color w:val="auto"/>
        </w:rPr>
      </w:pPr>
    </w:p>
    <w:tbl>
      <w:tblPr>
        <w:tblLayout w:type="fixed"/>
        <w:tblInd w:w="1440" w:type="dxa"/>
        <w:tblCellMar>
          <w:top w:w="0" w:type="dxa"/>
          <w:left w:w="0" w:type="dxa"/>
          <w:bottom w:w="0" w:type="dxa"/>
          <w:right w:w="0" w:type="dxa"/>
        </w:tblCellMar>
      </w:tblPr>
      <w:tr>
        <w:trPr>
          <w:trHeight w:val="144"/>
        </w:trPr>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60" w:type="dxa"/>
            <w:vAlign w:val="bottom"/>
            <w:gridSpan w:val="3"/>
          </w:tcPr>
          <w:p>
            <w:pPr>
              <w:jc w:val="center"/>
              <w:ind w:left="240"/>
              <w:spacing w:after="0"/>
              <w:rPr>
                <w:sz w:val="20"/>
                <w:szCs w:val="20"/>
                <w:color w:val="auto"/>
              </w:rPr>
            </w:pPr>
            <w:r>
              <w:rPr>
                <w:rFonts w:ascii="Arial" w:cs="Arial" w:eastAsia="Arial" w:hAnsi="Arial"/>
                <w:sz w:val="12"/>
                <w:szCs w:val="12"/>
                <w:b w:val="1"/>
                <w:bCs w:val="1"/>
                <w:color w:val="auto"/>
                <w:w w:val="89"/>
              </w:rPr>
              <w:t>Fiscal years ended April 30,</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60" w:type="dxa"/>
            <w:vAlign w:val="bottom"/>
            <w:gridSpan w:val="3"/>
          </w:tcPr>
          <w:p>
            <w:pPr>
              <w:jc w:val="center"/>
              <w:ind w:left="240"/>
              <w:spacing w:after="0"/>
              <w:rPr>
                <w:sz w:val="20"/>
                <w:szCs w:val="20"/>
                <w:color w:val="auto"/>
              </w:rPr>
            </w:pPr>
            <w:r>
              <w:rPr>
                <w:rFonts w:ascii="Arial" w:cs="Arial" w:eastAsia="Arial" w:hAnsi="Arial"/>
                <w:sz w:val="12"/>
                <w:szCs w:val="12"/>
                <w:b w:val="1"/>
                <w:bCs w:val="1"/>
                <w:color w:val="auto"/>
                <w:w w:val="89"/>
              </w:rPr>
              <w:t>(in thousands)</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44"/>
        </w:trPr>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8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w w:val="97"/>
              </w:rPr>
              <w:t>2013</w:t>
            </w:r>
          </w:p>
        </w:tc>
        <w:tc>
          <w:tcPr>
            <w:tcW w:w="72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97"/>
              </w:rPr>
              <w:t>2012</w:t>
            </w:r>
          </w:p>
        </w:tc>
        <w:tc>
          <w:tcPr>
            <w:tcW w:w="74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360"/>
              <w:spacing w:after="0"/>
              <w:rPr>
                <w:sz w:val="20"/>
                <w:szCs w:val="20"/>
                <w:color w:val="auto"/>
              </w:rPr>
            </w:pPr>
            <w:r>
              <w:rPr>
                <w:rFonts w:ascii="Arial" w:cs="Arial" w:eastAsia="Arial" w:hAnsi="Arial"/>
                <w:sz w:val="12"/>
                <w:szCs w:val="12"/>
                <w:b w:val="1"/>
                <w:bCs w:val="1"/>
                <w:color w:val="auto"/>
              </w:rPr>
              <w:t>$</w:t>
            </w:r>
          </w:p>
        </w:tc>
        <w:tc>
          <w:tcPr>
            <w:tcW w:w="7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(560</w:t>
            </w:r>
          </w:p>
        </w:tc>
        <w:tc>
          <w:tcPr>
            <w:tcW w:w="74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1,960</w:t>
            </w:r>
          </w:p>
        </w:tc>
        <w:tc>
          <w:tcPr>
            <w:tcW w:w="7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820"/>
              <w:spacing w:after="0"/>
              <w:rPr>
                <w:sz w:val="20"/>
                <w:szCs w:val="20"/>
                <w:color w:val="auto"/>
              </w:rPr>
            </w:pPr>
            <w:r>
              <w:rPr>
                <w:rFonts w:ascii="Arial" w:cs="Arial" w:eastAsia="Arial" w:hAnsi="Arial"/>
                <w:sz w:val="12"/>
                <w:szCs w:val="12"/>
                <w:color w:val="auto"/>
              </w:rPr>
              <w:t>NM</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During the year ended April 30, 2013, certain tax law changes were enacted which enabled the Company to obtain larger federal tax credits. The changes reduced the Company’s effective tax rate on pre-tax income to 27.5%.</w:t>
      </w:r>
    </w:p>
    <w:p>
      <w:pPr>
        <w:spacing w:after="0" w:line="1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During the fourth quarter of fiscal year 2012, the Company reduced its valuation allowance against deferred tax assets in the amount of $3.1 million. This reduction was based on a review of all available evidence, both positive and negative, and management’s assessment that it is more likely than not that it will be able to realize the tax benefits from the future deductibility of most items included in its deferred tax assets. Excluding the valuation allowance reduction, for the year ended April 30, 2012, the Company recorded a net tax provision of $2.5 million or an effective tax rate of 37%. The Company is subject to taxation in several countries. The statutory federal rates are 34% in the U.S., 33% in Europe and 25% in China. The Company utilizes the availability of research and development tax credits in the U.S. to lower its tax rate. The actual rate incurred may be impacted by the non-deductibility of losses incurred in overseas operations. (See Note 13 to the Consolidated Financial Statements for a reconciliation of the actual tax benefit to the expected tax provision at the federal statutory rate.)</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European subsidiaries have available net operating loss (“NOL”) carryforwards of approximately $2.7 million to offset future taxable income. The associated deferred tax asset for the foreign subsidiary NOL is fully reserved by the deferred tax valuation allowance. These loss carryforwards have no expiration date. As a result of the acquisition of FEI-Elcom, the Company has a federal NOL carryforward of $6.6 million which may be applied in annually limited amounts to offset future U.S.-sourced taxable income over the next 19 years.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LIQUIDITY AND CAPITAL RESOURCES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balance sheet continues to reflect a highly liquid position with working capital of $71.7 million at April 30, 2013. Included in working capital at April 30, 2013 is $21.7 million consisting of cash, cash equivalents and short-term investments. The Company’s current ratio at April 30, 2013 is 8.7 to 1 compared to 4.9 to 1 at the end of the prior fiscal year.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9" w:name="page20"/>
    <w:bookmarkEnd w:id="1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Net cash provided by operating activities for the year ended April 30, 2013, was $2.8 million compared to $2.1 million for the prior fiscal year. During fiscal years 2013 and 2012, the Company incurred $6.5 million and $5.8 million, respectively, in non-cash charges to earnings, including depreciation and amortization expense, inventory write downs, warranty and accounts receivable reserves, certain employee benefit plan expenses, including accounting for stock-based compensation and, in fiscal year 2012, the equity loss on its Elcom investment net of the gain on that investment. In fiscal year 2012, such non-cash charges were partially offset by the non-cash benefit of $3.1 million resulting from the Company’s reduction of a portion of the valuation allowance on its deferred tax assets. For fiscal year 2013, operating cash was reduced by increases to inventories and payment of estimated income taxes. For fiscal year 2012, operating cash was reduced by increases to accounts receivable and inventory. In fiscal year 2014, the Company anticipates that it will maintain positive cash flow from operations by continuing to generate operating profits.</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Net cash used in investing activities was $2.0 million and $8.0 million, respectively, for the fiscal years ended April 30, 2013 and 2012. The fiscal year 2013 activities consisted of net proceeds from marketable securities transactions of $170,000 and acquisitions of capital equipment for $2.2 million. In fiscal year 2012, investing activities included the additional investment in FEI-Elcom for $4.5 million, net of acquired cash of $763,000, net purchase of marketable securities for $2.1 million and the acquisition of capital equipment for $1.4 million.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$2.0 million and $3.0 million on capital equipment during fiscal year 2014. Internally generated cash is expected to be adequate to acquire this property, plant and equipment.</w:t>
      </w:r>
    </w:p>
    <w:p>
      <w:pPr>
        <w:spacing w:after="0" w:line="1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1"/>
          <w:szCs w:val="11"/>
          <w:color w:val="auto"/>
        </w:rPr>
        <w:t>Through April 30, 2013, the Company had a $9.3 million line of credit with the financial institution that also managed a substantial portion of its investment in marketable securities. Rather than liquidate some of these investments to meet short-term working capital requirements, the Company borrowed against the line of credit at variable interest rates which averaged approximately 1.75%, which is less than the return on the Company’s portfolio of marketable securities that secured the line. To fund the acquisition of FEI-Elcom during fiscal year 2012, the Company borrowed $6.0 million. During the year ended April 30, 2013, the Company borrowed additional money for working capital purposes and subsequently repaid such borrowing such that by April 30, 2013, the outstanding principal balance was $6.0 million. During fiscal year 2013, the highest level of borrowing under this line was $8.5 million. Following the end of fiscal year 2013, the Company obtained a five-year, $25 million credit facility from a bank and repaid the credit line from the previous financial institution. The Company thus converted the short-term debt obligation into a longer-term loan. The Company will draw on this new credit facility to provide additional working capital and to fund acquisitions. The interest rate on the new facility is based on LIBOR plus either 75 basis points or 175 basis points depending on under which of the two tranches the Company chooses to borrow. For a more complete description of the new credit facility, see “NOTES TO CONSOLIDATED FINANCIAL STATEMENTS - 7. Debt Obligations and Subsequent Event. In addition, the Company’s European subsidiaries have available approximately $650,000 in bank credit lines to meet short-term cash flow requirements. The rate of interest on these borrowings is based on the one month EURO Interbank Offered Rate (EURIBOR). The European subsidiaries borrowed against these lines of credit during fiscal years 2013 and 2012 but repaid the obligations during each year.</w:t>
      </w:r>
    </w:p>
    <w:p>
      <w:pPr>
        <w:spacing w:after="0" w:line="136"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During the year ended April 30, 2013, cash used in financing activities was $1.9 million. The Company borrowed and repaid $5.0 million under the previous credit line and made payments on capital lease obligations in the amount of $357,000. In addition, during the third quarter of fiscal year 2013, the Company paid a special cash dividend of $1.7 million. Partially offsetting these financing cash outflows, the Company also received $172,000 upon the exercise of stock-based awards and the tax benefit arising from such exercises. During fiscal year 2012, cash provided by financing activities was $5.7 million consisting of borrowings under its lines of credit of $6.3 million and reduced by repayment of short-term borrowings and capital lease obligations in the amount of $660,000. The Company will continue to use treasury shares to satisfy the future exercise of stock options and stock appreciation rights granted to officers and employees. 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 As of the end of fiscal year 2013, the Company has repurchased approximately $4 million of its common stock out of the $5 million authorization.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0" w:name="page21"/>
    <w:bookmarkEnd w:id="2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2014,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Off-Balance Sheet Arrangements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As of April 30, 2013, the Company's consolidated backlog amounted to approximately $51 million as compared to approximately $57 million at the beginning of the fiscal year. (See Item 1). Approximately 70% of this backlog is expected to be filled during the Company’s fiscal year ending April 30, 2014. Included in the backlog at April 30, 2013 is approximately $700,000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which, as of April 30, 2013, was approximately $3 million. The Company expects these contracts to become fully funded over time and will be added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47"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Company’s liquidity is adequate to meet its operating and investment needs through at least April 30, 2014.</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RECENT ACCOUNTING PRONOUNCEMENTS</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In June 2011, the Financial Accounting Standards Board (“FASB”) issued Accounting Standards Update (“ASU”) No. 2011-05 “Comprehensive Income (Topic 220): Presentation of Comprehensive Income” (“ASU No. 2011-05”). Under ASU No. 2011-5, an entity has the option to present the total of comprehensive income, the components of net income, and the components of other comprehensive income either in a single continuous statement of comprehensive income or in two separate but consecutive statements. Regardless of which option is selected, an entity is required to present each component of net income along with total net income, each component of other comprehensive income along with a total for other comprehensive income, and a total amount for comprehensive income. ASU No. 2011-5 eliminates the option (previously utilized by the Company) to present the components of other comprehensive income as part of the statement of changes in stockholders’ equity. ASU No. 2011-5 was adopted by the Company at the beginning of the current fiscal year, and affects only the presentation of financial statements and has no financial impact on the Company’s Consolidated Financial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1" w:name="page22"/>
    <w:bookmarkEnd w:id="2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jc w:val="both"/>
        <w:ind w:firstLine="354"/>
        <w:spacing w:after="0" w:line="255" w:lineRule="auto"/>
        <w:rPr>
          <w:sz w:val="20"/>
          <w:szCs w:val="20"/>
          <w:color w:val="auto"/>
        </w:rPr>
      </w:pPr>
      <w:r>
        <w:rPr>
          <w:rFonts w:ascii="Arial" w:cs="Arial" w:eastAsia="Arial" w:hAnsi="Arial"/>
          <w:sz w:val="12"/>
          <w:szCs w:val="12"/>
          <w:color w:val="auto"/>
        </w:rPr>
        <w:t xml:space="preserve">In September 2011, the FASB issued ASU No. 2011-08, </w:t>
      </w:r>
      <w:r>
        <w:rPr>
          <w:rFonts w:ascii="Arial" w:cs="Arial" w:eastAsia="Arial" w:hAnsi="Arial"/>
          <w:sz w:val="12"/>
          <w:szCs w:val="12"/>
          <w:i w:val="1"/>
          <w:iCs w:val="1"/>
          <w:color w:val="auto"/>
        </w:rPr>
        <w:t>Testing Goodwill for Impairment”</w:t>
      </w:r>
      <w:r>
        <w:rPr>
          <w:rFonts w:ascii="Arial" w:cs="Arial" w:eastAsia="Arial" w:hAnsi="Arial"/>
          <w:sz w:val="12"/>
          <w:szCs w:val="12"/>
          <w:color w:val="auto"/>
        </w:rPr>
        <w:t xml:space="preserve"> (“ASU No. 2011-08”), which is intended to reduce the complexity and costs to test goodwill for impairment. The amendment allows an entity the option to make a qualitative evaluation about the likelihood of goodwill impairment to determine whether it is necessary to perform the two-step quantitative goodwill impairment test. An entity will no longer be required to calculate the fair value of a reporting unit unless the entity determines, based on its qualitative assessment, that it is more likely than not that the fair value of the reporting unit is less than its carrying amount. ASU No. 2011-08 also expands upon the examples of events and circumstances that an entity should consider between annual impairment tests in determining whether it is more likely than not that the fair value of a reporting unit is less than its carrying amount. The amendment became effective for annual and interim goodwill impairment tests performed by the Company in the fourth quarter of the fiscal year ended April 30, 2012. The adoption of ASU 2011-08 did not have a material impact on its consolidated financial statements.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In February 2013, the FASB issued Accounting Standard Update No. 2013-02</w:t>
      </w:r>
      <w:r>
        <w:rPr>
          <w:rFonts w:ascii="Arial" w:cs="Arial" w:eastAsia="Arial" w:hAnsi="Arial"/>
          <w:sz w:val="11"/>
          <w:szCs w:val="11"/>
          <w:i w:val="1"/>
          <w:iCs w:val="1"/>
          <w:color w:val="auto"/>
        </w:rPr>
        <w:t>, Other Comprehensive Income</w:t>
      </w:r>
      <w:r>
        <w:rPr>
          <w:rFonts w:ascii="Arial" w:cs="Arial" w:eastAsia="Arial" w:hAnsi="Arial"/>
          <w:sz w:val="11"/>
          <w:szCs w:val="11"/>
          <w:color w:val="auto"/>
        </w:rPr>
        <w:t>. The amendments require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is effective for periods beginning after December 15, 2012. The Company does not expect adoption of ASU 2013-02 to have a material effect on its financial statements.</w:t>
      </w:r>
    </w:p>
    <w:p>
      <w:pPr>
        <w:spacing w:after="0" w:line="12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 xml:space="preserve">In July 2012, the FASB issued ASU No. 2012-02, </w:t>
      </w:r>
      <w:r>
        <w:rPr>
          <w:rFonts w:ascii="Arial" w:cs="Arial" w:eastAsia="Arial" w:hAnsi="Arial"/>
          <w:sz w:val="11"/>
          <w:szCs w:val="11"/>
          <w:i w:val="1"/>
          <w:iCs w:val="1"/>
          <w:color w:val="auto"/>
        </w:rPr>
        <w:t>Intangibles – Goodwill and Other (Topic 350): Test Indefinite-Lived Intangible Assets for Impairment</w:t>
      </w:r>
      <w:r>
        <w:rPr>
          <w:rFonts w:ascii="Arial" w:cs="Arial" w:eastAsia="Arial" w:hAnsi="Arial"/>
          <w:sz w:val="11"/>
          <w:szCs w:val="11"/>
          <w:color w:val="auto"/>
        </w:rPr>
        <w:t xml:space="preserve">. Under the requirements of ASU 2012-02 an entity has the option to assess qualitative factors when testing indefinite-lived intangible assets annually to determine whether it is more likely than not that the asset is not impaired. An entity also has the option to bypass the qualitative assessment for any indefinite-lived intangible asset in any period and proceed directly to performing the quantitative impairment test or resume performing the qualitative assessment in any subsequent period. If, after assessing the totality of events and circumstances,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in accordance with </w:t>
      </w:r>
      <w:r>
        <w:rPr>
          <w:rFonts w:ascii="Arial" w:cs="Arial" w:eastAsia="Arial" w:hAnsi="Arial"/>
          <w:sz w:val="11"/>
          <w:szCs w:val="11"/>
          <w:i w:val="1"/>
          <w:iCs w:val="1"/>
          <w:color w:val="auto"/>
        </w:rPr>
        <w:t>Subtopic 350-30</w:t>
      </w:r>
      <w:r>
        <w:rPr>
          <w:rFonts w:ascii="Arial" w:cs="Arial" w:eastAsia="Arial" w:hAnsi="Arial"/>
          <w:sz w:val="11"/>
          <w:szCs w:val="11"/>
          <w:color w:val="auto"/>
        </w:rPr>
        <w:t>. ASU 2012-02 is effective for annual and interim impairment tests performed for fiscal years beginning after September 15, 2012. The Company will adopt ASU 2012-02 for its fiscal year 2014 which begins on May 1, 2013. The Company is unable to determine the impact of such adoption until it performs the annual test for impairment in the next fiscal year.</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OTHER MATTERS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INFLATION</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During fiscal year 2013, as in fiscal year 2012, the impact of inflation on the Company's business has not been materially significant.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2" w:name="page23"/>
    <w:bookmarkEnd w:id="2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8. Financial Statements and Supplementary Data</w:t>
      </w:r>
    </w:p>
    <w:p>
      <w:pPr>
        <w:spacing w:after="0" w:line="164"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Frequency Electronics, Inc.</w:t>
      </w:r>
    </w:p>
    <w:p>
      <w:pPr>
        <w:spacing w:after="0" w:line="159"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have audited the accompanying consolidated balance sheets of Frequency Electronics, Inc. and subsidiaries (the "Company") as of April 30, 2013 and 2012, and the related consolidated statements of income and comprehensive income, cash flows and changes in stockholders' equity for each of the years in the two-year period ended April 30, 2013. The financial statements are the responsibility of the Company's management. Our responsibility is to express an opinion on these financial statements based on our audits.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9"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In our opinion, the consolidated financial statements referred to above present fairly, in all material respects, the consolidated financial position of Frequency Electronics, Inc. and subsidiaries as of April 30, 2013 and 2012, and the consolidated results of their operations and their cash flows for each of the years in the two-year period ended April 30, 2013, in conformity with accounting principles generally accepted in the United States.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EisnerAmper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EisnerAmper LLP</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July 29, 2013</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15"/>
        </w:trPr>
        <w:tc>
          <w:tcPr>
            <w:tcW w:w="812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86"/>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440" w:type="dxa"/>
            <w:vAlign w:val="bottom"/>
          </w:tcPr>
          <w:p>
            <w:pPr>
              <w:jc w:val="center"/>
              <w:ind w:left="2260"/>
              <w:spacing w:after="0"/>
              <w:rPr>
                <w:sz w:val="20"/>
                <w:szCs w:val="20"/>
                <w:color w:val="auto"/>
              </w:rPr>
            </w:pPr>
            <w:r>
              <w:rPr>
                <w:rFonts w:ascii="Arial" w:cs="Arial" w:eastAsia="Arial" w:hAnsi="Arial"/>
                <w:sz w:val="12"/>
                <w:szCs w:val="12"/>
                <w:b w:val="1"/>
                <w:bCs w:val="1"/>
                <w:color w:val="auto"/>
                <w:w w:val="99"/>
              </w:rPr>
              <w:t>FREQUENCY ELECTRONICS, INC. and SUBSIDIARIES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40" w:type="dxa"/>
            <w:vAlign w:val="bottom"/>
          </w:tcPr>
          <w:p>
            <w:pPr>
              <w:jc w:val="center"/>
              <w:ind w:left="2260"/>
              <w:spacing w:after="0"/>
              <w:rPr>
                <w:sz w:val="20"/>
                <w:szCs w:val="20"/>
                <w:color w:val="auto"/>
              </w:rPr>
            </w:pPr>
            <w:r>
              <w:rPr>
                <w:rFonts w:ascii="Arial" w:cs="Arial" w:eastAsia="Arial" w:hAnsi="Arial"/>
                <w:sz w:val="12"/>
                <w:szCs w:val="12"/>
                <w:color w:val="auto"/>
                <w:w w:val="88"/>
              </w:rPr>
              <w:t>Consolidated Balance Sheets</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40" w:type="dxa"/>
            <w:vAlign w:val="bottom"/>
          </w:tcPr>
          <w:p>
            <w:pPr>
              <w:jc w:val="center"/>
              <w:ind w:left="2240"/>
              <w:spacing w:after="0"/>
              <w:rPr>
                <w:sz w:val="20"/>
                <w:szCs w:val="20"/>
                <w:color w:val="auto"/>
              </w:rPr>
            </w:pPr>
            <w:r>
              <w:rPr>
                <w:rFonts w:ascii="Arial" w:cs="Arial" w:eastAsia="Arial" w:hAnsi="Arial"/>
                <w:sz w:val="12"/>
                <w:szCs w:val="12"/>
                <w:color w:val="auto"/>
                <w:w w:val="92"/>
              </w:rPr>
              <w:t>April 30, 2013 and 2012</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40" w:type="dxa"/>
            <w:vAlign w:val="bottom"/>
          </w:tcPr>
          <w:p>
            <w:pPr>
              <w:jc w:val="center"/>
              <w:ind w:left="2240"/>
              <w:spacing w:after="0"/>
              <w:rPr>
                <w:sz w:val="20"/>
                <w:szCs w:val="20"/>
                <w:color w:val="auto"/>
              </w:rPr>
            </w:pPr>
            <w:r>
              <w:rPr>
                <w:rFonts w:ascii="Arial" w:cs="Arial" w:eastAsia="Arial" w:hAnsi="Arial"/>
                <w:sz w:val="12"/>
                <w:szCs w:val="12"/>
                <w:color w:val="auto"/>
                <w:w w:val="89"/>
              </w:rPr>
              <w:t>(In thousands, except par value)</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2013</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24"/>
                <w:szCs w:val="24"/>
                <w:color w:val="auto"/>
              </w:rPr>
            </w:pPr>
          </w:p>
        </w:tc>
      </w:tr>
      <w:tr>
        <w:trPr>
          <w:trHeight w:val="133"/>
        </w:trPr>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40" w:type="dxa"/>
            <w:vAlign w:val="bottom"/>
          </w:tcPr>
          <w:p>
            <w:pPr>
              <w:jc w:val="center"/>
              <w:ind w:right="740"/>
              <w:spacing w:after="0" w:line="133" w:lineRule="exact"/>
              <w:rPr>
                <w:sz w:val="20"/>
                <w:szCs w:val="20"/>
                <w:color w:val="auto"/>
              </w:rPr>
            </w:pPr>
            <w:r>
              <w:rPr>
                <w:rFonts w:ascii="Arial" w:cs="Arial" w:eastAsia="Arial" w:hAnsi="Arial"/>
                <w:sz w:val="12"/>
                <w:szCs w:val="12"/>
                <w:b w:val="1"/>
                <w:bCs w:val="1"/>
                <w:color w:val="auto"/>
                <w:w w:val="92"/>
              </w:rPr>
              <w:t>ASSETS:</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8120" w:type="dxa"/>
            <w:vAlign w:val="bottom"/>
            <w:gridSpan w:val="3"/>
          </w:tcPr>
          <w:p>
            <w:pPr>
              <w:spacing w:after="0"/>
              <w:rPr>
                <w:sz w:val="20"/>
                <w:szCs w:val="20"/>
                <w:color w:val="auto"/>
              </w:rPr>
            </w:pPr>
            <w:r>
              <w:rPr>
                <w:rFonts w:ascii="Arial" w:cs="Arial" w:eastAsia="Arial" w:hAnsi="Arial"/>
                <w:sz w:val="12"/>
                <w:szCs w:val="12"/>
                <w:color w:val="auto"/>
              </w:rPr>
              <w:t>Current assets: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Cash and cash equivalents</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3,460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4,782</w:t>
            </w: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Marketable securities</w:t>
            </w:r>
          </w:p>
        </w:tc>
        <w:tc>
          <w:tcPr>
            <w:tcW w:w="3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18,270</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17,658</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Accounts receivable, net of allowance for doubtful accounts of $288 in 2013 and $400 in 2012</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7,781</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10,866</w:t>
            </w: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Costs and estimated earnings in excess of billings, net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8,617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7,207</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Inventories, net</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37,521</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34,299</w:t>
            </w: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Deferred income taxes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3,170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3,152</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Prepaid income taxes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Prepaid expenses and other</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1,517</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1,398</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Total current assets</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81,016</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79,362</w:t>
            </w: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Property, plant and equipment, at cost, net of accumulated depreciation and amortization</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8,316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8,374</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5,692</w:t>
            </w: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Goodwill and other intangible assets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781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873</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surrender value of life insurance and cash held in trust</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10,763</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10,133</w:t>
            </w: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Other assets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1,713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1,793</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100" w:type="dxa"/>
            <w:vAlign w:val="bottom"/>
            <w:gridSpan w:val="2"/>
            <w:shd w:val="clear" w:color="auto" w:fill="CCEEFF"/>
          </w:tcPr>
          <w:p>
            <w:pPr>
              <w:ind w:left="300"/>
              <w:spacing w:after="0"/>
              <w:rPr>
                <w:sz w:val="20"/>
                <w:szCs w:val="20"/>
                <w:color w:val="auto"/>
              </w:rPr>
            </w:pPr>
            <w:r>
              <w:rPr>
                <w:rFonts w:ascii="Arial" w:cs="Arial" w:eastAsia="Arial" w:hAnsi="Arial"/>
                <w:sz w:val="12"/>
                <w:szCs w:val="12"/>
                <w:b w:val="1"/>
                <w:bCs w:val="1"/>
                <w:color w:val="auto"/>
              </w:rPr>
              <w:t>Total assets</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108,909</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106,227</w:t>
            </w:r>
          </w:p>
        </w:tc>
      </w:tr>
      <w:tr>
        <w:trPr>
          <w:trHeight w:val="120"/>
        </w:trPr>
        <w:tc>
          <w:tcPr>
            <w:tcW w:w="20" w:type="dxa"/>
            <w:vAlign w:val="bottom"/>
          </w:tcPr>
          <w:p>
            <w:pPr>
              <w:spacing w:after="0"/>
              <w:rPr>
                <w:sz w:val="10"/>
                <w:szCs w:val="10"/>
                <w:color w:val="auto"/>
              </w:rPr>
            </w:pPr>
          </w:p>
        </w:tc>
        <w:tc>
          <w:tcPr>
            <w:tcW w:w="660" w:type="dxa"/>
            <w:vAlign w:val="bottom"/>
            <w:tcBorders>
              <w:top w:val="single" w:sz="8" w:color="CCEEFF"/>
            </w:tcBorders>
          </w:tcPr>
          <w:p>
            <w:pPr>
              <w:spacing w:after="0"/>
              <w:rPr>
                <w:sz w:val="10"/>
                <w:szCs w:val="10"/>
                <w:color w:val="auto"/>
              </w:rPr>
            </w:pPr>
          </w:p>
        </w:tc>
        <w:tc>
          <w:tcPr>
            <w:tcW w:w="7440" w:type="dxa"/>
            <w:vAlign w:val="bottom"/>
            <w:tcBorders>
              <w:top w:val="single" w:sz="8" w:color="CCEEFF"/>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40" w:type="dxa"/>
            <w:vAlign w:val="bottom"/>
            <w:shd w:val="clear" w:color="auto" w:fill="CCEEFF"/>
          </w:tcPr>
          <w:p>
            <w:pPr>
              <w:jc w:val="center"/>
              <w:ind w:right="740"/>
              <w:spacing w:after="0"/>
              <w:rPr>
                <w:sz w:val="20"/>
                <w:szCs w:val="20"/>
                <w:color w:val="auto"/>
              </w:rPr>
            </w:pPr>
            <w:r>
              <w:rPr>
                <w:rFonts w:ascii="Arial" w:cs="Arial" w:eastAsia="Arial" w:hAnsi="Arial"/>
                <w:sz w:val="12"/>
                <w:szCs w:val="12"/>
                <w:b w:val="1"/>
                <w:bCs w:val="1"/>
                <w:color w:val="auto"/>
              </w:rPr>
              <w:t>LIABILITIES AND STOCKHOLDERS' EQUITY:</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Current liabilities:</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Short-term credit obligations</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6,383</w:t>
            </w: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Accounts payable - trade</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1,205</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2,644</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Accrued liabilities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6,986</w:t>
            </w: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Income taxes payable</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96</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Total current liabilities</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9,327</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16,109</w:t>
            </w: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Credit obligations- noncurrent</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6,000</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15</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compensation</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10,374</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10,179</w:t>
            </w:r>
          </w:p>
        </w:tc>
      </w:tr>
      <w:tr>
        <w:trPr>
          <w:trHeight w:val="144"/>
        </w:trPr>
        <w:tc>
          <w:tcPr>
            <w:tcW w:w="20" w:type="dxa"/>
            <w:vAlign w:val="bottom"/>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Deferred rent and other liabilities</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756</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792</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Total liabilities</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26,457</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27,095</w:t>
            </w:r>
          </w:p>
        </w:tc>
      </w:tr>
      <w:tr>
        <w:trPr>
          <w:trHeight w:val="142"/>
        </w:trPr>
        <w:tc>
          <w:tcPr>
            <w:tcW w:w="20" w:type="dxa"/>
            <w:vAlign w:val="bottom"/>
          </w:tcPr>
          <w:p>
            <w:pPr>
              <w:spacing w:after="0"/>
              <w:rPr>
                <w:sz w:val="12"/>
                <w:szCs w:val="12"/>
                <w:color w:val="auto"/>
              </w:rPr>
            </w:pPr>
          </w:p>
        </w:tc>
        <w:tc>
          <w:tcPr>
            <w:tcW w:w="810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Commitments and contingencies</w:t>
            </w: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Preferred stock, $1.00 par value authorized 600 shares, no shares issued</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Common stock, $1.00 par value; authorized 20,000 shares, 9,164 shares issued and 8,463 outstanding in 2013; 8,363 outstanding in 2012</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9,164</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9,164</w:t>
            </w: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Additional paid-in capital</w:t>
            </w:r>
          </w:p>
        </w:tc>
        <w:tc>
          <w:tcPr>
            <w:tcW w:w="3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51,913</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50,797</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Retained earnings</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20,662</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18,660</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2"/>
                <w:szCs w:val="12"/>
                <w:color w:val="auto"/>
              </w:rPr>
              <w:t>81,739</w:t>
            </w: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78,621</w:t>
            </w: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Common stock reacquired and held in treasury - at cost (701 shares in 2013 and 801 shares in 2012)</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(3,200)</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(3,659)</w:t>
            </w: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Accumulated other comprehensive income</w:t>
            </w:r>
          </w:p>
        </w:tc>
        <w:tc>
          <w:tcPr>
            <w:tcW w:w="3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3,913</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4,170</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Total stockholders' equity</w:t>
            </w:r>
          </w:p>
        </w:tc>
        <w:tc>
          <w:tcPr>
            <w:tcW w:w="3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82,452</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79,132</w:t>
            </w: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b w:val="1"/>
                <w:bCs w:val="1"/>
                <w:color w:val="auto"/>
              </w:rPr>
              <w:t>Total liabilities and stockholders' equity</w:t>
            </w:r>
          </w:p>
        </w:tc>
        <w:tc>
          <w:tcPr>
            <w:tcW w:w="320" w:type="dxa"/>
            <w:vAlign w:val="bottom"/>
          </w:tcPr>
          <w:p>
            <w:pPr>
              <w:jc w:val="right"/>
              <w:ind w:right="210"/>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108,909</w:t>
            </w:r>
          </w:p>
        </w:tc>
        <w:tc>
          <w:tcPr>
            <w:tcW w:w="220" w:type="dxa"/>
            <w:vAlign w:val="bottom"/>
          </w:tcPr>
          <w:p>
            <w:pPr>
              <w:spacing w:after="0"/>
              <w:rPr>
                <w:sz w:val="12"/>
                <w:szCs w:val="12"/>
                <w:color w:val="auto"/>
              </w:rPr>
            </w:pPr>
          </w:p>
        </w:tc>
        <w:tc>
          <w:tcPr>
            <w:tcW w:w="300" w:type="dxa"/>
            <w:vAlign w:val="bottom"/>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106,227</w:t>
            </w: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0"/>
          </w:cols>
          <w:pgMar w:left="220" w:top="115" w:right="5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15"/>
        </w:trPr>
        <w:tc>
          <w:tcPr>
            <w:tcW w:w="304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19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5920" w:type="dxa"/>
            <w:vAlign w:val="bottom"/>
            <w:gridSpan w:val="3"/>
          </w:tcPr>
          <w:p>
            <w:pPr>
              <w:jc w:val="center"/>
              <w:ind w:right="827"/>
              <w:spacing w:after="0"/>
              <w:rPr>
                <w:sz w:val="20"/>
                <w:szCs w:val="20"/>
                <w:color w:val="auto"/>
              </w:rPr>
            </w:pPr>
            <w:r>
              <w:rPr>
                <w:rFonts w:ascii="Arial" w:cs="Arial" w:eastAsia="Arial" w:hAnsi="Arial"/>
                <w:sz w:val="12"/>
                <w:szCs w:val="12"/>
                <w:b w:val="1"/>
                <w:bCs w:val="1"/>
                <w:color w:val="auto"/>
                <w:w w:val="99"/>
              </w:rPr>
              <w:t>FREQUENCY ELECTRONICS, INC. and SUBSIDIARIES</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5920" w:type="dxa"/>
            <w:vAlign w:val="bottom"/>
            <w:gridSpan w:val="3"/>
          </w:tcPr>
          <w:p>
            <w:pPr>
              <w:jc w:val="center"/>
              <w:ind w:right="827"/>
              <w:spacing w:after="0"/>
              <w:rPr>
                <w:sz w:val="20"/>
                <w:szCs w:val="20"/>
                <w:color w:val="auto"/>
              </w:rPr>
            </w:pPr>
            <w:r>
              <w:rPr>
                <w:rFonts w:ascii="Arial" w:cs="Arial" w:eastAsia="Arial" w:hAnsi="Arial"/>
                <w:sz w:val="12"/>
                <w:szCs w:val="12"/>
                <w:color w:val="auto"/>
                <w:w w:val="89"/>
              </w:rPr>
              <w:t>Consolidated Statements of Income and Comprehensive Income</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920" w:type="dxa"/>
            <w:vAlign w:val="bottom"/>
            <w:gridSpan w:val="3"/>
          </w:tcPr>
          <w:p>
            <w:pPr>
              <w:jc w:val="center"/>
              <w:ind w:right="827"/>
              <w:spacing w:after="0"/>
              <w:rPr>
                <w:sz w:val="20"/>
                <w:szCs w:val="20"/>
                <w:color w:val="auto"/>
              </w:rPr>
            </w:pPr>
            <w:r>
              <w:rPr>
                <w:rFonts w:ascii="Arial" w:cs="Arial" w:eastAsia="Arial" w:hAnsi="Arial"/>
                <w:sz w:val="12"/>
                <w:szCs w:val="12"/>
                <w:color w:val="auto"/>
                <w:w w:val="90"/>
              </w:rPr>
              <w:t>Years ended April 30, 2013 and 2012</w:t>
            </w: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80" w:type="dxa"/>
            <w:vAlign w:val="bottom"/>
            <w:gridSpan w:val="2"/>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5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2012</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340" w:type="dxa"/>
            <w:vAlign w:val="bottom"/>
            <w:gridSpan w:val="2"/>
          </w:tcPr>
          <w:p>
            <w:pPr>
              <w:ind w:left="660"/>
              <w:spacing w:after="0"/>
              <w:rPr>
                <w:sz w:val="20"/>
                <w:szCs w:val="20"/>
                <w:color w:val="auto"/>
              </w:rPr>
            </w:pPr>
            <w:r>
              <w:rPr>
                <w:rFonts w:ascii="Arial" w:cs="Arial" w:eastAsia="Arial" w:hAnsi="Arial"/>
                <w:sz w:val="12"/>
                <w:szCs w:val="12"/>
                <w:color w:val="auto"/>
                <w:w w:val="86"/>
              </w:rPr>
              <w:t>(In thousands,</w:t>
            </w:r>
          </w:p>
        </w:tc>
        <w:tc>
          <w:tcPr>
            <w:tcW w:w="1040" w:type="dxa"/>
            <w:vAlign w:val="bottom"/>
            <w:gridSpan w:val="2"/>
          </w:tcPr>
          <w:p>
            <w:pPr>
              <w:jc w:val="right"/>
              <w:ind w:right="89"/>
              <w:spacing w:after="0"/>
              <w:rPr>
                <w:sz w:val="20"/>
                <w:szCs w:val="20"/>
                <w:color w:val="auto"/>
              </w:rPr>
            </w:pPr>
            <w:r>
              <w:rPr>
                <w:rFonts w:ascii="Arial" w:cs="Arial" w:eastAsia="Arial" w:hAnsi="Arial"/>
                <w:sz w:val="12"/>
                <w:szCs w:val="12"/>
                <w:color w:val="auto"/>
                <w:w w:val="88"/>
              </w:rPr>
              <w:t>except share data)</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Revenues</w:t>
            </w:r>
          </w:p>
        </w:tc>
        <w:tc>
          <w:tcPr>
            <w:tcW w:w="5920" w:type="dxa"/>
            <w:vAlign w:val="bottom"/>
            <w:gridSpan w:val="3"/>
            <w:shd w:val="clear" w:color="auto" w:fill="CCEEFF"/>
          </w:tcPr>
          <w:p>
            <w:pPr>
              <w:jc w:val="right"/>
              <w:ind w:right="727"/>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68,932</w:t>
            </w:r>
          </w:p>
        </w:tc>
        <w:tc>
          <w:tcPr>
            <w:tcW w:w="820" w:type="dxa"/>
            <w:vAlign w:val="bottom"/>
            <w:shd w:val="clear" w:color="auto" w:fill="CCEEFF"/>
          </w:tcPr>
          <w:p>
            <w:pPr>
              <w:jc w:val="right"/>
              <w:ind w:right="70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63,595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tcPr>
          <w:p>
            <w:pPr>
              <w:spacing w:after="0"/>
              <w:rPr>
                <w:sz w:val="20"/>
                <w:szCs w:val="20"/>
                <w:color w:val="auto"/>
              </w:rPr>
            </w:pPr>
            <w:r>
              <w:rPr>
                <w:rFonts w:ascii="Arial" w:cs="Arial" w:eastAsia="Arial" w:hAnsi="Arial"/>
                <w:sz w:val="12"/>
                <w:szCs w:val="12"/>
                <w:color w:val="auto"/>
              </w:rPr>
              <w:t>Cost of revenues</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43,822</w:t>
            </w:r>
          </w:p>
        </w:tc>
        <w:tc>
          <w:tcPr>
            <w:tcW w:w="8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38,977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Gross margin</w:t>
            </w:r>
          </w:p>
        </w:tc>
        <w:tc>
          <w:tcPr>
            <w:tcW w:w="19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25,110</w:t>
            </w: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24,618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tcPr>
          <w:p>
            <w:pPr>
              <w:spacing w:after="0"/>
              <w:rPr>
                <w:sz w:val="20"/>
                <w:szCs w:val="20"/>
                <w:color w:val="auto"/>
              </w:rPr>
            </w:pPr>
            <w:r>
              <w:rPr>
                <w:rFonts w:ascii="Arial" w:cs="Arial" w:eastAsia="Arial" w:hAnsi="Arial"/>
                <w:sz w:val="12"/>
                <w:szCs w:val="12"/>
                <w:color w:val="auto"/>
              </w:rPr>
              <w:t>Selling and administrative expenses</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14,704</w:t>
            </w:r>
          </w:p>
        </w:tc>
        <w:tc>
          <w:tcPr>
            <w:tcW w:w="8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14,055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Research and development expenses</w:t>
            </w:r>
          </w:p>
        </w:tc>
        <w:tc>
          <w:tcPr>
            <w:tcW w:w="19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5,727</w:t>
            </w: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2"/>
          </w:tcPr>
          <w:p>
            <w:pPr>
              <w:ind w:left="300"/>
              <w:spacing w:after="0"/>
              <w:rPr>
                <w:sz w:val="20"/>
                <w:szCs w:val="20"/>
                <w:color w:val="auto"/>
              </w:rPr>
            </w:pPr>
            <w:r>
              <w:rPr>
                <w:rFonts w:ascii="Arial" w:cs="Arial" w:eastAsia="Arial" w:hAnsi="Arial"/>
                <w:sz w:val="12"/>
                <w:szCs w:val="12"/>
                <w:color w:val="auto"/>
              </w:rPr>
              <w:t>Operating profit</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4,679</w:t>
            </w:r>
          </w:p>
        </w:tc>
        <w:tc>
          <w:tcPr>
            <w:tcW w:w="8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6,703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19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tcPr>
          <w:p>
            <w:pPr>
              <w:ind w:left="180"/>
              <w:spacing w:after="0"/>
              <w:rPr>
                <w:sz w:val="20"/>
                <w:szCs w:val="20"/>
                <w:color w:val="auto"/>
              </w:rPr>
            </w:pPr>
            <w:r>
              <w:rPr>
                <w:rFonts w:ascii="Arial" w:cs="Arial" w:eastAsia="Arial" w:hAnsi="Arial"/>
                <w:sz w:val="12"/>
                <w:szCs w:val="12"/>
                <w:color w:val="auto"/>
              </w:rPr>
              <w:t>Investment income</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671</w:t>
            </w:r>
          </w:p>
        </w:tc>
        <w:tc>
          <w:tcPr>
            <w:tcW w:w="8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646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Gain on investment in affiliate</w:t>
            </w:r>
          </w:p>
        </w:tc>
        <w:tc>
          <w:tcPr>
            <w:tcW w:w="19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tcPr>
          <w:p>
            <w:pPr>
              <w:ind w:left="180"/>
              <w:spacing w:after="0"/>
              <w:rPr>
                <w:sz w:val="20"/>
                <w:szCs w:val="20"/>
                <w:color w:val="auto"/>
              </w:rPr>
            </w:pPr>
            <w:r>
              <w:rPr>
                <w:rFonts w:ascii="Arial" w:cs="Arial" w:eastAsia="Arial" w:hAnsi="Arial"/>
                <w:sz w:val="12"/>
                <w:szCs w:val="12"/>
                <w:color w:val="auto"/>
              </w:rPr>
              <w:t>Equity loss</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Impairment of investment in affiliate</w:t>
            </w:r>
          </w:p>
        </w:tc>
        <w:tc>
          <w:tcPr>
            <w:tcW w:w="19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tcPr>
          <w:p>
            <w:pPr>
              <w:ind w:left="180"/>
              <w:spacing w:after="0"/>
              <w:rPr>
                <w:sz w:val="20"/>
                <w:szCs w:val="20"/>
                <w:color w:val="auto"/>
              </w:rPr>
            </w:pPr>
            <w:r>
              <w:rPr>
                <w:rFonts w:ascii="Arial" w:cs="Arial" w:eastAsia="Arial" w:hAnsi="Arial"/>
                <w:sz w:val="12"/>
                <w:szCs w:val="12"/>
                <w:color w:val="auto"/>
              </w:rPr>
              <w:t>Interest expense</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(195)</w:t>
            </w:r>
          </w:p>
        </w:tc>
        <w:tc>
          <w:tcPr>
            <w:tcW w:w="8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Other expense, net</w:t>
            </w:r>
          </w:p>
        </w:tc>
        <w:tc>
          <w:tcPr>
            <w:tcW w:w="19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w:t>
            </w: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020" w:type="dxa"/>
            <w:vAlign w:val="bottom"/>
            <w:gridSpan w:val="2"/>
          </w:tcPr>
          <w:p>
            <w:pPr>
              <w:spacing w:after="0"/>
              <w:rPr>
                <w:sz w:val="20"/>
                <w:szCs w:val="20"/>
                <w:color w:val="auto"/>
              </w:rPr>
            </w:pPr>
            <w:r>
              <w:rPr>
                <w:rFonts w:ascii="Arial" w:cs="Arial" w:eastAsia="Arial" w:hAnsi="Arial"/>
                <w:sz w:val="12"/>
                <w:szCs w:val="12"/>
                <w:color w:val="auto"/>
              </w:rPr>
              <w:t>Income before provision (benefit) for income taxes</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5,086</w:t>
            </w:r>
          </w:p>
        </w:tc>
        <w:tc>
          <w:tcPr>
            <w:tcW w:w="8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6,814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Provision (Benefit) for income taxes</w:t>
            </w:r>
          </w:p>
        </w:tc>
        <w:tc>
          <w:tcPr>
            <w:tcW w:w="19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1,400</w:t>
            </w: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2"/>
          </w:tcPr>
          <w:p>
            <w:pPr>
              <w:ind w:left="300"/>
              <w:spacing w:after="0"/>
              <w:rPr>
                <w:sz w:val="20"/>
                <w:szCs w:val="20"/>
                <w:color w:val="auto"/>
              </w:rPr>
            </w:pPr>
            <w:r>
              <w:rPr>
                <w:rFonts w:ascii="Arial" w:cs="Arial" w:eastAsia="Arial" w:hAnsi="Arial"/>
                <w:sz w:val="12"/>
                <w:szCs w:val="12"/>
                <w:color w:val="auto"/>
              </w:rPr>
              <w:t>Net income</w:t>
            </w:r>
          </w:p>
        </w:tc>
        <w:tc>
          <w:tcPr>
            <w:tcW w:w="5080" w:type="dxa"/>
            <w:vAlign w:val="bottom"/>
            <w:gridSpan w:val="2"/>
          </w:tcPr>
          <w:p>
            <w:pPr>
              <w:spacing w:after="0"/>
              <w:rPr>
                <w:sz w:val="12"/>
                <w:szCs w:val="12"/>
                <w:color w:val="auto"/>
              </w:rPr>
            </w:pP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3,686</w:t>
            </w:r>
          </w:p>
        </w:tc>
        <w:tc>
          <w:tcPr>
            <w:tcW w:w="820" w:type="dxa"/>
            <w:vAlign w:val="bottom"/>
          </w:tcPr>
          <w:p>
            <w:pPr>
              <w:jc w:val="right"/>
              <w:ind w:right="70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7,374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3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20" w:type="dxa"/>
            <w:vAlign w:val="bottom"/>
            <w:gridSpan w:val="2"/>
          </w:tcPr>
          <w:p>
            <w:pPr>
              <w:spacing w:after="0"/>
              <w:rPr>
                <w:sz w:val="20"/>
                <w:szCs w:val="20"/>
                <w:color w:val="auto"/>
              </w:rPr>
            </w:pPr>
            <w:r>
              <w:rPr>
                <w:rFonts w:ascii="Arial" w:cs="Arial" w:eastAsia="Arial" w:hAnsi="Arial"/>
                <w:sz w:val="12"/>
                <w:szCs w:val="12"/>
                <w:color w:val="auto"/>
              </w:rPr>
              <w:t>Net income per common share:</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Basic</w:t>
            </w:r>
          </w:p>
        </w:tc>
        <w:tc>
          <w:tcPr>
            <w:tcW w:w="5080" w:type="dxa"/>
            <w:vAlign w:val="bottom"/>
            <w:gridSpan w:val="2"/>
            <w:shd w:val="clear" w:color="auto" w:fill="CCEEFF"/>
          </w:tcPr>
          <w:p>
            <w:pPr>
              <w:spacing w:after="0"/>
              <w:rPr>
                <w:sz w:val="14"/>
                <w:szCs w:val="14"/>
                <w:color w:val="auto"/>
              </w:rPr>
            </w:pPr>
          </w:p>
        </w:tc>
        <w:tc>
          <w:tcPr>
            <w:tcW w:w="840" w:type="dxa"/>
            <w:vAlign w:val="bottom"/>
            <w:shd w:val="clear" w:color="auto" w:fill="CCEEFF"/>
          </w:tcPr>
          <w:p>
            <w:pPr>
              <w:jc w:val="right"/>
              <w:ind w:right="727"/>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0.44</w:t>
            </w:r>
          </w:p>
        </w:tc>
        <w:tc>
          <w:tcPr>
            <w:tcW w:w="820" w:type="dxa"/>
            <w:vAlign w:val="bottom"/>
            <w:shd w:val="clear" w:color="auto" w:fill="CCEEFF"/>
          </w:tcPr>
          <w:p>
            <w:pPr>
              <w:jc w:val="right"/>
              <w:ind w:right="70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gridSpan w:val="2"/>
          </w:tcPr>
          <w:p>
            <w:pPr>
              <w:ind w:left="180"/>
              <w:spacing w:after="0" w:line="120" w:lineRule="exact"/>
              <w:rPr>
                <w:sz w:val="20"/>
                <w:szCs w:val="20"/>
                <w:color w:val="auto"/>
              </w:rPr>
            </w:pPr>
            <w:r>
              <w:rPr>
                <w:rFonts w:ascii="Arial" w:cs="Arial" w:eastAsia="Arial" w:hAnsi="Arial"/>
                <w:sz w:val="12"/>
                <w:szCs w:val="12"/>
                <w:color w:val="auto"/>
              </w:rPr>
              <w:t>Diluted</w:t>
            </w:r>
          </w:p>
        </w:tc>
        <w:tc>
          <w:tcPr>
            <w:tcW w:w="5080" w:type="dxa"/>
            <w:vAlign w:val="bottom"/>
            <w:gridSpan w:val="2"/>
          </w:tcPr>
          <w:p>
            <w:pPr>
              <w:spacing w:after="0"/>
              <w:rPr>
                <w:sz w:val="10"/>
                <w:szCs w:val="10"/>
                <w:color w:val="auto"/>
              </w:rPr>
            </w:pPr>
          </w:p>
        </w:tc>
        <w:tc>
          <w:tcPr>
            <w:tcW w:w="840" w:type="dxa"/>
            <w:vAlign w:val="bottom"/>
          </w:tcPr>
          <w:p>
            <w:pPr>
              <w:jc w:val="right"/>
              <w:ind w:right="727"/>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line="120" w:lineRule="exact"/>
              <w:rPr>
                <w:sz w:val="20"/>
                <w:szCs w:val="20"/>
                <w:color w:val="auto"/>
              </w:rPr>
            </w:pPr>
            <w:r>
              <w:rPr>
                <w:rFonts w:ascii="Arial" w:cs="Arial" w:eastAsia="Arial" w:hAnsi="Arial"/>
                <w:sz w:val="12"/>
                <w:szCs w:val="12"/>
                <w:color w:val="auto"/>
              </w:rPr>
              <w:t>0.43</w:t>
            </w:r>
          </w:p>
        </w:tc>
        <w:tc>
          <w:tcPr>
            <w:tcW w:w="820" w:type="dxa"/>
            <w:vAlign w:val="bottom"/>
          </w:tcPr>
          <w:p>
            <w:pPr>
              <w:jc w:val="right"/>
              <w:ind w:right="70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20"/>
              <w:spacing w:after="0" w:line="120" w:lineRule="exact"/>
              <w:rPr>
                <w:sz w:val="20"/>
                <w:szCs w:val="20"/>
                <w:color w:val="auto"/>
              </w:rPr>
            </w:pPr>
            <w:r>
              <w:rPr>
                <w:rFonts w:ascii="Arial" w:cs="Arial" w:eastAsia="Arial" w:hAnsi="Arial"/>
                <w:sz w:val="12"/>
                <w:szCs w:val="12"/>
                <w:color w:val="auto"/>
              </w:rPr>
              <w:t>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color w:val="auto"/>
              </w:rPr>
              <w:t>Average shares outstanding:</w:t>
            </w:r>
          </w:p>
        </w:tc>
        <w:tc>
          <w:tcPr>
            <w:tcW w:w="1920" w:type="dxa"/>
            <w:vAlign w:val="bottom"/>
            <w:shd w:val="clear" w:color="auto" w:fill="CCEEFF"/>
          </w:tcPr>
          <w:p>
            <w:pPr>
              <w:spacing w:after="0"/>
              <w:rPr>
                <w:sz w:val="10"/>
                <w:szCs w:val="10"/>
                <w:color w:val="auto"/>
              </w:rPr>
            </w:pPr>
          </w:p>
        </w:tc>
        <w:tc>
          <w:tcPr>
            <w:tcW w:w="3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tcPr>
          <w:p>
            <w:pPr>
              <w:ind w:left="180"/>
              <w:spacing w:after="0"/>
              <w:rPr>
                <w:sz w:val="20"/>
                <w:szCs w:val="20"/>
                <w:color w:val="auto"/>
              </w:rPr>
            </w:pPr>
            <w:r>
              <w:rPr>
                <w:rFonts w:ascii="Arial" w:cs="Arial" w:eastAsia="Arial" w:hAnsi="Arial"/>
                <w:sz w:val="12"/>
                <w:szCs w:val="12"/>
                <w:color w:val="auto"/>
              </w:rPr>
              <w:t>Basic</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w w:val="89"/>
              </w:rPr>
              <w:t>8,412,633</w:t>
            </w:r>
          </w:p>
        </w:tc>
        <w:tc>
          <w:tcPr>
            <w:tcW w:w="8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w w:val="89"/>
              </w:rPr>
              <w:t>8,329,081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gridSpan w:val="2"/>
            <w:shd w:val="clear" w:color="auto" w:fill="CCEEFF"/>
          </w:tcPr>
          <w:p>
            <w:pPr>
              <w:ind w:left="180"/>
              <w:spacing w:after="0" w:line="120" w:lineRule="exact"/>
              <w:rPr>
                <w:sz w:val="20"/>
                <w:szCs w:val="20"/>
                <w:color w:val="auto"/>
              </w:rPr>
            </w:pPr>
            <w:r>
              <w:rPr>
                <w:rFonts w:ascii="Arial" w:cs="Arial" w:eastAsia="Arial" w:hAnsi="Arial"/>
                <w:sz w:val="12"/>
                <w:szCs w:val="12"/>
                <w:color w:val="auto"/>
              </w:rPr>
              <w:t>Diluted</w:t>
            </w:r>
          </w:p>
        </w:tc>
        <w:tc>
          <w:tcPr>
            <w:tcW w:w="1920" w:type="dxa"/>
            <w:vAlign w:val="bottom"/>
            <w:shd w:val="clear" w:color="auto" w:fill="CCEEFF"/>
          </w:tcPr>
          <w:p>
            <w:pPr>
              <w:spacing w:after="0"/>
              <w:rPr>
                <w:sz w:val="13"/>
                <w:szCs w:val="13"/>
                <w:color w:val="auto"/>
              </w:rPr>
            </w:pPr>
          </w:p>
        </w:tc>
        <w:tc>
          <w:tcPr>
            <w:tcW w:w="3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w w:val="89"/>
              </w:rPr>
              <w:t>8,604,651</w:t>
            </w:r>
          </w:p>
        </w:tc>
        <w:tc>
          <w:tcPr>
            <w:tcW w:w="8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w w:val="89"/>
              </w:rPr>
              <w:t>8,540,955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2360" w:type="dxa"/>
            <w:vAlign w:val="bottom"/>
            <w:tcBorders>
              <w:top w:val="single" w:sz="8" w:color="CCEEFF"/>
            </w:tcBorders>
          </w:tcPr>
          <w:p>
            <w:pPr>
              <w:spacing w:after="0"/>
              <w:rPr>
                <w:sz w:val="21"/>
                <w:szCs w:val="21"/>
                <w:color w:val="auto"/>
              </w:rPr>
            </w:pPr>
          </w:p>
        </w:tc>
        <w:tc>
          <w:tcPr>
            <w:tcW w:w="5080" w:type="dxa"/>
            <w:vAlign w:val="bottom"/>
            <w:tcBorders>
              <w:top w:val="single" w:sz="8" w:color="CCEEFF"/>
            </w:tcBorders>
            <w:gridSpan w:val="2"/>
          </w:tcPr>
          <w:p>
            <w:pPr>
              <w:spacing w:after="0"/>
              <w:rPr>
                <w:sz w:val="20"/>
                <w:szCs w:val="20"/>
                <w:color w:val="auto"/>
              </w:rPr>
            </w:pPr>
            <w:r>
              <w:rPr>
                <w:rFonts w:ascii="Arial" w:cs="Arial" w:eastAsia="Arial" w:hAnsi="Arial"/>
                <w:sz w:val="12"/>
                <w:szCs w:val="12"/>
                <w:b w:val="1"/>
                <w:bCs w:val="1"/>
                <w:color w:val="auto"/>
              </w:rPr>
              <w:t>Statements of Comprehensive Income</w:t>
            </w:r>
          </w:p>
        </w:tc>
        <w:tc>
          <w:tcPr>
            <w:tcW w:w="8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w:t>
            </w:r>
          </w:p>
        </w:tc>
        <w:tc>
          <w:tcPr>
            <w:tcW w:w="1920" w:type="dxa"/>
            <w:vAlign w:val="bottom"/>
            <w:tcBorders>
              <w:top w:val="single" w:sz="8" w:color="auto"/>
            </w:tcBorders>
            <w:shd w:val="clear" w:color="auto" w:fill="CCEEFF"/>
          </w:tcPr>
          <w:p>
            <w:pPr>
              <w:spacing w:after="0"/>
              <w:rPr>
                <w:sz w:val="12"/>
                <w:szCs w:val="12"/>
                <w:color w:val="auto"/>
              </w:rPr>
            </w:pPr>
          </w:p>
        </w:tc>
        <w:tc>
          <w:tcPr>
            <w:tcW w:w="4000" w:type="dxa"/>
            <w:vAlign w:val="bottom"/>
            <w:gridSpan w:val="2"/>
            <w:shd w:val="clear" w:color="auto" w:fill="CCEEFF"/>
          </w:tcPr>
          <w:p>
            <w:pPr>
              <w:jc w:val="right"/>
              <w:ind w:right="727"/>
              <w:spacing w:after="0"/>
              <w:rPr>
                <w:sz w:val="20"/>
                <w:szCs w:val="20"/>
                <w:color w:val="auto"/>
              </w:rPr>
            </w:pPr>
            <w:r>
              <w:rPr>
                <w:rFonts w:ascii="Arial" w:cs="Arial" w:eastAsia="Arial" w:hAnsi="Arial"/>
                <w:sz w:val="12"/>
                <w:szCs w:val="12"/>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3,686</w:t>
            </w:r>
          </w:p>
        </w:tc>
        <w:tc>
          <w:tcPr>
            <w:tcW w:w="820" w:type="dxa"/>
            <w:vAlign w:val="bottom"/>
            <w:shd w:val="clear" w:color="auto" w:fill="CCEEFF"/>
          </w:tcPr>
          <w:p>
            <w:pPr>
              <w:jc w:val="right"/>
              <w:ind w:right="70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tcPr>
          <w:p>
            <w:pPr>
              <w:spacing w:after="0"/>
              <w:rPr>
                <w:sz w:val="20"/>
                <w:szCs w:val="20"/>
                <w:color w:val="auto"/>
              </w:rPr>
            </w:pPr>
            <w:r>
              <w:rPr>
                <w:rFonts w:ascii="Arial" w:cs="Arial" w:eastAsia="Arial" w:hAnsi="Arial"/>
                <w:sz w:val="12"/>
                <w:szCs w:val="12"/>
                <w:color w:val="auto"/>
              </w:rPr>
              <w:t>Other comprehensive income (loss):</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Foreign currency translation adjustment</w:t>
            </w:r>
          </w:p>
        </w:tc>
        <w:tc>
          <w:tcPr>
            <w:tcW w:w="19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(782)</w:t>
            </w: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(1,070)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tcPr>
          <w:p>
            <w:pPr>
              <w:ind w:left="80"/>
              <w:spacing w:after="0"/>
              <w:rPr>
                <w:sz w:val="20"/>
                <w:szCs w:val="20"/>
                <w:color w:val="auto"/>
              </w:rPr>
            </w:pPr>
            <w:r>
              <w:rPr>
                <w:rFonts w:ascii="Arial" w:cs="Arial" w:eastAsia="Arial" w:hAnsi="Arial"/>
                <w:sz w:val="12"/>
                <w:szCs w:val="12"/>
                <w:color w:val="auto"/>
              </w:rPr>
              <w:t>Change in market value of marketable securities</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2"/>
                <w:szCs w:val="12"/>
                <w:color w:val="auto"/>
              </w:rPr>
              <w:t>821</w:t>
            </w:r>
          </w:p>
        </w:tc>
        <w:tc>
          <w:tcPr>
            <w:tcW w:w="82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Deferred tax effect of change in marketable securities</w:t>
            </w:r>
          </w:p>
        </w:tc>
        <w:tc>
          <w:tcPr>
            <w:tcW w:w="192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(296)</w:t>
            </w:r>
          </w:p>
        </w:tc>
        <w:tc>
          <w:tcPr>
            <w:tcW w:w="8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2"/>
          </w:tcPr>
          <w:p>
            <w:pPr>
              <w:ind w:left="80"/>
              <w:spacing w:after="0"/>
              <w:rPr>
                <w:sz w:val="20"/>
                <w:szCs w:val="20"/>
                <w:color w:val="auto"/>
              </w:rPr>
            </w:pPr>
            <w:r>
              <w:rPr>
                <w:rFonts w:ascii="Arial" w:cs="Arial" w:eastAsia="Arial" w:hAnsi="Arial"/>
                <w:sz w:val="12"/>
                <w:szCs w:val="12"/>
                <w:color w:val="auto"/>
              </w:rPr>
              <w:t>Total other comprehensive income (loss)</w:t>
            </w:r>
          </w:p>
        </w:tc>
        <w:tc>
          <w:tcPr>
            <w:tcW w:w="1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(257)</w:t>
            </w:r>
          </w:p>
        </w:tc>
        <w:tc>
          <w:tcPr>
            <w:tcW w:w="8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2"/>
                <w:szCs w:val="12"/>
                <w:color w:val="auto"/>
              </w:rPr>
              <w:t>(1,022)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Comprehensive income</w:t>
            </w:r>
          </w:p>
        </w:tc>
        <w:tc>
          <w:tcPr>
            <w:tcW w:w="5080" w:type="dxa"/>
            <w:vAlign w:val="bottom"/>
            <w:gridSpan w:val="2"/>
            <w:shd w:val="clear" w:color="auto" w:fill="CCEEFF"/>
          </w:tcPr>
          <w:p>
            <w:pPr>
              <w:spacing w:after="0"/>
              <w:rPr>
                <w:sz w:val="14"/>
                <w:szCs w:val="14"/>
                <w:color w:val="auto"/>
              </w:rPr>
            </w:pPr>
          </w:p>
        </w:tc>
        <w:tc>
          <w:tcPr>
            <w:tcW w:w="840" w:type="dxa"/>
            <w:vAlign w:val="bottom"/>
            <w:shd w:val="clear" w:color="auto" w:fill="CCEEFF"/>
          </w:tcPr>
          <w:p>
            <w:pPr>
              <w:jc w:val="right"/>
              <w:ind w:right="727"/>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3,429</w:t>
            </w:r>
          </w:p>
        </w:tc>
        <w:tc>
          <w:tcPr>
            <w:tcW w:w="820" w:type="dxa"/>
            <w:vAlign w:val="bottom"/>
            <w:shd w:val="clear" w:color="auto" w:fill="CCEEFF"/>
          </w:tcPr>
          <w:p>
            <w:pPr>
              <w:jc w:val="right"/>
              <w:ind w:right="709"/>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0"/>
          </w:cols>
          <w:pgMar w:left="220" w:top="115" w:right="5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15"/>
        </w:trPr>
        <w:tc>
          <w:tcPr>
            <w:tcW w:w="400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4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320" w:type="dxa"/>
            <w:vAlign w:val="bottom"/>
          </w:tcPr>
          <w:p>
            <w:pPr>
              <w:spacing w:after="0"/>
              <w:rPr>
                <w:sz w:val="24"/>
                <w:szCs w:val="24"/>
                <w:color w:val="auto"/>
              </w:rPr>
            </w:pPr>
          </w:p>
        </w:tc>
        <w:tc>
          <w:tcPr>
            <w:tcW w:w="4440" w:type="dxa"/>
            <w:vAlign w:val="bottom"/>
            <w:gridSpan w:val="2"/>
          </w:tcPr>
          <w:p>
            <w:pPr>
              <w:jc w:val="center"/>
              <w:ind w:right="1320"/>
              <w:spacing w:after="0"/>
              <w:rPr>
                <w:sz w:val="20"/>
                <w:szCs w:val="20"/>
                <w:color w:val="auto"/>
              </w:rPr>
            </w:pPr>
            <w:r>
              <w:rPr>
                <w:rFonts w:ascii="Arial" w:cs="Arial" w:eastAsia="Arial" w:hAnsi="Arial"/>
                <w:sz w:val="12"/>
                <w:szCs w:val="12"/>
                <w:b w:val="1"/>
                <w:bCs w:val="1"/>
                <w:color w:val="auto"/>
                <w:w w:val="99"/>
              </w:rPr>
              <w:t>FREQUENCY ELECTRONICS, INC. and SUBSIDIARIES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440" w:type="dxa"/>
            <w:vAlign w:val="bottom"/>
            <w:gridSpan w:val="2"/>
          </w:tcPr>
          <w:p>
            <w:pPr>
              <w:jc w:val="center"/>
              <w:ind w:right="1320"/>
              <w:spacing w:after="0"/>
              <w:rPr>
                <w:sz w:val="20"/>
                <w:szCs w:val="20"/>
                <w:color w:val="auto"/>
              </w:rPr>
            </w:pPr>
            <w:r>
              <w:rPr>
                <w:rFonts w:ascii="Arial" w:cs="Arial" w:eastAsia="Arial" w:hAnsi="Arial"/>
                <w:sz w:val="12"/>
                <w:szCs w:val="12"/>
                <w:color w:val="auto"/>
                <w:w w:val="89"/>
              </w:rPr>
              <w:t>Consolidated Statements of Cash Flows</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440" w:type="dxa"/>
            <w:vAlign w:val="bottom"/>
            <w:gridSpan w:val="2"/>
          </w:tcPr>
          <w:p>
            <w:pPr>
              <w:jc w:val="center"/>
              <w:ind w:right="1320"/>
              <w:spacing w:after="0"/>
              <w:rPr>
                <w:sz w:val="20"/>
                <w:szCs w:val="20"/>
                <w:color w:val="auto"/>
              </w:rPr>
            </w:pPr>
            <w:r>
              <w:rPr>
                <w:rFonts w:ascii="Arial" w:cs="Arial" w:eastAsia="Arial" w:hAnsi="Arial"/>
                <w:sz w:val="12"/>
                <w:szCs w:val="12"/>
                <w:color w:val="auto"/>
                <w:w w:val="90"/>
              </w:rPr>
              <w:t>Years ended April 30, 2013 and 2012</w:t>
            </w: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000" w:type="dxa"/>
            <w:vAlign w:val="bottom"/>
            <w:gridSpan w:val="3"/>
            <w:vMerge w:val="restart"/>
          </w:tcPr>
          <w:p>
            <w:pPr>
              <w:spacing w:after="0"/>
              <w:rPr>
                <w:sz w:val="20"/>
                <w:szCs w:val="20"/>
                <w:color w:val="auto"/>
              </w:rPr>
            </w:pPr>
            <w:r>
              <w:rPr>
                <w:rFonts w:ascii="Arial" w:cs="Arial" w:eastAsia="Arial" w:hAnsi="Arial"/>
                <w:sz w:val="12"/>
                <w:szCs w:val="12"/>
                <w:color w:val="auto"/>
              </w:rPr>
              <w:t>Cash flows from operating activities:</w:t>
            </w:r>
          </w:p>
        </w:tc>
        <w:tc>
          <w:tcPr>
            <w:tcW w:w="4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(In thousands)</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gridSpan w:val="3"/>
            <w:vMerge w:val="continue"/>
          </w:tcPr>
          <w:p>
            <w:pPr>
              <w:spacing w:after="0"/>
              <w:rPr>
                <w:sz w:val="11"/>
                <w:szCs w:val="11"/>
                <w:color w:val="auto"/>
              </w:rPr>
            </w:pPr>
          </w:p>
        </w:tc>
        <w:tc>
          <w:tcPr>
            <w:tcW w:w="4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Net income</w:t>
            </w:r>
          </w:p>
        </w:tc>
        <w:tc>
          <w:tcPr>
            <w:tcW w:w="44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3,686</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7,374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80"/>
              <w:spacing w:after="0"/>
              <w:rPr>
                <w:sz w:val="20"/>
                <w:szCs w:val="20"/>
                <w:color w:val="auto"/>
              </w:rPr>
            </w:pPr>
            <w:r>
              <w:rPr>
                <w:rFonts w:ascii="Arial" w:cs="Arial" w:eastAsia="Arial" w:hAnsi="Arial"/>
                <w:sz w:val="12"/>
                <w:szCs w:val="12"/>
                <w:color w:val="auto"/>
                <w:w w:val="91"/>
              </w:rPr>
              <w:t>Adjustments to reconcile net income to net cash provided in operating activities:</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Deferred income tax benefit</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(320)</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Depreciation and amortization</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2,413</w:t>
            </w:r>
          </w:p>
        </w:tc>
        <w:tc>
          <w:tcPr>
            <w:tcW w:w="30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2,241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Deferred lease obligation</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(68)</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w w:val="91"/>
              </w:rPr>
              <w:t>Provision for losses on accounts receivable, inventories and warranty reserve</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2,146</w:t>
            </w:r>
          </w:p>
        </w:tc>
        <w:tc>
          <w:tcPr>
            <w:tcW w:w="30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1,463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(Gain) Loss on marketable securities and other assets, net</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Gain on investment in affiliate</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(730)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Equity loss</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Impairment of investment in affiliate</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Employee benefit plans expense</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1,072</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Stock-based compensation expense</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947</w:t>
            </w:r>
          </w:p>
        </w:tc>
        <w:tc>
          <w:tcPr>
            <w:tcW w:w="30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862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Tax benefit from exercise of stock-based compensation</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(152)</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80"/>
              <w:spacing w:after="0"/>
              <w:rPr>
                <w:sz w:val="20"/>
                <w:szCs w:val="20"/>
                <w:color w:val="auto"/>
              </w:rPr>
            </w:pPr>
            <w:r>
              <w:rPr>
                <w:rFonts w:ascii="Arial" w:cs="Arial" w:eastAsia="Arial" w:hAnsi="Arial"/>
                <w:sz w:val="12"/>
                <w:szCs w:val="12"/>
                <w:color w:val="auto"/>
              </w:rPr>
              <w:t>Changes in operating assets and liabilities:</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Accounts receivable</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465</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(4,522)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Inventories</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(6,017)</w:t>
            </w:r>
          </w:p>
        </w:tc>
        <w:tc>
          <w:tcPr>
            <w:tcW w:w="30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(4,242)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Prepaid expenses and other</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(133)</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 assets</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(614)</w:t>
            </w:r>
          </w:p>
        </w:tc>
        <w:tc>
          <w:tcPr>
            <w:tcW w:w="30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(567)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Accounts payable - trade</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Accrued liabilities</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895</w:t>
            </w:r>
          </w:p>
        </w:tc>
        <w:tc>
          <w:tcPr>
            <w:tcW w:w="30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Income taxes refundable/payable</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(1,071)</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Other liabilities</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88</w:t>
            </w:r>
          </w:p>
        </w:tc>
        <w:tc>
          <w:tcPr>
            <w:tcW w:w="30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Net cash provided by operating activities</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2,833</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2,144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3320" w:type="dxa"/>
            <w:vAlign w:val="bottom"/>
            <w:tcBorders>
              <w:top w:val="single" w:sz="8" w:color="CCEEFF"/>
            </w:tcBorders>
          </w:tcPr>
          <w:p>
            <w:pPr>
              <w:spacing w:after="0"/>
              <w:rPr>
                <w:sz w:val="12"/>
                <w:szCs w:val="12"/>
                <w:color w:val="auto"/>
              </w:rPr>
            </w:pPr>
          </w:p>
        </w:tc>
        <w:tc>
          <w:tcPr>
            <w:tcW w:w="412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flows from investing activities:</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Acquisition of FEI-Elcom, net of $763 cash acquired</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(4,483)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Purchase of marketable securities</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(2,836)</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(8,782)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Proceeds from sale or redemption of marketable securities</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3,006</w:t>
            </w:r>
          </w:p>
        </w:tc>
        <w:tc>
          <w:tcPr>
            <w:tcW w:w="30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6,636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Proceeds from sale of fixed assets</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67</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80" w:type="dxa"/>
            <w:vAlign w:val="bottom"/>
            <w:gridSpan w:val="2"/>
          </w:tcPr>
          <w:p>
            <w:pPr>
              <w:ind w:left="180"/>
              <w:spacing w:after="0"/>
              <w:rPr>
                <w:sz w:val="20"/>
                <w:szCs w:val="20"/>
                <w:color w:val="auto"/>
              </w:rPr>
            </w:pPr>
            <w:r>
              <w:rPr>
                <w:rFonts w:ascii="Arial" w:cs="Arial" w:eastAsia="Arial" w:hAnsi="Arial"/>
                <w:sz w:val="12"/>
                <w:szCs w:val="12"/>
                <w:color w:val="auto"/>
              </w:rPr>
              <w:t>Capital expenditures</w:t>
            </w:r>
          </w:p>
        </w:tc>
        <w:tc>
          <w:tcPr>
            <w:tcW w:w="4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2"/>
                <w:szCs w:val="12"/>
                <w:color w:val="auto"/>
              </w:rPr>
              <w:t>(2,250)</w:t>
            </w:r>
          </w:p>
        </w:tc>
        <w:tc>
          <w:tcPr>
            <w:tcW w:w="300" w:type="dxa"/>
            <w:vAlign w:val="bottom"/>
          </w:tcPr>
          <w:p>
            <w:pPr>
              <w:spacing w:after="0"/>
              <w:rPr>
                <w:sz w:val="12"/>
                <w:szCs w:val="1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2"/>
                <w:szCs w:val="12"/>
                <w:color w:val="auto"/>
              </w:rPr>
              <w:t>(1,396)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Net cash used in investing activities</w:t>
            </w:r>
          </w:p>
        </w:tc>
        <w:tc>
          <w:tcPr>
            <w:tcW w:w="4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(2,013)</w:t>
            </w:r>
          </w:p>
        </w:tc>
        <w:tc>
          <w:tcPr>
            <w:tcW w:w="3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(8,001)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Continued</w:t>
      </w: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0"/>
          </w:cols>
          <w:pgMar w:left="220" w:top="115" w:right="5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15"/>
        </w:trPr>
        <w:tc>
          <w:tcPr>
            <w:tcW w:w="812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7440" w:type="dxa"/>
            <w:vAlign w:val="bottom"/>
          </w:tcPr>
          <w:p>
            <w:pPr>
              <w:jc w:val="center"/>
              <w:ind w:left="2260"/>
              <w:spacing w:after="0"/>
              <w:rPr>
                <w:sz w:val="20"/>
                <w:szCs w:val="20"/>
                <w:color w:val="auto"/>
              </w:rPr>
            </w:pPr>
            <w:r>
              <w:rPr>
                <w:rFonts w:ascii="Arial" w:cs="Arial" w:eastAsia="Arial" w:hAnsi="Arial"/>
                <w:sz w:val="12"/>
                <w:szCs w:val="12"/>
                <w:b w:val="1"/>
                <w:bCs w:val="1"/>
                <w:color w:val="auto"/>
                <w:w w:val="99"/>
              </w:rPr>
              <w:t>FREQUENCY ELECTRONICS, INC. and SUBSIDIARIES</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40" w:type="dxa"/>
            <w:vAlign w:val="bottom"/>
          </w:tcPr>
          <w:p>
            <w:pPr>
              <w:jc w:val="center"/>
              <w:ind w:left="2260"/>
              <w:spacing w:after="0"/>
              <w:rPr>
                <w:sz w:val="20"/>
                <w:szCs w:val="20"/>
                <w:color w:val="auto"/>
              </w:rPr>
            </w:pPr>
            <w:r>
              <w:rPr>
                <w:rFonts w:ascii="Arial" w:cs="Arial" w:eastAsia="Arial" w:hAnsi="Arial"/>
                <w:sz w:val="12"/>
                <w:szCs w:val="12"/>
                <w:color w:val="auto"/>
                <w:w w:val="89"/>
              </w:rPr>
              <w:t>Consolidated Statements of Cash Flows</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40" w:type="dxa"/>
            <w:vAlign w:val="bottom"/>
          </w:tcPr>
          <w:p>
            <w:pPr>
              <w:jc w:val="center"/>
              <w:ind w:left="2260"/>
              <w:spacing w:after="0"/>
              <w:rPr>
                <w:sz w:val="20"/>
                <w:szCs w:val="20"/>
                <w:color w:val="auto"/>
              </w:rPr>
            </w:pPr>
            <w:r>
              <w:rPr>
                <w:rFonts w:ascii="Arial" w:cs="Arial" w:eastAsia="Arial" w:hAnsi="Arial"/>
                <w:sz w:val="12"/>
                <w:szCs w:val="12"/>
                <w:color w:val="auto"/>
                <w:w w:val="90"/>
              </w:rPr>
              <w:t>Years ended April 30, 2013 and 2012</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40" w:type="dxa"/>
            <w:vAlign w:val="bottom"/>
          </w:tcPr>
          <w:p>
            <w:pPr>
              <w:jc w:val="center"/>
              <w:ind w:left="2280"/>
              <w:spacing w:after="0"/>
              <w:rPr>
                <w:sz w:val="20"/>
                <w:szCs w:val="20"/>
                <w:color w:val="auto"/>
              </w:rPr>
            </w:pPr>
            <w:r>
              <w:rPr>
                <w:rFonts w:ascii="Arial" w:cs="Arial" w:eastAsia="Arial" w:hAnsi="Arial"/>
                <w:sz w:val="12"/>
                <w:szCs w:val="12"/>
                <w:color w:val="auto"/>
                <w:w w:val="92"/>
              </w:rPr>
              <w:t>(Continued)</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120" w:type="dxa"/>
            <w:vAlign w:val="bottom"/>
            <w:gridSpan w:val="3"/>
            <w:vMerge w:val="restart"/>
          </w:tcPr>
          <w:p>
            <w:pPr>
              <w:spacing w:after="0"/>
              <w:rPr>
                <w:sz w:val="20"/>
                <w:szCs w:val="20"/>
                <w:color w:val="auto"/>
              </w:rPr>
            </w:pPr>
            <w:r>
              <w:rPr>
                <w:rFonts w:ascii="Arial" w:cs="Arial" w:eastAsia="Arial" w:hAnsi="Arial"/>
                <w:sz w:val="12"/>
                <w:szCs w:val="12"/>
                <w:color w:val="auto"/>
              </w:rPr>
              <w:t>Cash flows from financing activities:</w:t>
            </w:r>
          </w:p>
        </w:tc>
        <w:tc>
          <w:tcPr>
            <w:tcW w:w="32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(In</w:t>
            </w:r>
          </w:p>
        </w:tc>
        <w:tc>
          <w:tcPr>
            <w:tcW w:w="620" w:type="dxa"/>
            <w:vAlign w:val="bottom"/>
            <w:gridSpan w:val="2"/>
          </w:tcPr>
          <w:p>
            <w:pPr>
              <w:jc w:val="right"/>
              <w:ind w:right="110"/>
              <w:spacing w:after="0"/>
              <w:rPr>
                <w:sz w:val="20"/>
                <w:szCs w:val="20"/>
                <w:color w:val="auto"/>
              </w:rPr>
            </w:pPr>
            <w:r>
              <w:rPr>
                <w:rFonts w:ascii="Arial" w:cs="Arial" w:eastAsia="Arial" w:hAnsi="Arial"/>
                <w:sz w:val="12"/>
                <w:szCs w:val="12"/>
                <w:color w:val="auto"/>
                <w:w w:val="74"/>
              </w:rPr>
              <w:t>thousands)</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120" w:type="dxa"/>
            <w:vAlign w:val="bottom"/>
            <w:gridSpan w:val="3"/>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Proceeds from credit line borrowing</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5,000</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6,344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Payment of short-term credit and lease obligations</w:t>
            </w:r>
          </w:p>
        </w:tc>
        <w:tc>
          <w:tcPr>
            <w:tcW w:w="3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(5,357)</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(660)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Proceeds from exercise of stock options</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20</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Dividends</w:t>
            </w:r>
          </w:p>
        </w:tc>
        <w:tc>
          <w:tcPr>
            <w:tcW w:w="3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(1,684)</w:t>
            </w:r>
          </w:p>
        </w:tc>
        <w:tc>
          <w:tcPr>
            <w:tcW w:w="3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Tax benefit from exercise of stock-based compensation</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152</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4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gridSpan w:val="2"/>
          </w:tcPr>
          <w:p>
            <w:pPr>
              <w:ind w:left="180"/>
              <w:spacing w:after="0"/>
              <w:rPr>
                <w:sz w:val="20"/>
                <w:szCs w:val="20"/>
                <w:color w:val="auto"/>
              </w:rPr>
            </w:pPr>
            <w:r>
              <w:rPr>
                <w:rFonts w:ascii="Arial" w:cs="Arial" w:eastAsia="Arial" w:hAnsi="Arial"/>
                <w:sz w:val="12"/>
                <w:szCs w:val="12"/>
                <w:color w:val="auto"/>
              </w:rPr>
              <w:t>Net cash provided by (used in) financing activities</w:t>
            </w:r>
          </w:p>
        </w:tc>
        <w:tc>
          <w:tcPr>
            <w:tcW w:w="3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(1,869)</w:t>
            </w:r>
          </w:p>
        </w:tc>
        <w:tc>
          <w:tcPr>
            <w:tcW w:w="3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5,706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Net decrease in cash and cash equivalents before effect of exchange rate changes</w:t>
            </w:r>
          </w:p>
        </w:tc>
        <w:tc>
          <w:tcPr>
            <w:tcW w:w="3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(1,049)</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(151)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Effect of exchange rate changes on cash and cash equivalents</w:t>
            </w:r>
          </w:p>
        </w:tc>
        <w:tc>
          <w:tcPr>
            <w:tcW w:w="3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(273)</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(342)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Net decrease in cash and cash equivalents</w:t>
            </w:r>
          </w:p>
        </w:tc>
        <w:tc>
          <w:tcPr>
            <w:tcW w:w="320" w:type="dxa"/>
            <w:vAlign w:val="bottom"/>
          </w:tcPr>
          <w:p>
            <w:pPr>
              <w:spacing w:after="0"/>
              <w:rPr>
                <w:sz w:val="12"/>
                <w:szCs w:val="12"/>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2"/>
                <w:szCs w:val="12"/>
                <w:color w:val="auto"/>
              </w:rPr>
              <w:t>(1,322)</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(493)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Cash and cash equivalents at beginning of year</w:t>
            </w:r>
          </w:p>
        </w:tc>
        <w:tc>
          <w:tcPr>
            <w:tcW w:w="3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4,782</w:t>
            </w:r>
          </w:p>
        </w:tc>
        <w:tc>
          <w:tcPr>
            <w:tcW w:w="3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5,275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Cash and cash equivalents at end of year</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3,460</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4,782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4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Supplemental disclosures of cash flow information:</w:t>
            </w: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80"/>
              <w:spacing w:after="0"/>
              <w:rPr>
                <w:sz w:val="20"/>
                <w:szCs w:val="20"/>
                <w:color w:val="auto"/>
              </w:rPr>
            </w:pPr>
            <w:r>
              <w:rPr>
                <w:rFonts w:ascii="Arial" w:cs="Arial" w:eastAsia="Arial" w:hAnsi="Arial"/>
                <w:sz w:val="12"/>
                <w:szCs w:val="12"/>
                <w:color w:val="auto"/>
              </w:rPr>
              <w:t>Cash paid during the year for:</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1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Interest</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186</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8100" w:type="dxa"/>
            <w:vAlign w:val="bottom"/>
            <w:gridSpan w:val="2"/>
          </w:tcPr>
          <w:p>
            <w:pPr>
              <w:ind w:left="180"/>
              <w:spacing w:after="0" w:line="120" w:lineRule="exact"/>
              <w:rPr>
                <w:sz w:val="20"/>
                <w:szCs w:val="20"/>
                <w:color w:val="auto"/>
              </w:rPr>
            </w:pPr>
            <w:r>
              <w:rPr>
                <w:rFonts w:ascii="Arial" w:cs="Arial" w:eastAsia="Arial" w:hAnsi="Arial"/>
                <w:sz w:val="12"/>
                <w:szCs w:val="12"/>
                <w:color w:val="auto"/>
              </w:rPr>
              <w:t>Income taxes</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line="120" w:lineRule="exact"/>
              <w:rPr>
                <w:sz w:val="20"/>
                <w:szCs w:val="20"/>
                <w:color w:val="auto"/>
              </w:rPr>
            </w:pPr>
            <w:r>
              <w:rPr>
                <w:rFonts w:ascii="Arial" w:cs="Arial" w:eastAsia="Arial" w:hAnsi="Arial"/>
                <w:sz w:val="12"/>
                <w:szCs w:val="12"/>
                <w:color w:val="auto"/>
              </w:rPr>
              <w:t>2,993</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line="120" w:lineRule="exact"/>
              <w:rPr>
                <w:sz w:val="20"/>
                <w:szCs w:val="20"/>
                <w:color w:val="auto"/>
              </w:rPr>
            </w:pPr>
            <w:r>
              <w:rPr>
                <w:rFonts w:ascii="Arial" w:cs="Arial" w:eastAsia="Arial" w:hAnsi="Arial"/>
                <w:sz w:val="12"/>
                <w:szCs w:val="12"/>
                <w:color w:val="auto"/>
              </w:rPr>
              <w:t>1,475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74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100" w:type="dxa"/>
            <w:vAlign w:val="bottom"/>
            <w:gridSpan w:val="2"/>
          </w:tcPr>
          <w:p>
            <w:pPr>
              <w:spacing w:after="0"/>
              <w:rPr>
                <w:sz w:val="20"/>
                <w:szCs w:val="20"/>
                <w:color w:val="auto"/>
              </w:rPr>
            </w:pPr>
            <w:r>
              <w:rPr>
                <w:rFonts w:ascii="Arial" w:cs="Arial" w:eastAsia="Arial" w:hAnsi="Arial"/>
                <w:sz w:val="12"/>
                <w:szCs w:val="12"/>
                <w:color w:val="auto"/>
              </w:rPr>
              <w:t>Allocation of fair value to net assets acquired on fiscal year 2012 purchase of FEI-Elcom Tech, Inc.</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auto"/>
              </w:rPr>
              <w:t>Cash</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tcPr>
          <w:p>
            <w:pPr>
              <w:jc w:val="right"/>
              <w:ind w:right="27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763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Accounts receivable</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auto"/>
              </w:rPr>
              <w:t>Inventory</w:t>
            </w:r>
          </w:p>
        </w:tc>
        <w:tc>
          <w:tcPr>
            <w:tcW w:w="3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3,233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Other current assets</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auto"/>
              </w:rPr>
              <w:t>Fixed assets</w:t>
            </w:r>
          </w:p>
        </w:tc>
        <w:tc>
          <w:tcPr>
            <w:tcW w:w="3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Goodwill and other intangible assets</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auto"/>
              </w:rPr>
              <w:t>Deferred tax assets</w:t>
            </w:r>
          </w:p>
        </w:tc>
        <w:tc>
          <w:tcPr>
            <w:tcW w:w="3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2,573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Other assets</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auto"/>
              </w:rPr>
              <w:t>Accounts payable</w:t>
            </w:r>
          </w:p>
        </w:tc>
        <w:tc>
          <w:tcPr>
            <w:tcW w:w="3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(350)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Accrued expenses</w:t>
            </w:r>
          </w:p>
        </w:tc>
        <w:tc>
          <w:tcPr>
            <w:tcW w:w="3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00" w:type="dxa"/>
            <w:vAlign w:val="bottom"/>
            <w:gridSpan w:val="2"/>
          </w:tcPr>
          <w:p>
            <w:pPr>
              <w:ind w:left="60"/>
              <w:spacing w:after="0"/>
              <w:rPr>
                <w:sz w:val="20"/>
                <w:szCs w:val="20"/>
                <w:color w:val="auto"/>
              </w:rPr>
            </w:pPr>
            <w:r>
              <w:rPr>
                <w:rFonts w:ascii="Arial" w:cs="Arial" w:eastAsia="Arial" w:hAnsi="Arial"/>
                <w:sz w:val="12"/>
                <w:szCs w:val="12"/>
                <w:color w:val="auto"/>
              </w:rPr>
              <w:t>Capital lease obligations</w:t>
            </w:r>
          </w:p>
        </w:tc>
        <w:tc>
          <w:tcPr>
            <w:tcW w:w="3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ind w:right="27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7,880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67"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0"/>
          </w:cols>
          <w:pgMar w:left="220" w:top="115" w:right="559" w:bottom="1440" w:gutter="0" w:footer="0" w:header="0"/>
        </w:sectPr>
      </w:pPr>
    </w:p>
    <w:bookmarkStart w:id="27" w:name="page28"/>
    <w:bookmarkEnd w:id="2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left="46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Consolidated Statements of Changes in Stockholders' Equity</w:t>
      </w:r>
    </w:p>
    <w:p>
      <w:pPr>
        <w:spacing w:after="0" w:line="6"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Years ended April 30, 2013 and 2012</w:t>
      </w:r>
    </w:p>
    <w:p>
      <w:pPr>
        <w:spacing w:after="0" w:line="6" w:lineRule="exact"/>
        <w:rPr>
          <w:sz w:val="20"/>
          <w:szCs w:val="20"/>
          <w:color w:val="auto"/>
        </w:rPr>
      </w:pPr>
    </w:p>
    <w:p>
      <w:pPr>
        <w:jc w:val="center"/>
        <w:ind w:left="440"/>
        <w:spacing w:after="0"/>
        <w:rPr>
          <w:sz w:val="20"/>
          <w:szCs w:val="20"/>
          <w:color w:val="auto"/>
        </w:rPr>
      </w:pPr>
      <w:r>
        <w:rPr>
          <w:rFonts w:ascii="Arial" w:cs="Arial" w:eastAsia="Arial" w:hAnsi="Arial"/>
          <w:sz w:val="12"/>
          <w:szCs w:val="12"/>
          <w:color w:val="auto"/>
        </w:rPr>
        <w:t>(In thousands, except share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Additional</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ind w:left="60"/>
              <w:spacing w:after="0"/>
              <w:rPr>
                <w:sz w:val="20"/>
                <w:szCs w:val="20"/>
                <w:color w:val="auto"/>
              </w:rPr>
            </w:pPr>
            <w:r>
              <w:rPr>
                <w:rFonts w:ascii="Arial" w:cs="Arial" w:eastAsia="Arial" w:hAnsi="Arial"/>
                <w:sz w:val="9"/>
                <w:szCs w:val="9"/>
                <w:b w:val="1"/>
                <w:bCs w:val="1"/>
                <w:color w:val="auto"/>
                <w:w w:val="71"/>
              </w:rPr>
              <w:t>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320" w:type="dxa"/>
            <w:vAlign w:val="bottom"/>
            <w:tcBorders>
              <w:bottom w:val="single" w:sz="8" w:color="auto"/>
            </w:tcBorders>
            <w:gridSpan w:val="2"/>
          </w:tcPr>
          <w:p>
            <w:pPr>
              <w:ind w:left="1360"/>
              <w:spacing w:after="0"/>
              <w:rPr>
                <w:sz w:val="20"/>
                <w:szCs w:val="20"/>
                <w:color w:val="auto"/>
              </w:rPr>
            </w:pPr>
            <w:r>
              <w:rPr>
                <w:rFonts w:ascii="Arial" w:cs="Arial" w:eastAsia="Arial" w:hAnsi="Arial"/>
                <w:sz w:val="12"/>
                <w:szCs w:val="12"/>
                <w:b w:val="1"/>
                <w:bCs w:val="1"/>
                <w:color w:val="auto"/>
              </w:rPr>
              <w:t>Common Stock</w:t>
            </w:r>
          </w:p>
        </w:tc>
        <w:tc>
          <w:tcPr>
            <w:tcW w:w="8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jc w:val="right"/>
              <w:ind w:right="40"/>
              <w:spacing w:after="0"/>
              <w:rPr>
                <w:sz w:val="20"/>
                <w:szCs w:val="20"/>
                <w:color w:val="auto"/>
              </w:rPr>
            </w:pPr>
            <w:r>
              <w:rPr>
                <w:rFonts w:ascii="Arial" w:cs="Arial" w:eastAsia="Arial" w:hAnsi="Arial"/>
                <w:sz w:val="12"/>
                <w:szCs w:val="12"/>
                <w:b w:val="1"/>
                <w:bCs w:val="1"/>
                <w:color w:val="auto"/>
              </w:rPr>
              <w:t>paid in</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Retained</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320" w:type="dxa"/>
            <w:vAlign w:val="bottom"/>
            <w:gridSpan w:val="2"/>
          </w:tcPr>
          <w:p>
            <w:pPr>
              <w:ind w:left="520"/>
              <w:spacing w:after="0"/>
              <w:rPr>
                <w:sz w:val="20"/>
                <w:szCs w:val="20"/>
                <w:color w:val="auto"/>
              </w:rPr>
            </w:pPr>
            <w:r>
              <w:rPr>
                <w:rFonts w:ascii="Arial" w:cs="Arial" w:eastAsia="Arial" w:hAnsi="Arial"/>
                <w:sz w:val="12"/>
                <w:szCs w:val="12"/>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b w:val="1"/>
                <w:bCs w:val="1"/>
                <w:color w:val="auto"/>
              </w:rPr>
              <w:t>capital</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earnings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20" w:type="dxa"/>
            <w:vAlign w:val="bottom"/>
            <w:gridSpan w:val="2"/>
          </w:tcPr>
          <w:p>
            <w:pPr>
              <w:ind w:left="480"/>
              <w:spacing w:after="0"/>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w:t>
            </w:r>
          </w:p>
        </w:tc>
        <w:tc>
          <w:tcPr>
            <w:tcW w:w="140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2"/>
                <w:szCs w:val="12"/>
                <w:color w:val="auto"/>
              </w:rPr>
              <w:t>April 30, 2011</w:t>
            </w: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9,163,940</w:t>
            </w:r>
          </w:p>
        </w:tc>
        <w:tc>
          <w:tcPr>
            <w:tcW w:w="8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99"/>
              </w:rPr>
              <w:t>9,164</w:t>
            </w: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49,868</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7"/>
              </w:rPr>
              <w:t>11,286</w:t>
            </w:r>
          </w:p>
        </w:tc>
        <w:tc>
          <w:tcPr>
            <w:tcW w:w="2160" w:type="dxa"/>
            <w:vAlign w:val="bottom"/>
            <w:gridSpan w:val="3"/>
            <w:shd w:val="clear" w:color="auto" w:fill="CCEEFF"/>
          </w:tcPr>
          <w:p>
            <w:pPr>
              <w:jc w:val="right"/>
              <w:ind w:right="75"/>
              <w:spacing w:after="0"/>
              <w:rPr>
                <w:sz w:val="20"/>
                <w:szCs w:val="20"/>
                <w:color w:val="auto"/>
              </w:rPr>
            </w:pPr>
            <w:r>
              <w:rPr>
                <w:rFonts w:ascii="Arial" w:cs="Arial" w:eastAsia="Arial" w:hAnsi="Arial"/>
                <w:sz w:val="12"/>
                <w:szCs w:val="12"/>
                <w:color w:val="auto"/>
              </w:rPr>
              <w:t>865,734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Arial" w:cs="Arial" w:eastAsia="Arial" w:hAnsi="Arial"/>
                <w:sz w:val="12"/>
                <w:szCs w:val="12"/>
                <w:color w:val="auto"/>
              </w:rPr>
              <w:t>Contribution of</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stock to</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401(k) plan</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154</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3"/>
          </w:tcPr>
          <w:p>
            <w:pPr>
              <w:jc w:val="right"/>
              <w:ind w:right="75"/>
              <w:spacing w:after="0"/>
              <w:rPr>
                <w:sz w:val="20"/>
                <w:szCs w:val="20"/>
                <w:color w:val="auto"/>
              </w:rPr>
            </w:pPr>
            <w:r>
              <w:rPr>
                <w:rFonts w:ascii="Arial" w:cs="Arial" w:eastAsia="Arial" w:hAnsi="Arial"/>
                <w:sz w:val="12"/>
                <w:szCs w:val="12"/>
                <w:color w:val="auto"/>
              </w:rPr>
              <w:t>(42,370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Stock-based</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compensation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expense</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775</w:t>
            </w: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jc w:val="right"/>
              <w:ind w:right="75"/>
              <w:spacing w:after="0"/>
              <w:rPr>
                <w:sz w:val="20"/>
                <w:szCs w:val="20"/>
                <w:color w:val="auto"/>
              </w:rPr>
            </w:pPr>
            <w:r>
              <w:rPr>
                <w:rFonts w:ascii="Arial" w:cs="Arial" w:eastAsia="Arial" w:hAnsi="Arial"/>
                <w:sz w:val="12"/>
                <w:szCs w:val="12"/>
                <w:color w:val="auto"/>
              </w:rPr>
              <w:t>(17,900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Arial" w:cs="Arial" w:eastAsia="Arial" w:hAnsi="Arial"/>
                <w:sz w:val="12"/>
                <w:szCs w:val="12"/>
                <w:color w:val="auto"/>
              </w:rPr>
              <w:t>Tax benefit</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from stock</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option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exercise</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9</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Exercise of</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stock options</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and stock</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appreciation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rights - net of</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shares</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tendered for</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exercise price</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w:t>
            </w:r>
          </w:p>
        </w:tc>
        <w:tc>
          <w:tcPr>
            <w:tcW w:w="72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jc w:val="right"/>
              <w:ind w:right="75"/>
              <w:spacing w:after="0"/>
              <w:rPr>
                <w:sz w:val="20"/>
                <w:szCs w:val="20"/>
                <w:color w:val="auto"/>
              </w:rPr>
            </w:pPr>
            <w:r>
              <w:rPr>
                <w:rFonts w:ascii="Arial" w:cs="Arial" w:eastAsia="Arial" w:hAnsi="Arial"/>
                <w:sz w:val="12"/>
                <w:szCs w:val="12"/>
                <w:color w:val="auto"/>
              </w:rPr>
              <w:t>(4,677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Arial" w:cs="Arial" w:eastAsia="Arial" w:hAnsi="Arial"/>
                <w:sz w:val="12"/>
                <w:szCs w:val="12"/>
                <w:color w:val="auto"/>
              </w:rPr>
              <w:t>Change in</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unrealized</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gains and</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losses on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marketable</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securities -</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net</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Foreign</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currency</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translation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adjustment</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Net Income</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7,374</w:t>
            </w: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w:t>
            </w:r>
          </w:p>
        </w:tc>
        <w:tc>
          <w:tcPr>
            <w:tcW w:w="140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2"/>
                <w:szCs w:val="12"/>
                <w:color w:val="auto"/>
              </w:rPr>
              <w:t>April 30, 2012</w:t>
            </w: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2"/>
                <w:szCs w:val="12"/>
                <w:color w:val="auto"/>
              </w:rPr>
              <w:t>9,163,940</w:t>
            </w:r>
          </w:p>
        </w:tc>
        <w:tc>
          <w:tcPr>
            <w:tcW w:w="8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99"/>
              </w:rPr>
              <w:t>9,164</w:t>
            </w: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50,797</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7"/>
              </w:rPr>
              <w:t>18,660</w:t>
            </w:r>
          </w:p>
        </w:tc>
        <w:tc>
          <w:tcPr>
            <w:tcW w:w="2160" w:type="dxa"/>
            <w:vAlign w:val="bottom"/>
            <w:gridSpan w:val="3"/>
            <w:shd w:val="clear" w:color="auto" w:fill="CCEEFF"/>
          </w:tcPr>
          <w:p>
            <w:pPr>
              <w:jc w:val="right"/>
              <w:ind w:right="75"/>
              <w:spacing w:after="0"/>
              <w:rPr>
                <w:sz w:val="20"/>
                <w:szCs w:val="20"/>
                <w:color w:val="auto"/>
              </w:rPr>
            </w:pPr>
            <w:r>
              <w:rPr>
                <w:rFonts w:ascii="Arial" w:cs="Arial" w:eastAsia="Arial" w:hAnsi="Arial"/>
                <w:sz w:val="12"/>
                <w:szCs w:val="12"/>
                <w:color w:val="auto"/>
              </w:rPr>
              <w:t>800,787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Contribution of</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stock to</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401(k) plan</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214</w:t>
            </w: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160" w:type="dxa"/>
            <w:vAlign w:val="bottom"/>
            <w:gridSpan w:val="3"/>
            <w:shd w:val="clear" w:color="auto" w:fill="CCEEFF"/>
          </w:tcPr>
          <w:p>
            <w:pPr>
              <w:jc w:val="right"/>
              <w:ind w:right="75"/>
              <w:spacing w:after="0"/>
              <w:rPr>
                <w:sz w:val="20"/>
                <w:szCs w:val="20"/>
                <w:color w:val="auto"/>
              </w:rPr>
            </w:pPr>
            <w:r>
              <w:rPr>
                <w:rFonts w:ascii="Arial" w:cs="Arial" w:eastAsia="Arial" w:hAnsi="Arial"/>
                <w:sz w:val="12"/>
                <w:szCs w:val="12"/>
                <w:color w:val="auto"/>
              </w:rPr>
              <w:t>(52,715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Arial" w:cs="Arial" w:eastAsia="Arial" w:hAnsi="Arial"/>
                <w:sz w:val="12"/>
                <w:szCs w:val="12"/>
                <w:color w:val="auto"/>
              </w:rPr>
              <w:t>Stock-based</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compensation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expense</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947</w:t>
            </w: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3"/>
          </w:tcPr>
          <w:p>
            <w:pPr>
              <w:jc w:val="right"/>
              <w:ind w:right="75"/>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Tax benefit</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from stock</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option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exercise</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152</w:t>
            </w: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Arial" w:cs="Arial" w:eastAsia="Arial" w:hAnsi="Arial"/>
                <w:sz w:val="12"/>
                <w:szCs w:val="12"/>
                <w:color w:val="auto"/>
              </w:rPr>
              <w:t>Exercise of</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stock options</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and stock</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appreciation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rights - net of</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shares</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tendered for</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exercise price</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2"/>
                <w:szCs w:val="12"/>
                <w:color w:val="auto"/>
              </w:rPr>
              <w:t>(197</w:t>
            </w:r>
          </w:p>
        </w:tc>
        <w:tc>
          <w:tcPr>
            <w:tcW w:w="72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3"/>
          </w:tcPr>
          <w:p>
            <w:pPr>
              <w:jc w:val="right"/>
              <w:ind w:right="75"/>
              <w:spacing w:after="0"/>
              <w:rPr>
                <w:sz w:val="20"/>
                <w:szCs w:val="20"/>
                <w:color w:val="auto"/>
              </w:rPr>
            </w:pPr>
            <w:r>
              <w:rPr>
                <w:rFonts w:ascii="Arial" w:cs="Arial" w:eastAsia="Arial" w:hAnsi="Arial"/>
                <w:sz w:val="12"/>
                <w:szCs w:val="12"/>
                <w:color w:val="auto"/>
              </w:rPr>
              <w:t>(47,582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Cash dividend</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$0.20 per</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share</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(1,684</w:t>
            </w:r>
          </w:p>
        </w:tc>
        <w:tc>
          <w:tcPr>
            <w:tcW w:w="7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tcPr>
          <w:p>
            <w:pPr>
              <w:spacing w:after="0" w:line="136" w:lineRule="exact"/>
              <w:rPr>
                <w:sz w:val="20"/>
                <w:szCs w:val="20"/>
                <w:color w:val="auto"/>
              </w:rPr>
            </w:pPr>
            <w:r>
              <w:rPr>
                <w:rFonts w:ascii="Arial" w:cs="Arial" w:eastAsia="Arial" w:hAnsi="Arial"/>
                <w:sz w:val="12"/>
                <w:szCs w:val="12"/>
                <w:color w:val="auto"/>
              </w:rPr>
              <w:t>Change in</w:t>
            </w:r>
          </w:p>
        </w:tc>
        <w:tc>
          <w:tcPr>
            <w:tcW w:w="1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unrealized</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gains and</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losses on</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marketable</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securities -</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tcPr>
          <w:p>
            <w:pPr>
              <w:ind w:left="80"/>
              <w:spacing w:after="0"/>
              <w:rPr>
                <w:sz w:val="20"/>
                <w:szCs w:val="20"/>
                <w:color w:val="auto"/>
              </w:rPr>
            </w:pPr>
            <w:r>
              <w:rPr>
                <w:rFonts w:ascii="Arial" w:cs="Arial" w:eastAsia="Arial" w:hAnsi="Arial"/>
                <w:sz w:val="12"/>
                <w:szCs w:val="12"/>
                <w:color w:val="auto"/>
              </w:rPr>
              <w:t>net</w:t>
            </w:r>
          </w:p>
        </w:tc>
        <w:tc>
          <w:tcPr>
            <w:tcW w:w="1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2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Foreign</w:t>
            </w:r>
          </w:p>
        </w:tc>
        <w:tc>
          <w:tcPr>
            <w:tcW w:w="14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currency</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translation</w:t>
            </w:r>
          </w:p>
        </w:tc>
        <w:tc>
          <w:tcPr>
            <w:tcW w:w="1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2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adjustment</w:t>
            </w:r>
          </w:p>
        </w:tc>
        <w:tc>
          <w:tcPr>
            <w:tcW w:w="1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tcPr>
          <w:p>
            <w:pPr>
              <w:spacing w:after="0"/>
              <w:rPr>
                <w:sz w:val="20"/>
                <w:szCs w:val="20"/>
                <w:color w:val="auto"/>
              </w:rPr>
            </w:pPr>
            <w:r>
              <w:rPr>
                <w:rFonts w:ascii="Arial" w:cs="Arial" w:eastAsia="Arial" w:hAnsi="Arial"/>
                <w:sz w:val="12"/>
                <w:szCs w:val="12"/>
                <w:color w:val="auto"/>
              </w:rPr>
              <w:t>Net Income</w:t>
            </w:r>
          </w:p>
        </w:tc>
        <w:tc>
          <w:tcPr>
            <w:tcW w:w="1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rPr>
              <w:t>3,686</w:t>
            </w:r>
          </w:p>
        </w:tc>
        <w:tc>
          <w:tcPr>
            <w:tcW w:w="7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w:t>
            </w:r>
          </w:p>
        </w:tc>
        <w:tc>
          <w:tcPr>
            <w:tcW w:w="1400" w:type="dxa"/>
            <w:vAlign w:val="bottom"/>
            <w:tcBorders>
              <w:top w:val="single" w:sz="8" w:color="auto"/>
            </w:tcBorders>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2"/>
                <w:szCs w:val="12"/>
                <w:color w:val="auto"/>
              </w:rPr>
              <w:t>April 30, 2013</w:t>
            </w: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9,163,940</w:t>
            </w:r>
          </w:p>
        </w:tc>
        <w:tc>
          <w:tcPr>
            <w:tcW w:w="9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940"/>
              <w:spacing w:after="0"/>
              <w:rPr>
                <w:sz w:val="20"/>
                <w:szCs w:val="20"/>
                <w:color w:val="auto"/>
              </w:rPr>
            </w:pPr>
            <w:r>
              <w:rPr>
                <w:rFonts w:ascii="Arial" w:cs="Arial" w:eastAsia="Arial" w:hAnsi="Arial"/>
                <w:sz w:val="12"/>
                <w:szCs w:val="12"/>
                <w:color w:val="auto"/>
                <w:w w:val="99"/>
              </w:rPr>
              <w:t>9,164</w:t>
            </w:r>
          </w:p>
        </w:tc>
        <w:tc>
          <w:tcPr>
            <w:tcW w:w="92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51,913</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7"/>
              </w:rPr>
              <w:t>20,662</w:t>
            </w:r>
          </w:p>
        </w:tc>
        <w:tc>
          <w:tcPr>
            <w:tcW w:w="2160" w:type="dxa"/>
            <w:vAlign w:val="bottom"/>
            <w:gridSpan w:val="3"/>
            <w:shd w:val="clear" w:color="auto" w:fill="CCEEFF"/>
          </w:tcPr>
          <w:p>
            <w:pPr>
              <w:jc w:val="right"/>
              <w:ind w:right="75"/>
              <w:spacing w:after="0"/>
              <w:rPr>
                <w:sz w:val="20"/>
                <w:szCs w:val="20"/>
                <w:color w:val="auto"/>
              </w:rPr>
            </w:pPr>
            <w:r>
              <w:rPr>
                <w:rFonts w:ascii="Arial" w:cs="Arial" w:eastAsia="Arial" w:hAnsi="Arial"/>
                <w:sz w:val="12"/>
                <w:szCs w:val="12"/>
                <w:color w:val="auto"/>
              </w:rPr>
              <w:t>700,590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The accompanying notes are an integral part of these financial statements.</w:t>
      </w:r>
    </w:p>
    <w:p>
      <w:pPr>
        <w:spacing w:after="0" w:line="26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28" w:right="139" w:bottom="1440" w:gutter="0" w:footer="0" w:header="0"/>
        </w:sectPr>
      </w:pPr>
    </w:p>
    <w:bookmarkStart w:id="28" w:name="page29"/>
    <w:bookmarkEnd w:id="28"/>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32"/>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32"/>
        <w:spacing w:after="0"/>
        <w:rPr>
          <w:sz w:val="20"/>
          <w:szCs w:val="20"/>
          <w:color w:val="auto"/>
        </w:rPr>
      </w:pPr>
      <w:r>
        <w:rPr>
          <w:rFonts w:ascii="Arial" w:cs="Arial" w:eastAsia="Arial" w:hAnsi="Arial"/>
          <w:sz w:val="12"/>
          <w:szCs w:val="12"/>
          <w:color w:val="auto"/>
        </w:rPr>
        <w:t>NOTES TO CONSOLIDATED FINANCIAL STATEMENTS</w:t>
      </w:r>
    </w:p>
    <w:p>
      <w:pPr>
        <w:spacing w:after="0" w:line="159" w:lineRule="exact"/>
        <w:rPr>
          <w:sz w:val="20"/>
          <w:szCs w:val="20"/>
          <w:color w:val="auto"/>
        </w:rPr>
      </w:pPr>
    </w:p>
    <w:p>
      <w:pPr>
        <w:ind w:left="148" w:hanging="148"/>
        <w:spacing w:after="0"/>
        <w:tabs>
          <w:tab w:leader="none" w:pos="148" w:val="left"/>
        </w:tabs>
        <w:numPr>
          <w:ilvl w:val="0"/>
          <w:numId w:val="4"/>
        </w:numPr>
        <w:rPr>
          <w:rFonts w:ascii="Arial" w:cs="Arial" w:eastAsia="Arial" w:hAnsi="Arial"/>
          <w:sz w:val="12"/>
          <w:szCs w:val="12"/>
          <w:color w:val="auto"/>
        </w:rPr>
      </w:pPr>
      <w:r>
        <w:rPr>
          <w:rFonts w:ascii="Arial" w:cs="Arial" w:eastAsia="Arial" w:hAnsi="Arial"/>
          <w:sz w:val="12"/>
          <w:szCs w:val="12"/>
          <w:u w:val="single" w:color="auto"/>
          <w:color w:val="auto"/>
        </w:rPr>
        <w:t>Summary of Accounting Policies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Principles of Consolidation</w:t>
      </w:r>
      <w:r>
        <w:rPr>
          <w:rFonts w:ascii="Arial" w:cs="Arial" w:eastAsia="Arial" w:hAnsi="Arial"/>
          <w:sz w:val="12"/>
          <w:szCs w:val="12"/>
          <w:color w:val="auto"/>
        </w:rPr>
        <w:t>:</w:t>
      </w:r>
    </w:p>
    <w:p>
      <w:pPr>
        <w:spacing w:after="0" w:line="172" w:lineRule="exact"/>
        <w:rPr>
          <w:sz w:val="20"/>
          <w:szCs w:val="20"/>
          <w:color w:val="auto"/>
        </w:rPr>
      </w:pPr>
    </w:p>
    <w:p>
      <w:pPr>
        <w:jc w:val="both"/>
        <w:ind w:left="8" w:firstLine="324"/>
        <w:spacing w:after="0" w:line="286" w:lineRule="auto"/>
        <w:rPr>
          <w:sz w:val="20"/>
          <w:szCs w:val="20"/>
          <w:color w:val="auto"/>
        </w:rPr>
      </w:pPr>
      <w:r>
        <w:rPr>
          <w:rFonts w:ascii="Arial" w:cs="Arial" w:eastAsia="Arial" w:hAnsi="Arial"/>
          <w:sz w:val="11"/>
          <w:szCs w:val="11"/>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15 for information regarding the Company’s FEI-NY (which includes the subsidiaries FEI Government Systems, Inc., FEI Communications, Inc., Frequency Electronics, Inc. Asia (“FEI-Asia”) and FEI-Elcom Tech, Inc. (“FEI-Elcom”)),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129"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These financial statements have been prepared in conformity with United States generally accepted accounting principles (“U.S. GAAP”) and require management to make estimates and assumptions that affect amounts reported and disclosed in the financial statements and related notes. Actual results could differ from these estimates.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Cash Equivalents:</w:t>
      </w:r>
    </w:p>
    <w:p>
      <w:pPr>
        <w:spacing w:after="0" w:line="172"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be in excess of the FDIC insurance limit. No losses have been experienced on such investments.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Marketable Securities:</w:t>
      </w:r>
    </w:p>
    <w:p>
      <w:pPr>
        <w:spacing w:after="0" w:line="172"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Marketable securities consist of investments in common stocks, including exchange-traded funds, corporate debt securities and debt securities of U.S. government agencies. All marketable securities were held in the custody of financial institutions; five institutions at April 30, 2013 and 2012.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Allowance for Doubtful Accounts:</w:t>
      </w:r>
    </w:p>
    <w:p>
      <w:pPr>
        <w:spacing w:after="0" w:line="172"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Inventories</w:t>
      </w:r>
      <w:r>
        <w:rPr>
          <w:rFonts w:ascii="Arial" w:cs="Arial" w:eastAsia="Arial" w:hAnsi="Arial"/>
          <w:sz w:val="12"/>
          <w:szCs w:val="12"/>
          <w:color w:val="auto"/>
        </w:rPr>
        <w:t>:</w:t>
      </w:r>
    </w:p>
    <w:p>
      <w:pPr>
        <w:spacing w:after="0" w:line="172" w:lineRule="exact"/>
        <w:rPr>
          <w:sz w:val="20"/>
          <w:szCs w:val="20"/>
          <w:color w:val="auto"/>
        </w:rPr>
      </w:pPr>
    </w:p>
    <w:p>
      <w:pPr>
        <w:ind w:left="328"/>
        <w:spacing w:after="0"/>
        <w:rPr>
          <w:sz w:val="20"/>
          <w:szCs w:val="20"/>
          <w:color w:val="auto"/>
        </w:rPr>
      </w:pPr>
      <w:r>
        <w:rPr>
          <w:rFonts w:ascii="Arial" w:cs="Arial" w:eastAsia="Arial" w:hAnsi="Arial"/>
          <w:sz w:val="12"/>
          <w:szCs w:val="12"/>
          <w:color w:val="auto"/>
        </w:rPr>
        <w:t>Inventories, which consist of finished goods, work-in-process, raw materials and components, are accounted for at the lower of cost (specific and average) or market.</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Property, Plant and Equipment:</w:t>
      </w:r>
    </w:p>
    <w:p>
      <w:pPr>
        <w:spacing w:after="0" w:line="172"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10"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29" w:name="page30"/>
    <w:bookmarkEnd w:id="29"/>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NOTES TO CONSOLIDATED FINANCIAL STATEMENTS -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Depreciation and Amortization:</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Amortization of identifiable intangible assets is based upon the expected lives of the assets and is recorded at a rate which approximates the Company’s utilization of the assets.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Intangible Assets:</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Intangible assets consist of the ISO 9000 certification arising from the acquisition of FEI-Elcom in the assignment of fair value to its acquired assets including intangibles. The certification is valued at fair value and amortized over the estimated useful life of 3 years from the date of acquisition.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172"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0"/>
          <w:szCs w:val="10"/>
          <w:color w:val="auto"/>
        </w:rPr>
        <w:t>The Company records goodwill as the excess of purchase price over the fair value of identifiable net assets acquired. Goodwill is tested for impairment on at least an annual basis at year end. When it is determined that the carrying value of goodwill may not be recoverable, the Company writes down the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 and Cost Recognition:</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net of billings on uncompleted contracts in excess of costs and estimated earnings, are included in current assets.</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On production-type orders, revenue is recorded as units are delivered with the related cost of sales recognized on each shipment based upon a percentage of estimated final program costs.</w:t>
      </w:r>
    </w:p>
    <w:p>
      <w:pPr>
        <w:spacing w:after="0" w:line="168"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Changes in job performance on long-term and production-type orders may result in revisions to costs and revenue and are recognized in the period in which revisions are determined to be required. Provisions for anticipated losses are made in the period in which they become determinable.</w:t>
      </w:r>
    </w:p>
    <w:p>
      <w:pPr>
        <w:spacing w:after="0" w:line="13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Contract costs include all direct material, direct labor costs, manufacturing overhead and other direct costs related to contract performance. Selling, general and administrative costs are charged to expense as incurred.</w:t>
      </w:r>
    </w:p>
    <w:p>
      <w:pPr>
        <w:spacing w:after="0" w:line="18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 accordance with industry practice, inventoried costs contain amounts relating to contracts and programs with long production cycles, a portion of which will not be realized within one year. Program costs for which production-level orders cannot be determined as probable are written down in the period in which that assessment is made.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Comprehensive Income:</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Comprehensive income consists of net income and other comprehensive income. Other comprehensive income includes changes in unrealized gains or losses, net of tax, on securities available for sale during the year and the effects of foreign currency translation adjustments.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0" w:name="page31"/>
    <w:bookmarkEnd w:id="3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NOTES TO CONSOLIDATED FINANCIAL STATEMENTS - Continued</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expenses:</w:t>
      </w:r>
    </w:p>
    <w:p>
      <w:pPr>
        <w:spacing w:after="0" w:line="172" w:lineRule="exact"/>
        <w:rPr>
          <w:sz w:val="20"/>
          <w:szCs w:val="20"/>
          <w:color w:val="auto"/>
        </w:rPr>
      </w:pPr>
    </w:p>
    <w:p>
      <w:pPr>
        <w:jc w:val="both"/>
        <w:ind w:right="20" w:firstLine="216"/>
        <w:spacing w:after="0" w:line="276" w:lineRule="auto"/>
        <w:rPr>
          <w:sz w:val="20"/>
          <w:szCs w:val="20"/>
          <w:color w:val="auto"/>
        </w:rPr>
      </w:pPr>
      <w:r>
        <w:rPr>
          <w:rFonts w:ascii="Arial" w:cs="Arial" w:eastAsia="Arial" w:hAnsi="Arial"/>
          <w:sz w:val="12"/>
          <w:szCs w:val="12"/>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Taxes:</w:t>
      </w:r>
    </w:p>
    <w:p>
      <w:pPr>
        <w:spacing w:after="0" w:line="17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4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When and if the Company were to recognize interest or penalties related to unrecognized tax benefits, it would be reported net of the federal tax benefit in the tax provision.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Earnings Per Share:</w:t>
      </w:r>
    </w:p>
    <w:p>
      <w:pPr>
        <w:spacing w:after="0" w:line="17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Values of Financial Instruments:</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Cash and cash equivalents and short-term credit obligations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company, Morion, Inc. (“Morion”). The Company is unable to reasonably estimate a fair value for this investment. Additionally, the Company had a non-controlling interest in Elcom Technologies, Inc. (“Elcom” and, after the acquisition, “FEI-Elcom”) in 2012 (through the date of acquisition). See Note 11 - Acquisition of Elcom Technologies, Inc.</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Operations and Foreign Currency Adjustments:</w:t>
      </w:r>
    </w:p>
    <w:p>
      <w:pPr>
        <w:spacing w:after="0" w:line="17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Equity-based Compensation:</w:t>
      </w:r>
    </w:p>
    <w:p>
      <w:pPr>
        <w:spacing w:after="0" w:line="172"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1" w:name="page32"/>
    <w:bookmarkEnd w:id="3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weighted average fair value of each option or stock appreciation right has been estimated on the date of grant using the Black-Scholes option pricing model with the following range of weighted average assumptions used for grants:</w:t>
      </w:r>
    </w:p>
    <w:p>
      <w:pPr>
        <w:spacing w:after="0" w:line="129"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2"/>
                <w:szCs w:val="12"/>
                <w:b w:val="1"/>
                <w:bCs w:val="1"/>
                <w:color w:val="auto"/>
                <w:w w:val="90"/>
              </w:rPr>
              <w:t>Years ended April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2013</w:t>
            </w: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2012</w:t>
            </w: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Expected volatility</w:t>
            </w:r>
          </w:p>
        </w:tc>
        <w:tc>
          <w:tcPr>
            <w:tcW w:w="8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w:t>
            </w:r>
          </w:p>
        </w:tc>
        <w:tc>
          <w:tcPr>
            <w:tcW w:w="8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40%</w:t>
            </w:r>
          </w:p>
        </w:tc>
      </w:tr>
      <w:tr>
        <w:trPr>
          <w:trHeight w:val="144"/>
        </w:trPr>
        <w:tc>
          <w:tcPr>
            <w:tcW w:w="20" w:type="dxa"/>
            <w:vAlign w:val="bottom"/>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Dividend yield</w:t>
            </w:r>
          </w:p>
        </w:tc>
        <w:tc>
          <w:tcPr>
            <w:tcW w:w="84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2"/>
                <w:szCs w:val="12"/>
                <w:color w:val="auto"/>
              </w:rPr>
              <w:t>0.0%</w:t>
            </w:r>
          </w:p>
        </w:tc>
        <w:tc>
          <w:tcPr>
            <w:tcW w:w="84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0.0%</w:t>
            </w:r>
          </w:p>
        </w:tc>
      </w:tr>
      <w:tr>
        <w:trPr>
          <w:trHeight w:val="144"/>
        </w:trPr>
        <w:tc>
          <w:tcPr>
            <w:tcW w:w="20" w:type="dxa"/>
            <w:vAlign w:val="bottom"/>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   to</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1.35%</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   to</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1.34%</w:t>
            </w:r>
          </w:p>
        </w:tc>
      </w:tr>
      <w:tr>
        <w:trPr>
          <w:trHeight w:val="153"/>
        </w:trPr>
        <w:tc>
          <w:tcPr>
            <w:tcW w:w="20" w:type="dxa"/>
            <w:vAlign w:val="bottom"/>
          </w:tcPr>
          <w:p>
            <w:pPr>
              <w:spacing w:after="0"/>
              <w:rPr>
                <w:sz w:val="13"/>
                <w:szCs w:val="13"/>
                <w:color w:val="auto"/>
              </w:rPr>
            </w:pPr>
          </w:p>
        </w:tc>
        <w:tc>
          <w:tcPr>
            <w:tcW w:w="5680" w:type="dxa"/>
            <w:vAlign w:val="bottom"/>
          </w:tcPr>
          <w:p>
            <w:pPr>
              <w:spacing w:after="0"/>
              <w:rPr>
                <w:sz w:val="20"/>
                <w:szCs w:val="20"/>
                <w:color w:val="auto"/>
              </w:rPr>
            </w:pPr>
            <w:r>
              <w:rPr>
                <w:rFonts w:ascii="Arial" w:cs="Arial" w:eastAsia="Arial" w:hAnsi="Arial"/>
                <w:sz w:val="12"/>
                <w:szCs w:val="12"/>
                <w:color w:val="auto"/>
              </w:rPr>
              <w:t>Expected lives</w:t>
            </w:r>
          </w:p>
        </w:tc>
        <w:tc>
          <w:tcPr>
            <w:tcW w:w="84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w w:val="89"/>
              </w:rPr>
              <w:t>8.5 years</w:t>
            </w:r>
          </w:p>
        </w:tc>
        <w:tc>
          <w:tcPr>
            <w:tcW w:w="840" w:type="dxa"/>
            <w:vAlign w:val="bottom"/>
          </w:tcPr>
          <w:p>
            <w:pPr>
              <w:spacing w:after="0"/>
              <w:rPr>
                <w:sz w:val="13"/>
                <w:szCs w:val="13"/>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2"/>
                <w:szCs w:val="12"/>
                <w:color w:val="auto"/>
                <w:w w:val="91"/>
              </w:rPr>
              <w:t>10 years</w:t>
            </w:r>
          </w:p>
        </w:tc>
      </w:tr>
    </w:tbl>
    <w:p>
      <w:pPr>
        <w:spacing w:after="0" w:line="14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1"/>
          <w:szCs w:val="11"/>
          <w:color w:val="auto"/>
        </w:rPr>
        <w:t>The expected life assumption was determined based on the Company’s historical experience. The expected volatility assumption was based on the historical volatility of the Company’s common stock. The dividend yield assumption was determined based upon the Company’s past history of dividend payments and the Company’s current decision to suspend payment of dividends. On December 21, 2012, the Company’s Board of Directors declared a special cash dividend of $0.20 per share, payable on December 31, 2012 to shareholders of record on December 24, 2012. Due to the one-time nature of the special dividend it was not factored into the Black Scholes fair value calculations. The risk-free interest rate assumption was determined using the implied yield currently available for zero-coupon U.S. government issues with a remaining term equal to the expected life of the stock options.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Concentration of Credit Risk</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Financial instruments, which potentially subject the Company to concentration of credit risk, consist principally of cash and cash equivalents and trade receivables. The Company maintains accounts at several commercial banks at which the balances exceed Federal Deposit Insurance Corporation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New Accounting Pronouncements:</w:t>
      </w:r>
    </w:p>
    <w:p>
      <w:pPr>
        <w:spacing w:after="0" w:line="17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In June 2011, the Financial Accounting Standards Board (“FASB”) issued Accounting Standards Update (“ASU”) No. 2011-05 “Comprehensive Income (Topic 220): Presentation of Comprehensive Income” (“ASU No. 2011-05”). Under ASU No. 2011-5, an entity has the option to present the total of comprehensive income, the components of net income, and the components of other comprehensive income either in a single continuous statement of comprehensive income or in two separate but consecutive statements. Regardless of which option is selected, an entity is required to present each component of net income along with total net income, each component of other comprehensive income along with a total for other comprehensive income, and a total amount for comprehensive income. ASU No. 2011-5 eliminates the option (previously utilized by the Company) to present the components of other comprehensive income as part of the statement of changes in stockholders’ equity. ASU No. 2011-5 was adopted by the Company at the beginning of the current fiscal year, and affects only the presentation of financial statements and has no financial impact on the Company’s Consolidated Financial Statements.</w:t>
      </w:r>
    </w:p>
    <w:p>
      <w:pPr>
        <w:spacing w:after="0" w:line="147" w:lineRule="exact"/>
        <w:rPr>
          <w:sz w:val="20"/>
          <w:szCs w:val="20"/>
          <w:color w:val="auto"/>
        </w:rPr>
      </w:pPr>
    </w:p>
    <w:p>
      <w:pPr>
        <w:jc w:val="both"/>
        <w:ind w:firstLine="354"/>
        <w:spacing w:after="0" w:line="255" w:lineRule="auto"/>
        <w:rPr>
          <w:sz w:val="20"/>
          <w:szCs w:val="20"/>
          <w:color w:val="auto"/>
        </w:rPr>
      </w:pPr>
      <w:r>
        <w:rPr>
          <w:rFonts w:ascii="Arial" w:cs="Arial" w:eastAsia="Arial" w:hAnsi="Arial"/>
          <w:sz w:val="12"/>
          <w:szCs w:val="12"/>
          <w:color w:val="auto"/>
        </w:rPr>
        <w:t xml:space="preserve">In September 2011, the FASB issued ASU No. 2011-08, </w:t>
      </w:r>
      <w:r>
        <w:rPr>
          <w:rFonts w:ascii="Arial" w:cs="Arial" w:eastAsia="Arial" w:hAnsi="Arial"/>
          <w:sz w:val="12"/>
          <w:szCs w:val="12"/>
          <w:i w:val="1"/>
          <w:iCs w:val="1"/>
          <w:color w:val="auto"/>
        </w:rPr>
        <w:t>Testing Goodwill for Impairment”</w:t>
      </w:r>
      <w:r>
        <w:rPr>
          <w:rFonts w:ascii="Arial" w:cs="Arial" w:eastAsia="Arial" w:hAnsi="Arial"/>
          <w:sz w:val="12"/>
          <w:szCs w:val="12"/>
          <w:color w:val="auto"/>
        </w:rPr>
        <w:t xml:space="preserve"> (“ASU No. 2011-08”), which is intended to reduce the complexity and costs to test goodwill for impairment. The amendment allows an entity the option to make a qualitative evaluation about the likelihood of goodwill impairment to determine whether it is necessary to perform the two-step quantitative goodwill impairment test. An entity will no longer be required to calculate the fair value of a reporting unit unless the entity determines, based on its qualitative assessment, that it is more likely than not that the fair value of the reporting unit is less than its carrying amount. ASU No. 2011-08 also expands upon the examples of events and circumstances that an entity should consider between annual impairment tests in determining whether it is more likely than not that the fair value of a reporting unit is less than its carrying amount. The amendment became effective for annual and interim goodwill impairment tests performed by the Company in the fourth quarter of the fiscal year ended April 30, 2012. The adoption of ASU 2011-08 did not have a material impact on its consolidated financial statements.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2" w:name="page33"/>
    <w:bookmarkEnd w:id="3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In February 2013, the FASB issued Accounting Standard Update No. 2013-02</w:t>
      </w:r>
      <w:r>
        <w:rPr>
          <w:rFonts w:ascii="Arial" w:cs="Arial" w:eastAsia="Arial" w:hAnsi="Arial"/>
          <w:sz w:val="11"/>
          <w:szCs w:val="11"/>
          <w:i w:val="1"/>
          <w:iCs w:val="1"/>
          <w:color w:val="auto"/>
        </w:rPr>
        <w:t>, Other Comprehensive Income</w:t>
      </w:r>
      <w:r>
        <w:rPr>
          <w:rFonts w:ascii="Arial" w:cs="Arial" w:eastAsia="Arial" w:hAnsi="Arial"/>
          <w:sz w:val="11"/>
          <w:szCs w:val="11"/>
          <w:color w:val="auto"/>
        </w:rPr>
        <w:t>. The amendments require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is effective for periods beginning after December 15, 2012. The Company does not expect adoption of ASU 2013-02 to have a material effect on its financial statements.</w:t>
      </w:r>
    </w:p>
    <w:p>
      <w:pPr>
        <w:spacing w:after="0" w:line="129"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1"/>
          <w:szCs w:val="11"/>
          <w:color w:val="auto"/>
        </w:rPr>
        <w:t xml:space="preserve">In July 2012, the FASB issued ASU No. 2012-02, </w:t>
      </w:r>
      <w:r>
        <w:rPr>
          <w:rFonts w:ascii="Arial" w:cs="Arial" w:eastAsia="Arial" w:hAnsi="Arial"/>
          <w:sz w:val="11"/>
          <w:szCs w:val="11"/>
          <w:i w:val="1"/>
          <w:iCs w:val="1"/>
          <w:color w:val="auto"/>
        </w:rPr>
        <w:t>Intangibles – Goodwill and Other (Topic 350): Test Indefinite-Lived Intangible Assets for Impairment</w:t>
      </w:r>
      <w:r>
        <w:rPr>
          <w:rFonts w:ascii="Arial" w:cs="Arial" w:eastAsia="Arial" w:hAnsi="Arial"/>
          <w:sz w:val="11"/>
          <w:szCs w:val="11"/>
          <w:color w:val="auto"/>
        </w:rPr>
        <w:t xml:space="preserve">. Under the requirements of ASU 2012-02 an entity has the option to assess qualitative factors when testing indefinite-lived intangible assets annually to determine whether it is more likely than not that the asset is not impaired. An entity also has the option to bypass the qualitative assessment for any indefinite-lived intangible asset in any period and proceed directly to performing the quantitative impairment test or resume performing the qualitative assessment in any subsequent period. If, after assessing the totality of events and circumstances,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in accordance with </w:t>
      </w:r>
      <w:r>
        <w:rPr>
          <w:rFonts w:ascii="Arial" w:cs="Arial" w:eastAsia="Arial" w:hAnsi="Arial"/>
          <w:sz w:val="11"/>
          <w:szCs w:val="11"/>
          <w:i w:val="1"/>
          <w:iCs w:val="1"/>
          <w:color w:val="auto"/>
        </w:rPr>
        <w:t>Subtopic 350-30</w:t>
      </w:r>
      <w:r>
        <w:rPr>
          <w:rFonts w:ascii="Arial" w:cs="Arial" w:eastAsia="Arial" w:hAnsi="Arial"/>
          <w:sz w:val="11"/>
          <w:szCs w:val="11"/>
          <w:color w:val="auto"/>
        </w:rPr>
        <w:t>. ASU 2012-02 is effective for annual and interim impairment tests performed for fiscal years beginning after September 15, 2012. The Company will adopt ASU 2012-02 for its fiscal year 2014 which begins on May 1, 2013. The Company is unable to determine the impact of such adoption until it performs the annual test for impairment in the next fiscal year.</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2. </w:t>
      </w:r>
      <w:r>
        <w:rPr>
          <w:rFonts w:ascii="Arial" w:cs="Arial" w:eastAsia="Arial" w:hAnsi="Arial"/>
          <w:sz w:val="12"/>
          <w:szCs w:val="12"/>
          <w:u w:val="single" w:color="auto"/>
          <w:color w:val="auto"/>
        </w:rPr>
        <w:t>Earnings Per Share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Reconciliations of the weighted average shares outstanding for basic and diluted Earnings Per Share are as follows:</w:t>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w w:val="93"/>
              </w:rPr>
              <w:t>Years ended April 30,</w:t>
            </w:r>
          </w:p>
        </w:tc>
        <w:tc>
          <w:tcPr>
            <w:tcW w:w="8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540" w:type="dxa"/>
            <w:vAlign w:val="bottom"/>
            <w:gridSpan w:val="2"/>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2013</w:t>
            </w:r>
          </w:p>
        </w:tc>
        <w:tc>
          <w:tcPr>
            <w:tcW w:w="5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w w:val="97"/>
              </w:rPr>
              <w:t>2012</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EPS Shares outstanding (weighted average)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8,412,633</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8,329,081</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Effect of Dilutive Securities</w:t>
            </w:r>
          </w:p>
        </w:tc>
        <w:tc>
          <w:tcPr>
            <w:tcW w:w="8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192,018</w:t>
            </w:r>
          </w:p>
        </w:tc>
        <w:tc>
          <w:tcPr>
            <w:tcW w:w="2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211,874</w:t>
            </w:r>
          </w:p>
        </w:tc>
        <w:tc>
          <w:tcPr>
            <w:tcW w:w="12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Diluted EPS Shares outstanding</w:t>
            </w:r>
          </w:p>
        </w:tc>
        <w:tc>
          <w:tcPr>
            <w:tcW w:w="8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7"/>
              </w:rPr>
              <w:t>8,604,651</w:t>
            </w: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8,540,955</w:t>
            </w:r>
          </w:p>
        </w:tc>
        <w:tc>
          <w:tcPr>
            <w:tcW w:w="120" w:type="dxa"/>
            <w:vAlign w:val="bottom"/>
            <w:tcBorders>
              <w:bottom w:val="single" w:sz="8" w:color="CCEEFF"/>
            </w:tcBorders>
            <w:shd w:val="clear" w:color="auto" w:fill="CCEEFF"/>
          </w:tcPr>
          <w:p>
            <w:pPr>
              <w:spacing w:after="0"/>
              <w:rPr>
                <w:sz w:val="15"/>
                <w:szCs w:val="15"/>
                <w:color w:val="auto"/>
              </w:rPr>
            </w:pPr>
          </w:p>
        </w:tc>
      </w:tr>
    </w:tbl>
    <w:p>
      <w:pPr>
        <w:spacing w:after="0" w:line="1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Dilutive securities consist of unexercised stock options and stock appreciation rights (“SARS”). The computation of diluted shares outstanding excludes those options and SARS with an exercise price in excess of the average market price of the Company’s common shares during the periods presented. The inclusion of such options and SARS in the computation of earnings per share would have been antidilutive. For the years ended April 30, 2013 and 2012, the number of excluded options and SARS were 939,375 and 733,375, respectively.</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20" w:type="dxa"/>
            <w:vAlign w:val="bottom"/>
            <w:gridSpan w:val="4"/>
          </w:tcPr>
          <w:p>
            <w:pPr>
              <w:spacing w:after="0"/>
              <w:rPr>
                <w:sz w:val="20"/>
                <w:szCs w:val="20"/>
                <w:color w:val="auto"/>
              </w:rPr>
            </w:pPr>
            <w:r>
              <w:rPr>
                <w:rFonts w:ascii="Arial" w:cs="Arial" w:eastAsia="Arial" w:hAnsi="Arial"/>
                <w:sz w:val="12"/>
                <w:szCs w:val="12"/>
                <w:color w:val="auto"/>
              </w:rPr>
              <w:t>3. Costs and Estimated Earnings in Excess of Billings</w:t>
            </w: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460" w:type="dxa"/>
            <w:vAlign w:val="bottom"/>
            <w:gridSpan w:val="2"/>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6080" w:type="dxa"/>
            <w:vAlign w:val="bottom"/>
            <w:gridSpan w:val="3"/>
          </w:tcPr>
          <w:p>
            <w:pPr>
              <w:ind w:left="180"/>
              <w:spacing w:after="0"/>
              <w:rPr>
                <w:sz w:val="20"/>
                <w:szCs w:val="20"/>
                <w:color w:val="auto"/>
              </w:rPr>
            </w:pPr>
            <w:r>
              <w:rPr>
                <w:rFonts w:ascii="Arial" w:cs="Arial" w:eastAsia="Arial" w:hAnsi="Arial"/>
                <w:sz w:val="12"/>
                <w:szCs w:val="12"/>
                <w:color w:val="auto"/>
              </w:rPr>
              <w:t>At April 30, 2013 and 2012, costs and estimated earnings in excess of billings, net, consist of the following:</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jc w:val="right"/>
              <w:ind w:right="40"/>
              <w:spacing w:after="0"/>
              <w:rPr>
                <w:sz w:val="20"/>
                <w:szCs w:val="20"/>
                <w:color w:val="auto"/>
              </w:rPr>
            </w:pPr>
            <w:r>
              <w:rPr>
                <w:rFonts w:ascii="Arial" w:cs="Arial" w:eastAsia="Arial" w:hAnsi="Arial"/>
                <w:sz w:val="12"/>
                <w:szCs w:val="12"/>
                <w:color w:val="auto"/>
              </w:rPr>
              <w:t>(in</w:t>
            </w:r>
          </w:p>
        </w:tc>
        <w:tc>
          <w:tcPr>
            <w:tcW w:w="620" w:type="dxa"/>
            <w:vAlign w:val="bottom"/>
            <w:gridSpan w:val="3"/>
          </w:tcPr>
          <w:p>
            <w:pPr>
              <w:jc w:val="right"/>
              <w:ind w:right="160"/>
              <w:spacing w:after="0"/>
              <w:rPr>
                <w:sz w:val="20"/>
                <w:szCs w:val="20"/>
                <w:color w:val="auto"/>
              </w:rPr>
            </w:pPr>
            <w:r>
              <w:rPr>
                <w:rFonts w:ascii="Arial" w:cs="Arial" w:eastAsia="Arial" w:hAnsi="Arial"/>
                <w:sz w:val="12"/>
                <w:szCs w:val="12"/>
                <w:color w:val="auto"/>
                <w:w w:val="74"/>
              </w:rPr>
              <w:t>thousands)</w:t>
            </w: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Costs and estimated earnings in excess of billings</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10,228</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780" w:type="dxa"/>
            <w:vAlign w:val="bottom"/>
            <w:gridSpan w:val="2"/>
          </w:tcPr>
          <w:p>
            <w:pPr>
              <w:spacing w:after="0"/>
              <w:rPr>
                <w:sz w:val="20"/>
                <w:szCs w:val="20"/>
                <w:color w:val="auto"/>
              </w:rPr>
            </w:pPr>
            <w:r>
              <w:rPr>
                <w:rFonts w:ascii="Arial" w:cs="Arial" w:eastAsia="Arial" w:hAnsi="Arial"/>
                <w:sz w:val="12"/>
                <w:szCs w:val="12"/>
                <w:color w:val="auto"/>
              </w:rPr>
              <w:t>Billings in excess of costs and estimated earnings</w:t>
            </w: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2"/>
                <w:szCs w:val="12"/>
                <w:color w:val="auto"/>
              </w:rPr>
              <w:t>(1,611)</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(2,345)</w:t>
            </w:r>
          </w:p>
        </w:tc>
        <w:tc>
          <w:tcPr>
            <w:tcW w:w="0" w:type="dxa"/>
            <w:vAlign w:val="bottom"/>
          </w:tcPr>
          <w:p>
            <w:pPr>
              <w:spacing w:after="0"/>
              <w:rPr>
                <w:sz w:val="1"/>
                <w:szCs w:val="1"/>
                <w:color w:val="auto"/>
              </w:rPr>
            </w:pPr>
          </w:p>
        </w:tc>
      </w:tr>
      <w:tr>
        <w:trPr>
          <w:trHeight w:val="20"/>
        </w:trPr>
        <w:tc>
          <w:tcPr>
            <w:tcW w:w="140" w:type="dxa"/>
            <w:vAlign w:val="bottom"/>
            <w:vMerge w:val="restart"/>
          </w:tcPr>
          <w:p>
            <w:pPr>
              <w:spacing w:after="0" w:line="20" w:lineRule="exact"/>
              <w:rPr>
                <w:sz w:val="1"/>
                <w:szCs w:val="1"/>
                <w:color w:val="auto"/>
              </w:rPr>
            </w:pPr>
          </w:p>
        </w:tc>
        <w:tc>
          <w:tcPr>
            <w:tcW w:w="130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asset</w:t>
            </w:r>
          </w:p>
        </w:tc>
        <w:tc>
          <w:tcPr>
            <w:tcW w:w="1640" w:type="dxa"/>
            <w:vAlign w:val="bottom"/>
            <w:gridSpan w:val="2"/>
            <w:shd w:val="clear" w:color="auto" w:fill="CCEEFF"/>
          </w:tcPr>
          <w:p>
            <w:pPr>
              <w:jc w:val="right"/>
              <w:ind w:right="7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8,617</w:t>
            </w: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7,207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years ended April 30, 2013 and 2012, revenue recognized under percentage of completion contracts was approximately $35.6 million and $36.1 million, respectively.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3" w:name="page34"/>
    <w:bookmarkEnd w:id="33"/>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4008"/>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ind w:left="3968"/>
        <w:spacing w:after="0"/>
        <w:rPr>
          <w:sz w:val="20"/>
          <w:szCs w:val="20"/>
          <w:color w:val="auto"/>
        </w:rPr>
      </w:pPr>
      <w:r>
        <w:rPr>
          <w:rFonts w:ascii="Arial" w:cs="Arial" w:eastAsia="Arial" w:hAnsi="Arial"/>
          <w:sz w:val="12"/>
          <w:szCs w:val="12"/>
          <w:color w:val="auto"/>
        </w:rPr>
        <w:t>NOTES TO CONSOLIDATED FINANCIAL STATEMENTS - Continued</w:t>
      </w:r>
    </w:p>
    <w:p>
      <w:pPr>
        <w:spacing w:after="0" w:line="14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960" w:type="dxa"/>
            <w:vAlign w:val="bottom"/>
            <w:gridSpan w:val="4"/>
          </w:tcPr>
          <w:p>
            <w:pPr>
              <w:spacing w:after="0"/>
              <w:rPr>
                <w:sz w:val="20"/>
                <w:szCs w:val="20"/>
                <w:color w:val="auto"/>
              </w:rPr>
            </w:pPr>
            <w:r>
              <w:rPr>
                <w:rFonts w:ascii="Arial" w:cs="Arial" w:eastAsia="Arial" w:hAnsi="Arial"/>
                <w:sz w:val="12"/>
                <w:szCs w:val="12"/>
                <w:color w:val="auto"/>
              </w:rPr>
              <w:t>4. Inventories</w:t>
            </w: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6820" w:type="dxa"/>
            <w:vAlign w:val="bottom"/>
            <w:gridSpan w:val="3"/>
          </w:tcPr>
          <w:p>
            <w:pPr>
              <w:ind w:left="180"/>
              <w:spacing w:after="0"/>
              <w:rPr>
                <w:sz w:val="20"/>
                <w:szCs w:val="20"/>
                <w:color w:val="auto"/>
              </w:rPr>
            </w:pPr>
            <w:r>
              <w:rPr>
                <w:rFonts w:ascii="Arial" w:cs="Arial" w:eastAsia="Arial" w:hAnsi="Arial"/>
                <w:sz w:val="12"/>
                <w:szCs w:val="12"/>
                <w:color w:val="auto"/>
              </w:rPr>
              <w:t>Inventories at April 30, 2013 and 2012, respectively, consisted of the following (in thousands):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900" w:type="dxa"/>
            <w:vAlign w:val="bottom"/>
            <w:tcBorders>
              <w:bottom w:val="single" w:sz="8" w:color="auto"/>
            </w:tcBorders>
          </w:tcPr>
          <w:p>
            <w:pPr>
              <w:jc w:val="right"/>
              <w:ind w:right="67"/>
              <w:spacing w:after="0"/>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24"/>
                <w:szCs w:val="24"/>
                <w:color w:val="auto"/>
              </w:rPr>
            </w:pPr>
          </w:p>
        </w:tc>
      </w:tr>
      <w:tr>
        <w:trPr>
          <w:trHeight w:val="142"/>
        </w:trPr>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Raw Materials and Component Parts</w:t>
            </w:r>
          </w:p>
        </w:tc>
        <w:tc>
          <w:tcPr>
            <w:tcW w:w="900" w:type="dxa"/>
            <w:vAlign w:val="bottom"/>
            <w:shd w:val="clear" w:color="auto" w:fill="CCEEFF"/>
          </w:tcPr>
          <w:p>
            <w:pPr>
              <w:jc w:val="right"/>
              <w:ind w:right="787"/>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21,066</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15,813</w:t>
            </w:r>
          </w:p>
        </w:tc>
        <w:tc>
          <w:tcPr>
            <w:tcW w:w="12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tcPr>
          <w:p>
            <w:pPr>
              <w:spacing w:after="0"/>
              <w:rPr>
                <w:sz w:val="20"/>
                <w:szCs w:val="20"/>
                <w:color w:val="auto"/>
              </w:rPr>
            </w:pPr>
            <w:r>
              <w:rPr>
                <w:rFonts w:ascii="Arial" w:cs="Arial" w:eastAsia="Arial" w:hAnsi="Arial"/>
                <w:sz w:val="12"/>
                <w:szCs w:val="12"/>
                <w:color w:val="auto"/>
              </w:rPr>
              <w:t>Work in Progress</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13,665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15,762</w:t>
            </w:r>
          </w:p>
        </w:tc>
        <w:tc>
          <w:tcPr>
            <w:tcW w:w="12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9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2,790</w:t>
            </w:r>
          </w:p>
        </w:tc>
        <w:tc>
          <w:tcPr>
            <w:tcW w:w="2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2,724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00" w:type="dxa"/>
            <w:vAlign w:val="bottom"/>
          </w:tcPr>
          <w:p>
            <w:pPr>
              <w:jc w:val="right"/>
              <w:ind w:right="787"/>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37,521</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34,299</w:t>
            </w:r>
          </w:p>
        </w:tc>
        <w:tc>
          <w:tcPr>
            <w:tcW w:w="12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p>
      <w:pPr>
        <w:ind w:left="8" w:firstLine="324"/>
        <w:spacing w:after="0" w:line="276" w:lineRule="auto"/>
        <w:rPr>
          <w:sz w:val="20"/>
          <w:szCs w:val="20"/>
          <w:color w:val="auto"/>
        </w:rPr>
      </w:pPr>
      <w:r>
        <w:rPr>
          <w:rFonts w:ascii="Arial" w:cs="Arial" w:eastAsia="Arial" w:hAnsi="Arial"/>
          <w:sz w:val="12"/>
          <w:szCs w:val="12"/>
          <w:color w:val="auto"/>
        </w:rPr>
        <w:t>As of April 30, 2013 and 2012, approximately $29.9 million and $25.5 million, respectively, of total inventory is located in the United States, approximately $6.9 million and $8.2 million, respectively, is located in Belgium and approximately $0.7 million and $0.6 million, respectively, is located in China.</w:t>
      </w:r>
    </w:p>
    <w:p>
      <w:pPr>
        <w:spacing w:after="0" w:line="133" w:lineRule="exact"/>
        <w:rPr>
          <w:sz w:val="20"/>
          <w:szCs w:val="20"/>
          <w:color w:val="auto"/>
        </w:rPr>
      </w:pPr>
    </w:p>
    <w:p>
      <w:pPr>
        <w:ind w:left="148" w:hanging="148"/>
        <w:spacing w:after="0"/>
        <w:tabs>
          <w:tab w:leader="none" w:pos="148" w:val="left"/>
        </w:tabs>
        <w:numPr>
          <w:ilvl w:val="0"/>
          <w:numId w:val="5"/>
        </w:numPr>
        <w:rPr>
          <w:rFonts w:ascii="Arial" w:cs="Arial" w:eastAsia="Arial" w:hAnsi="Arial"/>
          <w:sz w:val="12"/>
          <w:szCs w:val="12"/>
          <w:color w:val="auto"/>
        </w:rPr>
      </w:pPr>
      <w:r>
        <w:rPr>
          <w:rFonts w:ascii="Arial" w:cs="Arial" w:eastAsia="Arial" w:hAnsi="Arial"/>
          <w:sz w:val="12"/>
          <w:szCs w:val="12"/>
          <w:u w:val="single" w:color="auto"/>
          <w:color w:val="auto"/>
        </w:rPr>
        <w:t>Marketable Securities</w:t>
      </w:r>
    </w:p>
    <w:p>
      <w:pPr>
        <w:spacing w:after="0" w:line="168"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cost, gross unrealized gains, gross unrealized losses and fair market value of available-for-sale securities at April 30, 2013 and 2012 are as follows (in thousands):</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5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April 30, 2013</w:t>
            </w: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142"/>
        </w:trPr>
        <w:tc>
          <w:tcPr>
            <w:tcW w:w="3500" w:type="dxa"/>
            <w:vAlign w:val="bottom"/>
          </w:tcPr>
          <w:p>
            <w:pPr>
              <w:spacing w:after="0"/>
              <w:rPr>
                <w:sz w:val="12"/>
                <w:szCs w:val="12"/>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Cost</w:t>
            </w:r>
          </w:p>
        </w:tc>
        <w:tc>
          <w:tcPr>
            <w:tcW w:w="44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4"/>
              </w:rPr>
              <w:t>Gross Unrealized Gains</w:t>
            </w:r>
          </w:p>
        </w:tc>
        <w:tc>
          <w:tcPr>
            <w:tcW w:w="720" w:type="dxa"/>
            <w:vAlign w:val="bottom"/>
          </w:tcPr>
          <w:p>
            <w:pPr>
              <w:spacing w:after="0"/>
              <w:rPr>
                <w:sz w:val="12"/>
                <w:szCs w:val="1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7"/>
              </w:rPr>
              <w:t>Gross Unrealized Losses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Fair Market Value</w:t>
            </w:r>
          </w:p>
        </w:tc>
        <w:tc>
          <w:tcPr>
            <w:tcW w:w="360" w:type="dxa"/>
            <w:vAlign w:val="bottom"/>
          </w:tcPr>
          <w:p>
            <w:pPr>
              <w:spacing w:after="0"/>
              <w:rPr>
                <w:sz w:val="12"/>
                <w:szCs w:val="12"/>
                <w:color w:val="auto"/>
              </w:rPr>
            </w:pPr>
          </w:p>
        </w:tc>
      </w:tr>
      <w:tr>
        <w:trPr>
          <w:trHeight w:val="142"/>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Fixed income securities</w:t>
            </w:r>
          </w:p>
        </w:tc>
        <w:tc>
          <w:tcPr>
            <w:tcW w:w="9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10,285</w:t>
            </w:r>
          </w:p>
        </w:tc>
        <w:tc>
          <w:tcPr>
            <w:tcW w:w="7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297</w:t>
            </w:r>
          </w:p>
        </w:tc>
        <w:tc>
          <w:tcPr>
            <w:tcW w:w="7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10,582</w:t>
            </w: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Equity securities</w:t>
            </w:r>
          </w:p>
        </w:tc>
        <w:tc>
          <w:tcPr>
            <w:tcW w:w="9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6,490</w:t>
            </w:r>
          </w:p>
        </w:tc>
        <w:tc>
          <w:tcPr>
            <w:tcW w:w="7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1,266</w:t>
            </w:r>
          </w:p>
        </w:tc>
        <w:tc>
          <w:tcPr>
            <w:tcW w:w="7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(68</w:t>
            </w:r>
          </w:p>
        </w:tc>
        <w:tc>
          <w:tcPr>
            <w:tcW w:w="160" w:type="dxa"/>
            <w:vAlign w:val="bottom"/>
          </w:tcPr>
          <w:p>
            <w:pPr>
              <w:spacing w:after="0"/>
              <w:rPr>
                <w:sz w:val="12"/>
                <w:szCs w:val="12"/>
                <w:color w:val="auto"/>
              </w:rPr>
            </w:pP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7,688</w:t>
            </w:r>
          </w:p>
        </w:tc>
        <w:tc>
          <w:tcPr>
            <w:tcW w:w="360" w:type="dxa"/>
            <w:vAlign w:val="bottom"/>
          </w:tcPr>
          <w:p>
            <w:pPr>
              <w:spacing w:after="0"/>
              <w:rPr>
                <w:sz w:val="12"/>
                <w:szCs w:val="12"/>
                <w:color w:val="auto"/>
              </w:rPr>
            </w:pPr>
          </w:p>
        </w:tc>
      </w:tr>
      <w:tr>
        <w:trPr>
          <w:trHeight w:val="162"/>
        </w:trPr>
        <w:tc>
          <w:tcPr>
            <w:tcW w:w="350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16,775</w:t>
            </w:r>
          </w:p>
        </w:tc>
        <w:tc>
          <w:tcPr>
            <w:tcW w:w="74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1,563</w:t>
            </w:r>
          </w:p>
        </w:tc>
        <w:tc>
          <w:tcPr>
            <w:tcW w:w="72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18,270</w:t>
            </w:r>
          </w:p>
        </w:tc>
      </w:tr>
      <w:tr>
        <w:trPr>
          <w:trHeight w:val="20"/>
        </w:trPr>
        <w:tc>
          <w:tcPr>
            <w:tcW w:w="3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5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b w:val="1"/>
                <w:bCs w:val="1"/>
                <w:color w:val="auto"/>
              </w:rPr>
              <w:t>April 30, 2012</w:t>
            </w:r>
          </w:p>
        </w:tc>
        <w:tc>
          <w:tcPr>
            <w:tcW w:w="7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142"/>
        </w:trPr>
        <w:tc>
          <w:tcPr>
            <w:tcW w:w="3500" w:type="dxa"/>
            <w:vAlign w:val="bottom"/>
          </w:tcPr>
          <w:p>
            <w:pPr>
              <w:spacing w:after="0"/>
              <w:rPr>
                <w:sz w:val="12"/>
                <w:szCs w:val="12"/>
                <w:color w:val="auto"/>
              </w:rPr>
            </w:pPr>
          </w:p>
        </w:tc>
        <w:tc>
          <w:tcPr>
            <w:tcW w:w="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Cost</w:t>
            </w:r>
          </w:p>
        </w:tc>
        <w:tc>
          <w:tcPr>
            <w:tcW w:w="46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Gross Unrealized Gains</w:t>
            </w:r>
          </w:p>
        </w:tc>
        <w:tc>
          <w:tcPr>
            <w:tcW w:w="720" w:type="dxa"/>
            <w:vAlign w:val="bottom"/>
          </w:tcPr>
          <w:p>
            <w:pPr>
              <w:spacing w:after="0"/>
              <w:rPr>
                <w:sz w:val="12"/>
                <w:szCs w:val="12"/>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Gross Unrealized Losses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Fair Market Value</w:t>
            </w:r>
          </w:p>
        </w:tc>
        <w:tc>
          <w:tcPr>
            <w:tcW w:w="360" w:type="dxa"/>
            <w:vAlign w:val="bottom"/>
          </w:tcPr>
          <w:p>
            <w:pPr>
              <w:spacing w:after="0"/>
              <w:rPr>
                <w:sz w:val="12"/>
                <w:szCs w:val="12"/>
                <w:color w:val="auto"/>
              </w:rPr>
            </w:pPr>
          </w:p>
        </w:tc>
      </w:tr>
      <w:tr>
        <w:trPr>
          <w:trHeight w:val="142"/>
        </w:trPr>
        <w:tc>
          <w:tcPr>
            <w:tcW w:w="3500" w:type="dxa"/>
            <w:vAlign w:val="bottom"/>
            <w:shd w:val="clear" w:color="auto" w:fill="CCEEFF"/>
          </w:tcPr>
          <w:p>
            <w:pPr>
              <w:spacing w:after="0"/>
              <w:rPr>
                <w:sz w:val="20"/>
                <w:szCs w:val="20"/>
                <w:color w:val="auto"/>
              </w:rPr>
            </w:pPr>
            <w:r>
              <w:rPr>
                <w:rFonts w:ascii="Arial" w:cs="Arial" w:eastAsia="Arial" w:hAnsi="Arial"/>
                <w:sz w:val="12"/>
                <w:szCs w:val="12"/>
                <w:color w:val="auto"/>
              </w:rPr>
              <w:t>Fixed income securities</w:t>
            </w:r>
          </w:p>
        </w:tc>
        <w:tc>
          <w:tcPr>
            <w:tcW w:w="9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11,573</w:t>
            </w:r>
          </w:p>
        </w:tc>
        <w:tc>
          <w:tcPr>
            <w:tcW w:w="7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28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297</w:t>
            </w:r>
          </w:p>
        </w:tc>
        <w:tc>
          <w:tcPr>
            <w:tcW w:w="76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11,864</w:t>
            </w:r>
          </w:p>
        </w:tc>
        <w:tc>
          <w:tcPr>
            <w:tcW w:w="360" w:type="dxa"/>
            <w:vAlign w:val="bottom"/>
            <w:shd w:val="clear" w:color="auto" w:fill="CCEEFF"/>
          </w:tcPr>
          <w:p>
            <w:pPr>
              <w:spacing w:after="0"/>
              <w:rPr>
                <w:sz w:val="12"/>
                <w:szCs w:val="12"/>
                <w:color w:val="auto"/>
              </w:rPr>
            </w:pPr>
          </w:p>
        </w:tc>
      </w:tr>
      <w:tr>
        <w:trPr>
          <w:trHeight w:val="144"/>
        </w:trPr>
        <w:tc>
          <w:tcPr>
            <w:tcW w:w="3500" w:type="dxa"/>
            <w:vAlign w:val="bottom"/>
          </w:tcPr>
          <w:p>
            <w:pPr>
              <w:spacing w:after="0"/>
              <w:rPr>
                <w:sz w:val="20"/>
                <w:szCs w:val="20"/>
                <w:color w:val="auto"/>
              </w:rPr>
            </w:pPr>
            <w:r>
              <w:rPr>
                <w:rFonts w:ascii="Arial" w:cs="Arial" w:eastAsia="Arial" w:hAnsi="Arial"/>
                <w:sz w:val="12"/>
                <w:szCs w:val="12"/>
                <w:color w:val="auto"/>
              </w:rPr>
              <w:t>Equity securities</w:t>
            </w:r>
          </w:p>
        </w:tc>
        <w:tc>
          <w:tcPr>
            <w:tcW w:w="9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5,411</w:t>
            </w:r>
          </w:p>
        </w:tc>
        <w:tc>
          <w:tcPr>
            <w:tcW w:w="7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552</w:t>
            </w:r>
          </w:p>
        </w:tc>
        <w:tc>
          <w:tcPr>
            <w:tcW w:w="7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w:t>
            </w:r>
          </w:p>
        </w:tc>
        <w:tc>
          <w:tcPr>
            <w:tcW w:w="160" w:type="dxa"/>
            <w:vAlign w:val="bottom"/>
          </w:tcPr>
          <w:p>
            <w:pPr>
              <w:spacing w:after="0"/>
              <w:rPr>
                <w:sz w:val="12"/>
                <w:szCs w:val="12"/>
                <w:color w:val="auto"/>
              </w:rPr>
            </w:pP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5,794</w:t>
            </w:r>
          </w:p>
        </w:tc>
        <w:tc>
          <w:tcPr>
            <w:tcW w:w="360" w:type="dxa"/>
            <w:vAlign w:val="bottom"/>
          </w:tcPr>
          <w:p>
            <w:pPr>
              <w:spacing w:after="0"/>
              <w:rPr>
                <w:sz w:val="12"/>
                <w:szCs w:val="12"/>
                <w:color w:val="auto"/>
              </w:rPr>
            </w:pPr>
          </w:p>
        </w:tc>
      </w:tr>
      <w:tr>
        <w:trPr>
          <w:trHeight w:val="182"/>
        </w:trPr>
        <w:tc>
          <w:tcPr>
            <w:tcW w:w="35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16,984</w:t>
            </w:r>
          </w:p>
        </w:tc>
        <w:tc>
          <w:tcPr>
            <w:tcW w:w="7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849</w:t>
            </w:r>
          </w:p>
        </w:tc>
        <w:tc>
          <w:tcPr>
            <w:tcW w:w="7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(175</w:t>
            </w:r>
          </w:p>
        </w:tc>
        <w:tc>
          <w:tcPr>
            <w:tcW w:w="1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17,658</w:t>
            </w:r>
          </w:p>
        </w:tc>
        <w:tc>
          <w:tcPr>
            <w:tcW w:w="360" w:type="dxa"/>
            <w:vAlign w:val="bottom"/>
            <w:tcBorders>
              <w:bottom w:val="single" w:sz="8" w:color="CCEEFF"/>
            </w:tcBorders>
            <w:shd w:val="clear" w:color="auto" w:fill="CCEEFF"/>
          </w:tcPr>
          <w:p>
            <w:pPr>
              <w:spacing w:after="0"/>
              <w:rPr>
                <w:sz w:val="15"/>
                <w:szCs w:val="15"/>
                <w:color w:val="auto"/>
              </w:rPr>
            </w:pPr>
          </w:p>
        </w:tc>
      </w:tr>
    </w:tbl>
    <w:p>
      <w:pPr>
        <w:spacing w:after="0" w:line="153"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following table presents the fair value and unrealized losses, aggregated by investment type and length of time that individual securities have been in a continuous unrealized loss position:</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140"/>
              <w:spacing w:after="0"/>
              <w:rPr>
                <w:sz w:val="20"/>
                <w:szCs w:val="20"/>
                <w:color w:val="auto"/>
              </w:rPr>
            </w:pPr>
            <w:r>
              <w:rPr>
                <w:rFonts w:ascii="Arial" w:cs="Arial" w:eastAsia="Arial" w:hAnsi="Arial"/>
                <w:sz w:val="12"/>
                <w:szCs w:val="12"/>
                <w:b w:val="1"/>
                <w:bCs w:val="1"/>
                <w:color w:val="auto"/>
                <w:w w:val="85"/>
              </w:rPr>
              <w:t>Less than 12 months</w:t>
            </w: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12 Months or more</w:t>
            </w:r>
          </w:p>
        </w:tc>
        <w:tc>
          <w:tcPr>
            <w:tcW w:w="6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960"/>
              <w:spacing w:after="0"/>
              <w:rPr>
                <w:sz w:val="20"/>
                <w:szCs w:val="20"/>
                <w:color w:val="auto"/>
              </w:rPr>
            </w:pPr>
            <w:r>
              <w:rPr>
                <w:rFonts w:ascii="Arial" w:cs="Arial" w:eastAsia="Arial" w:hAnsi="Arial"/>
                <w:sz w:val="12"/>
                <w:szCs w:val="12"/>
                <w:b w:val="1"/>
                <w:bCs w:val="1"/>
                <w:color w:val="auto"/>
              </w:rPr>
              <w:t>Total</w:t>
            </w:r>
          </w:p>
        </w:tc>
        <w:tc>
          <w:tcPr>
            <w:tcW w:w="4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20" w:type="dxa"/>
            <w:vAlign w:val="bottom"/>
            <w:gridSpan w:val="3"/>
          </w:tcPr>
          <w:p>
            <w:pPr>
              <w:ind w:left="220"/>
              <w:spacing w:after="0"/>
              <w:rPr>
                <w:sz w:val="20"/>
                <w:szCs w:val="20"/>
                <w:color w:val="auto"/>
              </w:rPr>
            </w:pPr>
            <w:r>
              <w:rPr>
                <w:rFonts w:ascii="Arial" w:cs="Arial" w:eastAsia="Arial" w:hAnsi="Arial"/>
                <w:sz w:val="12"/>
                <w:szCs w:val="12"/>
                <w:b w:val="1"/>
                <w:bCs w:val="1"/>
                <w:color w:val="auto"/>
              </w:rPr>
              <w:t>Fair Value</w:t>
            </w:r>
          </w:p>
        </w:tc>
        <w:tc>
          <w:tcPr>
            <w:tcW w:w="960" w:type="dxa"/>
            <w:vAlign w:val="bottom"/>
            <w:gridSpan w:val="2"/>
          </w:tcPr>
          <w:p>
            <w:pPr>
              <w:jc w:val="right"/>
              <w:spacing w:after="0"/>
              <w:rPr>
                <w:sz w:val="20"/>
                <w:szCs w:val="20"/>
                <w:color w:val="auto"/>
              </w:rPr>
            </w:pPr>
            <w:r>
              <w:rPr>
                <w:rFonts w:ascii="Arial" w:cs="Arial" w:eastAsia="Arial" w:hAnsi="Arial"/>
                <w:sz w:val="12"/>
                <w:szCs w:val="12"/>
                <w:b w:val="1"/>
                <w:bCs w:val="1"/>
                <w:color w:val="auto"/>
                <w:w w:val="87"/>
              </w:rPr>
              <w:t>Unrealized Losses</w:t>
            </w:r>
          </w:p>
        </w:tc>
        <w:tc>
          <w:tcPr>
            <w:tcW w:w="720" w:type="dxa"/>
            <w:vAlign w:val="bottom"/>
          </w:tcPr>
          <w:p>
            <w:pPr>
              <w:spacing w:after="0"/>
              <w:rPr>
                <w:sz w:val="12"/>
                <w:szCs w:val="12"/>
                <w:color w:val="auto"/>
              </w:rPr>
            </w:pPr>
          </w:p>
        </w:tc>
        <w:tc>
          <w:tcPr>
            <w:tcW w:w="1800" w:type="dxa"/>
            <w:vAlign w:val="bottom"/>
            <w:gridSpan w:val="3"/>
          </w:tcPr>
          <w:p>
            <w:pPr>
              <w:jc w:val="right"/>
              <w:ind w:right="980"/>
              <w:spacing w:after="0"/>
              <w:rPr>
                <w:sz w:val="20"/>
                <w:szCs w:val="20"/>
                <w:color w:val="auto"/>
              </w:rPr>
            </w:pPr>
            <w:r>
              <w:rPr>
                <w:rFonts w:ascii="Arial" w:cs="Arial" w:eastAsia="Arial" w:hAnsi="Arial"/>
                <w:sz w:val="12"/>
                <w:szCs w:val="12"/>
                <w:b w:val="1"/>
                <w:bCs w:val="1"/>
                <w:color w:val="auto"/>
              </w:rPr>
              <w:t>Fair Value</w:t>
            </w:r>
          </w:p>
        </w:tc>
        <w:tc>
          <w:tcPr>
            <w:tcW w:w="10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92"/>
              </w:rPr>
              <w:t>Unrealized Losses</w:t>
            </w:r>
          </w:p>
        </w:tc>
        <w:tc>
          <w:tcPr>
            <w:tcW w:w="7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2"/>
                <w:szCs w:val="12"/>
                <w:b w:val="1"/>
                <w:bCs w:val="1"/>
                <w:color w:val="auto"/>
                <w:w w:val="92"/>
              </w:rPr>
              <w:t>Unrealized Losses</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80" w:type="dxa"/>
            <w:vAlign w:val="bottom"/>
            <w:tcBorders>
              <w:bottom w:val="single" w:sz="8" w:color="auto"/>
            </w:tcBorders>
            <w:gridSpan w:val="3"/>
          </w:tcPr>
          <w:p>
            <w:pPr>
              <w:jc w:val="center"/>
              <w:spacing w:after="0" w:line="115" w:lineRule="exact"/>
              <w:rPr>
                <w:sz w:val="20"/>
                <w:szCs w:val="20"/>
                <w:color w:val="auto"/>
              </w:rPr>
            </w:pPr>
            <w:r>
              <w:rPr>
                <w:rFonts w:ascii="Arial" w:cs="Arial" w:eastAsia="Arial" w:hAnsi="Arial"/>
                <w:sz w:val="12"/>
                <w:szCs w:val="12"/>
                <w:color w:val="auto"/>
                <w:w w:val="99"/>
              </w:rPr>
              <w:t>April 30,</w:t>
            </w:r>
          </w:p>
        </w:tc>
        <w:tc>
          <w:tcPr>
            <w:tcW w:w="7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00" w:type="dxa"/>
            <w:vAlign w:val="bottom"/>
            <w:gridSpan w:val="4"/>
          </w:tcPr>
          <w:p>
            <w:pPr>
              <w:jc w:val="right"/>
              <w:ind w:right="100"/>
              <w:spacing w:after="0" w:line="124" w:lineRule="exact"/>
              <w:rPr>
                <w:sz w:val="20"/>
                <w:szCs w:val="20"/>
                <w:color w:val="auto"/>
              </w:rPr>
            </w:pPr>
            <w:r>
              <w:rPr>
                <w:rFonts w:ascii="Arial" w:cs="Arial" w:eastAsia="Arial" w:hAnsi="Arial"/>
                <w:sz w:val="12"/>
                <w:szCs w:val="12"/>
                <w:color w:val="auto"/>
              </w:rPr>
              <w:t>2013</w:t>
            </w: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200" w:type="dxa"/>
            <w:vAlign w:val="bottom"/>
            <w:tcBorders>
              <w:left w:val="single" w:sz="8" w:color="CCEEFF"/>
            </w:tcBorders>
            <w:gridSpan w:val="4"/>
            <w:shd w:val="clear" w:color="auto" w:fill="CCEEFF"/>
          </w:tcPr>
          <w:p>
            <w:pPr>
              <w:spacing w:after="0" w:line="136" w:lineRule="exact"/>
              <w:rPr>
                <w:sz w:val="20"/>
                <w:szCs w:val="20"/>
                <w:color w:val="auto"/>
              </w:rPr>
            </w:pPr>
            <w:r>
              <w:rPr>
                <w:rFonts w:ascii="Arial" w:cs="Arial" w:eastAsia="Arial" w:hAnsi="Arial"/>
                <w:sz w:val="12"/>
                <w:szCs w:val="12"/>
                <w:color w:val="auto"/>
              </w:rPr>
              <w:t>Fixed Income</w:t>
            </w: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tcBorders>
              <w:lef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0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Securities</w:t>
            </w: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0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00" w:type="dxa"/>
            <w:vAlign w:val="bottom"/>
            <w:gridSpan w:val="4"/>
          </w:tcPr>
          <w:p>
            <w:pPr>
              <w:spacing w:after="0"/>
              <w:rPr>
                <w:sz w:val="20"/>
                <w:szCs w:val="20"/>
                <w:color w:val="auto"/>
              </w:rPr>
            </w:pPr>
            <w:r>
              <w:rPr>
                <w:rFonts w:ascii="Arial" w:cs="Arial" w:eastAsia="Arial" w:hAnsi="Arial"/>
                <w:sz w:val="12"/>
                <w:szCs w:val="12"/>
                <w:color w:val="auto"/>
              </w:rPr>
              <w:t>Equity Securities</w:t>
            </w:r>
          </w:p>
        </w:tc>
        <w:tc>
          <w:tcPr>
            <w:tcW w:w="5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2"/>
                <w:szCs w:val="12"/>
                <w:color w:val="auto"/>
              </w:rPr>
              <w:t>512</w:t>
            </w: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(68</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512</w:t>
            </w: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(68</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512</w:t>
            </w: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7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512</w:t>
            </w:r>
          </w:p>
        </w:tc>
        <w:tc>
          <w:tcPr>
            <w:tcW w:w="136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w w:val="87"/>
              </w:rPr>
              <w:t>Less than 12 months</w:t>
            </w:r>
          </w:p>
        </w:tc>
        <w:tc>
          <w:tcPr>
            <w:tcW w:w="5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w w:val="91"/>
              </w:rPr>
              <w:t>12 Months or more</w:t>
            </w:r>
          </w:p>
        </w:tc>
        <w:tc>
          <w:tcPr>
            <w:tcW w:w="6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right"/>
              <w:ind w:right="940"/>
              <w:spacing w:after="0"/>
              <w:rPr>
                <w:sz w:val="20"/>
                <w:szCs w:val="20"/>
                <w:color w:val="auto"/>
              </w:rPr>
            </w:pPr>
            <w:r>
              <w:rPr>
                <w:rFonts w:ascii="Arial" w:cs="Arial" w:eastAsia="Arial" w:hAnsi="Arial"/>
                <w:sz w:val="12"/>
                <w:szCs w:val="12"/>
                <w:b w:val="1"/>
                <w:bCs w:val="1"/>
                <w:color w:val="auto"/>
              </w:rPr>
              <w:t>Total</w:t>
            </w: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Fair Value</w:t>
            </w:r>
          </w:p>
        </w:tc>
        <w:tc>
          <w:tcPr>
            <w:tcW w:w="10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89"/>
              </w:rPr>
              <w:t>Unrealized Losses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3"/>
          </w:tcPr>
          <w:p>
            <w:pPr>
              <w:ind w:left="220"/>
              <w:spacing w:after="0"/>
              <w:rPr>
                <w:sz w:val="20"/>
                <w:szCs w:val="20"/>
                <w:color w:val="auto"/>
              </w:rPr>
            </w:pPr>
            <w:r>
              <w:rPr>
                <w:rFonts w:ascii="Arial" w:cs="Arial" w:eastAsia="Arial" w:hAnsi="Arial"/>
                <w:sz w:val="12"/>
                <w:szCs w:val="12"/>
                <w:b w:val="1"/>
                <w:bCs w:val="1"/>
                <w:color w:val="auto"/>
              </w:rPr>
              <w:t>Fair Value</w:t>
            </w:r>
          </w:p>
        </w:tc>
        <w:tc>
          <w:tcPr>
            <w:tcW w:w="960" w:type="dxa"/>
            <w:vAlign w:val="bottom"/>
            <w:gridSpan w:val="2"/>
          </w:tcPr>
          <w:p>
            <w:pPr>
              <w:jc w:val="right"/>
              <w:spacing w:after="0"/>
              <w:rPr>
                <w:sz w:val="20"/>
                <w:szCs w:val="20"/>
                <w:color w:val="auto"/>
              </w:rPr>
            </w:pPr>
            <w:r>
              <w:rPr>
                <w:rFonts w:ascii="Arial" w:cs="Arial" w:eastAsia="Arial" w:hAnsi="Arial"/>
                <w:sz w:val="12"/>
                <w:szCs w:val="12"/>
                <w:b w:val="1"/>
                <w:bCs w:val="1"/>
                <w:color w:val="auto"/>
                <w:w w:val="87"/>
              </w:rPr>
              <w:t>Unrealized Losses</w:t>
            </w:r>
          </w:p>
        </w:tc>
        <w:tc>
          <w:tcPr>
            <w:tcW w:w="7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Fair Value</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w w:val="92"/>
              </w:rPr>
              <w:t>Unrealized Losses</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60" w:type="dxa"/>
            <w:vAlign w:val="bottom"/>
            <w:gridSpan w:val="4"/>
          </w:tcPr>
          <w:p>
            <w:pPr>
              <w:jc w:val="center"/>
              <w:ind w:right="680"/>
              <w:spacing w:after="0" w:line="115" w:lineRule="exact"/>
              <w:rPr>
                <w:sz w:val="20"/>
                <w:szCs w:val="20"/>
                <w:color w:val="auto"/>
              </w:rPr>
            </w:pPr>
            <w:r>
              <w:rPr>
                <w:rFonts w:ascii="Arial" w:cs="Arial" w:eastAsia="Arial" w:hAnsi="Arial"/>
                <w:sz w:val="12"/>
                <w:szCs w:val="12"/>
                <w:color w:val="auto"/>
                <w:w w:val="99"/>
              </w:rPr>
              <w:t>April 30,</w:t>
            </w: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gridSpan w:val="2"/>
          </w:tcPr>
          <w:p>
            <w:pPr>
              <w:jc w:val="right"/>
              <w:ind w:right="100"/>
              <w:spacing w:after="0" w:line="124" w:lineRule="exact"/>
              <w:rPr>
                <w:sz w:val="20"/>
                <w:szCs w:val="20"/>
                <w:color w:val="auto"/>
              </w:rPr>
            </w:pPr>
            <w:r>
              <w:rPr>
                <w:rFonts w:ascii="Arial" w:cs="Arial" w:eastAsia="Arial" w:hAnsi="Arial"/>
                <w:sz w:val="12"/>
                <w:szCs w:val="12"/>
                <w:color w:val="auto"/>
                <w:w w:val="82"/>
              </w:rPr>
              <w:t>2012</w:t>
            </w: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60" w:type="dxa"/>
            <w:vAlign w:val="bottom"/>
            <w:tcBorders>
              <w:left w:val="single" w:sz="8" w:color="CCEEFF"/>
            </w:tcBorders>
            <w:gridSpan w:val="4"/>
            <w:shd w:val="clear" w:color="auto" w:fill="CCEEFF"/>
          </w:tcPr>
          <w:p>
            <w:pPr>
              <w:spacing w:after="0" w:line="136" w:lineRule="exact"/>
              <w:rPr>
                <w:sz w:val="20"/>
                <w:szCs w:val="20"/>
                <w:color w:val="auto"/>
              </w:rPr>
            </w:pPr>
            <w:r>
              <w:rPr>
                <w:rFonts w:ascii="Arial" w:cs="Arial" w:eastAsia="Arial" w:hAnsi="Arial"/>
                <w:sz w:val="12"/>
                <w:szCs w:val="12"/>
                <w:color w:val="auto"/>
              </w:rPr>
              <w:t>Fixed Income</w:t>
            </w: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8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tcBorders>
              <w:lef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160" w:type="dxa"/>
            <w:vAlign w:val="bottom"/>
            <w:tcBorders>
              <w:left w:val="single" w:sz="8" w:color="CCEEFF"/>
            </w:tcBorders>
            <w:gridSpan w:val="4"/>
            <w:shd w:val="clear" w:color="auto" w:fill="CCEEFF"/>
          </w:tcPr>
          <w:p>
            <w:pPr>
              <w:spacing w:after="0"/>
              <w:rPr>
                <w:sz w:val="20"/>
                <w:szCs w:val="20"/>
                <w:color w:val="auto"/>
              </w:rPr>
            </w:pPr>
            <w:r>
              <w:rPr>
                <w:rFonts w:ascii="Arial" w:cs="Arial" w:eastAsia="Arial" w:hAnsi="Arial"/>
                <w:sz w:val="12"/>
                <w:szCs w:val="12"/>
                <w:color w:val="auto"/>
              </w:rPr>
              <w:t>Securities</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301</w:t>
            </w:r>
          </w:p>
        </w:tc>
        <w:tc>
          <w:tcPr>
            <w:tcW w:w="780" w:type="dxa"/>
            <w:vAlign w:val="bottom"/>
            <w:tcBorders>
              <w:right w:val="single" w:sz="8" w:color="CCEEFF"/>
            </w:tcBorders>
            <w:shd w:val="clear" w:color="auto" w:fill="CCEEFF"/>
          </w:tcPr>
          <w:p>
            <w:pPr>
              <w:spacing w:after="0"/>
              <w:rPr>
                <w:sz w:val="13"/>
                <w:szCs w:val="13"/>
                <w:color w:val="auto"/>
              </w:rPr>
            </w:pPr>
          </w:p>
        </w:tc>
        <w:tc>
          <w:tcPr>
            <w:tcW w:w="5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w:t>
            </w: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72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301</w:t>
            </w:r>
          </w:p>
        </w:tc>
        <w:tc>
          <w:tcPr>
            <w:tcW w:w="136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60" w:type="dxa"/>
            <w:vAlign w:val="bottom"/>
            <w:gridSpan w:val="4"/>
          </w:tcPr>
          <w:p>
            <w:pPr>
              <w:spacing w:after="0"/>
              <w:rPr>
                <w:sz w:val="20"/>
                <w:szCs w:val="20"/>
                <w:color w:val="auto"/>
              </w:rPr>
            </w:pPr>
            <w:r>
              <w:rPr>
                <w:rFonts w:ascii="Arial" w:cs="Arial" w:eastAsia="Arial" w:hAnsi="Arial"/>
                <w:sz w:val="12"/>
                <w:szCs w:val="12"/>
                <w:color w:val="auto"/>
              </w:rPr>
              <w:t>Equity Securities</w:t>
            </w:r>
          </w:p>
        </w:tc>
        <w:tc>
          <w:tcPr>
            <w:tcW w:w="4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539</w:t>
            </w: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(169</w:t>
            </w:r>
          </w:p>
        </w:tc>
        <w:tc>
          <w:tcPr>
            <w:tcW w:w="160" w:type="dxa"/>
            <w:vAlign w:val="bottom"/>
          </w:tcPr>
          <w:p>
            <w:pPr>
              <w:spacing w:after="0"/>
              <w:rPr>
                <w:sz w:val="12"/>
                <w:szCs w:val="12"/>
                <w:color w:val="auto"/>
              </w:rPr>
            </w:pPr>
          </w:p>
        </w:tc>
        <w:tc>
          <w:tcPr>
            <w:tcW w:w="56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w w:val="99"/>
              </w:rPr>
              <w:t>539</w:t>
            </w: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color w:val="auto"/>
              </w:rPr>
              <w:t>(169</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20" w:type="dxa"/>
            <w:vAlign w:val="bottom"/>
            <w:tcBorders>
              <w:lef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w:t>
            </w:r>
          </w:p>
        </w:tc>
        <w:tc>
          <w:tcPr>
            <w:tcW w:w="78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(175</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840</w:t>
            </w:r>
          </w:p>
        </w:tc>
        <w:tc>
          <w:tcPr>
            <w:tcW w:w="720" w:type="dxa"/>
            <w:vAlign w:val="bottom"/>
            <w:tcBorders>
              <w:left w:val="single" w:sz="8" w:color="CCEEFF"/>
            </w:tcBorders>
            <w:shd w:val="clear" w:color="auto" w:fill="CCEEFF"/>
          </w:tcPr>
          <w:p>
            <w:pPr>
              <w:spacing w:after="0"/>
              <w:rPr>
                <w:sz w:val="14"/>
                <w:szCs w:val="14"/>
                <w:color w:val="auto"/>
              </w:rPr>
            </w:pPr>
          </w:p>
        </w:tc>
        <w:tc>
          <w:tcPr>
            <w:tcW w:w="6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(175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 regularly reviews its investment portfolio to identify and evaluate investments that have indications of possible impairment. The Company does not believe that its investments in marketable securities with unrealized losses at April 30, 2013 are other-than-temporary due to market volatility of the security’s fair value, analysts’ expectations and the Company’s ability to hold the securities for a period of time sufficient to allow for any anticipated recoveries in market value.</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34" w:name="page35"/>
    <w:bookmarkEnd w:id="34"/>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ind w:left="3960"/>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Proceeds from the sale or redemption of available-for-sale securities and the resulting gross realized gains and losses included in the determination of net income (loss) are as follows (in thousands):</w:t>
      </w:r>
    </w:p>
    <w:p>
      <w:pPr>
        <w:spacing w:after="0" w:line="164" w:lineRule="exact"/>
        <w:rPr>
          <w:sz w:val="20"/>
          <w:szCs w:val="20"/>
          <w:color w:val="auto"/>
        </w:rPr>
      </w:pPr>
    </w:p>
    <w:tbl>
      <w:tblPr>
        <w:tblLayout w:type="fixed"/>
        <w:tblInd w:w="320" w:type="dxa"/>
        <w:tblCellMar>
          <w:top w:w="0" w:type="dxa"/>
          <w:left w:w="0" w:type="dxa"/>
          <w:bottom w:w="0" w:type="dxa"/>
          <w:right w:w="0" w:type="dxa"/>
        </w:tblCellMar>
      </w:tblPr>
      <w:tr>
        <w:trPr>
          <w:trHeight w:val="144"/>
        </w:trPr>
        <w:tc>
          <w:tcPr>
            <w:tcW w:w="11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gridSpan w:val="4"/>
          </w:tcPr>
          <w:p>
            <w:pPr>
              <w:jc w:val="right"/>
              <w:ind w:right="40"/>
              <w:spacing w:after="0"/>
              <w:rPr>
                <w:sz w:val="20"/>
                <w:szCs w:val="20"/>
                <w:color w:val="auto"/>
              </w:rPr>
            </w:pPr>
            <w:r>
              <w:rPr>
                <w:rFonts w:ascii="Arial" w:cs="Arial" w:eastAsia="Arial" w:hAnsi="Arial"/>
                <w:sz w:val="12"/>
                <w:szCs w:val="12"/>
                <w:b w:val="1"/>
                <w:bCs w:val="1"/>
                <w:color w:val="auto"/>
              </w:rPr>
              <w:t>For the years ended April 30,</w:t>
            </w: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2013</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2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20" w:type="dxa"/>
            <w:vAlign w:val="bottom"/>
          </w:tcPr>
          <w:p>
            <w:pPr>
              <w:spacing w:after="0"/>
              <w:rPr>
                <w:sz w:val="15"/>
                <w:szCs w:val="15"/>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Proceeds</w:t>
            </w:r>
          </w:p>
        </w:tc>
        <w:tc>
          <w:tcPr>
            <w:tcW w:w="2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3,006</w:t>
            </w:r>
          </w:p>
        </w:tc>
        <w:tc>
          <w:tcPr>
            <w:tcW w:w="720" w:type="dxa"/>
            <w:vAlign w:val="bottom"/>
            <w:tcBorders>
              <w:bottom w:val="single" w:sz="8" w:color="CCEEFF"/>
            </w:tcBorders>
            <w:gridSpan w:val="2"/>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6,636</w:t>
            </w:r>
          </w:p>
        </w:tc>
        <w:tc>
          <w:tcPr>
            <w:tcW w:w="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120" w:type="dxa"/>
            <w:vAlign w:val="bottom"/>
          </w:tcPr>
          <w:p>
            <w:pPr>
              <w:spacing w:after="0"/>
              <w:rPr>
                <w:sz w:val="10"/>
                <w:szCs w:val="10"/>
                <w:color w:val="auto"/>
              </w:rPr>
            </w:pPr>
          </w:p>
        </w:tc>
        <w:tc>
          <w:tcPr>
            <w:tcW w:w="4900" w:type="dxa"/>
            <w:vAlign w:val="bottom"/>
            <w:gridSpan w:val="2"/>
          </w:tcPr>
          <w:p>
            <w:pPr>
              <w:spacing w:after="0" w:line="120" w:lineRule="exact"/>
              <w:rPr>
                <w:sz w:val="20"/>
                <w:szCs w:val="20"/>
                <w:color w:val="auto"/>
              </w:rPr>
            </w:pPr>
            <w:r>
              <w:rPr>
                <w:rFonts w:ascii="Arial" w:cs="Arial" w:eastAsia="Arial" w:hAnsi="Arial"/>
                <w:sz w:val="12"/>
                <w:szCs w:val="12"/>
                <w:color w:val="auto"/>
              </w:rPr>
              <w:t>Gross realized gains</w:t>
            </w:r>
          </w:p>
        </w:tc>
        <w:tc>
          <w:tcPr>
            <w:tcW w:w="260" w:type="dxa"/>
            <w:vAlign w:val="bottom"/>
          </w:tcPr>
          <w:p>
            <w:pPr>
              <w:jc w:val="right"/>
              <w:ind w:right="40"/>
              <w:spacing w:after="0" w:line="120"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20" w:lineRule="exact"/>
              <w:rPr>
                <w:sz w:val="20"/>
                <w:szCs w:val="20"/>
                <w:color w:val="auto"/>
              </w:rPr>
            </w:pPr>
            <w:r>
              <w:rPr>
                <w:rFonts w:ascii="Arial" w:cs="Arial" w:eastAsia="Arial" w:hAnsi="Arial"/>
                <w:sz w:val="12"/>
                <w:szCs w:val="12"/>
                <w:color w:val="auto"/>
              </w:rPr>
              <w:t>47</w:t>
            </w:r>
          </w:p>
        </w:tc>
        <w:tc>
          <w:tcPr>
            <w:tcW w:w="1220" w:type="dxa"/>
            <w:vAlign w:val="bottom"/>
            <w:gridSpan w:val="3"/>
          </w:tcPr>
          <w:p>
            <w:pPr>
              <w:jc w:val="right"/>
              <w:ind w:right="60"/>
              <w:spacing w:after="0" w:line="120" w:lineRule="exact"/>
              <w:rPr>
                <w:sz w:val="20"/>
                <w:szCs w:val="20"/>
                <w:color w:val="auto"/>
              </w:rPr>
            </w:pPr>
            <w:r>
              <w:rPr>
                <w:rFonts w:ascii="Arial" w:cs="Arial" w:eastAsia="Arial" w:hAnsi="Arial"/>
                <w:sz w:val="12"/>
                <w:szCs w:val="12"/>
                <w:color w:val="auto"/>
              </w:rPr>
              <w:t>$</w:t>
            </w:r>
          </w:p>
        </w:tc>
        <w:tc>
          <w:tcPr>
            <w:tcW w:w="94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20</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20" w:type="dxa"/>
            <w:vAlign w:val="bottom"/>
          </w:tcPr>
          <w:p>
            <w:pPr>
              <w:spacing w:after="0"/>
              <w:rPr>
                <w:sz w:val="13"/>
                <w:szCs w:val="13"/>
                <w:color w:val="auto"/>
              </w:rPr>
            </w:pPr>
          </w:p>
        </w:tc>
        <w:tc>
          <w:tcPr>
            <w:tcW w:w="4680" w:type="dxa"/>
            <w:vAlign w:val="bottom"/>
            <w:tcBorders>
              <w:bottom w:val="single" w:sz="8" w:color="CCEEFF"/>
            </w:tcBorders>
            <w:shd w:val="clear" w:color="auto" w:fill="CCEEFF"/>
          </w:tcPr>
          <w:p>
            <w:pPr>
              <w:spacing w:after="0" w:line="120" w:lineRule="exact"/>
              <w:rPr>
                <w:sz w:val="20"/>
                <w:szCs w:val="20"/>
                <w:color w:val="auto"/>
              </w:rPr>
            </w:pPr>
            <w:r>
              <w:rPr>
                <w:rFonts w:ascii="Arial" w:cs="Arial" w:eastAsia="Arial" w:hAnsi="Arial"/>
                <w:sz w:val="12"/>
                <w:szCs w:val="12"/>
                <w:color w:val="auto"/>
              </w:rPr>
              <w:t>Gross realized losses</w:t>
            </w:r>
          </w:p>
        </w:tc>
        <w:tc>
          <w:tcPr>
            <w:tcW w:w="22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40"/>
              <w:spacing w:after="0" w:line="120"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gridSpan w:val="2"/>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ind w:right="60"/>
              <w:spacing w:after="0" w:line="120" w:lineRule="exact"/>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6020" w:type="dxa"/>
            <w:vAlign w:val="bottom"/>
            <w:gridSpan w:val="3"/>
          </w:tcPr>
          <w:p>
            <w:pPr>
              <w:spacing w:after="0"/>
              <w:rPr>
                <w:sz w:val="20"/>
                <w:szCs w:val="20"/>
                <w:color w:val="auto"/>
              </w:rPr>
            </w:pPr>
            <w:r>
              <w:rPr>
                <w:rFonts w:ascii="Arial" w:cs="Arial" w:eastAsia="Arial" w:hAnsi="Arial"/>
                <w:sz w:val="12"/>
                <w:szCs w:val="12"/>
                <w:color w:val="auto"/>
                <w:w w:val="92"/>
              </w:rPr>
              <w:t>Maturities of fixed income securities classified as available-for-sale at April 30, 2013 are as follows (at cost, in thousands):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20" w:type="dxa"/>
            <w:vAlign w:val="bottom"/>
            <w:vMerge w:val="restart"/>
          </w:tcPr>
          <w:p>
            <w:pPr>
              <w:spacing w:after="0"/>
              <w:rPr>
                <w:sz w:val="14"/>
                <w:szCs w:val="14"/>
                <w:color w:val="auto"/>
              </w:rPr>
            </w:pPr>
          </w:p>
        </w:tc>
        <w:tc>
          <w:tcPr>
            <w:tcW w:w="49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20" w:type="dxa"/>
            <w:vAlign w:val="bottom"/>
            <w:vMerge w:val="continue"/>
          </w:tcPr>
          <w:p>
            <w:pPr>
              <w:spacing w:after="0"/>
              <w:rPr>
                <w:sz w:val="12"/>
                <w:szCs w:val="12"/>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Current</w:t>
            </w: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2,003</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900" w:type="dxa"/>
            <w:vAlign w:val="bottom"/>
            <w:gridSpan w:val="2"/>
          </w:tcPr>
          <w:p>
            <w:pPr>
              <w:spacing w:after="0"/>
              <w:rPr>
                <w:sz w:val="20"/>
                <w:szCs w:val="20"/>
                <w:color w:val="auto"/>
              </w:rPr>
            </w:pPr>
            <w:r>
              <w:rPr>
                <w:rFonts w:ascii="Arial" w:cs="Arial" w:eastAsia="Arial" w:hAnsi="Arial"/>
                <w:sz w:val="12"/>
                <w:szCs w:val="12"/>
                <w:color w:val="auto"/>
              </w:rPr>
              <w:t>Due after one year through five years</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7,478</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Due after five years through ten years</w:t>
            </w:r>
          </w:p>
        </w:tc>
        <w:tc>
          <w:tcPr>
            <w:tcW w:w="2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804</w:t>
            </w:r>
          </w:p>
        </w:tc>
        <w:tc>
          <w:tcPr>
            <w:tcW w:w="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10,285</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right="20" w:firstLine="324"/>
        <w:spacing w:after="0" w:line="276" w:lineRule="auto"/>
        <w:rPr>
          <w:sz w:val="20"/>
          <w:szCs w:val="20"/>
          <w:color w:val="auto"/>
        </w:rPr>
      </w:pPr>
      <w:r>
        <w:rPr>
          <w:rFonts w:ascii="Arial" w:cs="Arial" w:eastAsia="Arial" w:hAnsi="Arial"/>
          <w:sz w:val="12"/>
          <w:szCs w:val="12"/>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three levels of the fair value hierarchy are described below:</w:t>
      </w:r>
    </w:p>
    <w:p>
      <w:pPr>
        <w:spacing w:after="0" w:line="168" w:lineRule="exact"/>
        <w:rPr>
          <w:sz w:val="20"/>
          <w:szCs w:val="20"/>
          <w:color w:val="auto"/>
        </w:rPr>
      </w:pPr>
    </w:p>
    <w:p>
      <w:pPr>
        <w:ind w:left="260"/>
        <w:spacing w:after="0"/>
        <w:tabs>
          <w:tab w:leader="none" w:pos="880" w:val="left"/>
        </w:tabs>
        <w:rPr>
          <w:sz w:val="20"/>
          <w:szCs w:val="20"/>
          <w:color w:val="auto"/>
        </w:rPr>
      </w:pPr>
      <w:r>
        <w:rPr>
          <w:rFonts w:ascii="Arial" w:cs="Arial" w:eastAsia="Arial" w:hAnsi="Arial"/>
          <w:sz w:val="12"/>
          <w:szCs w:val="12"/>
          <w:color w:val="auto"/>
        </w:rPr>
        <w:t>Level 1</w:t>
      </w:r>
      <w:r>
        <w:rPr>
          <w:sz w:val="20"/>
          <w:szCs w:val="20"/>
          <w:color w:val="auto"/>
        </w:rPr>
        <w:tab/>
      </w:r>
      <w:r>
        <w:rPr>
          <w:rFonts w:ascii="Arial" w:cs="Arial" w:eastAsia="Arial" w:hAnsi="Arial"/>
          <w:sz w:val="10"/>
          <w:szCs w:val="10"/>
          <w:color w:val="auto"/>
        </w:rPr>
        <w:t>Inputs to the valuation methodology are unadjusted quoted prices for identical assets or liabilities in active markets that the Company has the ability to access.</w:t>
      </w:r>
    </w:p>
    <w:p>
      <w:pPr>
        <w:spacing w:after="0" w:line="15" w:lineRule="exact"/>
        <w:rPr>
          <w:sz w:val="20"/>
          <w:szCs w:val="20"/>
          <w:color w:val="auto"/>
        </w:rPr>
      </w:pPr>
    </w:p>
    <w:p>
      <w:pPr>
        <w:ind w:left="260"/>
        <w:spacing w:after="0"/>
        <w:tabs>
          <w:tab w:leader="none" w:pos="900" w:val="left"/>
        </w:tabs>
        <w:rPr>
          <w:sz w:val="20"/>
          <w:szCs w:val="20"/>
          <w:color w:val="auto"/>
        </w:rPr>
      </w:pPr>
      <w:r>
        <w:rPr>
          <w:rFonts w:ascii="Arial" w:cs="Arial" w:eastAsia="Arial" w:hAnsi="Arial"/>
          <w:sz w:val="12"/>
          <w:szCs w:val="12"/>
          <w:color w:val="auto"/>
        </w:rPr>
        <w:t>Level 2</w:t>
      </w:r>
      <w:r>
        <w:rPr>
          <w:sz w:val="20"/>
          <w:szCs w:val="20"/>
          <w:color w:val="auto"/>
        </w:rPr>
        <w:tab/>
      </w:r>
      <w:r>
        <w:rPr>
          <w:rFonts w:ascii="Arial" w:cs="Arial" w:eastAsia="Arial" w:hAnsi="Arial"/>
          <w:sz w:val="10"/>
          <w:szCs w:val="10"/>
          <w:color w:val="auto"/>
        </w:rPr>
        <w:t>Inputs to the valuation methodology include:</w:t>
      </w:r>
    </w:p>
    <w:p>
      <w:pPr>
        <w:spacing w:after="0" w:line="159" w:lineRule="exact"/>
        <w:rPr>
          <w:sz w:val="20"/>
          <w:szCs w:val="20"/>
          <w:color w:val="auto"/>
        </w:rPr>
      </w:pPr>
    </w:p>
    <w:p>
      <w:pPr>
        <w:ind w:left="1140" w:hanging="67"/>
        <w:spacing w:after="0"/>
        <w:tabs>
          <w:tab w:leader="none" w:pos="1140" w:val="left"/>
        </w:tabs>
        <w:numPr>
          <w:ilvl w:val="0"/>
          <w:numId w:val="6"/>
        </w:numPr>
        <w:rPr>
          <w:rFonts w:ascii="Arial" w:cs="Arial" w:eastAsia="Arial" w:hAnsi="Arial"/>
          <w:sz w:val="12"/>
          <w:szCs w:val="12"/>
          <w:color w:val="auto"/>
        </w:rPr>
      </w:pPr>
      <w:r>
        <w:rPr>
          <w:rFonts w:ascii="Arial" w:cs="Arial" w:eastAsia="Arial" w:hAnsi="Arial"/>
          <w:sz w:val="12"/>
          <w:szCs w:val="12"/>
          <w:color w:val="auto"/>
        </w:rPr>
        <w:t>Quoted prices for similar assets or liabilities in active markets;</w:t>
      </w:r>
    </w:p>
    <w:p>
      <w:pPr>
        <w:spacing w:after="0" w:line="168" w:lineRule="exact"/>
        <w:rPr>
          <w:rFonts w:ascii="Arial" w:cs="Arial" w:eastAsia="Arial" w:hAnsi="Arial"/>
          <w:sz w:val="12"/>
          <w:szCs w:val="12"/>
          <w:color w:val="auto"/>
        </w:rPr>
      </w:pPr>
    </w:p>
    <w:p>
      <w:pPr>
        <w:ind w:left="1140" w:hanging="67"/>
        <w:spacing w:after="0"/>
        <w:tabs>
          <w:tab w:leader="none" w:pos="1140" w:val="left"/>
        </w:tabs>
        <w:numPr>
          <w:ilvl w:val="0"/>
          <w:numId w:val="6"/>
        </w:numPr>
        <w:rPr>
          <w:rFonts w:ascii="Arial" w:cs="Arial" w:eastAsia="Arial" w:hAnsi="Arial"/>
          <w:sz w:val="12"/>
          <w:szCs w:val="12"/>
          <w:color w:val="auto"/>
        </w:rPr>
      </w:pPr>
      <w:r>
        <w:rPr>
          <w:rFonts w:ascii="Arial" w:cs="Arial" w:eastAsia="Arial" w:hAnsi="Arial"/>
          <w:sz w:val="12"/>
          <w:szCs w:val="12"/>
          <w:color w:val="auto"/>
        </w:rPr>
        <w:t>Quoted prices for identical or similar assets or liabilities in inactive markets</w:t>
      </w:r>
    </w:p>
    <w:p>
      <w:pPr>
        <w:spacing w:after="0" w:line="168" w:lineRule="exact"/>
        <w:rPr>
          <w:rFonts w:ascii="Arial" w:cs="Arial" w:eastAsia="Arial" w:hAnsi="Arial"/>
          <w:sz w:val="12"/>
          <w:szCs w:val="12"/>
          <w:color w:val="auto"/>
        </w:rPr>
      </w:pPr>
    </w:p>
    <w:p>
      <w:pPr>
        <w:ind w:left="1140" w:hanging="67"/>
        <w:spacing w:after="0"/>
        <w:tabs>
          <w:tab w:leader="none" w:pos="114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Inputs other than quoted prices that are observable for the asset or liability;</w:t>
      </w:r>
    </w:p>
    <w:p>
      <w:pPr>
        <w:spacing w:after="0" w:line="168" w:lineRule="exact"/>
        <w:rPr>
          <w:rFonts w:ascii="Arial" w:cs="Arial" w:eastAsia="Arial" w:hAnsi="Arial"/>
          <w:sz w:val="12"/>
          <w:szCs w:val="12"/>
          <w:color w:val="auto"/>
        </w:rPr>
      </w:pPr>
    </w:p>
    <w:p>
      <w:pPr>
        <w:ind w:left="1140" w:hanging="67"/>
        <w:spacing w:after="0"/>
        <w:tabs>
          <w:tab w:leader="none" w:pos="1140" w:val="left"/>
        </w:tabs>
        <w:numPr>
          <w:ilvl w:val="0"/>
          <w:numId w:val="6"/>
        </w:numPr>
        <w:rPr>
          <w:rFonts w:ascii="Arial" w:cs="Arial" w:eastAsia="Arial" w:hAnsi="Arial"/>
          <w:sz w:val="12"/>
          <w:szCs w:val="12"/>
          <w:color w:val="auto"/>
        </w:rPr>
      </w:pPr>
      <w:r>
        <w:rPr>
          <w:rFonts w:ascii="Arial" w:cs="Arial" w:eastAsia="Arial" w:hAnsi="Arial"/>
          <w:sz w:val="12"/>
          <w:szCs w:val="12"/>
          <w:color w:val="auto"/>
        </w:rPr>
        <w:t>Inputs that are derived principally from or corroborated by observable market data by correlation or other means.</w:t>
      </w:r>
    </w:p>
    <w:p>
      <w:pPr>
        <w:spacing w:after="0" w:line="168" w:lineRule="exact"/>
        <w:rPr>
          <w:rFonts w:ascii="Arial" w:cs="Arial" w:eastAsia="Arial" w:hAnsi="Arial"/>
          <w:sz w:val="12"/>
          <w:szCs w:val="12"/>
          <w:color w:val="auto"/>
        </w:rPr>
      </w:pPr>
    </w:p>
    <w:p>
      <w:pPr>
        <w:ind w:left="260"/>
        <w:spacing w:after="0"/>
        <w:rPr>
          <w:rFonts w:ascii="Arial" w:cs="Arial" w:eastAsia="Arial" w:hAnsi="Arial"/>
          <w:sz w:val="12"/>
          <w:szCs w:val="12"/>
          <w:color w:val="auto"/>
        </w:rPr>
      </w:pPr>
      <w:r>
        <w:rPr>
          <w:rFonts w:ascii="Arial" w:cs="Arial" w:eastAsia="Arial" w:hAnsi="Arial"/>
          <w:sz w:val="12"/>
          <w:szCs w:val="12"/>
          <w:color w:val="auto"/>
        </w:rPr>
        <w:t>Level 3</w:t>
      </w:r>
      <w:r>
        <w:rPr>
          <w:rFonts w:ascii="Arial" w:cs="Arial" w:eastAsia="Arial" w:hAnsi="Arial"/>
          <w:sz w:val="10"/>
          <w:szCs w:val="10"/>
          <w:color w:val="auto"/>
        </w:rPr>
        <w:t>Inputs to the valuation methodology are unobservable and significant to the fair value measurement.</w:t>
      </w:r>
    </w:p>
    <w:p>
      <w:pPr>
        <w:spacing w:after="0" w:line="168" w:lineRule="exact"/>
        <w:rPr>
          <w:sz w:val="20"/>
          <w:szCs w:val="20"/>
          <w:color w:val="auto"/>
        </w:rPr>
      </w:pPr>
    </w:p>
    <w:p>
      <w:pPr>
        <w:ind w:firstLine="324"/>
        <w:spacing w:after="0" w:line="276" w:lineRule="auto"/>
        <w:rPr>
          <w:sz w:val="20"/>
          <w:szCs w:val="20"/>
          <w:color w:val="auto"/>
        </w:rPr>
      </w:pPr>
      <w:r>
        <w:rPr>
          <w:rFonts w:ascii="Arial" w:cs="Arial" w:eastAsia="Arial" w:hAnsi="Arial"/>
          <w:sz w:val="12"/>
          <w:szCs w:val="12"/>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20" w:type="dxa"/>
            <w:vAlign w:val="bottom"/>
            <w:gridSpan w:val="4"/>
          </w:tcPr>
          <w:p>
            <w:pPr>
              <w:spacing w:after="0"/>
              <w:rPr>
                <w:sz w:val="20"/>
                <w:szCs w:val="20"/>
                <w:color w:val="auto"/>
              </w:rPr>
            </w:pPr>
            <w:r>
              <w:rPr>
                <w:rFonts w:ascii="Arial" w:cs="Arial" w:eastAsia="Arial" w:hAnsi="Arial"/>
                <w:sz w:val="12"/>
                <w:szCs w:val="12"/>
                <w:color w:val="auto"/>
              </w:rPr>
              <w:t>6. Property, Plant and Equipment and Leases</w:t>
            </w: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5880" w:type="dxa"/>
            <w:vAlign w:val="bottom"/>
            <w:gridSpan w:val="3"/>
          </w:tcPr>
          <w:p>
            <w:pPr>
              <w:ind w:left="180"/>
              <w:spacing w:after="0"/>
              <w:rPr>
                <w:sz w:val="20"/>
                <w:szCs w:val="20"/>
                <w:color w:val="auto"/>
              </w:rPr>
            </w:pPr>
            <w:r>
              <w:rPr>
                <w:rFonts w:ascii="Arial" w:cs="Arial" w:eastAsia="Arial" w:hAnsi="Arial"/>
                <w:sz w:val="12"/>
                <w:szCs w:val="12"/>
                <w:color w:val="auto"/>
              </w:rPr>
              <w:t>Property, plant and equipment at April 30, 2013 and 2012, consists of the following (in thousands):</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2013</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24"/>
                <w:szCs w:val="24"/>
                <w:color w:val="auto"/>
              </w:rPr>
            </w:pPr>
          </w:p>
        </w:tc>
      </w:tr>
      <w:tr>
        <w:trPr>
          <w:trHeight w:val="142"/>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Buildings and building improvements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5,477</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5,500</w:t>
            </w:r>
          </w:p>
        </w:tc>
        <w:tc>
          <w:tcPr>
            <w:tcW w:w="12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580" w:type="dxa"/>
            <w:vAlign w:val="bottom"/>
            <w:gridSpan w:val="2"/>
          </w:tcPr>
          <w:p>
            <w:pPr>
              <w:spacing w:after="0"/>
              <w:rPr>
                <w:sz w:val="20"/>
                <w:szCs w:val="20"/>
                <w:color w:val="auto"/>
              </w:rPr>
            </w:pPr>
            <w:r>
              <w:rPr>
                <w:rFonts w:ascii="Arial" w:cs="Arial" w:eastAsia="Arial" w:hAnsi="Arial"/>
                <w:sz w:val="12"/>
                <w:szCs w:val="12"/>
                <w:color w:val="auto"/>
              </w:rPr>
              <w:t>Machinery, equipment and furniture</w:t>
            </w:r>
          </w:p>
        </w:tc>
        <w:tc>
          <w:tcPr>
            <w:tcW w:w="9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44,758</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42,850</w:t>
            </w:r>
          </w:p>
        </w:tc>
        <w:tc>
          <w:tcPr>
            <w:tcW w:w="120" w:type="dxa"/>
            <w:vAlign w:val="bottom"/>
          </w:tcPr>
          <w:p>
            <w:pPr>
              <w:spacing w:after="0"/>
              <w:rPr>
                <w:sz w:val="12"/>
                <w:szCs w:val="12"/>
                <w:color w:val="auto"/>
              </w:rPr>
            </w:pPr>
          </w:p>
        </w:tc>
      </w:tr>
      <w:tr>
        <w:trPr>
          <w:trHeight w:val="142"/>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50,235</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48,350</w:t>
            </w:r>
          </w:p>
        </w:tc>
        <w:tc>
          <w:tcPr>
            <w:tcW w:w="12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58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9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41,919</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39,976</w:t>
            </w:r>
          </w:p>
        </w:tc>
        <w:tc>
          <w:tcPr>
            <w:tcW w:w="120" w:type="dxa"/>
            <w:vAlign w:val="bottom"/>
          </w:tcPr>
          <w:p>
            <w:pPr>
              <w:spacing w:after="0"/>
              <w:rPr>
                <w:sz w:val="12"/>
                <w:szCs w:val="12"/>
                <w:color w:val="auto"/>
              </w:rPr>
            </w:pPr>
          </w:p>
        </w:tc>
      </w:tr>
      <w:tr>
        <w:trPr>
          <w:trHeight w:val="162"/>
        </w:trPr>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8,316</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8,374</w:t>
            </w:r>
          </w:p>
        </w:tc>
        <w:tc>
          <w:tcPr>
            <w:tcW w:w="120" w:type="dxa"/>
            <w:vAlign w:val="bottom"/>
            <w:shd w:val="clear" w:color="auto" w:fill="CCEEFF"/>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Depreciation and amortization expense for the years ended April 30, 2013 and 2012 was $2,250,000 and $2,222,000, respectively.</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Maintenance and repairs charged to operations for the years ended April 30, 2013 and 2012 was approximately $993,000 and $807,000, respectively.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5" w:name="page36"/>
    <w:bookmarkEnd w:id="3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NOTES TO CONSOLIDATED FINANCIAL STATEMENTS - Continued</w:t>
      </w:r>
    </w:p>
    <w:p>
      <w:pPr>
        <w:spacing w:after="0" w:line="141" w:lineRule="exact"/>
        <w:rPr>
          <w:sz w:val="20"/>
          <w:szCs w:val="20"/>
          <w:color w:val="auto"/>
        </w:rPr>
      </w:pPr>
    </w:p>
    <w:p>
      <w:pPr>
        <w:jc w:val="both"/>
        <w:ind w:firstLine="324"/>
        <w:spacing w:after="0" w:line="323" w:lineRule="auto"/>
        <w:rPr>
          <w:sz w:val="20"/>
          <w:szCs w:val="20"/>
          <w:color w:val="auto"/>
        </w:rPr>
      </w:pPr>
      <w:r>
        <w:rPr>
          <w:rFonts w:ascii="Arial" w:cs="Arial" w:eastAsia="Arial" w:hAnsi="Arial"/>
          <w:sz w:val="11"/>
          <w:szCs w:val="11"/>
          <w:color w:val="auto"/>
        </w:rPr>
        <w:t>The Company leases its Long Island, New York headquarters building at an annual rental of $600,000. During fiscal year 2013, the Company exercised its option to renew the lease for a second 5-year period at an annual rental of $800,000 beginning February 2014. The lease will end in January 2019. Under the terms of the lease, the Company is required to pay its proportionate share of real estate taxes, insurance and other charges.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In addition, the Company’s subsidiaries in New Jersey, China, France and California lease their office and manufacturing facilities. FEI-Elcom leases 32,000 square feet of office and manufacturing space at current monthly rental of approximately $27,000, increasing to $28,000 in the last two years of the lease which expires in March 2016. The lease for the FEI-Asia facility is for a one-year term with monthly rent of $6,800 through February 2014. FEI-Zyfer leases office and manufacturing space encompassing 27,850 square feet. Monthly rental payments are currently $28,700 and increase each year over the remaining 52 months of the lease term. Satel-FEI, a wholly-owned subsidiary of Gillam-FEI, occupies office space under a 9-year lease, cancelable after three years, at an approximate rate of $1,100 per month.</w:t>
      </w:r>
    </w:p>
    <w:p>
      <w:pPr>
        <w:spacing w:after="0" w:line="14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Rent expense under operating leases was approximately $1.3 million and $1.0 million for the fiscal years ended April 30, 2013 and 2012. The Company records rent expense on its New York building and FEI-Zyfer facility on the straightline method over the lives of the respective leases. As a result, as of April 30, 2013 and 2012, the Company’s balance sheet includes deferred rent payable of approximately $310,000 and $338,000, respectively, which will be amortized over the respective rental periods.</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Included in the assets of FEI-Elcom is machinery and equipment with a value of approximately $300,000 obtained under capital leases prior to the Company’s acquisition of FEI-Elcom. (See Note 11. Acquisition of Elcom Technologies, Inc.) FEI-Elcom’s remaining capital lease obligation at the date of acquisition was approximately $234,000.</w:t>
      </w:r>
    </w:p>
    <w:p>
      <w:pPr>
        <w:spacing w:after="0" w:line="133" w:lineRule="exact"/>
        <w:rPr>
          <w:sz w:val="20"/>
          <w:szCs w:val="20"/>
          <w:color w:val="auto"/>
        </w:rPr>
      </w:pPr>
    </w:p>
    <w:tbl>
      <w:tblPr>
        <w:tblLayout w:type="fixed"/>
        <w:tblInd w:w="320" w:type="dxa"/>
        <w:tblCellMar>
          <w:top w:w="0" w:type="dxa"/>
          <w:left w:w="0" w:type="dxa"/>
          <w:bottom w:w="0" w:type="dxa"/>
          <w:right w:w="0" w:type="dxa"/>
        </w:tblCellMar>
      </w:tblPr>
      <w:tr>
        <w:trPr>
          <w:trHeight w:val="153"/>
        </w:trPr>
        <w:tc>
          <w:tcPr>
            <w:tcW w:w="5800" w:type="dxa"/>
            <w:vAlign w:val="bottom"/>
            <w:gridSpan w:val="4"/>
          </w:tcPr>
          <w:p>
            <w:pPr>
              <w:spacing w:after="0"/>
              <w:rPr>
                <w:sz w:val="20"/>
                <w:szCs w:val="20"/>
                <w:color w:val="auto"/>
              </w:rPr>
            </w:pPr>
            <w:r>
              <w:rPr>
                <w:rFonts w:ascii="Arial" w:cs="Arial" w:eastAsia="Arial" w:hAnsi="Arial"/>
                <w:sz w:val="12"/>
                <w:szCs w:val="12"/>
                <w:color w:val="auto"/>
              </w:rPr>
              <w:t>Future minimum lease payments required by the leases are as follows (in thousands):</w:t>
            </w: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79"/>
        </w:trPr>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2"/>
                <w:szCs w:val="12"/>
                <w:color w:val="auto"/>
              </w:rPr>
              <w:t>Years ending April 30,</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Operating Leases</w:t>
            </w:r>
          </w:p>
        </w:tc>
        <w:tc>
          <w:tcPr>
            <w:tcW w:w="720" w:type="dxa"/>
            <w:vAlign w:val="bottom"/>
          </w:tcPr>
          <w:p>
            <w:pPr>
              <w:spacing w:after="0"/>
              <w:rPr>
                <w:sz w:val="24"/>
                <w:szCs w:val="24"/>
                <w:color w:val="auto"/>
              </w:rPr>
            </w:pPr>
          </w:p>
        </w:tc>
        <w:tc>
          <w:tcPr>
            <w:tcW w:w="1180" w:type="dxa"/>
            <w:vAlign w:val="bottom"/>
          </w:tcPr>
          <w:p>
            <w:pPr>
              <w:jc w:val="right"/>
              <w:ind w:right="60"/>
              <w:spacing w:after="0"/>
              <w:rPr>
                <w:sz w:val="20"/>
                <w:szCs w:val="20"/>
                <w:color w:val="auto"/>
              </w:rPr>
            </w:pPr>
            <w:r>
              <w:rPr>
                <w:rFonts w:ascii="Arial" w:cs="Arial" w:eastAsia="Arial" w:hAnsi="Arial"/>
                <w:sz w:val="12"/>
                <w:szCs w:val="12"/>
                <w:b w:val="1"/>
                <w:bCs w:val="1"/>
                <w:color w:val="auto"/>
              </w:rPr>
              <w:t>Capital Lease</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29"/>
        </w:trPr>
        <w:tc>
          <w:tcPr>
            <w:tcW w:w="1120" w:type="dxa"/>
            <w:vAlign w:val="bottom"/>
          </w:tcPr>
          <w:p>
            <w:pPr>
              <w:spacing w:after="0"/>
              <w:rPr>
                <w:sz w:val="11"/>
                <w:szCs w:val="11"/>
                <w:color w:val="auto"/>
              </w:rPr>
            </w:pPr>
          </w:p>
        </w:tc>
        <w:tc>
          <w:tcPr>
            <w:tcW w:w="1160" w:type="dxa"/>
            <w:vAlign w:val="bottom"/>
            <w:gridSpan w:val="2"/>
            <w:shd w:val="clear" w:color="auto" w:fill="CCEEFF"/>
          </w:tcPr>
          <w:p>
            <w:pPr>
              <w:ind w:left="300"/>
              <w:spacing w:after="0" w:line="129" w:lineRule="exact"/>
              <w:rPr>
                <w:sz w:val="20"/>
                <w:szCs w:val="20"/>
                <w:color w:val="auto"/>
              </w:rPr>
            </w:pPr>
            <w:r>
              <w:rPr>
                <w:rFonts w:ascii="Arial" w:cs="Arial" w:eastAsia="Arial" w:hAnsi="Arial"/>
                <w:sz w:val="12"/>
                <w:szCs w:val="12"/>
                <w:color w:val="auto"/>
              </w:rPr>
              <w:t>2014</w:t>
            </w:r>
          </w:p>
        </w:tc>
        <w:tc>
          <w:tcPr>
            <w:tcW w:w="352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320"/>
              <w:spacing w:after="0" w:line="129"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1,397</w:t>
            </w:r>
          </w:p>
        </w:tc>
        <w:tc>
          <w:tcPr>
            <w:tcW w:w="1900" w:type="dxa"/>
            <w:vAlign w:val="bottom"/>
            <w:gridSpan w:val="2"/>
            <w:shd w:val="clear" w:color="auto" w:fill="CCEEFF"/>
          </w:tcPr>
          <w:p>
            <w:pPr>
              <w:jc w:val="right"/>
              <w:ind w:right="740"/>
              <w:spacing w:after="0" w:line="129" w:lineRule="exact"/>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w:t>
            </w:r>
          </w:p>
        </w:tc>
        <w:tc>
          <w:tcPr>
            <w:tcW w:w="380" w:type="dxa"/>
            <w:vAlign w:val="bottom"/>
            <w:shd w:val="clear" w:color="auto" w:fill="CCEEFF"/>
          </w:tcPr>
          <w:p>
            <w:pPr>
              <w:spacing w:after="0"/>
              <w:rPr>
                <w:sz w:val="11"/>
                <w:szCs w:val="11"/>
                <w:color w:val="auto"/>
              </w:rPr>
            </w:pPr>
          </w:p>
        </w:tc>
      </w:tr>
      <w:tr>
        <w:trPr>
          <w:trHeight w:val="144"/>
        </w:trPr>
        <w:tc>
          <w:tcPr>
            <w:tcW w:w="1120" w:type="dxa"/>
            <w:vAlign w:val="bottom"/>
          </w:tcPr>
          <w:p>
            <w:pPr>
              <w:spacing w:after="0"/>
              <w:rPr>
                <w:sz w:val="12"/>
                <w:szCs w:val="12"/>
                <w:color w:val="auto"/>
              </w:rPr>
            </w:pPr>
          </w:p>
        </w:tc>
        <w:tc>
          <w:tcPr>
            <w:tcW w:w="1160" w:type="dxa"/>
            <w:vAlign w:val="bottom"/>
            <w:gridSpan w:val="2"/>
          </w:tcPr>
          <w:p>
            <w:pPr>
              <w:ind w:left="300"/>
              <w:spacing w:after="0"/>
              <w:rPr>
                <w:sz w:val="20"/>
                <w:szCs w:val="20"/>
                <w:color w:val="auto"/>
              </w:rPr>
            </w:pPr>
            <w:r>
              <w:rPr>
                <w:rFonts w:ascii="Arial" w:cs="Arial" w:eastAsia="Arial" w:hAnsi="Arial"/>
                <w:sz w:val="12"/>
                <w:szCs w:val="12"/>
                <w:color w:val="auto"/>
              </w:rPr>
              <w:t>2015</w:t>
            </w: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1,503</w:t>
            </w: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2016</w:t>
            </w:r>
          </w:p>
        </w:tc>
        <w:tc>
          <w:tcPr>
            <w:tcW w:w="3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1,473</w:t>
            </w: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1160" w:type="dxa"/>
            <w:vAlign w:val="bottom"/>
            <w:gridSpan w:val="2"/>
          </w:tcPr>
          <w:p>
            <w:pPr>
              <w:ind w:left="300"/>
              <w:spacing w:after="0"/>
              <w:rPr>
                <w:sz w:val="20"/>
                <w:szCs w:val="20"/>
                <w:color w:val="auto"/>
              </w:rPr>
            </w:pPr>
            <w:r>
              <w:rPr>
                <w:rFonts w:ascii="Arial" w:cs="Arial" w:eastAsia="Arial" w:hAnsi="Arial"/>
                <w:sz w:val="12"/>
                <w:szCs w:val="12"/>
                <w:color w:val="auto"/>
              </w:rPr>
              <w:t>2017</w:t>
            </w:r>
          </w:p>
        </w:tc>
        <w:tc>
          <w:tcPr>
            <w:tcW w:w="3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1,174</w:t>
            </w: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116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2018</w:t>
            </w:r>
          </w:p>
        </w:tc>
        <w:tc>
          <w:tcPr>
            <w:tcW w:w="3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925</w:t>
            </w:r>
          </w:p>
        </w:tc>
        <w:tc>
          <w:tcPr>
            <w:tcW w:w="7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0" w:type="dxa"/>
            <w:vAlign w:val="bottom"/>
            <w:gridSpan w:val="2"/>
          </w:tcPr>
          <w:p>
            <w:pPr>
              <w:ind w:left="220"/>
              <w:spacing w:after="0"/>
              <w:rPr>
                <w:sz w:val="20"/>
                <w:szCs w:val="20"/>
                <w:color w:val="auto"/>
              </w:rPr>
            </w:pPr>
            <w:r>
              <w:rPr>
                <w:rFonts w:ascii="Arial" w:cs="Arial" w:eastAsia="Arial" w:hAnsi="Arial"/>
                <w:sz w:val="12"/>
                <w:szCs w:val="12"/>
                <w:color w:val="auto"/>
              </w:rPr>
              <w:t>Thereafter</w:t>
            </w:r>
          </w:p>
        </w:tc>
        <w:tc>
          <w:tcPr>
            <w:tcW w:w="7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600</w:t>
            </w: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r>
      <w:tr>
        <w:trPr>
          <w:trHeight w:val="144"/>
        </w:trPr>
        <w:tc>
          <w:tcPr>
            <w:tcW w:w="1120" w:type="dxa"/>
            <w:vAlign w:val="bottom"/>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Less amounts representing interest</w:t>
            </w:r>
          </w:p>
        </w:tc>
        <w:tc>
          <w:tcPr>
            <w:tcW w:w="7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0" w:type="dxa"/>
            <w:vAlign w:val="bottom"/>
            <w:gridSpan w:val="2"/>
          </w:tcPr>
          <w:p>
            <w:pPr>
              <w:spacing w:after="0"/>
              <w:rPr>
                <w:sz w:val="20"/>
                <w:szCs w:val="20"/>
                <w:color w:val="auto"/>
              </w:rPr>
            </w:pPr>
            <w:r>
              <w:rPr>
                <w:rFonts w:ascii="Arial" w:cs="Arial" w:eastAsia="Arial" w:hAnsi="Arial"/>
                <w:sz w:val="12"/>
                <w:szCs w:val="12"/>
                <w:color w:val="auto"/>
              </w:rPr>
              <w:t>Present value of future minimum lease payments</w:t>
            </w:r>
          </w:p>
        </w:tc>
        <w:tc>
          <w:tcPr>
            <w:tcW w:w="76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7,072</w:t>
            </w:r>
          </w:p>
        </w:tc>
        <w:tc>
          <w:tcPr>
            <w:tcW w:w="1900" w:type="dxa"/>
            <w:vAlign w:val="bottom"/>
            <w:gridSpan w:val="2"/>
          </w:tcPr>
          <w:p>
            <w:pPr>
              <w:jc w:val="right"/>
              <w:ind w:right="740"/>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15</w:t>
            </w:r>
          </w:p>
        </w:tc>
        <w:tc>
          <w:tcPr>
            <w:tcW w:w="380" w:type="dxa"/>
            <w:vAlign w:val="bottom"/>
          </w:tcPr>
          <w:p>
            <w:pPr>
              <w:spacing w:after="0"/>
              <w:rPr>
                <w:sz w:val="12"/>
                <w:szCs w:val="12"/>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7. </w:t>
      </w:r>
      <w:r>
        <w:rPr>
          <w:rFonts w:ascii="Arial" w:cs="Arial" w:eastAsia="Arial" w:hAnsi="Arial"/>
          <w:sz w:val="12"/>
          <w:szCs w:val="12"/>
          <w:u w:val="single" w:color="auto"/>
          <w:color w:val="auto"/>
        </w:rPr>
        <w:t>Debt Obligations and Subsequent Event</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On June 6, 2013, the Company obtained a credit facility (the “Facility”) from JPMorgan Chase Bank, N.A. (“JPMorgan”) pursuant to a credit agreement (the “Credit Agreement”) between the Company and JPMorgan. The maximum aggregate amount of the Facility is $25.0 million, of which the Company immediately borrowed $7.2 million, using the proceeds to repay the outstanding balance under the $9.3 million line of credit with another financial institution which formerly managed a substantial portion of the Company’s investment portfolio. As a result of this refinancing of short-term credit with a long-term obligation, as of April 30, 2013, the Company reclassified the $6.0 million balance payable under the replaced line of credit to long-term debt. Proceeds from the Facility will be used for working capital and to finance acquisitions.</w:t>
      </w:r>
    </w:p>
    <w:p>
      <w:pPr>
        <w:spacing w:after="0" w:line="143"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The Company may make borrowings under the Facility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The Facility is fully guaranteed by certain of the Company’s subsidiaries and is secured by, among other things, a pledge of substantially all personal property of the Company and certain of the Company’s subsidiaries.</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6" w:name="page37"/>
    <w:bookmarkEnd w:id="3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an interest charge coverage ratio. The calculation of both ratios is defined in the Credit Agreement.</w:t>
      </w:r>
    </w:p>
    <w:p>
      <w:pPr>
        <w:spacing w:after="0" w:line="14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Under the Company’s subsequently replaced $9.3 million line of credit with the financial institution which formerly managed a substantial portion of its investment in marketable securities, during the fiscal year ended April 30, 2013, the Company borrowed $5.0 million and repaid the same amount. The highest borrowings under this line of credit during fiscal year 2013 was $8.5 million. The line was secured by the investments and had no maturity date so long as the Company maintained its investments with the financial institution. During fiscal years 2013 and 2012, advances against the line of credit bore interest at variable interest rates between 1.70% and 1.80%.</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Company’s European subsidiaries have available 500,000 Euros (approximately $650,000 based on current rates of exchange between the dollar and the Euro) in bank credit lines to meet short-term cash flow requirements. As of April 30, 2013 and 2012, no amounts were outstanding under such lines of credit. Borrowings under the bank credit lines, if any, must be repaid within one year of receipt of funds. Interest on these credit lines varies from 0.5% to 1.5% over the EURO Interbank Offered rate (EURIBOR). At April 30, 2013 and 2012, the rate was 1.117% and 1.244%, respectively, based on the one-month EURIBOR.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00" w:type="dxa"/>
            <w:vAlign w:val="bottom"/>
            <w:gridSpan w:val="4"/>
          </w:tcPr>
          <w:p>
            <w:pPr>
              <w:spacing w:after="0"/>
              <w:rPr>
                <w:sz w:val="20"/>
                <w:szCs w:val="20"/>
                <w:color w:val="auto"/>
              </w:rPr>
            </w:pPr>
            <w:r>
              <w:rPr>
                <w:rFonts w:ascii="Arial" w:cs="Arial" w:eastAsia="Arial" w:hAnsi="Arial"/>
                <w:sz w:val="12"/>
                <w:szCs w:val="12"/>
                <w:color w:val="auto"/>
              </w:rPr>
              <w:t>8. Accrued Liabilities</w:t>
            </w: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3"/>
        </w:trPr>
        <w:tc>
          <w:tcPr>
            <w:tcW w:w="140" w:type="dxa"/>
            <w:vAlign w:val="bottom"/>
          </w:tcPr>
          <w:p>
            <w:pPr>
              <w:spacing w:after="0"/>
              <w:rPr>
                <w:sz w:val="24"/>
                <w:szCs w:val="24"/>
                <w:color w:val="auto"/>
              </w:rPr>
            </w:pPr>
          </w:p>
        </w:tc>
        <w:tc>
          <w:tcPr>
            <w:tcW w:w="5560" w:type="dxa"/>
            <w:vAlign w:val="bottom"/>
            <w:gridSpan w:val="3"/>
          </w:tcPr>
          <w:p>
            <w:pPr>
              <w:ind w:left="180"/>
              <w:spacing w:after="0"/>
              <w:rPr>
                <w:sz w:val="20"/>
                <w:szCs w:val="20"/>
                <w:color w:val="auto"/>
              </w:rPr>
            </w:pPr>
            <w:r>
              <w:rPr>
                <w:rFonts w:ascii="Arial" w:cs="Arial" w:eastAsia="Arial" w:hAnsi="Arial"/>
                <w:sz w:val="12"/>
                <w:szCs w:val="12"/>
                <w:color w:val="auto"/>
              </w:rPr>
              <w:t>Accrued liabilities at April 30, 2013 and 2012 consist of the following (in thousands):</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2013</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24"/>
                <w:szCs w:val="24"/>
                <w:color w:val="auto"/>
              </w:rPr>
            </w:pPr>
          </w:p>
        </w:tc>
      </w:tr>
      <w:tr>
        <w:trPr>
          <w:trHeight w:val="142"/>
        </w:trPr>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Vacation and other compensation</w:t>
            </w: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1,794</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1,712</w:t>
            </w:r>
          </w:p>
        </w:tc>
        <w:tc>
          <w:tcPr>
            <w:tcW w:w="12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Incentive compensation</w:t>
            </w: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1,634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1,799</w:t>
            </w:r>
          </w:p>
        </w:tc>
        <w:tc>
          <w:tcPr>
            <w:tcW w:w="12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Payroll taxes</w:t>
            </w:r>
          </w:p>
        </w:tc>
        <w:tc>
          <w:tcPr>
            <w:tcW w:w="1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w:t>
            </w:r>
          </w:p>
        </w:tc>
        <w:tc>
          <w:tcPr>
            <w:tcW w:w="12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Deferred revenue</w:t>
            </w:r>
          </w:p>
        </w:tc>
        <w:tc>
          <w:tcPr>
            <w:tcW w:w="1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1,620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137</w:t>
            </w:r>
          </w:p>
        </w:tc>
        <w:tc>
          <w:tcPr>
            <w:tcW w:w="120" w:type="dxa"/>
            <w:vAlign w:val="bottom"/>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2"/>
                <w:szCs w:val="12"/>
                <w:color w:val="auto"/>
              </w:rPr>
              <w:t>Warranty reserve</w:t>
            </w:r>
          </w:p>
        </w:tc>
        <w:tc>
          <w:tcPr>
            <w:tcW w:w="1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598</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w:t>
            </w:r>
          </w:p>
        </w:tc>
        <w:tc>
          <w:tcPr>
            <w:tcW w:w="120" w:type="dxa"/>
            <w:vAlign w:val="bottom"/>
            <w:shd w:val="clear" w:color="auto" w:fill="CCEEFF"/>
          </w:tcPr>
          <w:p>
            <w:pPr>
              <w:spacing w:after="0"/>
              <w:rPr>
                <w:sz w:val="12"/>
                <w:szCs w:val="12"/>
                <w:color w:val="auto"/>
              </w:rPr>
            </w:pPr>
          </w:p>
        </w:tc>
      </w:tr>
      <w:tr>
        <w:trPr>
          <w:trHeight w:val="144"/>
        </w:trPr>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60" w:type="dxa"/>
            <w:vAlign w:val="bottom"/>
          </w:tcPr>
          <w:p>
            <w:pPr>
              <w:spacing w:after="0"/>
              <w:rPr>
                <w:sz w:val="20"/>
                <w:szCs w:val="20"/>
                <w:color w:val="auto"/>
              </w:rPr>
            </w:pPr>
            <w:r>
              <w:rPr>
                <w:rFonts w:ascii="Arial" w:cs="Arial" w:eastAsia="Arial" w:hAnsi="Arial"/>
                <w:sz w:val="12"/>
                <w:szCs w:val="12"/>
                <w:color w:val="auto"/>
              </w:rPr>
              <w:t>Other</w:t>
            </w:r>
          </w:p>
        </w:tc>
        <w:tc>
          <w:tcPr>
            <w:tcW w:w="12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995</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1,075</w:t>
            </w:r>
          </w:p>
        </w:tc>
        <w:tc>
          <w:tcPr>
            <w:tcW w:w="120" w:type="dxa"/>
            <w:vAlign w:val="bottom"/>
          </w:tcPr>
          <w:p>
            <w:pPr>
              <w:spacing w:after="0"/>
              <w:rPr>
                <w:sz w:val="12"/>
                <w:szCs w:val="12"/>
                <w:color w:val="auto"/>
              </w:rPr>
            </w:pPr>
          </w:p>
        </w:tc>
      </w:tr>
      <w:tr>
        <w:trPr>
          <w:trHeight w:val="162"/>
        </w:trPr>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2200" w:type="dxa"/>
            <w:vAlign w:val="bottom"/>
            <w:gridSpan w:val="2"/>
            <w:shd w:val="clear" w:color="auto" w:fill="CCEEFF"/>
          </w:tcPr>
          <w:p>
            <w:pPr>
              <w:jc w:val="right"/>
              <w:ind w:right="8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7,964</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6,986</w:t>
            </w:r>
          </w:p>
        </w:tc>
        <w:tc>
          <w:tcPr>
            <w:tcW w:w="120" w:type="dxa"/>
            <w:vAlign w:val="bottom"/>
            <w:shd w:val="clear" w:color="auto" w:fill="CCEEFF"/>
          </w:tcPr>
          <w:p>
            <w:pPr>
              <w:spacing w:after="0"/>
              <w:rPr>
                <w:sz w:val="14"/>
                <w:szCs w:val="14"/>
                <w:color w:val="auto"/>
              </w:rPr>
            </w:pPr>
          </w:p>
        </w:tc>
      </w:tr>
      <w:tr>
        <w:trPr>
          <w:trHeight w:val="20"/>
        </w:trPr>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9. </w:t>
      </w:r>
      <w:r>
        <w:rPr>
          <w:rFonts w:ascii="Arial" w:cs="Arial" w:eastAsia="Arial" w:hAnsi="Arial"/>
          <w:sz w:val="12"/>
          <w:szCs w:val="12"/>
          <w:u w:val="single" w:color="auto"/>
          <w:color w:val="auto"/>
        </w:rPr>
        <w:t>Investment in Morion, Inc.</w:t>
      </w:r>
    </w:p>
    <w:p>
      <w:pPr>
        <w:spacing w:after="0" w:line="168" w:lineRule="exact"/>
        <w:rPr>
          <w:sz w:val="20"/>
          <w:szCs w:val="20"/>
          <w:color w:val="auto"/>
        </w:rPr>
      </w:pPr>
    </w:p>
    <w:p>
      <w:pPr>
        <w:ind w:firstLine="324"/>
        <w:spacing w:after="0" w:line="323" w:lineRule="auto"/>
        <w:rPr>
          <w:sz w:val="20"/>
          <w:szCs w:val="20"/>
          <w:color w:val="auto"/>
        </w:rPr>
      </w:pPr>
      <w:r>
        <w:rPr>
          <w:rFonts w:ascii="Arial" w:cs="Arial" w:eastAsia="Arial" w:hAnsi="Arial"/>
          <w:sz w:val="11"/>
          <w:szCs w:val="11"/>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investment in and loans receivable from affiliates in the accompanying balance sheets.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7" w:name="page38"/>
    <w:bookmarkEnd w:id="37"/>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32"/>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32"/>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During the fiscal years ended April 30, 2013 and 2012, the Company acquired product from Morion in the aggregate amount of approximately $54,000 and $224,000, respectively, and the Company sold product to Morion in the aggregate amount of approximately $355,000 and $1,162,000, respectively. At April 30, 2013, accounts receivable included $144,000 due from Morion and $8,000 were payable to Morion.</w:t>
      </w:r>
    </w:p>
    <w:p>
      <w:pPr>
        <w:spacing w:after="0" w:line="133" w:lineRule="exact"/>
        <w:rPr>
          <w:sz w:val="20"/>
          <w:szCs w:val="20"/>
          <w:color w:val="auto"/>
        </w:rPr>
      </w:pPr>
    </w:p>
    <w:p>
      <w:pPr>
        <w:jc w:val="both"/>
        <w:ind w:left="8" w:firstLine="324"/>
        <w:spacing w:after="0" w:line="255" w:lineRule="auto"/>
        <w:rPr>
          <w:sz w:val="20"/>
          <w:szCs w:val="20"/>
          <w:color w:val="auto"/>
        </w:rPr>
      </w:pPr>
      <w:r>
        <w:rPr>
          <w:rFonts w:ascii="Arial" w:cs="Arial" w:eastAsia="Arial" w:hAnsi="Arial"/>
          <w:sz w:val="12"/>
          <w:szCs w:val="12"/>
          <w:color w:val="auto"/>
        </w:rPr>
        <w:t>On October 22, 2012, the Company entered into an agreement to license its rubidium oscillator production technology to Morion. The agreement requires the Company to sell certain fully-depreciated production equipment currently owned by the Company and to provide training to Morion employees to enable Morion to produce a minimum of 5,000 rubidium oscillators per year. Morion will pay the Company approximately $2.7 million for the license and the equipment plus 5% royalties on third party sales for a 5-year period following an initial production run. During the same 5-year period, the Company commits to purchase from Morion a minimum of approximately $400,000 worth of rubidium oscillators per year although Morion is not obligated to sell that amount to the Company. In November 2012, Morion paid the Company a $925,000 deposit under this agreement. This amount is considered deferred revenue and is included in accrued liabilities on the accompanying consolidated balance sheet. The United States Department of State has approved the technology transfer which is expected to be completed within a year from the date of the agreement.</w:t>
      </w:r>
    </w:p>
    <w:p>
      <w:pPr>
        <w:spacing w:after="0" w:line="147"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2"/>
          <w:szCs w:val="12"/>
          <w:color w:val="auto"/>
        </w:rPr>
      </w:pPr>
      <w:r>
        <w:rPr>
          <w:rFonts w:ascii="Arial" w:cs="Arial" w:eastAsia="Arial" w:hAnsi="Arial"/>
          <w:sz w:val="12"/>
          <w:szCs w:val="12"/>
          <w:u w:val="single" w:color="auto"/>
          <w:color w:val="auto"/>
        </w:rPr>
        <w:t>Goodwill and Other Intangible Assets</w:t>
      </w:r>
    </w:p>
    <w:p>
      <w:pPr>
        <w:spacing w:after="0" w:line="168" w:lineRule="exact"/>
        <w:rPr>
          <w:sz w:val="20"/>
          <w:szCs w:val="20"/>
          <w:color w:val="auto"/>
        </w:rPr>
      </w:pPr>
    </w:p>
    <w:p>
      <w:pPr>
        <w:jc w:val="both"/>
        <w:ind w:left="8" w:firstLine="324"/>
        <w:spacing w:after="0" w:line="298" w:lineRule="auto"/>
        <w:rPr>
          <w:sz w:val="20"/>
          <w:szCs w:val="20"/>
          <w:color w:val="auto"/>
        </w:rPr>
      </w:pPr>
      <w:r>
        <w:rPr>
          <w:rFonts w:ascii="Arial" w:cs="Arial" w:eastAsia="Arial" w:hAnsi="Arial"/>
          <w:sz w:val="11"/>
          <w:szCs w:val="11"/>
          <w:color w:val="auto"/>
        </w:rPr>
        <w:t>During fiscal year 2004, the Company acquired FEI-Zyfer, Inc. (“FEI-Zyfer”). This acquisition resulted in the recording of $218,000 in goodwill. In February 2012, the Company acquired FEI-Elcom (see Note 11 Acquisition of Elcom Technologies, Inc.) resulting in the recording of goodwill in the amount of $398,000 plus other intangible assets with a value of $275,000. Management has determined that goodwill is not impaired as of April 30, 2013 and 2012. The other intangible asset will be amortized over a three-year period from the date of acquisition. Amortization expense for the years ended April 30, 2013 and 2012 was approximately $91,000 and $19,000, respectively.</w:t>
      </w:r>
    </w:p>
    <w:p>
      <w:pPr>
        <w:spacing w:after="0" w:line="123"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2"/>
          <w:szCs w:val="12"/>
          <w:color w:val="auto"/>
        </w:rPr>
      </w:pPr>
      <w:r>
        <w:rPr>
          <w:rFonts w:ascii="Arial" w:cs="Arial" w:eastAsia="Arial" w:hAnsi="Arial"/>
          <w:sz w:val="12"/>
          <w:szCs w:val="12"/>
          <w:u w:val="single" w:color="auto"/>
          <w:color w:val="auto"/>
        </w:rPr>
        <w:t>Acquisition of Elcom Technologies, Inc.</w:t>
      </w:r>
    </w:p>
    <w:p>
      <w:pPr>
        <w:spacing w:after="0" w:line="168" w:lineRule="exact"/>
        <w:rPr>
          <w:sz w:val="20"/>
          <w:szCs w:val="20"/>
          <w:color w:val="auto"/>
        </w:rPr>
      </w:pPr>
    </w:p>
    <w:p>
      <w:pPr>
        <w:jc w:val="both"/>
        <w:ind w:left="8" w:firstLine="324"/>
        <w:spacing w:after="0" w:line="255" w:lineRule="auto"/>
        <w:rPr>
          <w:sz w:val="20"/>
          <w:szCs w:val="20"/>
          <w:color w:val="auto"/>
        </w:rPr>
      </w:pPr>
      <w:r>
        <w:rPr>
          <w:rFonts w:ascii="Arial" w:cs="Arial" w:eastAsia="Arial" w:hAnsi="Arial"/>
          <w:sz w:val="12"/>
          <w:szCs w:val="12"/>
          <w:color w:val="auto"/>
        </w:rPr>
        <w:t>On February 21, 2012, the Company purchased 74.88% of the capital stock of Elcom. Prior to the acquisition, the Company had a minority ownership interest of 25.12% of the capital stock of Elcom. After the acquisition, the Company owned 100% and changed the subsidiary’s name to FEI-Elcom Tech, Inc. The Company acquired Elcom as, in addition to its own product line, Elcom provides design and technical support for the Company’s satellite business, which accounts for a significant amount of the Company’s consolidated revenue. For the acquisition, the Company paid approximately $4.1 million to the shareholders for their shares of common stock and an additional $910,000 to certain selling shareholders to settle their outstanding debt with Elcom. In addition the Company had notes due from Elcom with a book value of approximately $1.7 million which was forgiven as an additional investment in Elcom. Based on the amounts paid to the Elcom shareholders, the Company determined that the fair value of Elcom at the date of acquisition was approximately $7.9 million. The Company’s determination of the fair value of Elcom at the date of acquisition included an adjustment for a control premium of 15% based on the total value at the date of acquisition.</w:t>
      </w:r>
    </w:p>
    <w:p>
      <w:pPr>
        <w:spacing w:after="0" w:line="147"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fair value of Elcom at the date of the transaction was allocated to $4.6 million of net tangible assets, deferred taxes of $2.6 million, and approximately $700,000 of intangible assets, including goodwill of approximately $400,000. None of the goodwill is expected to be deductible for income tax purposes.</w:t>
      </w:r>
    </w:p>
    <w:p>
      <w:pPr>
        <w:spacing w:after="0" w:line="133" w:lineRule="exact"/>
        <w:rPr>
          <w:sz w:val="20"/>
          <w:szCs w:val="20"/>
          <w:color w:val="auto"/>
        </w:rPr>
      </w:pPr>
    </w:p>
    <w:p>
      <w:pPr>
        <w:jc w:val="both"/>
        <w:ind w:left="8" w:firstLine="324"/>
        <w:spacing w:after="0" w:line="276" w:lineRule="auto"/>
        <w:rPr>
          <w:sz w:val="20"/>
          <w:szCs w:val="20"/>
          <w:color w:val="auto"/>
        </w:rPr>
      </w:pPr>
      <w:r>
        <w:rPr>
          <w:rFonts w:ascii="Arial" w:cs="Arial" w:eastAsia="Arial" w:hAnsi="Arial"/>
          <w:sz w:val="12"/>
          <w:szCs w:val="12"/>
          <w:color w:val="auto"/>
        </w:rPr>
        <w:t>The FEI-Elcom transaction is considered a “step acquisition” by generally accepted accounting principles. Such an acquisition required the Company to remeasure its previously held equity interest in Elcom and adjust it to fair value. The difference between the fair value of the Company’s ownership in Elcom and the Company’s carrying value of its investment resulted in the recognition of a gain of approximately $730,000.</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38" w:name="page39"/>
    <w:bookmarkEnd w:id="3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Prior to the acquisition of Elcom, the Company recorded its share of Elcom’s income or loss on the equity method. In addition, periodically the Company measured the market value of Elcom based on comparisons to comparable companies as well as Elcom’s forecasts of future financial results. For the year ended April 30, 2012, in addition to its equity share in the income or loss of Elcom during the year, the Company determined that its investment was impaired and recorded impairment charges in the amount $350,000.</w:t>
      </w:r>
    </w:p>
    <w:p>
      <w:pPr>
        <w:spacing w:after="0" w:line="12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the fiscal years ended April 30, 2012, prior to the acquisition of Elcom, the Company acquired technical services from Elcom in the aggregate amount of approximately $16,000; sold product to Elcom in the amount of approximately $5,000; and the Company recorded interest income on notes to Elcom in the amount of approximately $87,000.</w:t>
      </w:r>
    </w:p>
    <w:p>
      <w:pPr>
        <w:spacing w:after="0" w:line="115" w:lineRule="exact"/>
        <w:rPr>
          <w:sz w:val="20"/>
          <w:szCs w:val="20"/>
          <w:color w:val="auto"/>
        </w:rPr>
      </w:pPr>
    </w:p>
    <w:tbl>
      <w:tblPr>
        <w:tblLayout w:type="fixed"/>
        <w:tblInd w:w="320" w:type="dxa"/>
        <w:tblCellMar>
          <w:top w:w="0" w:type="dxa"/>
          <w:left w:w="0" w:type="dxa"/>
          <w:bottom w:w="0" w:type="dxa"/>
          <w:right w:w="0" w:type="dxa"/>
        </w:tblCellMar>
      </w:tblPr>
      <w:tr>
        <w:trPr>
          <w:trHeight w:val="153"/>
        </w:trPr>
        <w:tc>
          <w:tcPr>
            <w:tcW w:w="7780" w:type="dxa"/>
            <w:vAlign w:val="bottom"/>
            <w:gridSpan w:val="2"/>
          </w:tcPr>
          <w:p>
            <w:pPr>
              <w:spacing w:after="0"/>
              <w:rPr>
                <w:sz w:val="20"/>
                <w:szCs w:val="20"/>
                <w:color w:val="auto"/>
              </w:rPr>
            </w:pPr>
            <w:r>
              <w:rPr>
                <w:rFonts w:ascii="Arial" w:cs="Arial" w:eastAsia="Arial" w:hAnsi="Arial"/>
                <w:sz w:val="12"/>
                <w:szCs w:val="12"/>
                <w:color w:val="auto"/>
              </w:rPr>
              <w:t>The estimated fair value of Elcom has been allocated as follows.</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20" w:type="dxa"/>
            <w:vAlign w:val="bottom"/>
            <w:vMerge w:val="restart"/>
          </w:tcPr>
          <w:p>
            <w:pPr>
              <w:spacing w:after="0"/>
              <w:rPr>
                <w:sz w:val="14"/>
                <w:szCs w:val="14"/>
                <w:color w:val="auto"/>
              </w:rPr>
            </w:pPr>
          </w:p>
        </w:tc>
        <w:tc>
          <w:tcPr>
            <w:tcW w:w="6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20" w:type="dxa"/>
            <w:vAlign w:val="bottom"/>
            <w:vMerge w:val="continue"/>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8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763</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Accounts receivable</w:t>
            </w:r>
          </w:p>
        </w:tc>
        <w:tc>
          <w:tcPr>
            <w:tcW w:w="8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342</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Inventory</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3,233</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Other current assets</w:t>
            </w:r>
          </w:p>
        </w:tc>
        <w:tc>
          <w:tcPr>
            <w:tcW w:w="8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Fixed assets</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Goodwill and other intangible assets</w:t>
            </w:r>
          </w:p>
        </w:tc>
        <w:tc>
          <w:tcPr>
            <w:tcW w:w="8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673</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Deferred tax assets</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2,573</w:t>
            </w:r>
          </w:p>
        </w:tc>
        <w:tc>
          <w:tcPr>
            <w:tcW w:w="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Other assets</w:t>
            </w:r>
          </w:p>
        </w:tc>
        <w:tc>
          <w:tcPr>
            <w:tcW w:w="8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180</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2"/>
                <w:szCs w:val="12"/>
                <w:color w:val="auto"/>
              </w:rPr>
              <w:t>Accounts payable</w:t>
            </w:r>
          </w:p>
        </w:tc>
        <w:tc>
          <w:tcPr>
            <w:tcW w:w="8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tcPr>
          <w:p>
            <w:pPr>
              <w:spacing w:after="0"/>
              <w:rPr>
                <w:sz w:val="20"/>
                <w:szCs w:val="20"/>
                <w:color w:val="auto"/>
              </w:rPr>
            </w:pPr>
            <w:r>
              <w:rPr>
                <w:rFonts w:ascii="Arial" w:cs="Arial" w:eastAsia="Arial" w:hAnsi="Arial"/>
                <w:sz w:val="12"/>
                <w:szCs w:val="12"/>
                <w:color w:val="auto"/>
              </w:rPr>
              <w:t>Accrued expenses</w:t>
            </w:r>
          </w:p>
        </w:tc>
        <w:tc>
          <w:tcPr>
            <w:tcW w:w="8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(1,461</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1120" w:type="dxa"/>
            <w:vAlign w:val="bottom"/>
          </w:tcPr>
          <w:p>
            <w:pPr>
              <w:spacing w:after="0"/>
              <w:rPr>
                <w:sz w:val="12"/>
                <w:szCs w:val="12"/>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Capital lease obligations</w:t>
            </w:r>
          </w:p>
        </w:tc>
        <w:tc>
          <w:tcPr>
            <w:tcW w:w="8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7,880</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Company incurred approximately $230,000 in acquisition related costs applicable to the transaction during fiscal year 2012. These expenses are included in selling and administrative expenses in the Company’s consolidated statements of income.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accompanying consolidated statements of income for the years ended April 30, 2013 and 2012 include the results of operations of FEI-Elcom since the date of acquisition, February 21, 2012. For the period from the acquisition date to April 30, 2012, FEI-Elcom had revenue of $840,000 and recorded an operating loss of $700,000. The pro forma financial information set forth below is based upon the Company’s historical consolidated statements of income for the year ended April 30, 2012, adjusted to give effect to the acquisition of FEI-Elcom as if it had occurred at the beginning of fiscal year 2012.</w:t>
      </w:r>
    </w:p>
    <w:p>
      <w:pPr>
        <w:spacing w:after="0" w:line="14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pro forma financial information is presented for informational purposes only and may not be indicative of what actual results of operations would have been had the acquisition occurred on May 1, 2011, nor does it purport to represent the results of operations for future periods. The pro forma results of operations do not include the gain on the Company’s original investment of $730,000 or the impairment of the Company’s investment in Elcom during fiscal year 2012.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2"/>
                <w:szCs w:val="12"/>
                <w:b w:val="1"/>
                <w:bCs w:val="1"/>
                <w:color w:val="auto"/>
                <w:w w:val="95"/>
              </w:rPr>
              <w:t>Pro forma</w:t>
            </w: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1"/>
              </w:rPr>
              <w:t>(unaudited)</w:t>
            </w: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2"/>
                <w:szCs w:val="12"/>
                <w:b w:val="1"/>
                <w:bCs w:val="1"/>
                <w:color w:val="auto"/>
                <w:w w:val="89"/>
              </w:rPr>
              <w:t>Year ended</w:t>
            </w:r>
          </w:p>
        </w:tc>
        <w:tc>
          <w:tcPr>
            <w:tcW w:w="1440" w:type="dxa"/>
            <w:vAlign w:val="bottom"/>
          </w:tcPr>
          <w:p>
            <w:pPr>
              <w:spacing w:after="0"/>
              <w:rPr>
                <w:sz w:val="12"/>
                <w:szCs w:val="12"/>
                <w:color w:val="auto"/>
              </w:rPr>
            </w:pPr>
          </w:p>
        </w:tc>
      </w:tr>
      <w:tr>
        <w:trPr>
          <w:trHeight w:val="157"/>
        </w:trPr>
        <w:tc>
          <w:tcPr>
            <w:tcW w:w="144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2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2"/>
              </w:rPr>
              <w:t>April 30, 2012</w:t>
            </w:r>
          </w:p>
        </w:tc>
        <w:tc>
          <w:tcPr>
            <w:tcW w:w="1440" w:type="dxa"/>
            <w:vAlign w:val="bottom"/>
          </w:tcPr>
          <w:p>
            <w:pPr>
              <w:spacing w:after="0"/>
              <w:rPr>
                <w:sz w:val="13"/>
                <w:szCs w:val="13"/>
                <w:color w:val="auto"/>
              </w:rPr>
            </w:pPr>
          </w:p>
        </w:tc>
      </w:tr>
      <w:tr>
        <w:trPr>
          <w:trHeight w:val="142"/>
        </w:trPr>
        <w:tc>
          <w:tcPr>
            <w:tcW w:w="144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5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w w:val="91"/>
              </w:rPr>
              <w:t>(in thousands except per share</w:t>
            </w:r>
          </w:p>
        </w:tc>
        <w:tc>
          <w:tcPr>
            <w:tcW w:w="380" w:type="dxa"/>
            <w:vAlign w:val="bottom"/>
          </w:tcPr>
          <w:p>
            <w:pPr>
              <w:ind w:left="20"/>
              <w:spacing w:after="0"/>
              <w:rPr>
                <w:sz w:val="20"/>
                <w:szCs w:val="20"/>
                <w:color w:val="auto"/>
              </w:rPr>
            </w:pPr>
            <w:r>
              <w:rPr>
                <w:rFonts w:ascii="Arial" w:cs="Arial" w:eastAsia="Arial" w:hAnsi="Arial"/>
                <w:sz w:val="12"/>
                <w:szCs w:val="12"/>
                <w:color w:val="auto"/>
              </w:rPr>
              <w:t>data)</w:t>
            </w:r>
          </w:p>
        </w:tc>
        <w:tc>
          <w:tcPr>
            <w:tcW w:w="1440" w:type="dxa"/>
            <w:vAlign w:val="bottom"/>
          </w:tcPr>
          <w:p>
            <w:pPr>
              <w:spacing w:after="0"/>
              <w:rPr>
                <w:sz w:val="12"/>
                <w:szCs w:val="12"/>
                <w:color w:val="auto"/>
              </w:rPr>
            </w:pPr>
          </w:p>
        </w:tc>
      </w:tr>
      <w:tr>
        <w:trPr>
          <w:trHeight w:val="144"/>
        </w:trPr>
        <w:tc>
          <w:tcPr>
            <w:tcW w:w="1440" w:type="dxa"/>
            <w:vAlign w:val="bottom"/>
          </w:tcPr>
          <w:p>
            <w:pPr>
              <w:spacing w:after="0"/>
              <w:rPr>
                <w:sz w:val="12"/>
                <w:szCs w:val="12"/>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Revenues</w:t>
            </w:r>
          </w:p>
        </w:tc>
        <w:tc>
          <w:tcPr>
            <w:tcW w:w="392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70,955</w:t>
            </w:r>
          </w:p>
        </w:tc>
        <w:tc>
          <w:tcPr>
            <w:tcW w:w="380" w:type="dxa"/>
            <w:vAlign w:val="bottom"/>
            <w:tcBorders>
              <w:bottom w:val="single" w:sz="8" w:color="CCEEFF"/>
            </w:tcBorders>
            <w:shd w:val="clear" w:color="auto" w:fill="CCEEFF"/>
          </w:tcPr>
          <w:p>
            <w:pPr>
              <w:spacing w:after="0"/>
              <w:rPr>
                <w:sz w:val="12"/>
                <w:szCs w:val="12"/>
                <w:color w:val="auto"/>
              </w:rPr>
            </w:pPr>
          </w:p>
        </w:tc>
        <w:tc>
          <w:tcPr>
            <w:tcW w:w="1440" w:type="dxa"/>
            <w:vAlign w:val="bottom"/>
          </w:tcPr>
          <w:p>
            <w:pPr>
              <w:spacing w:after="0"/>
              <w:rPr>
                <w:sz w:val="12"/>
                <w:szCs w:val="12"/>
                <w:color w:val="auto"/>
              </w:rPr>
            </w:pPr>
          </w:p>
        </w:tc>
      </w:tr>
      <w:tr>
        <w:trPr>
          <w:trHeight w:val="142"/>
        </w:trPr>
        <w:tc>
          <w:tcPr>
            <w:tcW w:w="1440" w:type="dxa"/>
            <w:vAlign w:val="bottom"/>
          </w:tcPr>
          <w:p>
            <w:pPr>
              <w:spacing w:after="0"/>
              <w:rPr>
                <w:sz w:val="12"/>
                <w:szCs w:val="12"/>
                <w:color w:val="auto"/>
              </w:rPr>
            </w:pPr>
          </w:p>
        </w:tc>
        <w:tc>
          <w:tcPr>
            <w:tcW w:w="2760" w:type="dxa"/>
            <w:vAlign w:val="bottom"/>
          </w:tcPr>
          <w:p>
            <w:pPr>
              <w:spacing w:after="0"/>
              <w:rPr>
                <w:sz w:val="20"/>
                <w:szCs w:val="20"/>
                <w:color w:val="auto"/>
              </w:rPr>
            </w:pPr>
            <w:r>
              <w:rPr>
                <w:rFonts w:ascii="Arial" w:cs="Arial" w:eastAsia="Arial" w:hAnsi="Arial"/>
                <w:sz w:val="12"/>
                <w:szCs w:val="12"/>
                <w:color w:val="auto"/>
              </w:rPr>
              <w:t>Operating profit</w:t>
            </w:r>
          </w:p>
        </w:tc>
        <w:tc>
          <w:tcPr>
            <w:tcW w:w="3920" w:type="dxa"/>
            <w:vAlign w:val="bottom"/>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5,147</w:t>
            </w: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82"/>
        </w:trPr>
        <w:tc>
          <w:tcPr>
            <w:tcW w:w="1440" w:type="dxa"/>
            <w:vAlign w:val="bottom"/>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w:t>
            </w:r>
          </w:p>
        </w:tc>
        <w:tc>
          <w:tcPr>
            <w:tcW w:w="39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5,863</w:t>
            </w:r>
          </w:p>
        </w:tc>
        <w:tc>
          <w:tcPr>
            <w:tcW w:w="380" w:type="dxa"/>
            <w:vAlign w:val="bottom"/>
            <w:tcBorders>
              <w:bottom w:val="single" w:sz="8" w:color="CCEEFF"/>
            </w:tcBorders>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20"/>
        </w:trPr>
        <w:tc>
          <w:tcPr>
            <w:tcW w:w="1440" w:type="dxa"/>
            <w:vAlign w:val="bottom"/>
          </w:tcPr>
          <w:p>
            <w:pPr>
              <w:spacing w:after="0"/>
              <w:rPr>
                <w:sz w:val="10"/>
                <w:szCs w:val="10"/>
                <w:color w:val="auto"/>
              </w:rPr>
            </w:pPr>
          </w:p>
        </w:tc>
        <w:tc>
          <w:tcPr>
            <w:tcW w:w="2760" w:type="dxa"/>
            <w:vAlign w:val="bottom"/>
          </w:tcPr>
          <w:p>
            <w:pPr>
              <w:spacing w:after="0" w:line="120" w:lineRule="exact"/>
              <w:rPr>
                <w:sz w:val="20"/>
                <w:szCs w:val="20"/>
                <w:color w:val="auto"/>
              </w:rPr>
            </w:pPr>
            <w:r>
              <w:rPr>
                <w:rFonts w:ascii="Arial" w:cs="Arial" w:eastAsia="Arial" w:hAnsi="Arial"/>
                <w:sz w:val="12"/>
                <w:szCs w:val="12"/>
                <w:color w:val="auto"/>
              </w:rPr>
              <w:t>Earnings per share- basic</w:t>
            </w:r>
          </w:p>
        </w:tc>
        <w:tc>
          <w:tcPr>
            <w:tcW w:w="432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20" w:lineRule="exact"/>
              <w:rPr>
                <w:sz w:val="20"/>
                <w:szCs w:val="20"/>
                <w:color w:val="auto"/>
              </w:rPr>
            </w:pPr>
            <w:r>
              <w:rPr>
                <w:rFonts w:ascii="Arial" w:cs="Arial" w:eastAsia="Arial" w:hAnsi="Arial"/>
                <w:sz w:val="12"/>
                <w:szCs w:val="12"/>
                <w:color w:val="auto"/>
              </w:rPr>
              <w:t>0.70</w:t>
            </w:r>
          </w:p>
        </w:tc>
        <w:tc>
          <w:tcPr>
            <w:tcW w:w="380" w:type="dxa"/>
            <w:vAlign w:val="bottom"/>
          </w:tcPr>
          <w:p>
            <w:pPr>
              <w:spacing w:after="0"/>
              <w:rPr>
                <w:sz w:val="10"/>
                <w:szCs w:val="10"/>
                <w:color w:val="auto"/>
              </w:rPr>
            </w:pPr>
          </w:p>
        </w:tc>
        <w:tc>
          <w:tcPr>
            <w:tcW w:w="1440" w:type="dxa"/>
            <w:vAlign w:val="bottom"/>
          </w:tcPr>
          <w:p>
            <w:pPr>
              <w:spacing w:after="0"/>
              <w:rPr>
                <w:sz w:val="10"/>
                <w:szCs w:val="10"/>
                <w:color w:val="auto"/>
              </w:rPr>
            </w:pPr>
          </w:p>
        </w:tc>
      </w:tr>
      <w:tr>
        <w:trPr>
          <w:trHeight w:val="20"/>
        </w:trPr>
        <w:tc>
          <w:tcPr>
            <w:tcW w:w="1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60"/>
        </w:trPr>
        <w:tc>
          <w:tcPr>
            <w:tcW w:w="1440" w:type="dxa"/>
            <w:vAlign w:val="bottom"/>
          </w:tcPr>
          <w:p>
            <w:pPr>
              <w:spacing w:after="0"/>
              <w:rPr>
                <w:sz w:val="13"/>
                <w:szCs w:val="13"/>
                <w:color w:val="auto"/>
              </w:rPr>
            </w:pPr>
          </w:p>
        </w:tc>
        <w:tc>
          <w:tcPr>
            <w:tcW w:w="276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Earnings per share- diluted</w:t>
            </w:r>
          </w:p>
        </w:tc>
        <w:tc>
          <w:tcPr>
            <w:tcW w:w="432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0.69</w:t>
            </w:r>
          </w:p>
        </w:tc>
        <w:tc>
          <w:tcPr>
            <w:tcW w:w="380" w:type="dxa"/>
            <w:vAlign w:val="bottom"/>
            <w:shd w:val="clear" w:color="auto" w:fill="CCEEFF"/>
          </w:tcPr>
          <w:p>
            <w:pPr>
              <w:spacing w:after="0"/>
              <w:rPr>
                <w:sz w:val="13"/>
                <w:szCs w:val="13"/>
                <w:color w:val="auto"/>
              </w:rPr>
            </w:pPr>
          </w:p>
        </w:tc>
        <w:tc>
          <w:tcPr>
            <w:tcW w:w="1440" w:type="dxa"/>
            <w:vAlign w:val="bottom"/>
          </w:tcPr>
          <w:p>
            <w:pPr>
              <w:spacing w:after="0"/>
              <w:rPr>
                <w:sz w:val="13"/>
                <w:szCs w:val="13"/>
                <w:color w:val="auto"/>
              </w:rPr>
            </w:pPr>
          </w:p>
        </w:tc>
      </w:tr>
      <w:tr>
        <w:trPr>
          <w:trHeight w:val="381"/>
        </w:trPr>
        <w:tc>
          <w:tcPr>
            <w:tcW w:w="1440" w:type="dxa"/>
            <w:vAlign w:val="bottom"/>
          </w:tcPr>
          <w:p>
            <w:pPr>
              <w:spacing w:after="0"/>
              <w:rPr>
                <w:sz w:val="24"/>
                <w:szCs w:val="24"/>
                <w:color w:val="auto"/>
              </w:rPr>
            </w:pPr>
          </w:p>
        </w:tc>
        <w:tc>
          <w:tcPr>
            <w:tcW w:w="2760" w:type="dxa"/>
            <w:vAlign w:val="bottom"/>
            <w:tcBorders>
              <w:top w:val="single" w:sz="8" w:color="CCEEFF"/>
            </w:tcBorders>
          </w:tcPr>
          <w:p>
            <w:pPr>
              <w:spacing w:after="0"/>
              <w:rPr>
                <w:sz w:val="24"/>
                <w:szCs w:val="24"/>
                <w:color w:val="auto"/>
              </w:rPr>
            </w:pPr>
          </w:p>
        </w:tc>
        <w:tc>
          <w:tcPr>
            <w:tcW w:w="3920" w:type="dxa"/>
            <w:vAlign w:val="bottom"/>
            <w:tcBorders>
              <w:top w:val="single" w:sz="8" w:color="CCEEFF"/>
            </w:tcBorders>
          </w:tcPr>
          <w:p>
            <w:pPr>
              <w:jc w:val="right"/>
              <w:ind w:right="2260"/>
              <w:spacing w:after="0"/>
              <w:rPr>
                <w:sz w:val="20"/>
                <w:szCs w:val="20"/>
                <w:color w:val="auto"/>
              </w:rPr>
            </w:pPr>
            <w:r>
              <w:rPr>
                <w:rFonts w:ascii="Arial" w:cs="Arial" w:eastAsia="Arial" w:hAnsi="Arial"/>
                <w:sz w:val="12"/>
                <w:szCs w:val="12"/>
                <w:color w:val="auto"/>
              </w:rPr>
              <w:t>39</w:t>
            </w:r>
          </w:p>
        </w:tc>
        <w:tc>
          <w:tcPr>
            <w:tcW w:w="4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2760" w:type="dxa"/>
            <w:vAlign w:val="bottom"/>
            <w:tcBorders>
              <w:bottom w:val="single" w:sz="8" w:color="808080"/>
            </w:tcBorders>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9" w:name="page40"/>
    <w:bookmarkEnd w:id="39"/>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32"/>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32"/>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Employee Benefit Plans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Profit Sharing Plan:</w:t>
      </w:r>
    </w:p>
    <w:p>
      <w:pPr>
        <w:spacing w:after="0" w:line="172" w:lineRule="exact"/>
        <w:rPr>
          <w:sz w:val="20"/>
          <w:szCs w:val="20"/>
          <w:color w:val="auto"/>
        </w:rPr>
      </w:pPr>
    </w:p>
    <w:p>
      <w:pPr>
        <w:jc w:val="both"/>
        <w:ind w:left="8" w:firstLine="324"/>
        <w:spacing w:after="0" w:line="257" w:lineRule="auto"/>
        <w:rPr>
          <w:sz w:val="20"/>
          <w:szCs w:val="20"/>
          <w:color w:val="auto"/>
        </w:rPr>
      </w:pPr>
      <w:r>
        <w:rPr>
          <w:rFonts w:ascii="Arial" w:cs="Arial" w:eastAsia="Arial" w:hAnsi="Arial"/>
          <w:sz w:val="12"/>
          <w:szCs w:val="12"/>
          <w:color w:val="auto"/>
        </w:rPr>
        <w:t>The Company provides its U.S.-based employees with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2013 and 2012, the Company contributed 52,715 and 42,370 shares of common stock, respectively. The approximate value of these shares at the date of contribution was $456,000 in fiscal year 2013 and $360,000 in fiscal year 2012. Contributed shares are drawn from the Company’s common stock held in treasury and are removed at the Company’s original cost of acquisition of such shares on a specific identification basis. In addition to changes in the treasury stock accounts, during fiscal years 2013 and 2012, such transactions increased additional paid in capital by $214,000 and $154,000, respectively.</w:t>
      </w:r>
    </w:p>
    <w:p>
      <w:pPr>
        <w:spacing w:after="0" w:line="14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Income Incentive Pool:</w:t>
      </w:r>
    </w:p>
    <w:p>
      <w:pPr>
        <w:spacing w:after="0" w:line="172"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The Company charged approximately $1.6 million and $1.8 million to selling and administrative expenses under these plans for the fiscal years ended April 30, 2013 and 2012, respectively.</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Employee Stock Plans</w:t>
      </w:r>
      <w:r>
        <w:rPr>
          <w:rFonts w:ascii="Arial" w:cs="Arial" w:eastAsia="Arial" w:hAnsi="Arial"/>
          <w:sz w:val="12"/>
          <w:szCs w:val="12"/>
          <w:color w:val="auto"/>
        </w:rPr>
        <w:t>:</w:t>
      </w:r>
    </w:p>
    <w:p>
      <w:pPr>
        <w:spacing w:after="0" w:line="172"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2"/>
          <w:szCs w:val="12"/>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w:t>
      </w:r>
    </w:p>
    <w:p>
      <w:pPr>
        <w:spacing w:after="0" w:line="141" w:lineRule="exact"/>
        <w:rPr>
          <w:sz w:val="20"/>
          <w:szCs w:val="20"/>
          <w:color w:val="auto"/>
        </w:rPr>
      </w:pPr>
    </w:p>
    <w:p>
      <w:pPr>
        <w:jc w:val="both"/>
        <w:ind w:left="8" w:firstLine="324"/>
        <w:spacing w:after="0" w:line="277" w:lineRule="auto"/>
        <w:rPr>
          <w:sz w:val="20"/>
          <w:szCs w:val="20"/>
          <w:color w:val="auto"/>
        </w:rPr>
      </w:pPr>
      <w:r>
        <w:rPr>
          <w:rFonts w:ascii="Arial" w:cs="Arial" w:eastAsia="Arial" w:hAnsi="Arial"/>
          <w:sz w:val="11"/>
          <w:szCs w:val="11"/>
          <w:color w:val="auto"/>
        </w:rPr>
        <w:t>Typically, options and SARS vest over a four-year period from the date of grant. The options and SARS expire ten years after the date of grant and are subject to certain restrictions on transferability of the shares obtained on exercise. As of April 30, 2012, a consultant, who is the son of the Company’s president, had been granted options to purchase 56,625 shares of Company stock under NQSO plans at a weighted average exercise price of $5.60. During the year ended April 30, 2013, the consultant elected a cashless exercise of 19,125 shares at an exercise price of $3.50 per share (resulting in a net issuance of 11,011 shares) and the remaining 37,500 options are outstanding and exercisable at an exercise price of $6.67. The options expire one year after the termination of the consulting agreement which has no expiration date. As of April 30, 2013, eligible employees had been granted options to purchase approximately 231,200 shares of Company stock under ISO plans, of which approximately 172,500 options with a weighted average exercise price of $11.55 are both outstanding and exercisable. During the year ended April 30, 2013, employees exercised ISOs for 58,700 shares of Company stock. During fiscal year 2013, the Company gave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For the year ended April 30, 2013, the Company received approximately $20,000 upon the exercise of options for 3,000 shares. The balance of stock option exercises under ISO and NQSO plans, including the consultant shares above, which aggregated 74,825 shares were conducted under the cashless option. Accordingly, the Company issued 25,897 shares for cashless exercises and returned 48,928 shares to the pool of available shares which may be used for future grants. As of April 30, 2013, eligible employees and directors have been granted SARS based on approximately 1,550,000 shares of Company stock, of which approximately 1,498,625 shares are outstanding and approximately 871,000 with a weighted average exercise price of $7.93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Company’s stock plan. During the year ended April 30, 2013, employees exercised SARS representing 35,250 shares of Company stock and received 18,685 shares of Company stock. The 16,565 share difference was returned to the pool of available shares and may be used for future grants.</w:t>
      </w:r>
    </w:p>
    <w:p>
      <w:pPr>
        <w:spacing w:after="0" w:line="23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40" w:name="page41"/>
    <w:bookmarkEnd w:id="4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excess of the consideration received over the par value of the common stock or cost of treasury stock issued under both types of option plans is recognized as an increase in additional paid-in capital.</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summarizes information about stock option activity for the years ended April 30:</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20" w:type="dxa"/>
            <w:vAlign w:val="bottom"/>
            <w:tcBorders>
              <w:bottom w:val="single" w:sz="8" w:color="auto"/>
            </w:tcBorders>
            <w:gridSpan w:val="5"/>
          </w:tcPr>
          <w:p>
            <w:pPr>
              <w:ind w:left="520"/>
              <w:spacing w:after="0"/>
              <w:rPr>
                <w:sz w:val="20"/>
                <w:szCs w:val="20"/>
                <w:color w:val="auto"/>
              </w:rPr>
            </w:pPr>
            <w:r>
              <w:rPr>
                <w:rFonts w:ascii="Arial" w:cs="Arial" w:eastAsia="Arial" w:hAnsi="Arial"/>
                <w:sz w:val="12"/>
                <w:szCs w:val="12"/>
                <w:b w:val="1"/>
                <w:bCs w:val="1"/>
                <w:color w:val="auto"/>
              </w:rPr>
              <w:t>Stock Options and Stock Appreciation Rights</w:t>
            </w:r>
          </w:p>
        </w:tc>
        <w:tc>
          <w:tcPr>
            <w:tcW w:w="3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89"/>
              </w:rPr>
              <w:t>Weighted Average</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80" w:type="dxa"/>
            <w:vAlign w:val="bottom"/>
            <w:gridSpan w:val="3"/>
          </w:tcPr>
          <w:p>
            <w:pPr>
              <w:ind w:left="220"/>
              <w:spacing w:after="0"/>
              <w:rPr>
                <w:sz w:val="20"/>
                <w:szCs w:val="20"/>
                <w:color w:val="auto"/>
              </w:rPr>
            </w:pPr>
            <w:r>
              <w:rPr>
                <w:rFonts w:ascii="Arial" w:cs="Arial" w:eastAsia="Arial" w:hAnsi="Arial"/>
                <w:sz w:val="12"/>
                <w:szCs w:val="12"/>
                <w:b w:val="1"/>
                <w:bCs w:val="1"/>
                <w:color w:val="auto"/>
              </w:rPr>
              <w:t>Weighted- Average</w:t>
            </w: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91"/>
              </w:rPr>
              <w:t>Remaining</w:t>
            </w: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40" w:type="dxa"/>
            <w:vAlign w:val="bottom"/>
            <w:gridSpan w:val="2"/>
          </w:tcPr>
          <w:p>
            <w:pPr>
              <w:jc w:val="center"/>
              <w:ind w:right="800"/>
              <w:spacing w:after="0"/>
              <w:rPr>
                <w:sz w:val="20"/>
                <w:szCs w:val="20"/>
                <w:color w:val="auto"/>
              </w:rPr>
            </w:pPr>
            <w:r>
              <w:rPr>
                <w:rFonts w:ascii="Arial" w:cs="Arial" w:eastAsia="Arial" w:hAnsi="Arial"/>
                <w:sz w:val="12"/>
                <w:szCs w:val="12"/>
                <w:b w:val="1"/>
                <w:bCs w:val="1"/>
                <w:color w:val="auto"/>
                <w:w w:val="87"/>
              </w:rPr>
              <w:t>Aggregate</w:t>
            </w:r>
          </w:p>
        </w:tc>
      </w:tr>
      <w:tr>
        <w:trPr>
          <w:trHeight w:val="157"/>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96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w w:val="89"/>
              </w:rPr>
              <w:t>Shares</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Exercise Price</w:t>
            </w:r>
          </w:p>
        </w:tc>
        <w:tc>
          <w:tcPr>
            <w:tcW w:w="3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Contractual Term</w:t>
            </w:r>
          </w:p>
        </w:tc>
        <w:tc>
          <w:tcPr>
            <w:tcW w:w="360" w:type="dxa"/>
            <w:vAlign w:val="bottom"/>
          </w:tcPr>
          <w:p>
            <w:pPr>
              <w:spacing w:after="0"/>
              <w:rPr>
                <w:sz w:val="13"/>
                <w:szCs w:val="13"/>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Intrinsic Value</w:t>
            </w:r>
          </w:p>
        </w:tc>
        <w:tc>
          <w:tcPr>
            <w:tcW w:w="3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Outstanding – May 1, 2011</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1,433,525</w:t>
            </w:r>
          </w:p>
        </w:tc>
        <w:tc>
          <w:tcPr>
            <w:tcW w:w="1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8.22</w:t>
            </w: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6.6 years</w:t>
            </w: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253,000</w:t>
            </w: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2"/>
                <w:szCs w:val="12"/>
                <w:color w:val="auto"/>
              </w:rPr>
              <w:t>7.36</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(7,950</w:t>
            </w:r>
          </w:p>
        </w:tc>
        <w:tc>
          <w:tcPr>
            <w:tcW w:w="5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5.35</w:t>
            </w: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Expired or Canceled</w:t>
            </w:r>
          </w:p>
        </w:tc>
        <w:tc>
          <w:tcPr>
            <w:tcW w:w="96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(48,875</w:t>
            </w:r>
          </w:p>
        </w:tc>
        <w:tc>
          <w:tcPr>
            <w:tcW w:w="5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2"/>
                <w:szCs w:val="12"/>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2"/>
                <w:szCs w:val="12"/>
                <w:color w:val="auto"/>
                <w:w w:val="93"/>
              </w:rPr>
              <w:t>11.10</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Outstanding – April 30, 2012</w:t>
            </w:r>
          </w:p>
        </w:tc>
        <w:tc>
          <w:tcPr>
            <w:tcW w:w="9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3"/>
              </w:rPr>
              <w:t>1,629,700</w:t>
            </w:r>
          </w:p>
        </w:tc>
        <w:tc>
          <w:tcPr>
            <w:tcW w:w="16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7.95</w:t>
            </w:r>
          </w:p>
        </w:tc>
        <w:tc>
          <w:tcPr>
            <w:tcW w:w="10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6.4 years</w:t>
            </w: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2"/>
                <w:szCs w:val="12"/>
                <w:color w:val="auto"/>
              </w:rPr>
              <w:t>Granted</w:t>
            </w: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209,000</w:t>
            </w: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2"/>
                <w:szCs w:val="12"/>
                <w:color w:val="auto"/>
              </w:rPr>
              <w:t>8.82</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Exercised</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(113,075</w:t>
            </w:r>
          </w:p>
        </w:tc>
        <w:tc>
          <w:tcPr>
            <w:tcW w:w="5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5.63</w:t>
            </w: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180" w:type="dxa"/>
            <w:vAlign w:val="bottom"/>
          </w:tcPr>
          <w:p>
            <w:pPr>
              <w:spacing w:after="0"/>
              <w:rPr>
                <w:sz w:val="20"/>
                <w:szCs w:val="20"/>
                <w:color w:val="auto"/>
              </w:rPr>
            </w:pPr>
            <w:r>
              <w:rPr>
                <w:rFonts w:ascii="Arial" w:cs="Arial" w:eastAsia="Arial" w:hAnsi="Arial"/>
                <w:sz w:val="12"/>
                <w:szCs w:val="12"/>
                <w:color w:val="auto"/>
              </w:rPr>
              <w:t>Expired or Canceled</w:t>
            </w:r>
          </w:p>
        </w:tc>
        <w:tc>
          <w:tcPr>
            <w:tcW w:w="960" w:type="dxa"/>
            <w:vAlign w:val="bottom"/>
          </w:tcPr>
          <w:p>
            <w:pPr>
              <w:spacing w:after="0"/>
              <w:rPr>
                <w:sz w:val="12"/>
                <w:szCs w:val="12"/>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2"/>
                <w:szCs w:val="12"/>
                <w:color w:val="auto"/>
              </w:rPr>
              <w:t>(17,000</w:t>
            </w:r>
          </w:p>
        </w:tc>
        <w:tc>
          <w:tcPr>
            <w:tcW w:w="5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1120" w:type="dxa"/>
            <w:vAlign w:val="bottom"/>
          </w:tcPr>
          <w:p>
            <w:pPr>
              <w:spacing w:after="0"/>
              <w:rPr>
                <w:sz w:val="12"/>
                <w:szCs w:val="12"/>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2"/>
                <w:szCs w:val="12"/>
                <w:color w:val="auto"/>
              </w:rPr>
              <w:t>5.16</w:t>
            </w: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4180" w:type="dxa"/>
            <w:vAlign w:val="bottom"/>
            <w:tcBorders>
              <w:bottom w:val="single" w:sz="8" w:color="CCEEFF"/>
            </w:tcBorders>
            <w:shd w:val="clear" w:color="auto" w:fill="CCEEFF"/>
          </w:tcPr>
          <w:p>
            <w:pPr>
              <w:spacing w:after="0" w:line="124" w:lineRule="exact"/>
              <w:rPr>
                <w:sz w:val="20"/>
                <w:szCs w:val="20"/>
                <w:color w:val="auto"/>
              </w:rPr>
            </w:pPr>
            <w:r>
              <w:rPr>
                <w:rFonts w:ascii="Arial" w:cs="Arial" w:eastAsia="Arial" w:hAnsi="Arial"/>
                <w:sz w:val="12"/>
                <w:szCs w:val="12"/>
                <w:color w:val="auto"/>
              </w:rPr>
              <w:t>Outstanding – April 30, 2013</w:t>
            </w:r>
          </w:p>
        </w:tc>
        <w:tc>
          <w:tcPr>
            <w:tcW w:w="960" w:type="dxa"/>
            <w:vAlign w:val="bottom"/>
            <w:tcBorders>
              <w:top w:val="single" w:sz="8" w:color="auto"/>
              <w:bottom w:val="single" w:sz="8" w:color="auto"/>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93"/>
              </w:rPr>
              <w:t>1,708,625</w:t>
            </w:r>
          </w:p>
        </w:tc>
        <w:tc>
          <w:tcPr>
            <w:tcW w:w="1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80"/>
              <w:spacing w:after="0" w:line="124" w:lineRule="exact"/>
              <w:rPr>
                <w:sz w:val="20"/>
                <w:szCs w:val="20"/>
                <w:color w:val="auto"/>
              </w:rPr>
            </w:pPr>
            <w:r>
              <w:rPr>
                <w:rFonts w:ascii="Arial" w:cs="Arial" w:eastAsia="Arial" w:hAnsi="Arial"/>
                <w:sz w:val="12"/>
                <w:szCs w:val="12"/>
                <w:color w:val="auto"/>
              </w:rPr>
              <w:t>$</w:t>
            </w:r>
          </w:p>
        </w:tc>
        <w:tc>
          <w:tcPr>
            <w:tcW w:w="3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8.23</w:t>
            </w:r>
          </w:p>
        </w:tc>
        <w:tc>
          <w:tcPr>
            <w:tcW w:w="3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center"/>
              <w:spacing w:after="0" w:line="124" w:lineRule="exact"/>
              <w:rPr>
                <w:sz w:val="20"/>
                <w:szCs w:val="20"/>
                <w:color w:val="auto"/>
              </w:rPr>
            </w:pPr>
            <w:r>
              <w:rPr>
                <w:rFonts w:ascii="Arial" w:cs="Arial" w:eastAsia="Arial" w:hAnsi="Arial"/>
                <w:sz w:val="12"/>
                <w:szCs w:val="12"/>
                <w:color w:val="auto"/>
                <w:w w:val="89"/>
              </w:rPr>
              <w:t>6.1 years</w:t>
            </w:r>
          </w:p>
        </w:tc>
        <w:tc>
          <w:tcPr>
            <w:tcW w:w="780" w:type="dxa"/>
            <w:vAlign w:val="bottom"/>
            <w:tcBorders>
              <w:bottom w:val="single" w:sz="8" w:color="CCEEFF"/>
            </w:tcBorders>
            <w:gridSpan w:val="2"/>
            <w:shd w:val="clear" w:color="auto" w:fill="CCEEFF"/>
          </w:tcPr>
          <w:p>
            <w:pPr>
              <w:jc w:val="right"/>
              <w:spacing w:after="0" w:line="124" w:lineRule="exact"/>
              <w:rPr>
                <w:sz w:val="20"/>
                <w:szCs w:val="20"/>
                <w:color w:val="auto"/>
              </w:rPr>
            </w:pPr>
            <w:r>
              <w:rPr>
                <w:rFonts w:ascii="Arial" w:cs="Arial" w:eastAsia="Arial" w:hAnsi="Arial"/>
                <w:sz w:val="12"/>
                <w:szCs w:val="12"/>
                <w:color w:val="auto"/>
              </w:rPr>
              <w:t>$</w:t>
            </w:r>
          </w:p>
        </w:tc>
        <w:tc>
          <w:tcPr>
            <w:tcW w:w="1080" w:type="dxa"/>
            <w:vAlign w:val="bottom"/>
            <w:tcBorders>
              <w:bottom w:val="single" w:sz="8" w:color="CCEEFF"/>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3,697,430</w:t>
            </w:r>
          </w:p>
        </w:tc>
        <w:tc>
          <w:tcPr>
            <w:tcW w:w="360" w:type="dxa"/>
            <w:vAlign w:val="bottom"/>
            <w:tcBorders>
              <w:bottom w:val="single" w:sz="8" w:color="CCEEFF"/>
            </w:tcBorders>
            <w:shd w:val="clear" w:color="auto" w:fill="CCEEFF"/>
          </w:tcPr>
          <w:p>
            <w:pPr>
              <w:spacing w:after="0"/>
              <w:rPr>
                <w:sz w:val="15"/>
                <w:szCs w:val="15"/>
                <w:color w:val="auto"/>
              </w:rPr>
            </w:pPr>
          </w:p>
        </w:tc>
      </w:tr>
      <w:tr>
        <w:trPr>
          <w:trHeight w:val="120"/>
        </w:trPr>
        <w:tc>
          <w:tcPr>
            <w:tcW w:w="20" w:type="dxa"/>
            <w:vAlign w:val="bottom"/>
          </w:tcPr>
          <w:p>
            <w:pPr>
              <w:spacing w:after="0"/>
              <w:rPr>
                <w:sz w:val="10"/>
                <w:szCs w:val="10"/>
                <w:color w:val="auto"/>
              </w:rPr>
            </w:pPr>
          </w:p>
        </w:tc>
        <w:tc>
          <w:tcPr>
            <w:tcW w:w="5140" w:type="dxa"/>
            <w:vAlign w:val="bottom"/>
            <w:gridSpan w:val="2"/>
          </w:tcPr>
          <w:p>
            <w:pPr>
              <w:spacing w:after="0" w:line="120" w:lineRule="exact"/>
              <w:rPr>
                <w:sz w:val="20"/>
                <w:szCs w:val="20"/>
                <w:color w:val="auto"/>
              </w:rPr>
            </w:pPr>
            <w:r>
              <w:rPr>
                <w:rFonts w:ascii="Arial" w:cs="Arial" w:eastAsia="Arial" w:hAnsi="Arial"/>
                <w:sz w:val="12"/>
                <w:szCs w:val="12"/>
                <w:color w:val="auto"/>
              </w:rPr>
              <w:t>Exercisable</w:t>
            </w:r>
          </w:p>
        </w:tc>
        <w:tc>
          <w:tcPr>
            <w:tcW w:w="520" w:type="dxa"/>
            <w:vAlign w:val="bottom"/>
          </w:tcPr>
          <w:p>
            <w:pPr>
              <w:jc w:val="right"/>
              <w:spacing w:after="0" w:line="120" w:lineRule="exact"/>
              <w:rPr>
                <w:sz w:val="20"/>
                <w:szCs w:val="20"/>
                <w:color w:val="auto"/>
              </w:rPr>
            </w:pPr>
            <w:r>
              <w:rPr>
                <w:rFonts w:ascii="Arial" w:cs="Arial" w:eastAsia="Arial" w:hAnsi="Arial"/>
                <w:sz w:val="12"/>
                <w:szCs w:val="12"/>
                <w:color w:val="auto"/>
                <w:w w:val="93"/>
              </w:rPr>
              <w:t>1,081,000</w:t>
            </w:r>
          </w:p>
        </w:tc>
        <w:tc>
          <w:tcPr>
            <w:tcW w:w="160" w:type="dxa"/>
            <w:vAlign w:val="bottom"/>
          </w:tcPr>
          <w:p>
            <w:pPr>
              <w:spacing w:after="0"/>
              <w:rPr>
                <w:sz w:val="10"/>
                <w:szCs w:val="10"/>
                <w:color w:val="auto"/>
              </w:rPr>
            </w:pPr>
          </w:p>
        </w:tc>
        <w:tc>
          <w:tcPr>
            <w:tcW w:w="1700" w:type="dxa"/>
            <w:vAlign w:val="bottom"/>
            <w:gridSpan w:val="2"/>
          </w:tcPr>
          <w:p>
            <w:pPr>
              <w:jc w:val="right"/>
              <w:ind w:right="680"/>
              <w:spacing w:after="0" w:line="120" w:lineRule="exact"/>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360"/>
              <w:spacing w:after="0" w:line="120" w:lineRule="exact"/>
              <w:rPr>
                <w:sz w:val="20"/>
                <w:szCs w:val="20"/>
                <w:color w:val="auto"/>
              </w:rPr>
            </w:pPr>
            <w:r>
              <w:rPr>
                <w:rFonts w:ascii="Arial" w:cs="Arial" w:eastAsia="Arial" w:hAnsi="Arial"/>
                <w:sz w:val="12"/>
                <w:szCs w:val="12"/>
                <w:color w:val="auto"/>
              </w:rPr>
              <w:t>8.46</w:t>
            </w:r>
          </w:p>
        </w:tc>
        <w:tc>
          <w:tcPr>
            <w:tcW w:w="1060" w:type="dxa"/>
            <w:vAlign w:val="bottom"/>
          </w:tcPr>
          <w:p>
            <w:pPr>
              <w:jc w:val="center"/>
              <w:spacing w:after="0" w:line="120" w:lineRule="exact"/>
              <w:rPr>
                <w:sz w:val="20"/>
                <w:szCs w:val="20"/>
                <w:color w:val="auto"/>
              </w:rPr>
            </w:pPr>
            <w:r>
              <w:rPr>
                <w:rFonts w:ascii="Arial" w:cs="Arial" w:eastAsia="Arial" w:hAnsi="Arial"/>
                <w:sz w:val="12"/>
                <w:szCs w:val="12"/>
                <w:color w:val="auto"/>
                <w:w w:val="89"/>
              </w:rPr>
              <w:t>4.8 years</w:t>
            </w:r>
          </w:p>
        </w:tc>
        <w:tc>
          <w:tcPr>
            <w:tcW w:w="780" w:type="dxa"/>
            <w:vAlign w:val="bottom"/>
            <w:gridSpan w:val="2"/>
          </w:tcPr>
          <w:p>
            <w:pPr>
              <w:jc w:val="right"/>
              <w:spacing w:after="0" w:line="120" w:lineRule="exact"/>
              <w:rPr>
                <w:sz w:val="20"/>
                <w:szCs w:val="20"/>
                <w:color w:val="auto"/>
              </w:rPr>
            </w:pPr>
            <w:r>
              <w:rPr>
                <w:rFonts w:ascii="Arial" w:cs="Arial" w:eastAsia="Arial" w:hAnsi="Arial"/>
                <w:sz w:val="12"/>
                <w:szCs w:val="12"/>
                <w:color w:val="auto"/>
              </w:rPr>
              <w:t>$</w:t>
            </w:r>
          </w:p>
        </w:tc>
        <w:tc>
          <w:tcPr>
            <w:tcW w:w="1080" w:type="dxa"/>
            <w:vAlign w:val="bottom"/>
          </w:tcPr>
          <w:p>
            <w:pPr>
              <w:jc w:val="right"/>
              <w:spacing w:after="0" w:line="120" w:lineRule="exact"/>
              <w:rPr>
                <w:sz w:val="20"/>
                <w:szCs w:val="20"/>
                <w:color w:val="auto"/>
              </w:rPr>
            </w:pPr>
            <w:r>
              <w:rPr>
                <w:rFonts w:ascii="Arial" w:cs="Arial" w:eastAsia="Arial" w:hAnsi="Arial"/>
                <w:sz w:val="12"/>
                <w:szCs w:val="12"/>
                <w:color w:val="auto"/>
              </w:rPr>
              <w:t>2,324,626</w:t>
            </w:r>
          </w:p>
        </w:tc>
        <w:tc>
          <w:tcPr>
            <w:tcW w:w="360" w:type="dxa"/>
            <w:vAlign w:val="bottom"/>
          </w:tcPr>
          <w:p>
            <w:pPr>
              <w:spacing w:after="0"/>
              <w:rPr>
                <w:sz w:val="10"/>
                <w:szCs w:val="10"/>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1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Available for future grants</w:t>
            </w:r>
          </w:p>
        </w:tc>
        <w:tc>
          <w:tcPr>
            <w:tcW w:w="9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20" w:lineRule="exact"/>
              <w:rPr>
                <w:sz w:val="20"/>
                <w:szCs w:val="20"/>
                <w:color w:val="auto"/>
              </w:rPr>
            </w:pPr>
            <w:r>
              <w:rPr>
                <w:rFonts w:ascii="Arial" w:cs="Arial" w:eastAsia="Arial" w:hAnsi="Arial"/>
                <w:sz w:val="12"/>
                <w:szCs w:val="12"/>
                <w:color w:val="auto"/>
              </w:rPr>
              <w:t>166,743</w:t>
            </w:r>
          </w:p>
        </w:tc>
        <w:tc>
          <w:tcPr>
            <w:tcW w:w="5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15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As of April 30, 2013, total unrecognized compensation cost related to nonvested options and stock appreciation rights under the plans was approximately $2,149,000. These costs are expected to be recognized over a weighted average period of 3.0 years.</w:t>
      </w:r>
    </w:p>
    <w:p>
      <w:pPr>
        <w:spacing w:after="0" w:line="13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During the years ended April 30, 2013 and 2012, 254,813 and 221,969 shares, respectively, vested, the fair value of which was approximately $847,000 and $748,000, respectively. The weighted average grant date fair value of stock appreciation rights granted during the years ended April 30, 2013 and 2012, were approximately $4.16 and $3.73, respectively.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Stock-based compensation costs capitalized as part of work in process inventory or included in the cost of sales of programs on which the Company recognizes revenue under the percentage of completion method were approximately $410,000 and $363,000 for the years ended April 30, 2013 and 2012, respectively. Selling and administrative expenses include stock-based compensation expense of approximately $537,000 and $359,000 for the years ended April 30, 2013 and 2012, respectively.</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 classifies cash flows resulting from the tax benefits from tax deductions recognized upon the exercise of stock options or SARS (tax benefits) as financing cash flows. For the years ended April 30, 2013 and 2012, the Company realized $152,000 and $9,000 respectively, of tax benefits from the exercise of stock options and SARS.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Independent Contractor Stock Option Plan:</w:t>
      </w:r>
    </w:p>
    <w:p>
      <w:pPr>
        <w:spacing w:after="0" w:line="17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1"/>
          <w:szCs w:val="11"/>
          <w:color w:val="auto"/>
        </w:rPr>
        <w:t>The Company had an Independent Contractor Stock Option Plan under which up to 350,000 shares could be granted. This plan was terminated in fiscal year 2006. An Independent Contractor Stock Option Committee determined to whom options may be granted from among eligible participants, the timing and duration of option grants, the option price, and the number of shares of common stock subject to each option. Options were granted to certain independent contractors at a price equal to the then fair market value of the Company’s common stock. The options were exercisable over specified periods per terms of the individual agreements. No compensation expense was recorded during the years ended April 30, 2013 and 2012 as no other grants were made in those years and previous grants have been fully expensed. As a result of the adoption by the stockholders of the 2005 Stock Award Plan, the Independent Contractor Stock Option Plan was discontinued. No additional grants will be made under this plan and the outstanding grant will expire in fiscal year 2015.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1" w:name="page42"/>
    <w:bookmarkEnd w:id="4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At April 30, 2013 and 2012, options for 30,000 shares, at a weighted average exercise price of $14.76, were issued and outstanding under this plan. No other activities occurred during the two year period ended April 30, 2013.</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Stock Plan:</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As a result of the adoption by the Company’s stockholders of the 2005 Stock Award Plan, the Restricted Stock Plan was discontinued. No additional grants will be made under this plan. As of April 30, 2013 and 2012, grants for 7,500 shares are available to be purchased at a price of $4.00 per share.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Stock Ownership Plan/Stock Bonus Plan:</w:t>
      </w:r>
    </w:p>
    <w:p>
      <w:pPr>
        <w:spacing w:after="0" w:line="17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1"/>
          <w:szCs w:val="11"/>
          <w:color w:val="auto"/>
        </w:rPr>
        <w:t>During 1990, the Company amended its Stock Bonus Plan to become an Employee Stock Ownership Plan (“ESOP”). By means of a bank note, subsequently repaid, the Company reacquired 561,652 shares of its common stock during fiscal year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year 2000, all shares (1,071,652) had been allocated to participant accounts of which 406,102 shares remain in the ESOP.</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Deferred Compensation Agreements:</w:t>
      </w:r>
    </w:p>
    <w:p>
      <w:pPr>
        <w:spacing w:after="0" w:line="172" w:lineRule="exact"/>
        <w:rPr>
          <w:sz w:val="20"/>
          <w:szCs w:val="20"/>
          <w:color w:val="auto"/>
        </w:rPr>
      </w:pPr>
    </w:p>
    <w:p>
      <w:pPr>
        <w:jc w:val="both"/>
        <w:ind w:firstLine="324"/>
        <w:spacing w:after="0" w:line="327" w:lineRule="auto"/>
        <w:rPr>
          <w:sz w:val="20"/>
          <w:szCs w:val="20"/>
          <w:color w:val="auto"/>
        </w:rPr>
      </w:pPr>
      <w:r>
        <w:rPr>
          <w:rFonts w:ascii="Arial" w:cs="Arial" w:eastAsia="Arial" w:hAnsi="Arial"/>
          <w:sz w:val="10"/>
          <w:szCs w:val="10"/>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2013 and 2012 was approximately $616,000 and $796,000,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Life Insurance Policies and Cash Held in Trust:</w:t>
      </w:r>
    </w:p>
    <w:p>
      <w:pPr>
        <w:spacing w:after="0" w:line="1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2" w:name="page43"/>
    <w:bookmarkEnd w:id="42"/>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00" w:type="dxa"/>
            <w:vAlign w:val="bottom"/>
            <w:gridSpan w:val="4"/>
          </w:tcPr>
          <w:p>
            <w:pPr>
              <w:spacing w:after="0"/>
              <w:rPr>
                <w:sz w:val="20"/>
                <w:szCs w:val="20"/>
                <w:color w:val="auto"/>
              </w:rPr>
            </w:pPr>
            <w:r>
              <w:rPr>
                <w:rFonts w:ascii="Arial" w:cs="Arial" w:eastAsia="Arial" w:hAnsi="Arial"/>
                <w:sz w:val="12"/>
                <w:szCs w:val="12"/>
                <w:color w:val="auto"/>
              </w:rPr>
              <w:t>13. Income Taxes</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13"/>
        </w:trPr>
        <w:tc>
          <w:tcPr>
            <w:tcW w:w="200" w:type="dxa"/>
            <w:vAlign w:val="bottom"/>
          </w:tcPr>
          <w:p>
            <w:pPr>
              <w:spacing w:after="0"/>
              <w:rPr>
                <w:sz w:val="24"/>
                <w:szCs w:val="24"/>
                <w:color w:val="auto"/>
              </w:rPr>
            </w:pPr>
          </w:p>
        </w:tc>
        <w:tc>
          <w:tcPr>
            <w:tcW w:w="5900" w:type="dxa"/>
            <w:vAlign w:val="bottom"/>
            <w:gridSpan w:val="3"/>
          </w:tcPr>
          <w:p>
            <w:pPr>
              <w:ind w:left="120"/>
              <w:spacing w:after="0"/>
              <w:rPr>
                <w:sz w:val="20"/>
                <w:szCs w:val="20"/>
                <w:color w:val="auto"/>
              </w:rPr>
            </w:pPr>
            <w:r>
              <w:rPr>
                <w:rFonts w:ascii="Arial" w:cs="Arial" w:eastAsia="Arial" w:hAnsi="Arial"/>
                <w:sz w:val="12"/>
                <w:szCs w:val="12"/>
                <w:color w:val="auto"/>
              </w:rPr>
              <w:t>The income before benefit for income taxes consisted of (in thousands):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6"/>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rPr>
              <w:t>Year Ended April 30,</w:t>
            </w:r>
          </w:p>
        </w:tc>
        <w:tc>
          <w:tcPr>
            <w:tcW w:w="9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38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U.S.</w:t>
            </w:r>
          </w:p>
        </w:tc>
        <w:tc>
          <w:tcPr>
            <w:tcW w:w="9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7,028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7,426</w:t>
            </w:r>
          </w:p>
        </w:tc>
        <w:tc>
          <w:tcPr>
            <w:tcW w:w="3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Pr>
          <w:p>
            <w:pPr>
              <w:spacing w:after="0"/>
              <w:rPr>
                <w:sz w:val="20"/>
                <w:szCs w:val="20"/>
                <w:color w:val="auto"/>
              </w:rPr>
            </w:pPr>
            <w:r>
              <w:rPr>
                <w:rFonts w:ascii="Arial" w:cs="Arial" w:eastAsia="Arial" w:hAnsi="Arial"/>
                <w:sz w:val="12"/>
                <w:szCs w:val="12"/>
                <w:color w:val="auto"/>
              </w:rPr>
              <w:t>Foreign</w:t>
            </w: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(1,942</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(612</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5,086</w:t>
            </w:r>
          </w:p>
        </w:tc>
        <w:tc>
          <w:tcPr>
            <w:tcW w:w="7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6,814</w:t>
            </w:r>
          </w:p>
        </w:tc>
        <w:tc>
          <w:tcPr>
            <w:tcW w:w="380" w:type="dxa"/>
            <w:vAlign w:val="bottom"/>
            <w:tcBorders>
              <w:bottom w:val="single" w:sz="8" w:color="CCEEFF"/>
            </w:tcBorders>
            <w:shd w:val="clear" w:color="auto" w:fill="CCEEFF"/>
          </w:tcPr>
          <w:p>
            <w:pPr>
              <w:spacing w:after="0"/>
              <w:rPr>
                <w:sz w:val="15"/>
                <w:szCs w:val="15"/>
                <w:color w:val="auto"/>
              </w:rPr>
            </w:pPr>
          </w:p>
        </w:tc>
      </w:tr>
      <w:tr>
        <w:trPr>
          <w:trHeight w:val="282"/>
        </w:trPr>
        <w:tc>
          <w:tcPr>
            <w:tcW w:w="200" w:type="dxa"/>
            <w:vAlign w:val="bottom"/>
          </w:tcPr>
          <w:p>
            <w:pPr>
              <w:spacing w:after="0"/>
              <w:rPr>
                <w:sz w:val="24"/>
                <w:szCs w:val="24"/>
                <w:color w:val="auto"/>
              </w:rPr>
            </w:pPr>
          </w:p>
        </w:tc>
        <w:tc>
          <w:tcPr>
            <w:tcW w:w="5900" w:type="dxa"/>
            <w:vAlign w:val="bottom"/>
            <w:gridSpan w:val="3"/>
          </w:tcPr>
          <w:p>
            <w:pPr>
              <w:ind w:left="120"/>
              <w:spacing w:after="0"/>
              <w:rPr>
                <w:sz w:val="20"/>
                <w:szCs w:val="20"/>
                <w:color w:val="auto"/>
              </w:rPr>
            </w:pPr>
            <w:r>
              <w:rPr>
                <w:rFonts w:ascii="Arial" w:cs="Arial" w:eastAsia="Arial" w:hAnsi="Arial"/>
                <w:sz w:val="12"/>
                <w:szCs w:val="12"/>
                <w:color w:val="auto"/>
              </w:rPr>
              <w:t>The benefit for income taxes consists of the following (in thousands):</w:t>
            </w: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6"/>
        </w:trPr>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2013</w:t>
            </w:r>
          </w:p>
        </w:tc>
        <w:tc>
          <w:tcPr>
            <w:tcW w:w="4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380" w:type="dxa"/>
            <w:vAlign w:val="bottom"/>
          </w:tcPr>
          <w:p>
            <w:pPr>
              <w:spacing w:after="0"/>
              <w:rPr>
                <w:sz w:val="24"/>
                <w:szCs w:val="24"/>
                <w:color w:val="auto"/>
              </w:rPr>
            </w:pP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20" w:type="dxa"/>
            <w:vAlign w:val="bottom"/>
            <w:gridSpan w:val="2"/>
          </w:tcPr>
          <w:p>
            <w:pPr>
              <w:ind w:left="540"/>
              <w:spacing w:after="0"/>
              <w:rPr>
                <w:sz w:val="20"/>
                <w:szCs w:val="20"/>
                <w:color w:val="auto"/>
              </w:rPr>
            </w:pPr>
            <w:r>
              <w:rPr>
                <w:rFonts w:ascii="Arial" w:cs="Arial" w:eastAsia="Arial" w:hAnsi="Arial"/>
                <w:sz w:val="12"/>
                <w:szCs w:val="12"/>
                <w:color w:val="auto"/>
              </w:rPr>
              <w:t>Current:</w:t>
            </w: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Federal</w:t>
            </w:r>
          </w:p>
        </w:tc>
        <w:tc>
          <w:tcPr>
            <w:tcW w:w="9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1,680</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2,534</w:t>
            </w:r>
          </w:p>
        </w:tc>
        <w:tc>
          <w:tcPr>
            <w:tcW w:w="3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Pr>
          <w:p>
            <w:pPr>
              <w:ind w:left="100"/>
              <w:spacing w:after="0"/>
              <w:rPr>
                <w:sz w:val="20"/>
                <w:szCs w:val="20"/>
                <w:color w:val="auto"/>
              </w:rPr>
            </w:pPr>
            <w:r>
              <w:rPr>
                <w:rFonts w:ascii="Arial" w:cs="Arial" w:eastAsia="Arial" w:hAnsi="Arial"/>
                <w:sz w:val="12"/>
                <w:szCs w:val="12"/>
                <w:color w:val="auto"/>
              </w:rPr>
              <w:t>Foreign</w:t>
            </w:r>
          </w:p>
        </w:tc>
        <w:tc>
          <w:tcPr>
            <w:tcW w:w="9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State</w:t>
            </w: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7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380" w:type="dxa"/>
            <w:vAlign w:val="bottom"/>
            <w:tcBorders>
              <w:bottom w:val="single" w:sz="8" w:color="CCEEFF"/>
            </w:tcBorders>
            <w:shd w:val="clear" w:color="auto" w:fill="CCEEFF"/>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Pr>
          <w:p>
            <w:pPr>
              <w:ind w:left="200"/>
              <w:spacing w:after="0"/>
              <w:rPr>
                <w:sz w:val="20"/>
                <w:szCs w:val="20"/>
                <w:color w:val="auto"/>
              </w:rPr>
            </w:pPr>
            <w:r>
              <w:rPr>
                <w:rFonts w:ascii="Arial" w:cs="Arial" w:eastAsia="Arial" w:hAnsi="Arial"/>
                <w:sz w:val="12"/>
                <w:szCs w:val="12"/>
                <w:color w:val="auto"/>
              </w:rPr>
              <w:t>Current provision</w:t>
            </w: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1,720</w:t>
            </w:r>
          </w:p>
        </w:tc>
        <w:tc>
          <w:tcPr>
            <w:tcW w:w="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2,540</w:t>
            </w:r>
          </w:p>
        </w:tc>
        <w:tc>
          <w:tcPr>
            <w:tcW w:w="380" w:type="dxa"/>
            <w:vAlign w:val="bottom"/>
          </w:tcPr>
          <w:p>
            <w:pPr>
              <w:spacing w:after="0"/>
              <w:rPr>
                <w:sz w:val="12"/>
                <w:szCs w:val="12"/>
                <w:color w:val="auto"/>
              </w:rPr>
            </w:pP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2"/>
                <w:szCs w:val="12"/>
                <w:color w:val="auto"/>
              </w:rPr>
              <w:t>Deferred:</w:t>
            </w: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Pr>
          <w:p>
            <w:pPr>
              <w:ind w:left="100"/>
              <w:spacing w:after="0"/>
              <w:rPr>
                <w:sz w:val="20"/>
                <w:szCs w:val="20"/>
                <w:color w:val="auto"/>
              </w:rPr>
            </w:pPr>
            <w:r>
              <w:rPr>
                <w:rFonts w:ascii="Arial" w:cs="Arial" w:eastAsia="Arial" w:hAnsi="Arial"/>
                <w:sz w:val="12"/>
                <w:szCs w:val="12"/>
                <w:color w:val="auto"/>
              </w:rPr>
              <w:t>Federal</w:t>
            </w:r>
          </w:p>
        </w:tc>
        <w:tc>
          <w:tcPr>
            <w:tcW w:w="9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(145</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16</w:t>
            </w:r>
          </w:p>
        </w:tc>
        <w:tc>
          <w:tcPr>
            <w:tcW w:w="380" w:type="dxa"/>
            <w:vAlign w:val="bottom"/>
          </w:tcPr>
          <w:p>
            <w:pPr>
              <w:spacing w:after="0"/>
              <w:rPr>
                <w:sz w:val="12"/>
                <w:szCs w:val="12"/>
                <w:color w:val="auto"/>
              </w:rPr>
            </w:pPr>
          </w:p>
        </w:tc>
      </w:tr>
      <w:tr>
        <w:trPr>
          <w:trHeight w:val="144"/>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w:t>
            </w:r>
          </w:p>
        </w:tc>
        <w:tc>
          <w:tcPr>
            <w:tcW w:w="9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w:t>
            </w:r>
          </w:p>
        </w:tc>
        <w:tc>
          <w:tcPr>
            <w:tcW w:w="7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Pr>
          <w:p>
            <w:pPr>
              <w:ind w:left="100"/>
              <w:spacing w:after="0"/>
              <w:rPr>
                <w:sz w:val="20"/>
                <w:szCs w:val="20"/>
                <w:color w:val="auto"/>
              </w:rPr>
            </w:pPr>
            <w:r>
              <w:rPr>
                <w:rFonts w:ascii="Arial" w:cs="Arial" w:eastAsia="Arial" w:hAnsi="Arial"/>
                <w:sz w:val="12"/>
                <w:szCs w:val="12"/>
                <w:color w:val="auto"/>
              </w:rPr>
              <w:t>State</w:t>
            </w: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Deferred benefit</w:t>
            </w:r>
          </w:p>
        </w:tc>
        <w:tc>
          <w:tcPr>
            <w:tcW w:w="9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(810</w:t>
            </w:r>
          </w:p>
        </w:tc>
        <w:tc>
          <w:tcPr>
            <w:tcW w:w="7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660" w:type="dxa"/>
            <w:vAlign w:val="bottom"/>
          </w:tcPr>
          <w:p>
            <w:pPr>
              <w:spacing w:after="0"/>
              <w:rPr>
                <w:sz w:val="20"/>
                <w:szCs w:val="20"/>
                <w:color w:val="auto"/>
              </w:rPr>
            </w:pPr>
            <w:r>
              <w:rPr>
                <w:rFonts w:ascii="Arial" w:cs="Arial" w:eastAsia="Arial" w:hAnsi="Arial"/>
                <w:sz w:val="12"/>
                <w:szCs w:val="12"/>
                <w:color w:val="auto"/>
              </w:rPr>
              <w:t>Change in valuation allowance</w:t>
            </w:r>
          </w:p>
        </w:tc>
        <w:tc>
          <w:tcPr>
            <w:tcW w:w="9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w:t>
            </w:r>
          </w:p>
        </w:tc>
        <w:tc>
          <w:tcPr>
            <w:tcW w:w="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(3,057</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benefit</w:t>
            </w:r>
          </w:p>
        </w:tc>
        <w:tc>
          <w:tcPr>
            <w:tcW w:w="9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1,400</w:t>
            </w:r>
          </w:p>
        </w:tc>
        <w:tc>
          <w:tcPr>
            <w:tcW w:w="7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bl>
    <w:p>
      <w:pPr>
        <w:spacing w:after="0" w:line="15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following table reconciles the reported income tax (benefit) expense with the amount computed using the federal statutory income tax rate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4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2013</w:t>
            </w:r>
          </w:p>
        </w:tc>
        <w:tc>
          <w:tcPr>
            <w:tcW w:w="440" w:type="dxa"/>
            <w:vAlign w:val="bottom"/>
            <w:tcBorders>
              <w:bottom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3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Computed "expected" tax expense</w:t>
            </w: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1,729</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2,316</w:t>
            </w:r>
          </w:p>
        </w:tc>
        <w:tc>
          <w:tcPr>
            <w:tcW w:w="38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State and local tax, net of federal benefit</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(81</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 on deferred tax assets</w:t>
            </w: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(3,057</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Nontaxable income from foreign subsidiaries</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29</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72</w:t>
            </w: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Nondeductible expenses</w:t>
            </w: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178</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143</w:t>
            </w:r>
          </w:p>
        </w:tc>
        <w:tc>
          <w:tcPr>
            <w:tcW w:w="38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Nontaxable life insurance cash value increase</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(168</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(150</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Write off benefit from equity investment losses</w:t>
            </w:r>
          </w:p>
        </w:tc>
        <w:tc>
          <w:tcPr>
            <w:tcW w:w="7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w:t>
            </w:r>
          </w:p>
        </w:tc>
        <w:tc>
          <w:tcPr>
            <w:tcW w:w="38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Tax credits</w:t>
            </w: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(299</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(350</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39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8"/>
              </w:rPr>
              <w:t>Other items, net, none of which individually exceeds 5% of federal taxes at</w:t>
            </w:r>
          </w:p>
        </w:tc>
        <w:tc>
          <w:tcPr>
            <w:tcW w:w="7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440" w:type="dxa"/>
            <w:vAlign w:val="bottom"/>
          </w:tcPr>
          <w:p>
            <w:pPr>
              <w:spacing w:after="0"/>
              <w:rPr>
                <w:sz w:val="13"/>
                <w:szCs w:val="13"/>
                <w:color w:val="auto"/>
              </w:rPr>
            </w:pPr>
          </w:p>
        </w:tc>
        <w:tc>
          <w:tcPr>
            <w:tcW w:w="3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statutory rates</w:t>
            </w:r>
          </w:p>
        </w:tc>
        <w:tc>
          <w:tcPr>
            <w:tcW w:w="7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(478</w:t>
            </w:r>
          </w:p>
        </w:tc>
        <w:tc>
          <w:tcPr>
            <w:tcW w:w="7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380" w:type="dxa"/>
            <w:vAlign w:val="bottom"/>
            <w:tcBorders>
              <w:bottom w:val="single" w:sz="8" w:color="CCEEFF"/>
            </w:tcBorders>
            <w:shd w:val="clear" w:color="auto" w:fill="CCEEFF"/>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1,400</w:t>
            </w:r>
          </w:p>
        </w:tc>
        <w:tc>
          <w:tcPr>
            <w:tcW w:w="72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(560</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40" w:type="dxa"/>
            <w:vAlign w:val="bottom"/>
            <w:vMerge w:val="restart"/>
          </w:tcPr>
          <w:p>
            <w:pPr>
              <w:jc w:val="right"/>
              <w:ind w:right="240"/>
              <w:spacing w:after="0"/>
              <w:rPr>
                <w:sz w:val="20"/>
                <w:szCs w:val="20"/>
                <w:color w:val="auto"/>
              </w:rPr>
            </w:pPr>
            <w:r>
              <w:rPr>
                <w:rFonts w:ascii="Arial" w:cs="Arial" w:eastAsia="Arial" w:hAnsi="Arial"/>
                <w:sz w:val="12"/>
                <w:szCs w:val="12"/>
                <w:color w:val="auto"/>
              </w:rPr>
              <w:t>43</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1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15"/>
        </w:trPr>
        <w:tc>
          <w:tcPr>
            <w:tcW w:w="3720" w:type="dxa"/>
            <w:vAlign w:val="bottom"/>
            <w:gridSpan w:val="3"/>
          </w:tcPr>
          <w:p>
            <w:pPr>
              <w:spacing w:after="0"/>
              <w:rPr>
                <w:rFonts w:ascii="Arial" w:cs="Arial" w:eastAsia="Arial" w:hAnsi="Arial"/>
                <w:sz w:val="10"/>
                <w:szCs w:val="10"/>
                <w:color w:val="0000EE"/>
              </w:rPr>
            </w:pPr>
            <w:hyperlink w:anchor="page2">
              <w:r>
                <w:rPr>
                  <w:rFonts w:ascii="Arial" w:cs="Arial" w:eastAsia="Arial" w:hAnsi="Arial"/>
                  <w:sz w:val="10"/>
                  <w:szCs w:val="10"/>
                  <w:color w:val="0000EE"/>
                </w:rPr>
                <w:t>Table of Contents</w:t>
              </w:r>
            </w:hyperlink>
          </w:p>
        </w:tc>
        <w:tc>
          <w:tcPr>
            <w:tcW w:w="2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80" w:type="dxa"/>
            <w:vAlign w:val="bottom"/>
          </w:tcPr>
          <w:p>
            <w:pPr>
              <w:spacing w:after="0"/>
              <w:rPr>
                <w:sz w:val="10"/>
                <w:szCs w:val="10"/>
                <w:color w:val="auto"/>
              </w:rPr>
            </w:pPr>
          </w:p>
        </w:tc>
      </w:tr>
      <w:tr>
        <w:trPr>
          <w:trHeight w:val="286"/>
        </w:trPr>
        <w:tc>
          <w:tcPr>
            <w:tcW w:w="68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40" w:type="dxa"/>
            <w:vAlign w:val="bottom"/>
            <w:gridSpan w:val="2"/>
          </w:tcPr>
          <w:p>
            <w:pPr>
              <w:jc w:val="right"/>
              <w:spacing w:after="0"/>
              <w:rPr>
                <w:sz w:val="20"/>
                <w:szCs w:val="20"/>
                <w:color w:val="auto"/>
              </w:rPr>
            </w:pPr>
            <w:r>
              <w:rPr>
                <w:rFonts w:ascii="Arial" w:cs="Arial" w:eastAsia="Arial" w:hAnsi="Arial"/>
                <w:sz w:val="12"/>
                <w:szCs w:val="12"/>
                <w:b w:val="1"/>
                <w:bCs w:val="1"/>
                <w:color w:val="auto"/>
              </w:rPr>
              <w:t>FREQUENCY ELECTRONICS, INC. AND SUBSIDIARIES</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53"/>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800" w:type="dxa"/>
            <w:vAlign w:val="bottom"/>
            <w:gridSpan w:val="3"/>
          </w:tcPr>
          <w:p>
            <w:pPr>
              <w:jc w:val="right"/>
              <w:ind w:right="60"/>
              <w:spacing w:after="0"/>
              <w:rPr>
                <w:sz w:val="20"/>
                <w:szCs w:val="20"/>
                <w:color w:val="auto"/>
              </w:rPr>
            </w:pPr>
            <w:r>
              <w:rPr>
                <w:rFonts w:ascii="Arial" w:cs="Arial" w:eastAsia="Arial" w:hAnsi="Arial"/>
                <w:sz w:val="12"/>
                <w:szCs w:val="12"/>
                <w:color w:val="auto"/>
                <w:w w:val="97"/>
              </w:rPr>
              <w:t>NOTES TO CONSOLIDATED FINANCIAL STATEMENTS - Continued</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88"/>
        </w:trPr>
        <w:tc>
          <w:tcPr>
            <w:tcW w:w="3720" w:type="dxa"/>
            <w:vAlign w:val="bottom"/>
            <w:gridSpan w:val="3"/>
          </w:tcPr>
          <w:p>
            <w:pPr>
              <w:ind w:left="320"/>
              <w:spacing w:after="0"/>
              <w:rPr>
                <w:sz w:val="20"/>
                <w:szCs w:val="20"/>
                <w:color w:val="auto"/>
              </w:rPr>
            </w:pPr>
            <w:r>
              <w:rPr>
                <w:rFonts w:ascii="Arial" w:cs="Arial" w:eastAsia="Arial" w:hAnsi="Arial"/>
                <w:sz w:val="12"/>
                <w:szCs w:val="12"/>
                <w:color w:val="auto"/>
                <w:w w:val="98"/>
              </w:rPr>
              <w:t>The components of deferred taxes are as follows (in thousands):</w:t>
            </w:r>
          </w:p>
        </w:tc>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2013</w:t>
            </w: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380" w:type="dxa"/>
            <w:vAlign w:val="bottom"/>
          </w:tcPr>
          <w:p>
            <w:pPr>
              <w:spacing w:after="0"/>
              <w:rPr>
                <w:sz w:val="24"/>
                <w:szCs w:val="24"/>
                <w:color w:val="auto"/>
              </w:rPr>
            </w:pPr>
          </w:p>
        </w:tc>
      </w:tr>
      <w:tr>
        <w:trPr>
          <w:trHeight w:val="142"/>
        </w:trPr>
        <w:tc>
          <w:tcPr>
            <w:tcW w:w="680" w:type="dxa"/>
            <w:vAlign w:val="bottom"/>
          </w:tcPr>
          <w:p>
            <w:pPr>
              <w:spacing w:after="0"/>
              <w:rPr>
                <w:sz w:val="12"/>
                <w:szCs w:val="12"/>
                <w:color w:val="auto"/>
              </w:rPr>
            </w:pPr>
          </w:p>
        </w:tc>
        <w:tc>
          <w:tcPr>
            <w:tcW w:w="3040" w:type="dxa"/>
            <w:vAlign w:val="bottom"/>
            <w:gridSpan w:val="2"/>
          </w:tcPr>
          <w:p>
            <w:pPr>
              <w:ind w:left="740"/>
              <w:spacing w:after="0"/>
              <w:rPr>
                <w:sz w:val="20"/>
                <w:szCs w:val="20"/>
                <w:color w:val="auto"/>
              </w:rPr>
            </w:pPr>
            <w:r>
              <w:rPr>
                <w:rFonts w:ascii="Arial" w:cs="Arial" w:eastAsia="Arial" w:hAnsi="Arial"/>
                <w:sz w:val="12"/>
                <w:szCs w:val="12"/>
                <w:color w:val="auto"/>
              </w:rPr>
              <w:t>Deferred tax assets:</w:t>
            </w:r>
          </w:p>
        </w:tc>
        <w:tc>
          <w:tcPr>
            <w:tcW w:w="23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Employee benefits</w:t>
            </w:r>
          </w:p>
        </w:tc>
        <w:tc>
          <w:tcPr>
            <w:tcW w:w="344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6,490</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5,320</w:t>
            </w:r>
          </w:p>
        </w:tc>
        <w:tc>
          <w:tcPr>
            <w:tcW w:w="380" w:type="dxa"/>
            <w:vAlign w:val="bottom"/>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100"/>
              <w:spacing w:after="0"/>
              <w:rPr>
                <w:sz w:val="20"/>
                <w:szCs w:val="20"/>
                <w:color w:val="auto"/>
              </w:rPr>
            </w:pPr>
            <w:r>
              <w:rPr>
                <w:rFonts w:ascii="Arial" w:cs="Arial" w:eastAsia="Arial" w:hAnsi="Arial"/>
                <w:sz w:val="12"/>
                <w:szCs w:val="12"/>
                <w:color w:val="auto"/>
              </w:rPr>
              <w:t>Inventory</w:t>
            </w:r>
          </w:p>
        </w:tc>
        <w:tc>
          <w:tcPr>
            <w:tcW w:w="2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1,980</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2,055</w:t>
            </w:r>
          </w:p>
        </w:tc>
        <w:tc>
          <w:tcPr>
            <w:tcW w:w="38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Accounts receivable</w:t>
            </w:r>
          </w:p>
        </w:tc>
        <w:tc>
          <w:tcPr>
            <w:tcW w:w="2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470</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w:t>
            </w:r>
          </w:p>
        </w:tc>
        <w:tc>
          <w:tcPr>
            <w:tcW w:w="380" w:type="dxa"/>
            <w:vAlign w:val="bottom"/>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100"/>
              <w:spacing w:after="0"/>
              <w:rPr>
                <w:sz w:val="20"/>
                <w:szCs w:val="20"/>
                <w:color w:val="auto"/>
              </w:rPr>
            </w:pPr>
            <w:r>
              <w:rPr>
                <w:rFonts w:ascii="Arial" w:cs="Arial" w:eastAsia="Arial" w:hAnsi="Arial"/>
                <w:sz w:val="12"/>
                <w:szCs w:val="12"/>
                <w:color w:val="auto"/>
              </w:rPr>
              <w:t>Tax credits</w:t>
            </w:r>
          </w:p>
        </w:tc>
        <w:tc>
          <w:tcPr>
            <w:tcW w:w="2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990</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1,140</w:t>
            </w:r>
          </w:p>
        </w:tc>
        <w:tc>
          <w:tcPr>
            <w:tcW w:w="38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Other liabilities</w:t>
            </w:r>
          </w:p>
        </w:tc>
        <w:tc>
          <w:tcPr>
            <w:tcW w:w="2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332</w:t>
            </w:r>
          </w:p>
        </w:tc>
        <w:tc>
          <w:tcPr>
            <w:tcW w:w="380" w:type="dxa"/>
            <w:vAlign w:val="bottom"/>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100"/>
              <w:spacing w:after="0"/>
              <w:rPr>
                <w:sz w:val="20"/>
                <w:szCs w:val="20"/>
                <w:color w:val="auto"/>
              </w:rPr>
            </w:pPr>
            <w:r>
              <w:rPr>
                <w:rFonts w:ascii="Arial" w:cs="Arial" w:eastAsia="Arial" w:hAnsi="Arial"/>
                <w:sz w:val="12"/>
                <w:szCs w:val="12"/>
                <w:color w:val="auto"/>
              </w:rPr>
              <w:t>Net operating loss carryforwards</w:t>
            </w:r>
          </w:p>
        </w:tc>
        <w:tc>
          <w:tcPr>
            <w:tcW w:w="23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3,040</w:t>
            </w:r>
          </w:p>
        </w:tc>
        <w:tc>
          <w:tcPr>
            <w:tcW w:w="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2,800</w:t>
            </w:r>
          </w:p>
        </w:tc>
        <w:tc>
          <w:tcPr>
            <w:tcW w:w="380" w:type="dxa"/>
            <w:vAlign w:val="bottom"/>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deferred tax asset</w:t>
            </w:r>
          </w:p>
        </w:tc>
        <w:tc>
          <w:tcPr>
            <w:tcW w:w="23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7"/>
              </w:rPr>
              <w:t>13,240</w:t>
            </w:r>
          </w:p>
        </w:tc>
        <w:tc>
          <w:tcPr>
            <w:tcW w:w="7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12,172</w:t>
            </w:r>
          </w:p>
        </w:tc>
        <w:tc>
          <w:tcPr>
            <w:tcW w:w="380" w:type="dxa"/>
            <w:vAlign w:val="bottom"/>
            <w:tcBorders>
              <w:bottom w:val="single" w:sz="8" w:color="CCEEFF"/>
            </w:tcBorders>
            <w:shd w:val="clear" w:color="auto" w:fill="CCEEFF"/>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spacing w:after="0"/>
              <w:rPr>
                <w:sz w:val="20"/>
                <w:szCs w:val="20"/>
                <w:color w:val="auto"/>
              </w:rPr>
            </w:pPr>
            <w:r>
              <w:rPr>
                <w:rFonts w:ascii="Arial" w:cs="Arial" w:eastAsia="Arial" w:hAnsi="Arial"/>
                <w:sz w:val="12"/>
                <w:szCs w:val="12"/>
                <w:color w:val="auto"/>
              </w:rPr>
              <w:t>Deferred tax liabilities:</w:t>
            </w:r>
          </w:p>
        </w:tc>
        <w:tc>
          <w:tcPr>
            <w:tcW w:w="2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Marketable securities</w:t>
            </w:r>
          </w:p>
        </w:tc>
        <w:tc>
          <w:tcPr>
            <w:tcW w:w="2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243</w:t>
            </w:r>
          </w:p>
        </w:tc>
        <w:tc>
          <w:tcPr>
            <w:tcW w:w="380" w:type="dxa"/>
            <w:vAlign w:val="bottom"/>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100"/>
              <w:spacing w:after="0"/>
              <w:rPr>
                <w:sz w:val="20"/>
                <w:szCs w:val="20"/>
                <w:color w:val="auto"/>
              </w:rPr>
            </w:pPr>
            <w:r>
              <w:rPr>
                <w:rFonts w:ascii="Arial" w:cs="Arial" w:eastAsia="Arial" w:hAnsi="Arial"/>
                <w:sz w:val="12"/>
                <w:szCs w:val="12"/>
                <w:color w:val="auto"/>
              </w:rPr>
              <w:t>Property, plant and equipment</w:t>
            </w:r>
          </w:p>
        </w:tc>
        <w:tc>
          <w:tcPr>
            <w:tcW w:w="23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1,310</w:t>
            </w:r>
          </w:p>
        </w:tc>
        <w:tc>
          <w:tcPr>
            <w:tcW w:w="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1,630</w:t>
            </w:r>
          </w:p>
        </w:tc>
        <w:tc>
          <w:tcPr>
            <w:tcW w:w="380" w:type="dxa"/>
            <w:vAlign w:val="bottom"/>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Net deferred tax asset</w:t>
            </w:r>
          </w:p>
        </w:tc>
        <w:tc>
          <w:tcPr>
            <w:tcW w:w="2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7"/>
              </w:rPr>
              <w:t>11,390</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10,299</w:t>
            </w:r>
          </w:p>
        </w:tc>
        <w:tc>
          <w:tcPr>
            <w:tcW w:w="380" w:type="dxa"/>
            <w:vAlign w:val="bottom"/>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spacing w:after="0"/>
              <w:rPr>
                <w:sz w:val="20"/>
                <w:szCs w:val="20"/>
                <w:color w:val="auto"/>
              </w:rPr>
            </w:pPr>
            <w:r>
              <w:rPr>
                <w:rFonts w:ascii="Arial" w:cs="Arial" w:eastAsia="Arial" w:hAnsi="Arial"/>
                <w:sz w:val="12"/>
                <w:szCs w:val="12"/>
                <w:color w:val="auto"/>
              </w:rPr>
              <w:t>Valuation allowance</w:t>
            </w:r>
          </w:p>
        </w:tc>
        <w:tc>
          <w:tcPr>
            <w:tcW w:w="23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(1,900</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(1,455</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82"/>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Net deferred tax assets</w:t>
            </w:r>
          </w:p>
        </w:tc>
        <w:tc>
          <w:tcPr>
            <w:tcW w:w="23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9,490</w:t>
            </w:r>
          </w:p>
        </w:tc>
        <w:tc>
          <w:tcPr>
            <w:tcW w:w="7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8,844</w:t>
            </w:r>
          </w:p>
        </w:tc>
        <w:tc>
          <w:tcPr>
            <w:tcW w:w="380" w:type="dxa"/>
            <w:vAlign w:val="bottom"/>
            <w:tcBorders>
              <w:bottom w:val="single" w:sz="8" w:color="CCEEFF"/>
            </w:tcBorders>
            <w:shd w:val="clear" w:color="auto" w:fill="CCEEFF"/>
          </w:tcPr>
          <w:p>
            <w:pPr>
              <w:spacing w:after="0"/>
              <w:rPr>
                <w:sz w:val="15"/>
                <w:szCs w:val="15"/>
                <w:color w:val="auto"/>
              </w:rPr>
            </w:pPr>
          </w:p>
        </w:tc>
      </w:tr>
      <w:tr>
        <w:trPr>
          <w:trHeight w:val="282"/>
        </w:trPr>
        <w:tc>
          <w:tcPr>
            <w:tcW w:w="3720" w:type="dxa"/>
            <w:vAlign w:val="bottom"/>
            <w:gridSpan w:val="3"/>
          </w:tcPr>
          <w:p>
            <w:pPr>
              <w:ind w:left="320"/>
              <w:spacing w:after="0"/>
              <w:rPr>
                <w:sz w:val="20"/>
                <w:szCs w:val="20"/>
                <w:color w:val="auto"/>
              </w:rPr>
            </w:pPr>
            <w:r>
              <w:rPr>
                <w:rFonts w:ascii="Arial" w:cs="Arial" w:eastAsia="Arial" w:hAnsi="Arial"/>
                <w:sz w:val="12"/>
                <w:szCs w:val="12"/>
                <w:color w:val="auto"/>
                <w:w w:val="91"/>
              </w:rPr>
              <w:t>Net deferred tax assets are comprised of the following (in thousands):</w:t>
            </w:r>
          </w:p>
        </w:tc>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06"/>
        </w:trPr>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2013</w:t>
            </w:r>
          </w:p>
        </w:tc>
        <w:tc>
          <w:tcPr>
            <w:tcW w:w="36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2012</w:t>
            </w:r>
          </w:p>
        </w:tc>
        <w:tc>
          <w:tcPr>
            <w:tcW w:w="380" w:type="dxa"/>
            <w:vAlign w:val="bottom"/>
          </w:tcPr>
          <w:p>
            <w:pPr>
              <w:spacing w:after="0"/>
              <w:rPr>
                <w:sz w:val="24"/>
                <w:szCs w:val="24"/>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Gross current assets</w:t>
            </w:r>
          </w:p>
        </w:tc>
        <w:tc>
          <w:tcPr>
            <w:tcW w:w="3440" w:type="dxa"/>
            <w:vAlign w:val="bottom"/>
            <w:gridSpan w:val="2"/>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3,890</w:t>
            </w: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4,092</w:t>
            </w:r>
          </w:p>
        </w:tc>
        <w:tc>
          <w:tcPr>
            <w:tcW w:w="380" w:type="dxa"/>
            <w:vAlign w:val="bottom"/>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80"/>
              <w:spacing w:after="0"/>
              <w:rPr>
                <w:sz w:val="20"/>
                <w:szCs w:val="20"/>
                <w:color w:val="auto"/>
              </w:rPr>
            </w:pPr>
            <w:r>
              <w:rPr>
                <w:rFonts w:ascii="Arial" w:cs="Arial" w:eastAsia="Arial" w:hAnsi="Arial"/>
                <w:sz w:val="12"/>
                <w:szCs w:val="12"/>
                <w:color w:val="auto"/>
              </w:rPr>
              <w:t>Valuation allowance</w:t>
            </w:r>
          </w:p>
        </w:tc>
        <w:tc>
          <w:tcPr>
            <w:tcW w:w="2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(697</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Current liabilities</w:t>
            </w:r>
          </w:p>
        </w:tc>
        <w:tc>
          <w:tcPr>
            <w:tcW w:w="23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(720</w:t>
            </w:r>
          </w:p>
        </w:tc>
        <w:tc>
          <w:tcPr>
            <w:tcW w:w="720" w:type="dxa"/>
            <w:vAlign w:val="bottom"/>
            <w:tcBorders>
              <w:bottom w:val="single" w:sz="8" w:color="CCEEFF"/>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80"/>
              <w:spacing w:after="0"/>
              <w:rPr>
                <w:sz w:val="20"/>
                <w:szCs w:val="20"/>
                <w:color w:val="auto"/>
              </w:rPr>
            </w:pPr>
            <w:r>
              <w:rPr>
                <w:rFonts w:ascii="Arial" w:cs="Arial" w:eastAsia="Arial" w:hAnsi="Arial"/>
                <w:sz w:val="12"/>
                <w:szCs w:val="12"/>
                <w:color w:val="auto"/>
              </w:rPr>
              <w:t>Net current deferred tax assets</w:t>
            </w:r>
          </w:p>
        </w:tc>
        <w:tc>
          <w:tcPr>
            <w:tcW w:w="2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3,170</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3,152</w:t>
            </w:r>
          </w:p>
        </w:tc>
        <w:tc>
          <w:tcPr>
            <w:tcW w:w="38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80"/>
              <w:spacing w:after="0"/>
              <w:rPr>
                <w:sz w:val="20"/>
                <w:szCs w:val="20"/>
                <w:color w:val="auto"/>
              </w:rPr>
            </w:pPr>
            <w:r>
              <w:rPr>
                <w:rFonts w:ascii="Arial" w:cs="Arial" w:eastAsia="Arial" w:hAnsi="Arial"/>
                <w:sz w:val="12"/>
                <w:szCs w:val="12"/>
                <w:color w:val="auto"/>
              </w:rPr>
              <w:t>Gross noncurrent assets</w:t>
            </w:r>
          </w:p>
        </w:tc>
        <w:tc>
          <w:tcPr>
            <w:tcW w:w="2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9,600</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8,080</w:t>
            </w:r>
          </w:p>
        </w:tc>
        <w:tc>
          <w:tcPr>
            <w:tcW w:w="380" w:type="dxa"/>
            <w:vAlign w:val="bottom"/>
          </w:tcPr>
          <w:p>
            <w:pPr>
              <w:spacing w:after="0"/>
              <w:rPr>
                <w:sz w:val="12"/>
                <w:szCs w:val="12"/>
                <w:color w:val="auto"/>
              </w:rPr>
            </w:pP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Valuation allowance</w:t>
            </w:r>
          </w:p>
        </w:tc>
        <w:tc>
          <w:tcPr>
            <w:tcW w:w="2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3"/>
              </w:rPr>
              <w:t>(1,900</w:t>
            </w:r>
          </w:p>
        </w:tc>
        <w:tc>
          <w:tcPr>
            <w:tcW w:w="7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80"/>
              <w:spacing w:after="0"/>
              <w:rPr>
                <w:sz w:val="20"/>
                <w:szCs w:val="20"/>
                <w:color w:val="auto"/>
              </w:rPr>
            </w:pPr>
            <w:r>
              <w:rPr>
                <w:rFonts w:ascii="Arial" w:cs="Arial" w:eastAsia="Arial" w:hAnsi="Arial"/>
                <w:sz w:val="12"/>
                <w:szCs w:val="12"/>
                <w:color w:val="auto"/>
              </w:rPr>
              <w:t>Noncurrent liabilities</w:t>
            </w:r>
          </w:p>
        </w:tc>
        <w:tc>
          <w:tcPr>
            <w:tcW w:w="2380" w:type="dxa"/>
            <w:vAlign w:val="bottom"/>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3"/>
              </w:rPr>
              <w:t>(1,380</w:t>
            </w:r>
          </w:p>
        </w:tc>
        <w:tc>
          <w:tcPr>
            <w:tcW w:w="720" w:type="dxa"/>
            <w:vAlign w:val="bottom"/>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(1,630</w:t>
            </w:r>
          </w:p>
        </w:tc>
        <w:tc>
          <w:tcPr>
            <w:tcW w:w="3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2"/>
                <w:szCs w:val="12"/>
                <w:color w:val="auto"/>
              </w:rPr>
              <w:t>Net noncurrent deferred tax assets</w:t>
            </w:r>
          </w:p>
        </w:tc>
        <w:tc>
          <w:tcPr>
            <w:tcW w:w="23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6,320</w:t>
            </w:r>
          </w:p>
        </w:tc>
        <w:tc>
          <w:tcPr>
            <w:tcW w:w="7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5,692</w:t>
            </w:r>
          </w:p>
        </w:tc>
        <w:tc>
          <w:tcPr>
            <w:tcW w:w="380" w:type="dxa"/>
            <w:vAlign w:val="bottom"/>
            <w:tcBorders>
              <w:bottom w:val="single" w:sz="8" w:color="CCEEFF"/>
            </w:tcBorders>
            <w:shd w:val="clear" w:color="auto" w:fill="CCEEFF"/>
          </w:tcPr>
          <w:p>
            <w:pPr>
              <w:spacing w:after="0"/>
              <w:rPr>
                <w:sz w:val="12"/>
                <w:szCs w:val="12"/>
                <w:color w:val="auto"/>
              </w:rPr>
            </w:pPr>
          </w:p>
        </w:tc>
      </w:tr>
      <w:tr>
        <w:trPr>
          <w:trHeight w:val="142"/>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80" w:type="dxa"/>
            <w:vAlign w:val="bottom"/>
          </w:tcPr>
          <w:p>
            <w:pPr>
              <w:ind w:left="80"/>
              <w:spacing w:after="0"/>
              <w:rPr>
                <w:sz w:val="20"/>
                <w:szCs w:val="20"/>
                <w:color w:val="auto"/>
              </w:rPr>
            </w:pPr>
            <w:r>
              <w:rPr>
                <w:rFonts w:ascii="Arial" w:cs="Arial" w:eastAsia="Arial" w:hAnsi="Arial"/>
                <w:sz w:val="12"/>
                <w:szCs w:val="12"/>
                <w:color w:val="auto"/>
              </w:rPr>
              <w:t>Net deferred tax assets</w:t>
            </w:r>
          </w:p>
        </w:tc>
        <w:tc>
          <w:tcPr>
            <w:tcW w:w="3440" w:type="dxa"/>
            <w:vAlign w:val="bottom"/>
            <w:gridSpan w:val="2"/>
          </w:tcPr>
          <w:p>
            <w:pPr>
              <w:jc w:val="right"/>
              <w:ind w:right="62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9,490</w:t>
            </w:r>
          </w:p>
        </w:tc>
        <w:tc>
          <w:tcPr>
            <w:tcW w:w="720" w:type="dxa"/>
            <w:vAlign w:val="bottom"/>
          </w:tcPr>
          <w:p>
            <w:pPr>
              <w:spacing w:after="0"/>
              <w:rPr>
                <w:sz w:val="12"/>
                <w:szCs w:val="12"/>
                <w:color w:val="auto"/>
              </w:rPr>
            </w:pP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8,844</w:t>
            </w:r>
          </w:p>
        </w:tc>
        <w:tc>
          <w:tcPr>
            <w:tcW w:w="380" w:type="dxa"/>
            <w:vAlign w:val="bottom"/>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total valuation allowance relates to deferred tax assets of both domestic and foreign subsidiaries. For the year ended April 30, 2013, the change in valuation allowance was an increase of $445,000 which consists of the $490,000 deferred tax provision less a foreign exchange adjustment of $45,000. The change in valuation allowance during the year ended April 30, 2012 was a decrease of $3.1 million, including foreign exchange adjustments of $58,000 and the $43,000 tax effect of unrealized gains on marketable securities.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2"/>
          <w:szCs w:val="12"/>
          <w:color w:val="auto"/>
        </w:rPr>
        <w:t>During the fourth quarter of fiscal year 2012, the Company reduced its valuation allowance against deferred tax assets in the amounts of $3.1 million. This recognition was the result of an evaluation of the Company’s net operating losses incurred in prior years, its recent history of three consecutive years of increasing profitability and recent contract bookings which increased the Company’s long-term backlog to a higher level. Company management believed such contracts would enable the Company to continue to generate operating profits in fiscal year 2013 and beyond. These adjustments were made in the fourth quarter of fiscal year 2012 as the Company waited until it had results for the full year to make final its determination, given the existence of a loss in recent years, that it met the accounting threshold for determination that the recovery of the deferred tax asset was more likely than not and to estimate the appropriate balance of the valuation allowance, based on all available information. The amount of the non-cash valuation allowance reduction was based on management’s estimates of taxable income by reporting segment and taxing jurisdictions and the periods over which the Company believes deferred tax assets will be recoverable.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15" w:right="199" w:bottom="1440" w:gutter="0" w:footer="0" w:header="0"/>
        </w:sectPr>
      </w:pPr>
    </w:p>
    <w:bookmarkStart w:id="44" w:name="page45"/>
    <w:bookmarkEnd w:id="44"/>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ind w:left="4008"/>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ind w:left="3768"/>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left="8" w:firstLine="324"/>
        <w:spacing w:after="0" w:line="323" w:lineRule="auto"/>
        <w:rPr>
          <w:sz w:val="20"/>
          <w:szCs w:val="20"/>
          <w:color w:val="auto"/>
        </w:rPr>
      </w:pPr>
      <w:r>
        <w:rPr>
          <w:rFonts w:ascii="Arial" w:cs="Arial" w:eastAsia="Arial" w:hAnsi="Arial"/>
          <w:sz w:val="11"/>
          <w:szCs w:val="11"/>
          <w:color w:val="auto"/>
        </w:rPr>
        <w:t>At April 30, 2013, the Company has available approximately $2.7 million in net operating losses available to offset future income of certain of its foreign subsidiaries. These loss carryforwards have no expiration date. As a result of the acquisition of FEI-Elcom, the Company has a federal net operating loss carryforward of $6.6 million which may be applied in annually limited amounts to offset future U.S.-sourced taxable income over the next 19 years.</w:t>
      </w:r>
    </w:p>
    <w:p>
      <w:pPr>
        <w:spacing w:after="0" w:line="110"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2"/>
          <w:szCs w:val="12"/>
          <w:color w:val="auto"/>
        </w:rPr>
        <w:t>The Company has evaluated its tax positions and has concluded that the tax positions meet the more-likely-than-not recognition threshold as specified under accounting standards. It is difficult to predict what would occur to change the Company’s unrecognized tax benefits over the next twelve months. The Company believes, however, that there should be no change during the next twelve months. The Company's tax returns for April 30, 2006 and 2007 have been examined by the Internal Revenue Service, which resulted in no material adjustments. The Company's tax years from April 30, 2005 through April 30, 2013 remain open to examination by state tax authorities and tax years from April 30, 2008 through April 30, 2013 remain open for examination by the Internal Revenue Service.</w:t>
      </w:r>
    </w:p>
    <w:p>
      <w:pPr>
        <w:spacing w:after="0" w:line="125"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2"/>
          <w:szCs w:val="12"/>
          <w:color w:val="auto"/>
        </w:rPr>
      </w:pPr>
      <w:r>
        <w:rPr>
          <w:rFonts w:ascii="Arial" w:cs="Arial" w:eastAsia="Arial" w:hAnsi="Arial"/>
          <w:sz w:val="12"/>
          <w:szCs w:val="12"/>
          <w:u w:val="single" w:color="auto"/>
          <w:color w:val="auto"/>
        </w:rPr>
        <w:t>Product Warranties</w:t>
      </w:r>
    </w:p>
    <w:p>
      <w:pPr>
        <w:spacing w:after="0" w:line="168" w:lineRule="exact"/>
        <w:rPr>
          <w:sz w:val="20"/>
          <w:szCs w:val="20"/>
          <w:color w:val="auto"/>
        </w:rPr>
      </w:pPr>
    </w:p>
    <w:p>
      <w:pPr>
        <w:ind w:left="8" w:firstLine="324"/>
        <w:spacing w:after="0" w:line="323" w:lineRule="auto"/>
        <w:rPr>
          <w:sz w:val="20"/>
          <w:szCs w:val="20"/>
          <w:color w:val="auto"/>
        </w:rPr>
      </w:pPr>
      <w:r>
        <w:rPr>
          <w:rFonts w:ascii="Arial" w:cs="Arial" w:eastAsia="Arial" w:hAnsi="Arial"/>
          <w:sz w:val="11"/>
          <w:szCs w:val="11"/>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06" w:lineRule="exact"/>
        <w:rPr>
          <w:sz w:val="20"/>
          <w:szCs w:val="20"/>
          <w:color w:val="auto"/>
        </w:rPr>
      </w:pPr>
    </w:p>
    <w:tbl>
      <w:tblPr>
        <w:tblLayout w:type="fixed"/>
        <w:tblInd w:w="1388" w:type="dxa"/>
        <w:tblCellMar>
          <w:top w:w="0" w:type="dxa"/>
          <w:left w:w="0" w:type="dxa"/>
          <w:bottom w:w="0" w:type="dxa"/>
          <w:right w:w="0" w:type="dxa"/>
        </w:tblCellMar>
      </w:tblPr>
      <w:tr>
        <w:trPr>
          <w:trHeight w:val="157"/>
        </w:trPr>
        <w:tc>
          <w:tcPr>
            <w:tcW w:w="45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Year Ended April 30,</w:t>
            </w:r>
          </w:p>
        </w:tc>
        <w:tc>
          <w:tcPr>
            <w:tcW w:w="9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r>
      <w:tr>
        <w:trPr>
          <w:trHeight w:val="142"/>
        </w:trPr>
        <w:tc>
          <w:tcPr>
            <w:tcW w:w="4520" w:type="dxa"/>
            <w:vAlign w:val="bottom"/>
          </w:tcPr>
          <w:p>
            <w:pPr>
              <w:spacing w:after="0"/>
              <w:rPr>
                <w:sz w:val="12"/>
                <w:szCs w:val="12"/>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2013</w:t>
            </w:r>
          </w:p>
        </w:tc>
        <w:tc>
          <w:tcPr>
            <w:tcW w:w="400" w:type="dxa"/>
            <w:vAlign w:val="bottom"/>
            <w:tcBorders>
              <w:bottom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380" w:type="dxa"/>
            <w:vAlign w:val="bottom"/>
          </w:tcPr>
          <w:p>
            <w:pPr>
              <w:spacing w:after="0"/>
              <w:rPr>
                <w:sz w:val="12"/>
                <w:szCs w:val="12"/>
                <w:color w:val="auto"/>
              </w:rPr>
            </w:pPr>
          </w:p>
        </w:tc>
      </w:tr>
      <w:tr>
        <w:trPr>
          <w:trHeight w:val="142"/>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Balance at beginning of year</w:t>
            </w:r>
          </w:p>
        </w:tc>
        <w:tc>
          <w:tcPr>
            <w:tcW w:w="960" w:type="dxa"/>
            <w:vAlign w:val="bottom"/>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778</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w:t>
            </w:r>
          </w:p>
        </w:tc>
        <w:tc>
          <w:tcPr>
            <w:tcW w:w="380" w:type="dxa"/>
            <w:vAlign w:val="bottom"/>
            <w:shd w:val="clear" w:color="auto" w:fill="CCEEFF"/>
          </w:tcPr>
          <w:p>
            <w:pPr>
              <w:spacing w:after="0"/>
              <w:rPr>
                <w:sz w:val="12"/>
                <w:szCs w:val="12"/>
                <w:color w:val="auto"/>
              </w:rPr>
            </w:pPr>
          </w:p>
        </w:tc>
      </w:tr>
      <w:tr>
        <w:trPr>
          <w:trHeight w:val="144"/>
        </w:trPr>
        <w:tc>
          <w:tcPr>
            <w:tcW w:w="4520" w:type="dxa"/>
            <w:vAlign w:val="bottom"/>
          </w:tcPr>
          <w:p>
            <w:pPr>
              <w:spacing w:after="0"/>
              <w:rPr>
                <w:sz w:val="20"/>
                <w:szCs w:val="20"/>
                <w:color w:val="auto"/>
              </w:rPr>
            </w:pPr>
            <w:r>
              <w:rPr>
                <w:rFonts w:ascii="Arial" w:cs="Arial" w:eastAsia="Arial" w:hAnsi="Arial"/>
                <w:sz w:val="12"/>
                <w:szCs w:val="12"/>
                <w:color w:val="auto"/>
              </w:rPr>
              <w:t>Acquired reserve of FEI-Elcom</w:t>
            </w: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370</w:t>
            </w:r>
          </w:p>
        </w:tc>
        <w:tc>
          <w:tcPr>
            <w:tcW w:w="380" w:type="dxa"/>
            <w:vAlign w:val="bottom"/>
          </w:tcPr>
          <w:p>
            <w:pPr>
              <w:spacing w:after="0"/>
              <w:rPr>
                <w:sz w:val="12"/>
                <w:szCs w:val="12"/>
                <w:color w:val="auto"/>
              </w:rPr>
            </w:pPr>
          </w:p>
        </w:tc>
      </w:tr>
      <w:tr>
        <w:trPr>
          <w:trHeight w:val="144"/>
        </w:trPr>
        <w:tc>
          <w:tcPr>
            <w:tcW w:w="4520" w:type="dxa"/>
            <w:vAlign w:val="bottom"/>
            <w:shd w:val="clear" w:color="auto" w:fill="CCEEFF"/>
          </w:tcPr>
          <w:p>
            <w:pPr>
              <w:spacing w:after="0"/>
              <w:rPr>
                <w:sz w:val="20"/>
                <w:szCs w:val="20"/>
                <w:color w:val="auto"/>
              </w:rPr>
            </w:pPr>
            <w:r>
              <w:rPr>
                <w:rFonts w:ascii="Arial" w:cs="Arial" w:eastAsia="Arial" w:hAnsi="Arial"/>
                <w:sz w:val="12"/>
                <w:szCs w:val="12"/>
                <w:color w:val="auto"/>
              </w:rPr>
              <w:t>Warranty costs incurred</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w:t>
            </w:r>
          </w:p>
        </w:tc>
        <w:tc>
          <w:tcPr>
            <w:tcW w:w="72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520" w:type="dxa"/>
            <w:vAlign w:val="bottom"/>
          </w:tcPr>
          <w:p>
            <w:pPr>
              <w:spacing w:after="0"/>
              <w:rPr>
                <w:sz w:val="20"/>
                <w:szCs w:val="20"/>
                <w:color w:val="auto"/>
              </w:rPr>
            </w:pPr>
            <w:r>
              <w:rPr>
                <w:rFonts w:ascii="Arial" w:cs="Arial" w:eastAsia="Arial" w:hAnsi="Arial"/>
                <w:sz w:val="12"/>
                <w:szCs w:val="12"/>
                <w:color w:val="auto"/>
              </w:rPr>
              <w:t>Product warranty accrual</w:t>
            </w: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w:t>
            </w:r>
          </w:p>
        </w:tc>
        <w:tc>
          <w:tcPr>
            <w:tcW w:w="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455</w:t>
            </w:r>
          </w:p>
        </w:tc>
        <w:tc>
          <w:tcPr>
            <w:tcW w:w="380" w:type="dxa"/>
            <w:vAlign w:val="bottom"/>
          </w:tcPr>
          <w:p>
            <w:pPr>
              <w:spacing w:after="0"/>
              <w:rPr>
                <w:sz w:val="12"/>
                <w:szCs w:val="12"/>
                <w:color w:val="auto"/>
              </w:rPr>
            </w:pPr>
          </w:p>
        </w:tc>
      </w:tr>
      <w:tr>
        <w:trPr>
          <w:trHeight w:val="182"/>
        </w:trPr>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at end of year</w:t>
            </w:r>
          </w:p>
        </w:tc>
        <w:tc>
          <w:tcPr>
            <w:tcW w:w="960" w:type="dxa"/>
            <w:vAlign w:val="bottom"/>
            <w:tcBorders>
              <w:bottom w:val="single" w:sz="8" w:color="auto"/>
            </w:tcBorders>
            <w:shd w:val="clear" w:color="auto" w:fill="CCEEFF"/>
          </w:tcPr>
          <w:p>
            <w:pPr>
              <w:jc w:val="right"/>
              <w:ind w:right="52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598</w:t>
            </w:r>
          </w:p>
        </w:tc>
        <w:tc>
          <w:tcPr>
            <w:tcW w:w="7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778</w:t>
            </w:r>
          </w:p>
        </w:tc>
        <w:tc>
          <w:tcPr>
            <w:tcW w:w="380" w:type="dxa"/>
            <w:vAlign w:val="bottom"/>
            <w:tcBorders>
              <w:bottom w:val="single" w:sz="8" w:color="CCEEFF"/>
            </w:tcBorders>
            <w:shd w:val="clear" w:color="auto" w:fill="CCEEFF"/>
          </w:tcPr>
          <w:p>
            <w:pPr>
              <w:spacing w:after="0"/>
              <w:rPr>
                <w:sz w:val="15"/>
                <w:szCs w:val="15"/>
                <w:color w:val="auto"/>
              </w:rPr>
            </w:pPr>
          </w:p>
        </w:tc>
      </w:tr>
    </w:tbl>
    <w:p>
      <w:pPr>
        <w:spacing w:after="0" w:line="153" w:lineRule="exact"/>
        <w:rPr>
          <w:sz w:val="20"/>
          <w:szCs w:val="20"/>
          <w:color w:val="auto"/>
        </w:rPr>
      </w:pPr>
    </w:p>
    <w:p>
      <w:pPr>
        <w:ind w:left="208" w:hanging="208"/>
        <w:spacing w:after="0"/>
        <w:tabs>
          <w:tab w:leader="none" w:pos="208" w:val="left"/>
        </w:tabs>
        <w:numPr>
          <w:ilvl w:val="0"/>
          <w:numId w:val="11"/>
        </w:numPr>
        <w:rPr>
          <w:rFonts w:ascii="Arial" w:cs="Arial" w:eastAsia="Arial" w:hAnsi="Arial"/>
          <w:sz w:val="12"/>
          <w:szCs w:val="12"/>
          <w:color w:val="auto"/>
        </w:rPr>
      </w:pPr>
      <w:r>
        <w:rPr>
          <w:rFonts w:ascii="Arial" w:cs="Arial" w:eastAsia="Arial" w:hAnsi="Arial"/>
          <w:sz w:val="12"/>
          <w:szCs w:val="12"/>
          <w:u w:val="single" w:color="auto"/>
          <w:color w:val="auto"/>
        </w:rPr>
        <w:t>Segment Information</w:t>
      </w:r>
    </w:p>
    <w:p>
      <w:pPr>
        <w:spacing w:after="0" w:line="168" w:lineRule="exact"/>
        <w:rPr>
          <w:sz w:val="20"/>
          <w:szCs w:val="20"/>
          <w:color w:val="auto"/>
        </w:rPr>
      </w:pPr>
    </w:p>
    <w:p>
      <w:pPr>
        <w:ind w:left="328"/>
        <w:spacing w:after="0"/>
        <w:rPr>
          <w:sz w:val="20"/>
          <w:szCs w:val="20"/>
          <w:color w:val="auto"/>
        </w:rPr>
      </w:pPr>
      <w:r>
        <w:rPr>
          <w:rFonts w:ascii="Arial" w:cs="Arial" w:eastAsia="Arial" w:hAnsi="Arial"/>
          <w:sz w:val="12"/>
          <w:szCs w:val="12"/>
          <w:color w:val="auto"/>
        </w:rPr>
        <w:t>The Company operates under three reportable segments based on the geographic locations of its subsidiaries:</w:t>
      </w:r>
    </w:p>
    <w:p>
      <w:pPr>
        <w:spacing w:after="0" w:line="168" w:lineRule="exact"/>
        <w:rPr>
          <w:sz w:val="20"/>
          <w:szCs w:val="20"/>
          <w:color w:val="auto"/>
        </w:rPr>
      </w:pPr>
    </w:p>
    <w:p>
      <w:pPr>
        <w:ind w:left="748" w:right="20" w:hanging="191"/>
        <w:spacing w:after="0" w:line="276" w:lineRule="auto"/>
        <w:tabs>
          <w:tab w:leader="none" w:pos="7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32" w:lineRule="exact"/>
        <w:rPr>
          <w:rFonts w:ascii="Arial" w:cs="Arial" w:eastAsia="Arial" w:hAnsi="Arial"/>
          <w:sz w:val="12"/>
          <w:szCs w:val="12"/>
          <w:color w:val="auto"/>
        </w:rPr>
      </w:pPr>
    </w:p>
    <w:p>
      <w:pPr>
        <w:ind w:left="748" w:hanging="191"/>
        <w:spacing w:after="0" w:line="276" w:lineRule="auto"/>
        <w:tabs>
          <w:tab w:leader="none" w:pos="748" w:val="left"/>
        </w:tabs>
        <w:numPr>
          <w:ilvl w:val="0"/>
          <w:numId w:val="12"/>
        </w:numPr>
        <w:rPr>
          <w:rFonts w:ascii="Arial" w:cs="Arial" w:eastAsia="Arial" w:hAnsi="Arial"/>
          <w:sz w:val="12"/>
          <w:szCs w:val="12"/>
          <w:color w:val="auto"/>
        </w:rPr>
      </w:pPr>
      <w:r>
        <w:rPr>
          <w:rFonts w:ascii="Arial" w:cs="Arial" w:eastAsia="Arial" w:hAnsi="Arial"/>
          <w:sz w:val="12"/>
          <w:szCs w:val="12"/>
          <w:color w:val="auto"/>
        </w:rPr>
        <w:t>Gillam-FEI - operates out of Belgium and France and primarily sells wireline synchronization and network management systems in non-U.S. markets. All sales from Gillam-FEI to the United States are to other segments of the Company.</w:t>
      </w:r>
    </w:p>
    <w:p>
      <w:pPr>
        <w:spacing w:after="0" w:line="132" w:lineRule="exact"/>
        <w:rPr>
          <w:rFonts w:ascii="Arial" w:cs="Arial" w:eastAsia="Arial" w:hAnsi="Arial"/>
          <w:sz w:val="12"/>
          <w:szCs w:val="12"/>
          <w:color w:val="auto"/>
        </w:rPr>
      </w:pPr>
    </w:p>
    <w:p>
      <w:pPr>
        <w:ind w:left="748" w:hanging="191"/>
        <w:spacing w:after="0" w:line="323" w:lineRule="auto"/>
        <w:tabs>
          <w:tab w:leader="none" w:pos="748" w:val="left"/>
        </w:tabs>
        <w:numPr>
          <w:ilvl w:val="0"/>
          <w:numId w:val="12"/>
        </w:numPr>
        <w:rPr>
          <w:rFonts w:ascii="Arial" w:cs="Arial" w:eastAsia="Arial" w:hAnsi="Arial"/>
          <w:sz w:val="11"/>
          <w:szCs w:val="11"/>
          <w:color w:val="auto"/>
        </w:rPr>
      </w:pPr>
      <w:r>
        <w:rPr>
          <w:rFonts w:ascii="Arial" w:cs="Arial" w:eastAsia="Arial" w:hAnsi="Arial"/>
          <w:sz w:val="11"/>
          <w:szCs w:val="11"/>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10" w:lineRule="exact"/>
        <w:rPr>
          <w:sz w:val="20"/>
          <w:szCs w:val="20"/>
          <w:color w:val="auto"/>
        </w:rPr>
      </w:pPr>
    </w:p>
    <w:p>
      <w:pPr>
        <w:ind w:left="8" w:right="20" w:firstLine="324"/>
        <w:spacing w:after="0" w:line="276" w:lineRule="auto"/>
        <w:rPr>
          <w:sz w:val="20"/>
          <w:szCs w:val="20"/>
          <w:color w:val="auto"/>
        </w:rPr>
      </w:pPr>
      <w:r>
        <w:rPr>
          <w:rFonts w:ascii="Arial" w:cs="Arial" w:eastAsia="Arial" w:hAnsi="Arial"/>
          <w:sz w:val="12"/>
          <w:szCs w:val="12"/>
          <w:color w:val="auto"/>
        </w:rPr>
        <w:t>The FEI-NY segment also includes the operations of the Company’s wholly-owned subsidiaries, FEI-Elcom and FEI-Asia. FEI-Asia functions as a manufacturing facility for the FEI-NY segment with minimal sales to outside customers. FEI-Elcom, in addition to its own product line, provides design and technical support for the FEI-NY segment’s satellite business.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45" w:name="page46"/>
    <w:bookmarkEnd w:id="45"/>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ind w:left="400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ind w:left="3760"/>
        <w:spacing w:after="0"/>
        <w:rPr>
          <w:sz w:val="20"/>
          <w:szCs w:val="20"/>
          <w:color w:val="auto"/>
        </w:rPr>
      </w:pPr>
      <w:r>
        <w:rPr>
          <w:rFonts w:ascii="Arial" w:cs="Arial" w:eastAsia="Arial" w:hAnsi="Arial"/>
          <w:sz w:val="12"/>
          <w:szCs w:val="12"/>
          <w:color w:val="auto"/>
        </w:rPr>
        <w:t>NOTES TO CONSOLIDATED FINANCIAL STATEMENTS - Continued</w:t>
      </w:r>
    </w:p>
    <w:p>
      <w:pPr>
        <w:spacing w:after="0" w:line="15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141"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129"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2013</w:t>
            </w:r>
          </w:p>
        </w:tc>
        <w:tc>
          <w:tcPr>
            <w:tcW w:w="440" w:type="dxa"/>
            <w:vAlign w:val="bottom"/>
            <w:tcBorders>
              <w:bottom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2012</w:t>
            </w:r>
          </w:p>
        </w:tc>
        <w:tc>
          <w:tcPr>
            <w:tcW w:w="500" w:type="dxa"/>
            <w:vAlign w:val="bottom"/>
          </w:tcPr>
          <w:p>
            <w:pPr>
              <w:spacing w:after="0"/>
              <w:rPr>
                <w:sz w:val="13"/>
                <w:szCs w:val="13"/>
                <w:color w:val="auto"/>
              </w:rPr>
            </w:pPr>
          </w:p>
        </w:tc>
      </w:tr>
      <w:tr>
        <w:trPr>
          <w:trHeight w:val="142"/>
        </w:trPr>
        <w:tc>
          <w:tcPr>
            <w:tcW w:w="4540" w:type="dxa"/>
            <w:vAlign w:val="bottom"/>
            <w:gridSpan w:val="2"/>
          </w:tcPr>
          <w:p>
            <w:pPr>
              <w:spacing w:after="0"/>
              <w:rPr>
                <w:sz w:val="20"/>
                <w:szCs w:val="20"/>
                <w:color w:val="auto"/>
              </w:rPr>
            </w:pPr>
            <w:r>
              <w:rPr>
                <w:rFonts w:ascii="Arial" w:cs="Arial" w:eastAsia="Arial" w:hAnsi="Arial"/>
                <w:sz w:val="12"/>
                <w:szCs w:val="12"/>
                <w:color w:val="auto"/>
              </w:rPr>
              <w:t>Net revenues:</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FEI-NY</w:t>
            </w:r>
          </w:p>
        </w:tc>
        <w:tc>
          <w:tcPr>
            <w:tcW w:w="9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52,567</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44,711</w:t>
            </w:r>
          </w:p>
        </w:tc>
        <w:tc>
          <w:tcPr>
            <w:tcW w:w="50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520" w:type="dxa"/>
            <w:vAlign w:val="bottom"/>
          </w:tcPr>
          <w:p>
            <w:pPr>
              <w:ind w:left="100"/>
              <w:spacing w:after="0"/>
              <w:rPr>
                <w:sz w:val="20"/>
                <w:szCs w:val="20"/>
                <w:color w:val="auto"/>
              </w:rPr>
            </w:pPr>
            <w:r>
              <w:rPr>
                <w:rFonts w:ascii="Arial" w:cs="Arial" w:eastAsia="Arial" w:hAnsi="Arial"/>
                <w:sz w:val="12"/>
                <w:szCs w:val="12"/>
                <w:color w:val="auto"/>
              </w:rPr>
              <w:t>Gillam-FEI</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11,825</w:t>
            </w:r>
          </w:p>
        </w:tc>
        <w:tc>
          <w:tcPr>
            <w:tcW w:w="860" w:type="dxa"/>
            <w:vAlign w:val="bottom"/>
          </w:tcPr>
          <w:p>
            <w:pPr>
              <w:ind w:left="3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12,811</w:t>
            </w: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FEI-Zyfer</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10,523</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11,494</w:t>
            </w:r>
          </w:p>
        </w:tc>
        <w:tc>
          <w:tcPr>
            <w:tcW w:w="50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520" w:type="dxa"/>
            <w:vAlign w:val="bottom"/>
          </w:tcPr>
          <w:p>
            <w:pPr>
              <w:ind w:left="100"/>
              <w:spacing w:after="0"/>
              <w:rPr>
                <w:sz w:val="20"/>
                <w:szCs w:val="20"/>
                <w:color w:val="auto"/>
              </w:rPr>
            </w:pPr>
            <w:r>
              <w:rPr>
                <w:rFonts w:ascii="Arial" w:cs="Arial" w:eastAsia="Arial" w:hAnsi="Arial"/>
                <w:sz w:val="12"/>
                <w:szCs w:val="12"/>
                <w:color w:val="auto"/>
              </w:rPr>
              <w:t>less intersegment revenues</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(5,983</w:t>
            </w:r>
          </w:p>
        </w:tc>
        <w:tc>
          <w:tcPr>
            <w:tcW w:w="860" w:type="dxa"/>
            <w:vAlign w:val="bottom"/>
          </w:tcPr>
          <w:p>
            <w:pPr>
              <w:ind w:left="3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(5,421</w:t>
            </w: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r>
      <w:tr>
        <w:trPr>
          <w:trHeight w:val="182"/>
        </w:trPr>
        <w:tc>
          <w:tcPr>
            <w:tcW w:w="20" w:type="dxa"/>
            <w:vAlign w:val="bottom"/>
          </w:tcPr>
          <w:p>
            <w:pPr>
              <w:spacing w:after="0"/>
              <w:rPr>
                <w:sz w:val="15"/>
                <w:szCs w:val="15"/>
                <w:color w:val="auto"/>
              </w:rPr>
            </w:pPr>
          </w:p>
        </w:tc>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Consolidated revenues</w:t>
            </w:r>
          </w:p>
        </w:tc>
        <w:tc>
          <w:tcPr>
            <w:tcW w:w="9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68,932</w:t>
            </w:r>
          </w:p>
        </w:tc>
        <w:tc>
          <w:tcPr>
            <w:tcW w:w="8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63,595</w:t>
            </w:r>
          </w:p>
        </w:tc>
        <w:tc>
          <w:tcPr>
            <w:tcW w:w="500" w:type="dxa"/>
            <w:vAlign w:val="bottom"/>
            <w:tcBorders>
              <w:bottom w:val="single" w:sz="8" w:color="CCEEFF"/>
            </w:tcBorders>
            <w:shd w:val="clear" w:color="auto" w:fill="CCEEFF"/>
          </w:tcPr>
          <w:p>
            <w:pPr>
              <w:spacing w:after="0"/>
              <w:rPr>
                <w:sz w:val="15"/>
                <w:szCs w:val="15"/>
                <w:color w:val="auto"/>
              </w:rPr>
            </w:pPr>
          </w:p>
        </w:tc>
      </w:tr>
      <w:tr>
        <w:trPr>
          <w:trHeight w:val="264"/>
        </w:trPr>
        <w:tc>
          <w:tcPr>
            <w:tcW w:w="4540" w:type="dxa"/>
            <w:vAlign w:val="bottom"/>
            <w:gridSpan w:val="2"/>
          </w:tcPr>
          <w:p>
            <w:pPr>
              <w:spacing w:after="0"/>
              <w:rPr>
                <w:sz w:val="20"/>
                <w:szCs w:val="20"/>
                <w:color w:val="auto"/>
              </w:rPr>
            </w:pPr>
            <w:r>
              <w:rPr>
                <w:rFonts w:ascii="Arial" w:cs="Arial" w:eastAsia="Arial" w:hAnsi="Arial"/>
                <w:sz w:val="12"/>
                <w:szCs w:val="12"/>
                <w:color w:val="auto"/>
              </w:rPr>
              <w:t>Operating profit (loss):</w:t>
            </w: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FEI-NY</w:t>
            </w:r>
          </w:p>
        </w:tc>
        <w:tc>
          <w:tcPr>
            <w:tcW w:w="9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7,334</w:t>
            </w: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7,938</w:t>
            </w:r>
          </w:p>
        </w:tc>
        <w:tc>
          <w:tcPr>
            <w:tcW w:w="50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520" w:type="dxa"/>
            <w:vAlign w:val="bottom"/>
          </w:tcPr>
          <w:p>
            <w:pPr>
              <w:ind w:left="100"/>
              <w:spacing w:after="0"/>
              <w:rPr>
                <w:sz w:val="20"/>
                <w:szCs w:val="20"/>
                <w:color w:val="auto"/>
              </w:rPr>
            </w:pPr>
            <w:r>
              <w:rPr>
                <w:rFonts w:ascii="Arial" w:cs="Arial" w:eastAsia="Arial" w:hAnsi="Arial"/>
                <w:sz w:val="12"/>
                <w:szCs w:val="12"/>
                <w:color w:val="auto"/>
              </w:rPr>
              <w:t>Gillam-FEI</w:t>
            </w: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(1,643</w:t>
            </w:r>
          </w:p>
        </w:tc>
        <w:tc>
          <w:tcPr>
            <w:tcW w:w="860" w:type="dxa"/>
            <w:vAlign w:val="bottom"/>
          </w:tcPr>
          <w:p>
            <w:pPr>
              <w:ind w:left="32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138</w:t>
            </w: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FEI-Zyfer</w:t>
            </w: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w:t>
            </w:r>
          </w:p>
        </w:tc>
        <w:tc>
          <w:tcPr>
            <w:tcW w:w="8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(511</w:t>
            </w:r>
          </w:p>
        </w:tc>
        <w:tc>
          <w:tcPr>
            <w:tcW w:w="5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520" w:type="dxa"/>
            <w:vAlign w:val="bottom"/>
          </w:tcPr>
          <w:p>
            <w:pPr>
              <w:ind w:left="100"/>
              <w:spacing w:after="0"/>
              <w:rPr>
                <w:sz w:val="20"/>
                <w:szCs w:val="20"/>
                <w:color w:val="auto"/>
              </w:rPr>
            </w:pPr>
            <w:r>
              <w:rPr>
                <w:rFonts w:ascii="Arial" w:cs="Arial" w:eastAsia="Arial" w:hAnsi="Arial"/>
                <w:sz w:val="12"/>
                <w:szCs w:val="12"/>
                <w:color w:val="auto"/>
              </w:rPr>
              <w:t>Corporate</w:t>
            </w: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w:t>
            </w:r>
          </w:p>
        </w:tc>
        <w:tc>
          <w:tcPr>
            <w:tcW w:w="860" w:type="dxa"/>
            <w:vAlign w:val="bottom"/>
          </w:tcPr>
          <w:p>
            <w:pPr>
              <w:ind w:left="32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(862</w:t>
            </w:r>
          </w:p>
        </w:tc>
        <w:tc>
          <w:tcPr>
            <w:tcW w:w="500" w:type="dxa"/>
            <w:vAlign w:val="bottom"/>
          </w:tcPr>
          <w:p>
            <w:pPr>
              <w:ind w:left="320"/>
              <w:spacing w:after="0"/>
              <w:rPr>
                <w:sz w:val="20"/>
                <w:szCs w:val="20"/>
                <w:color w:val="auto"/>
              </w:rPr>
            </w:pPr>
            <w:r>
              <w:rPr>
                <w:rFonts w:ascii="Arial" w:cs="Arial" w:eastAsia="Arial" w:hAnsi="Arial"/>
                <w:sz w:val="12"/>
                <w:szCs w:val="12"/>
                <w:color w:val="auto"/>
              </w:rPr>
              <w:t>)</w:t>
            </w:r>
          </w:p>
        </w:tc>
      </w:tr>
      <w:tr>
        <w:trPr>
          <w:trHeight w:val="182"/>
        </w:trPr>
        <w:tc>
          <w:tcPr>
            <w:tcW w:w="20" w:type="dxa"/>
            <w:vAlign w:val="bottom"/>
          </w:tcPr>
          <w:p>
            <w:pPr>
              <w:spacing w:after="0"/>
              <w:rPr>
                <w:sz w:val="15"/>
                <w:szCs w:val="15"/>
                <w:color w:val="auto"/>
              </w:rPr>
            </w:pPr>
          </w:p>
        </w:tc>
        <w:tc>
          <w:tcPr>
            <w:tcW w:w="4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Consolidated operating profit</w:t>
            </w:r>
          </w:p>
        </w:tc>
        <w:tc>
          <w:tcPr>
            <w:tcW w:w="9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4,679</w:t>
            </w:r>
          </w:p>
        </w:tc>
        <w:tc>
          <w:tcPr>
            <w:tcW w:w="8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6,703</w:t>
            </w:r>
          </w:p>
        </w:tc>
        <w:tc>
          <w:tcPr>
            <w:tcW w:w="500" w:type="dxa"/>
            <w:vAlign w:val="bottom"/>
            <w:tcBorders>
              <w:bottom w:val="single" w:sz="8" w:color="CCEEFF"/>
            </w:tcBorders>
            <w:shd w:val="clear" w:color="auto" w:fill="CCEEFF"/>
          </w:tcPr>
          <w:p>
            <w:pPr>
              <w:spacing w:after="0"/>
              <w:rPr>
                <w:sz w:val="15"/>
                <w:szCs w:val="15"/>
                <w:color w:val="auto"/>
              </w:rPr>
            </w:pPr>
          </w:p>
        </w:tc>
      </w:tr>
    </w:tbl>
    <w:p>
      <w:pPr>
        <w:spacing w:after="0" w:line="153" w:lineRule="exact"/>
        <w:rPr>
          <w:sz w:val="20"/>
          <w:szCs w:val="20"/>
          <w:color w:val="auto"/>
        </w:rPr>
      </w:pPr>
    </w:p>
    <w:p>
      <w:pPr>
        <w:jc w:val="both"/>
        <w:ind w:left="420"/>
        <w:spacing w:after="0" w:line="257" w:lineRule="auto"/>
        <w:rPr>
          <w:sz w:val="20"/>
          <w:szCs w:val="20"/>
          <w:color w:val="auto"/>
        </w:rPr>
      </w:pPr>
      <w:r>
        <w:rPr>
          <w:rFonts w:ascii="Arial" w:cs="Arial" w:eastAsia="Arial" w:hAnsi="Arial"/>
          <w:sz w:val="12"/>
          <w:szCs w:val="12"/>
          <w:color w:val="auto"/>
        </w:rPr>
        <w:t>**For fiscal years ended April 30, 2013 and 2012, includes Gillam-FEI intersegment sales of $4.1 million and $3.9 million, respectively, to the FEI-NY and FEI-Zyfer segments. Such sales consist principally of manufacture of assemblies and units of a wireline synchronization product for ultimate production and sale in the U.S. plus the costs of ongoing research and development costs to support the product line. In the Gillam-FEI segment, these transactions increased the operating profit in each of the fiscal years. In addition, during the fourth quarter of fiscal year 2013, Gillam-FEI wrote down $1.4 million of accumulated costs related to hardware and software design of a product in connection with the French government’s smart electrical grid initiative. Based on slower than anticipated rollout of this project, the Company has less visibility regarding the probable schedule for obtaining production-level orders, which are now anticipated to occur no earlier than fiscal year 2015.</w:t>
      </w:r>
    </w:p>
    <w:p>
      <w:pPr>
        <w:spacing w:after="0" w:line="140" w:lineRule="exact"/>
        <w:rPr>
          <w:sz w:val="20"/>
          <w:szCs w:val="20"/>
          <w:color w:val="auto"/>
        </w:rPr>
      </w:pPr>
    </w:p>
    <w:tbl>
      <w:tblPr>
        <w:tblLayout w:type="fixed"/>
        <w:tblInd w:w="14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2"/>
                <w:szCs w:val="12"/>
                <w:b w:val="1"/>
                <w:bCs w:val="1"/>
                <w:color w:val="auto"/>
              </w:rPr>
              <w:t>2013</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13"/>
                <w:szCs w:val="13"/>
                <w:color w:val="auto"/>
              </w:rPr>
            </w:pPr>
          </w:p>
        </w:tc>
      </w:tr>
      <w:tr>
        <w:trPr>
          <w:trHeight w:val="142"/>
        </w:trPr>
        <w:tc>
          <w:tcPr>
            <w:tcW w:w="5540" w:type="dxa"/>
            <w:vAlign w:val="bottom"/>
            <w:gridSpan w:val="2"/>
          </w:tcPr>
          <w:p>
            <w:pPr>
              <w:spacing w:after="0"/>
              <w:rPr>
                <w:sz w:val="20"/>
                <w:szCs w:val="20"/>
                <w:color w:val="auto"/>
              </w:rPr>
            </w:pPr>
            <w:r>
              <w:rPr>
                <w:rFonts w:ascii="Arial" w:cs="Arial" w:eastAsia="Arial" w:hAnsi="Arial"/>
                <w:sz w:val="12"/>
                <w:szCs w:val="12"/>
                <w:color w:val="auto"/>
              </w:rPr>
              <w:t>Identifiable assets:</w:t>
            </w: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FEI-NY (approximately $3 million in China)</w:t>
            </w:r>
          </w:p>
        </w:tc>
        <w:tc>
          <w:tcPr>
            <w:tcW w:w="880" w:type="dxa"/>
            <w:vAlign w:val="bottom"/>
            <w:shd w:val="clear" w:color="auto" w:fill="CCEEFF"/>
          </w:tcPr>
          <w:p>
            <w:pPr>
              <w:jc w:val="right"/>
              <w:ind w:right="767"/>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55,508</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50,234</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520" w:type="dxa"/>
            <w:vAlign w:val="bottom"/>
          </w:tcPr>
          <w:p>
            <w:pPr>
              <w:ind w:left="100"/>
              <w:spacing w:after="0"/>
              <w:rPr>
                <w:sz w:val="20"/>
                <w:szCs w:val="20"/>
                <w:color w:val="auto"/>
              </w:rPr>
            </w:pPr>
            <w:r>
              <w:rPr>
                <w:rFonts w:ascii="Arial" w:cs="Arial" w:eastAsia="Arial" w:hAnsi="Arial"/>
                <w:sz w:val="12"/>
                <w:szCs w:val="12"/>
                <w:color w:val="auto"/>
              </w:rPr>
              <w:t>Gillam-FEI (all in Belgium or France)</w:t>
            </w:r>
          </w:p>
        </w:tc>
        <w:tc>
          <w:tcPr>
            <w:tcW w:w="8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18,071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20,407</w:t>
            </w:r>
          </w:p>
        </w:tc>
        <w:tc>
          <w:tcPr>
            <w:tcW w:w="1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FEI-Zyfer</w:t>
            </w:r>
          </w:p>
        </w:tc>
        <w:tc>
          <w:tcPr>
            <w:tcW w:w="8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10,418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9,685</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520" w:type="dxa"/>
            <w:vAlign w:val="bottom"/>
          </w:tcPr>
          <w:p>
            <w:pPr>
              <w:ind w:left="100"/>
              <w:spacing w:after="0"/>
              <w:rPr>
                <w:sz w:val="20"/>
                <w:szCs w:val="20"/>
                <w:color w:val="auto"/>
              </w:rPr>
            </w:pPr>
            <w:r>
              <w:rPr>
                <w:rFonts w:ascii="Arial" w:cs="Arial" w:eastAsia="Arial" w:hAnsi="Arial"/>
                <w:sz w:val="12"/>
                <w:szCs w:val="12"/>
                <w:color w:val="auto"/>
              </w:rPr>
              <w:t>less intersegment receivables</w:t>
            </w:r>
          </w:p>
        </w:tc>
        <w:tc>
          <w:tcPr>
            <w:tcW w:w="8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(18,903)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(16,424)</w:t>
            </w:r>
          </w:p>
        </w:tc>
      </w:tr>
      <w:tr>
        <w:trPr>
          <w:trHeight w:val="144"/>
        </w:trPr>
        <w:tc>
          <w:tcPr>
            <w:tcW w:w="20" w:type="dxa"/>
            <w:vAlign w:val="bottom"/>
          </w:tcPr>
          <w:p>
            <w:pPr>
              <w:spacing w:after="0"/>
              <w:rPr>
                <w:sz w:val="12"/>
                <w:szCs w:val="12"/>
                <w:color w:val="auto"/>
              </w:rPr>
            </w:pPr>
          </w:p>
        </w:tc>
        <w:tc>
          <w:tcPr>
            <w:tcW w:w="55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Corporate</w:t>
            </w:r>
          </w:p>
        </w:tc>
        <w:tc>
          <w:tcPr>
            <w:tcW w:w="8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43,815</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42,325</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520" w:type="dxa"/>
            <w:vAlign w:val="bottom"/>
          </w:tcPr>
          <w:p>
            <w:pPr>
              <w:ind w:left="200"/>
              <w:spacing w:after="0"/>
              <w:rPr>
                <w:sz w:val="20"/>
                <w:szCs w:val="20"/>
                <w:color w:val="auto"/>
              </w:rPr>
            </w:pPr>
            <w:r>
              <w:rPr>
                <w:rFonts w:ascii="Arial" w:cs="Arial" w:eastAsia="Arial" w:hAnsi="Arial"/>
                <w:sz w:val="12"/>
                <w:szCs w:val="12"/>
                <w:color w:val="auto"/>
              </w:rPr>
              <w:t>Consolidated identifiable assets</w:t>
            </w:r>
          </w:p>
        </w:tc>
        <w:tc>
          <w:tcPr>
            <w:tcW w:w="880" w:type="dxa"/>
            <w:vAlign w:val="bottom"/>
          </w:tcPr>
          <w:p>
            <w:pPr>
              <w:jc w:val="right"/>
              <w:ind w:right="76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108,909</w:t>
            </w:r>
          </w:p>
        </w:tc>
        <w:tc>
          <w:tcPr>
            <w:tcW w:w="120" w:type="dxa"/>
            <w:vAlign w:val="bottom"/>
          </w:tcPr>
          <w:p>
            <w:pPr>
              <w:spacing w:after="0"/>
              <w:rPr>
                <w:sz w:val="12"/>
                <w:szCs w:val="12"/>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106,227</w:t>
            </w:r>
          </w:p>
        </w:tc>
        <w:tc>
          <w:tcPr>
            <w:tcW w:w="1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20" w:type="dxa"/>
            <w:vAlign w:val="bottom"/>
          </w:tcPr>
          <w:p>
            <w:pPr>
              <w:spacing w:after="0"/>
              <w:rPr>
                <w:sz w:val="20"/>
                <w:szCs w:val="20"/>
                <w:color w:val="auto"/>
              </w:rPr>
            </w:pPr>
            <w:r>
              <w:rPr>
                <w:rFonts w:ascii="Arial" w:cs="Arial" w:eastAsia="Arial" w:hAnsi="Arial"/>
                <w:sz w:val="12"/>
                <w:szCs w:val="12"/>
                <w:color w:val="auto"/>
              </w:rPr>
              <w:t>Depreciation and amortization (allocated):</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144"/>
        </w:trPr>
        <w:tc>
          <w:tcPr>
            <w:tcW w:w="5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FEI-NY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1,892</w:t>
            </w:r>
          </w:p>
        </w:tc>
        <w:tc>
          <w:tcPr>
            <w:tcW w:w="580" w:type="dxa"/>
            <w:vAlign w:val="bottom"/>
            <w:shd w:val="clear" w:color="auto" w:fill="CCEEFF"/>
          </w:tcPr>
          <w:p>
            <w:pPr>
              <w:jc w:val="right"/>
              <w:ind w:right="47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1,590</w:t>
            </w:r>
          </w:p>
        </w:tc>
        <w:tc>
          <w:tcPr>
            <w:tcW w:w="120" w:type="dxa"/>
            <w:vAlign w:val="bottom"/>
            <w:shd w:val="clear" w:color="auto" w:fill="CCEEFF"/>
          </w:tcPr>
          <w:p>
            <w:pPr>
              <w:spacing w:after="0"/>
              <w:rPr>
                <w:sz w:val="12"/>
                <w:szCs w:val="12"/>
                <w:color w:val="auto"/>
              </w:rPr>
            </w:pPr>
          </w:p>
        </w:tc>
        <w:tc>
          <w:tcPr>
            <w:tcW w:w="2880" w:type="dxa"/>
            <w:vAlign w:val="bottom"/>
          </w:tcPr>
          <w:p>
            <w:pPr>
              <w:spacing w:after="0"/>
              <w:rPr>
                <w:sz w:val="12"/>
                <w:szCs w:val="12"/>
                <w:color w:val="auto"/>
              </w:rPr>
            </w:pPr>
          </w:p>
        </w:tc>
      </w:tr>
      <w:tr>
        <w:trPr>
          <w:trHeight w:val="144"/>
        </w:trPr>
        <w:tc>
          <w:tcPr>
            <w:tcW w:w="5520" w:type="dxa"/>
            <w:vAlign w:val="bottom"/>
          </w:tcPr>
          <w:p>
            <w:pPr>
              <w:ind w:left="100"/>
              <w:spacing w:after="0"/>
              <w:rPr>
                <w:sz w:val="20"/>
                <w:szCs w:val="20"/>
                <w:color w:val="auto"/>
              </w:rPr>
            </w:pPr>
            <w:r>
              <w:rPr>
                <w:rFonts w:ascii="Arial" w:cs="Arial" w:eastAsia="Arial" w:hAnsi="Arial"/>
                <w:sz w:val="12"/>
                <w:szCs w:val="12"/>
                <w:color w:val="auto"/>
              </w:rPr>
              <w:t>Gillam-FEI</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304</w:t>
            </w:r>
          </w:p>
        </w:tc>
        <w:tc>
          <w:tcPr>
            <w:tcW w:w="58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425</w:t>
            </w:r>
          </w:p>
        </w:tc>
        <w:tc>
          <w:tcPr>
            <w:tcW w:w="2880" w:type="dxa"/>
            <w:vAlign w:val="bottom"/>
          </w:tcPr>
          <w:p>
            <w:pPr>
              <w:spacing w:after="0"/>
              <w:rPr>
                <w:sz w:val="12"/>
                <w:szCs w:val="12"/>
                <w:color w:val="auto"/>
              </w:rPr>
            </w:pPr>
          </w:p>
        </w:tc>
      </w:tr>
      <w:tr>
        <w:trPr>
          <w:trHeight w:val="144"/>
        </w:trPr>
        <w:tc>
          <w:tcPr>
            <w:tcW w:w="5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FEI-Zyfer</w:t>
            </w:r>
          </w:p>
        </w:tc>
        <w:tc>
          <w:tcPr>
            <w:tcW w:w="10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202</w:t>
            </w:r>
          </w:p>
        </w:tc>
        <w:tc>
          <w:tcPr>
            <w:tcW w:w="5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207</w:t>
            </w:r>
          </w:p>
        </w:tc>
        <w:tc>
          <w:tcPr>
            <w:tcW w:w="2880" w:type="dxa"/>
            <w:vAlign w:val="bottom"/>
          </w:tcPr>
          <w:p>
            <w:pPr>
              <w:spacing w:after="0"/>
              <w:rPr>
                <w:sz w:val="12"/>
                <w:szCs w:val="12"/>
                <w:color w:val="auto"/>
              </w:rPr>
            </w:pPr>
          </w:p>
        </w:tc>
      </w:tr>
      <w:tr>
        <w:trPr>
          <w:trHeight w:val="144"/>
        </w:trPr>
        <w:tc>
          <w:tcPr>
            <w:tcW w:w="5520" w:type="dxa"/>
            <w:vAlign w:val="bottom"/>
          </w:tcPr>
          <w:p>
            <w:pPr>
              <w:ind w:left="100"/>
              <w:spacing w:after="0"/>
              <w:rPr>
                <w:sz w:val="20"/>
                <w:szCs w:val="20"/>
                <w:color w:val="auto"/>
              </w:rPr>
            </w:pPr>
            <w:r>
              <w:rPr>
                <w:rFonts w:ascii="Arial" w:cs="Arial" w:eastAsia="Arial" w:hAnsi="Arial"/>
                <w:sz w:val="12"/>
                <w:szCs w:val="12"/>
                <w:color w:val="auto"/>
              </w:rPr>
              <w:t>Corporate</w:t>
            </w:r>
          </w:p>
        </w:tc>
        <w:tc>
          <w:tcPr>
            <w:tcW w:w="100" w:type="dxa"/>
            <w:vAlign w:val="bottom"/>
          </w:tcPr>
          <w:p>
            <w:pPr>
              <w:spacing w:after="0"/>
              <w:rPr>
                <w:sz w:val="12"/>
                <w:szCs w:val="12"/>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2"/>
                <w:szCs w:val="12"/>
                <w:color w:val="auto"/>
              </w:rPr>
              <w:t>15</w:t>
            </w:r>
          </w:p>
        </w:tc>
        <w:tc>
          <w:tcPr>
            <w:tcW w:w="5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w:t>
            </w:r>
          </w:p>
        </w:tc>
        <w:tc>
          <w:tcPr>
            <w:tcW w:w="12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182"/>
        </w:trPr>
        <w:tc>
          <w:tcPr>
            <w:tcW w:w="5520" w:type="dxa"/>
            <w:vAlign w:val="bottom"/>
            <w:shd w:val="clear" w:color="auto" w:fill="CCEEFF"/>
          </w:tcPr>
          <w:p>
            <w:pPr>
              <w:ind w:left="100"/>
              <w:spacing w:after="0"/>
              <w:rPr>
                <w:sz w:val="20"/>
                <w:szCs w:val="20"/>
                <w:color w:val="auto"/>
              </w:rPr>
            </w:pPr>
            <w:r>
              <w:rPr>
                <w:rFonts w:ascii="Arial" w:cs="Arial" w:eastAsia="Arial" w:hAnsi="Arial"/>
                <w:sz w:val="12"/>
                <w:szCs w:val="12"/>
                <w:color w:val="auto"/>
              </w:rPr>
              <w:t>Consolidated depreciation and amortization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2,413</w:t>
            </w:r>
          </w:p>
        </w:tc>
        <w:tc>
          <w:tcPr>
            <w:tcW w:w="580" w:type="dxa"/>
            <w:vAlign w:val="bottom"/>
            <w:shd w:val="clear" w:color="auto" w:fill="CCEEFF"/>
          </w:tcPr>
          <w:p>
            <w:pPr>
              <w:jc w:val="right"/>
              <w:ind w:right="47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2,241</w:t>
            </w:r>
          </w:p>
        </w:tc>
        <w:tc>
          <w:tcPr>
            <w:tcW w:w="120" w:type="dxa"/>
            <w:vAlign w:val="bottom"/>
            <w:shd w:val="clear" w:color="auto" w:fill="CCEEFF"/>
          </w:tcPr>
          <w:p>
            <w:pPr>
              <w:spacing w:after="0"/>
              <w:rPr>
                <w:sz w:val="15"/>
                <w:szCs w:val="15"/>
                <w:color w:val="auto"/>
              </w:rPr>
            </w:pPr>
          </w:p>
        </w:tc>
        <w:tc>
          <w:tcPr>
            <w:tcW w:w="2880" w:type="dxa"/>
            <w:vAlign w:val="bottom"/>
          </w:tcPr>
          <w:p>
            <w:pPr>
              <w:spacing w:after="0"/>
              <w:rPr>
                <w:sz w:val="15"/>
                <w:szCs w:val="15"/>
                <w:color w:val="auto"/>
              </w:rPr>
            </w:pPr>
          </w:p>
        </w:tc>
      </w:tr>
      <w:tr>
        <w:trPr>
          <w:trHeight w:val="381"/>
        </w:trPr>
        <w:tc>
          <w:tcPr>
            <w:tcW w:w="55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1020"/>
              <w:spacing w:after="0"/>
              <w:rPr>
                <w:sz w:val="20"/>
                <w:szCs w:val="20"/>
                <w:color w:val="auto"/>
              </w:rPr>
            </w:pPr>
            <w:r>
              <w:rPr>
                <w:rFonts w:ascii="Arial" w:cs="Arial" w:eastAsia="Arial" w:hAnsi="Arial"/>
                <w:sz w:val="12"/>
                <w:szCs w:val="12"/>
                <w:color w:val="auto"/>
              </w:rPr>
              <w:t>46</w:t>
            </w:r>
          </w:p>
        </w:tc>
        <w:tc>
          <w:tcPr>
            <w:tcW w:w="22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80" w:type="dxa"/>
            <w:vAlign w:val="bottom"/>
          </w:tcPr>
          <w:p>
            <w:pPr>
              <w:spacing w:after="0"/>
              <w:rPr>
                <w:sz w:val="24"/>
                <w:szCs w:val="24"/>
                <w:color w:val="auto"/>
              </w:rPr>
            </w:pPr>
          </w:p>
        </w:tc>
      </w:tr>
      <w:tr>
        <w:trPr>
          <w:trHeight w:val="76"/>
        </w:trPr>
        <w:tc>
          <w:tcPr>
            <w:tcW w:w="55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8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6" w:name="page47"/>
    <w:bookmarkEnd w:id="46"/>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ind w:left="3900"/>
        <w:spacing w:after="0"/>
        <w:rPr>
          <w:sz w:val="20"/>
          <w:szCs w:val="20"/>
          <w:color w:val="auto"/>
        </w:rPr>
      </w:pPr>
      <w:r>
        <w:rPr>
          <w:rFonts w:ascii="Arial" w:cs="Arial" w:eastAsia="Arial" w:hAnsi="Arial"/>
          <w:sz w:val="12"/>
          <w:szCs w:val="12"/>
          <w:b w:val="1"/>
          <w:bCs w:val="1"/>
          <w:color w:val="auto"/>
        </w:rPr>
        <w:t>FREQUENCY ELECTRONICS, INC. AND SUBSIDIARIES</w:t>
      </w:r>
    </w:p>
    <w:p>
      <w:pPr>
        <w:spacing w:after="0" w:line="19" w:lineRule="exact"/>
        <w:rPr>
          <w:sz w:val="20"/>
          <w:szCs w:val="20"/>
          <w:color w:val="auto"/>
        </w:rPr>
      </w:pPr>
    </w:p>
    <w:p>
      <w:pPr>
        <w:ind w:left="3680"/>
        <w:spacing w:after="0"/>
        <w:rPr>
          <w:sz w:val="20"/>
          <w:szCs w:val="20"/>
          <w:color w:val="auto"/>
        </w:rPr>
      </w:pPr>
      <w:r>
        <w:rPr>
          <w:rFonts w:ascii="Arial" w:cs="Arial" w:eastAsia="Arial" w:hAnsi="Arial"/>
          <w:sz w:val="12"/>
          <w:szCs w:val="12"/>
          <w:color w:val="auto"/>
        </w:rPr>
        <w:t>NOTES TO CONSOLIDATED FINANCIAL STATEMENTS - Continued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Major Customers</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Company's products are sold to both commercial and governmental customers. For the years ended April 30, 2013 and 2012, approximately 62% and 46% respectively, of the Company's sales were made under contracts to the U.S. Government or subcontracts for U.S. Government end-use.</w:t>
      </w:r>
    </w:p>
    <w:p>
      <w:pPr>
        <w:spacing w:after="0" w:line="11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In fiscal year 2013, sales to three customers of the FEI-NY segment aggregated $34.1 million or 65% of that segment’s total sales. Each of these customers also exceeded 10% of the Company’s consolidated revenues. During the year ended April 30, 2013, in the Gillam-FEI segment, sales to one customer exceeded 10% of that segment’s revenues. In the FEI-Zyfer segment, two customers accounted for more than 10% of that segment’s sales. None of the customers in the Gillam-FEI and FEI-Zyfer segments accounted for more than 10% of consolidated revenues.</w:t>
      </w:r>
    </w:p>
    <w:p>
      <w:pPr>
        <w:spacing w:after="0" w:line="12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In fiscal year 2012, sales to three customers of the FEI-NY segment aggregated $29.3 million or 66% of that segment’s total sales. Each of these customers also exceeded 10% of the Company’s consolidated revenues. During the year ended April 30, 2012, in the Gillam-FEI segment, sales to one customer exceeded 10% of that segment’s revenues. In the FEI-Zyfer segment, one customer accounted for more than 10% of that segment’s sales. None of the customers in the Gillam-FEI and FEI-Zyfer segments accounted for more than 10% of consolidated revenues.</w:t>
      </w:r>
    </w:p>
    <w:p>
      <w:pPr>
        <w:spacing w:after="0" w:line="12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The loss by the Company of any one of these customers would have a material adverse effect on the Company’s business. The Company believes its relationship with these customers to be mutually satisfactory. Sales to major customers above can include commercial and governmental end users.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Foreign Sales</w:t>
      </w:r>
    </w:p>
    <w:p>
      <w:pPr>
        <w:spacing w:after="0" w:line="15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Revenues in each of the Company’s segments include sales to foreign governments or to companies located in foreign countries. Revenues, based on the location of the procurement entity and excluding intersegment sales, were derived from the following countries: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120" w:type="dxa"/>
            <w:vAlign w:val="bottom"/>
            <w:gridSpan w:val="2"/>
            <w:vMerge w:val="restart"/>
          </w:tcPr>
          <w:p>
            <w:pPr>
              <w:jc w:val="right"/>
              <w:ind w:right="120"/>
              <w:spacing w:after="0"/>
              <w:rPr>
                <w:sz w:val="20"/>
                <w:szCs w:val="20"/>
                <w:color w:val="auto"/>
              </w:rPr>
            </w:pPr>
            <w:r>
              <w:rPr>
                <w:rFonts w:ascii="Arial" w:cs="Arial" w:eastAsia="Arial" w:hAnsi="Arial"/>
                <w:sz w:val="12"/>
                <w:szCs w:val="12"/>
                <w:b w:val="1"/>
                <w:bCs w:val="1"/>
                <w:color w:val="auto"/>
              </w:rPr>
              <w:t>2013</w:t>
            </w:r>
          </w:p>
        </w:tc>
        <w:tc>
          <w:tcPr>
            <w:tcW w:w="108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rPr>
              <w:t>(in thousands)</w:t>
            </w:r>
          </w:p>
        </w:tc>
        <w:tc>
          <w:tcPr>
            <w:tcW w:w="960" w:type="dxa"/>
            <w:vAlign w:val="bottom"/>
            <w:vMerge w:val="restart"/>
          </w:tcPr>
          <w:p>
            <w:pPr>
              <w:jc w:val="right"/>
              <w:ind w:right="520"/>
              <w:spacing w:after="0"/>
              <w:rPr>
                <w:sz w:val="20"/>
                <w:szCs w:val="20"/>
                <w:color w:val="auto"/>
              </w:rPr>
            </w:pPr>
            <w:r>
              <w:rPr>
                <w:rFonts w:ascii="Arial" w:cs="Arial" w:eastAsia="Arial" w:hAnsi="Arial"/>
                <w:sz w:val="12"/>
                <w:szCs w:val="12"/>
                <w:b w:val="1"/>
                <w:bCs w:val="1"/>
                <w:color w:val="auto"/>
              </w:rPr>
              <w:t>2012</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4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vMerge w:val="continue"/>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France</w:t>
            </w:r>
          </w:p>
        </w:tc>
        <w:tc>
          <w:tcPr>
            <w:tcW w:w="4120" w:type="dxa"/>
            <w:vAlign w:val="bottom"/>
            <w:gridSpan w:val="2"/>
            <w:shd w:val="clear" w:color="auto" w:fill="CCEEFF"/>
          </w:tcPr>
          <w:p>
            <w:pPr>
              <w:jc w:val="right"/>
              <w:ind w:right="8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9,527</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8,480</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2"/>
                <w:szCs w:val="12"/>
                <w:color w:val="auto"/>
              </w:rPr>
              <w:t>Belgium</w:t>
            </w:r>
          </w:p>
        </w:tc>
        <w:tc>
          <w:tcPr>
            <w:tcW w:w="3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4,240</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4,254</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2"/>
                <w:szCs w:val="12"/>
                <w:color w:val="auto"/>
              </w:rPr>
              <w:t>China</w:t>
            </w:r>
          </w:p>
        </w:tc>
        <w:tc>
          <w:tcPr>
            <w:tcW w:w="3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565</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w:t>
            </w:r>
          </w:p>
        </w:tc>
        <w:tc>
          <w:tcPr>
            <w:tcW w:w="120" w:type="dxa"/>
            <w:vAlign w:val="bottom"/>
            <w:shd w:val="clear" w:color="auto" w:fill="CCEEFF"/>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2320" w:type="dxa"/>
            <w:vAlign w:val="bottom"/>
          </w:tcPr>
          <w:p>
            <w:pPr>
              <w:spacing w:after="0"/>
              <w:rPr>
                <w:sz w:val="20"/>
                <w:szCs w:val="20"/>
                <w:color w:val="auto"/>
              </w:rPr>
            </w:pPr>
            <w:r>
              <w:rPr>
                <w:rFonts w:ascii="Arial" w:cs="Arial" w:eastAsia="Arial" w:hAnsi="Arial"/>
                <w:sz w:val="12"/>
                <w:szCs w:val="12"/>
                <w:color w:val="auto"/>
              </w:rPr>
              <w:t>Other</w:t>
            </w:r>
          </w:p>
        </w:tc>
        <w:tc>
          <w:tcPr>
            <w:tcW w:w="320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3,390</w:t>
            </w:r>
          </w:p>
        </w:tc>
        <w:tc>
          <w:tcPr>
            <w:tcW w:w="2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7,533</w:t>
            </w:r>
          </w:p>
        </w:tc>
        <w:tc>
          <w:tcPr>
            <w:tcW w:w="1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jc w:val="right"/>
              <w:ind w:right="86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17,722</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21,166</w:t>
            </w:r>
          </w:p>
        </w:tc>
        <w:tc>
          <w:tcPr>
            <w:tcW w:w="12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1440" w:type="dxa"/>
            <w:vAlign w:val="bottom"/>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3200" w:type="dxa"/>
            <w:vAlign w:val="bottom"/>
            <w:tcBorders>
              <w:top w:val="single" w:sz="8" w:color="CCEEFF"/>
            </w:tcBorders>
          </w:tcPr>
          <w:p>
            <w:pPr>
              <w:jc w:val="right"/>
              <w:ind w:right="1100"/>
              <w:spacing w:after="0"/>
              <w:rPr>
                <w:sz w:val="20"/>
                <w:szCs w:val="20"/>
                <w:color w:val="auto"/>
              </w:rPr>
            </w:pPr>
            <w:r>
              <w:rPr>
                <w:rFonts w:ascii="Arial" w:cs="Arial" w:eastAsia="Arial" w:hAnsi="Arial"/>
                <w:sz w:val="12"/>
                <w:szCs w:val="12"/>
                <w:color w:val="auto"/>
              </w:rPr>
              <w:t>47</w:t>
            </w:r>
          </w:p>
        </w:tc>
        <w:tc>
          <w:tcPr>
            <w:tcW w:w="9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440" w:type="dxa"/>
            <w:vAlign w:val="bottom"/>
            <w:tcBorders>
              <w:bottom w:val="single" w:sz="8" w:color="808080"/>
            </w:tcBorders>
          </w:tcPr>
          <w:p>
            <w:pPr>
              <w:spacing w:after="0"/>
              <w:rPr>
                <w:sz w:val="6"/>
                <w:szCs w:val="6"/>
                <w:color w:val="auto"/>
              </w:rPr>
            </w:pPr>
          </w:p>
        </w:tc>
        <w:tc>
          <w:tcPr>
            <w:tcW w:w="2320" w:type="dxa"/>
            <w:vAlign w:val="bottom"/>
            <w:tcBorders>
              <w:bottom w:val="single" w:sz="8" w:color="808080"/>
            </w:tcBorders>
          </w:tcPr>
          <w:p>
            <w:pPr>
              <w:spacing w:after="0"/>
              <w:rPr>
                <w:sz w:val="6"/>
                <w:szCs w:val="6"/>
                <w:color w:val="auto"/>
              </w:rPr>
            </w:pPr>
          </w:p>
        </w:tc>
        <w:tc>
          <w:tcPr>
            <w:tcW w:w="3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7" w:name="page48"/>
    <w:bookmarkEnd w:id="47"/>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9. Changes in and Disagreements with Accountants on Accounting and Financial Disclosure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9A Controls and Procedures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Evaluation of Disclosure Controls and Procedures</w:t>
      </w:r>
      <w:r>
        <w:rPr>
          <w:rFonts w:ascii="Arial" w:cs="Arial" w:eastAsia="Arial" w:hAnsi="Arial"/>
          <w:sz w:val="12"/>
          <w:szCs w:val="12"/>
          <w:color w:val="auto"/>
        </w:rPr>
        <w:t>.</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April 30, 2013, the Company’s disclosure controls and procedures were effective.</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Management’s Annual Report on Internal Control Over Financial Reporting</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2"/>
          <w:szCs w:val="12"/>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2"/>
          <w:szCs w:val="12"/>
          <w:color w:val="auto"/>
        </w:rPr>
        <w:t>Management has assessed the effectiveness of the Company’s internal control over financial reporting as of April 30, 2013. In making this assessment, management used the criteria established in Internal Control—Integrated Framework issued by the Committee of Sponsoring Organizations of the Treadway Commission (COSO). Based on this evaluation, management has concluded that the Company’s internal control over financial reporting were effective as of April 30, 2013.</w:t>
      </w:r>
    </w:p>
    <w:p>
      <w:pPr>
        <w:spacing w:after="0" w:line="14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2"/>
          <w:szCs w:val="12"/>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Financial Reporting</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In the prior fiscal year, the Company reported a material weakness in internal controls related to accounting for the acquisition of Elcom Technologies, Inc. in a “step-acquisition.” No similar acquisitions occurred in fiscal year 2013. If and when another acquisition takes place, the Company intends to supplement its technical resources to provide for the appropriate accounting for such transactions. Consequently, the Company asserts that the previous material weakness in internal controls over financial reporting will be remediated.</w:t>
      </w:r>
    </w:p>
    <w:p>
      <w:pPr>
        <w:spacing w:after="0" w:line="141"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2"/>
          <w:szCs w:val="12"/>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2"/>
          <w:szCs w:val="12"/>
          <w:u w:val="single" w:color="auto"/>
          <w:color w:val="auto"/>
        </w:rPr>
        <w:t>Changes in Internal Control Over Financial Reporting</w:t>
      </w:r>
      <w:r>
        <w:rPr>
          <w:rFonts w:ascii="Arial" w:cs="Arial" w:eastAsia="Arial" w:hAnsi="Arial"/>
          <w:sz w:val="12"/>
          <w:szCs w:val="12"/>
          <w:color w:val="auto"/>
        </w:rPr>
        <w:t>.</w:t>
      </w:r>
    </w:p>
    <w:p>
      <w:pPr>
        <w:spacing w:after="0" w:line="168" w:lineRule="exact"/>
        <w:rPr>
          <w:sz w:val="20"/>
          <w:szCs w:val="20"/>
          <w:color w:val="auto"/>
        </w:rPr>
      </w:pPr>
    </w:p>
    <w:p>
      <w:pPr>
        <w:jc w:val="both"/>
        <w:ind w:right="20" w:firstLine="324"/>
        <w:spacing w:after="0" w:line="323" w:lineRule="auto"/>
        <w:rPr>
          <w:sz w:val="20"/>
          <w:szCs w:val="20"/>
          <w:color w:val="auto"/>
        </w:rPr>
      </w:pPr>
      <w:r>
        <w:rPr>
          <w:rFonts w:ascii="Arial" w:cs="Arial" w:eastAsia="Arial" w:hAnsi="Arial"/>
          <w:sz w:val="11"/>
          <w:szCs w:val="11"/>
          <w:color w:val="auto"/>
        </w:rPr>
        <w:t>Other than the matters described in this Item 9A under “Financial Reporting,” there were no changes in the Company’s internal control over financial reporting (as such term is defined in Rules 13a-15(f) and 15d-15(f) under the Exchange Act) during the quarter ending April 30, 2013 to which this report relates that have materially affected, or are reasonably likely to materially affect, the Company’s internal control over financial reporting.</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9B Other Information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NONE</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8" w:name="page49"/>
    <w:bookmarkEnd w:id="48"/>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10. Directors and Executive Officers of the Company</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2"/>
          <w:szCs w:val="12"/>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to be filed for the annual meeting of stockholders to be held on or about October 8, 2013. The information required to be furnished pursuant to this item with respect to Executive Officers is set forth, pursuant to General Instruction G of Form 10-K, under Part I of this Report.</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11. Executive Compensation</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item is incorporated herein by reference from the Company's definitive proxy statement to be filed for the annual meeting of stockholders to be held on or about October 8, 2013.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12. Security Ownership of Certain Beneficial Owners and Management and Related Stockholder Matters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item is incorporated herein by reference from the Company's definitive proxy statement to be filed for the annual meeting of stockholders to be held on or about October 8, 2013.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13. Certain Relationships and Related Transactions, and Director Independence</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item is incorporated herein by reference from the Company's definitive proxy statement to be filed for the annual meeting of stockholders to be held on or about October 8, 2013.</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Item 14. Principal Accountant Fees and Services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This item is incorporated herein by reference from the Company's definitive proxy statement to be filed for the annual meeting of stockholders to be held on or about October 8, 2013.</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9" w:name="page50"/>
    <w:bookmarkEnd w:id="49"/>
    <w:p>
      <w:pPr>
        <w:ind w:left="8"/>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PART IV</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Item 15. Exhibits and Financial Statement Schedules</w:t>
      </w:r>
    </w:p>
    <w:p>
      <w:pPr>
        <w:spacing w:after="0" w:line="168" w:lineRule="exact"/>
        <w:rPr>
          <w:sz w:val="20"/>
          <w:szCs w:val="20"/>
          <w:color w:val="auto"/>
        </w:rPr>
      </w:pPr>
    </w:p>
    <w:p>
      <w:pPr>
        <w:ind w:left="348" w:hanging="348"/>
        <w:spacing w:after="0"/>
        <w:tabs>
          <w:tab w:leader="none" w:pos="348" w:val="left"/>
        </w:tabs>
        <w:numPr>
          <w:ilvl w:val="0"/>
          <w:numId w:val="13"/>
        </w:numPr>
        <w:rPr>
          <w:rFonts w:ascii="Arial" w:cs="Arial" w:eastAsia="Arial" w:hAnsi="Arial"/>
          <w:sz w:val="12"/>
          <w:szCs w:val="12"/>
          <w:color w:val="auto"/>
        </w:rPr>
      </w:pPr>
      <w:r>
        <w:rPr>
          <w:rFonts w:ascii="Arial" w:cs="Arial" w:eastAsia="Arial" w:hAnsi="Arial"/>
          <w:sz w:val="12"/>
          <w:szCs w:val="12"/>
          <w:u w:val="single" w:color="auto"/>
          <w:color w:val="auto"/>
        </w:rPr>
        <w:t>Index to Financial Statements and Exhibits</w:t>
      </w:r>
    </w:p>
    <w:p>
      <w:pPr>
        <w:spacing w:after="0" w:line="168" w:lineRule="exact"/>
        <w:rPr>
          <w:rFonts w:ascii="Arial" w:cs="Arial" w:eastAsia="Arial" w:hAnsi="Arial"/>
          <w:sz w:val="12"/>
          <w:szCs w:val="12"/>
          <w:color w:val="auto"/>
        </w:rPr>
      </w:pPr>
    </w:p>
    <w:p>
      <w:pPr>
        <w:ind w:left="328"/>
        <w:spacing w:after="0"/>
        <w:rPr>
          <w:rFonts w:ascii="Arial" w:cs="Arial" w:eastAsia="Arial" w:hAnsi="Arial"/>
          <w:sz w:val="12"/>
          <w:szCs w:val="12"/>
          <w:color w:val="auto"/>
        </w:rPr>
      </w:pPr>
      <w:r>
        <w:rPr>
          <w:rFonts w:ascii="Arial" w:cs="Arial" w:eastAsia="Arial" w:hAnsi="Arial"/>
          <w:sz w:val="12"/>
          <w:szCs w:val="12"/>
          <w:color w:val="auto"/>
        </w:rPr>
        <w:t>The financial statements and exhibits are listed below and are filed as part of this report.</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280" w:type="dxa"/>
            <w:vAlign w:val="bottom"/>
            <w:gridSpan w:val="2"/>
          </w:tcPr>
          <w:p>
            <w:pPr>
              <w:ind w:left="320"/>
              <w:spacing w:after="0"/>
              <w:rPr>
                <w:sz w:val="20"/>
                <w:szCs w:val="20"/>
                <w:color w:val="auto"/>
              </w:rPr>
            </w:pPr>
            <w:r>
              <w:rPr>
                <w:rFonts w:ascii="Arial" w:cs="Arial" w:eastAsia="Arial" w:hAnsi="Arial"/>
                <w:sz w:val="12"/>
                <w:szCs w:val="12"/>
                <w:color w:val="auto"/>
              </w:rPr>
              <w:t>(1) FINANCIAL STATEMENTS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306"/>
        </w:trPr>
        <w:tc>
          <w:tcPr>
            <w:tcW w:w="2280" w:type="dxa"/>
            <w:vAlign w:val="bottom"/>
            <w:gridSpan w:val="2"/>
          </w:tcPr>
          <w:p>
            <w:pPr>
              <w:ind w:left="420"/>
              <w:spacing w:after="0"/>
              <w:rPr>
                <w:sz w:val="20"/>
                <w:szCs w:val="20"/>
                <w:color w:val="auto"/>
              </w:rPr>
            </w:pPr>
            <w:r>
              <w:rPr>
                <w:rFonts w:ascii="Arial" w:cs="Arial" w:eastAsia="Arial" w:hAnsi="Arial"/>
                <w:sz w:val="12"/>
                <w:szCs w:val="12"/>
                <w:color w:val="auto"/>
              </w:rPr>
              <w:t>Included in Part II of this report: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9"/>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w w:val="80"/>
              </w:rPr>
              <w:t>Page(s)</w:t>
            </w:r>
          </w:p>
        </w:tc>
        <w:tc>
          <w:tcPr>
            <w:tcW w:w="480" w:type="dxa"/>
            <w:vAlign w:val="bottom"/>
          </w:tcPr>
          <w:p>
            <w:pPr>
              <w:spacing w:after="0"/>
              <w:rPr>
                <w:sz w:val="24"/>
                <w:szCs w:val="24"/>
                <w:color w:val="auto"/>
              </w:rPr>
            </w:pPr>
          </w:p>
        </w:tc>
      </w:tr>
      <w:tr>
        <w:trPr>
          <w:trHeight w:val="124"/>
        </w:trPr>
        <w:tc>
          <w:tcPr>
            <w:tcW w:w="10640" w:type="dxa"/>
            <w:vAlign w:val="bottom"/>
            <w:gridSpan w:val="13"/>
          </w:tcPr>
          <w:p>
            <w:pPr>
              <w:spacing w:after="0" w:line="124" w:lineRule="exact"/>
              <w:rPr>
                <w:rFonts w:ascii="Arial" w:cs="Arial" w:eastAsia="Arial" w:hAnsi="Arial"/>
                <w:sz w:val="12"/>
                <w:szCs w:val="12"/>
                <w:color w:val="0000EE"/>
              </w:rPr>
            </w:pPr>
            <w:hyperlink w:anchor="page23">
              <w:r>
                <w:rPr>
                  <w:rFonts w:ascii="Arial" w:cs="Arial" w:eastAsia="Arial" w:hAnsi="Arial"/>
                  <w:sz w:val="12"/>
                  <w:szCs w:val="12"/>
                  <w:color w:val="0000EE"/>
                </w:rPr>
                <w:t>Report of Independent Registered Public Accounting Firm</w:t>
              </w:r>
            </w:hyperlink>
          </w:p>
        </w:tc>
        <w:tc>
          <w:tcPr>
            <w:tcW w:w="840" w:type="dxa"/>
            <w:vAlign w:val="bottom"/>
            <w:gridSpan w:val="2"/>
          </w:tcPr>
          <w:p>
            <w:pPr>
              <w:jc w:val="right"/>
              <w:ind w:right="340"/>
              <w:spacing w:after="0" w:line="124" w:lineRule="exact"/>
              <w:rPr>
                <w:sz w:val="20"/>
                <w:szCs w:val="20"/>
                <w:color w:val="auto"/>
              </w:rPr>
            </w:pPr>
            <w:r>
              <w:rPr>
                <w:rFonts w:ascii="Arial" w:cs="Arial" w:eastAsia="Arial" w:hAnsi="Arial"/>
                <w:sz w:val="12"/>
                <w:szCs w:val="12"/>
                <w:color w:val="auto"/>
              </w:rPr>
              <w:t>23</w:t>
            </w:r>
          </w:p>
        </w:tc>
      </w:tr>
      <w:tr>
        <w:trPr>
          <w:trHeight w:val="124"/>
        </w:trPr>
        <w:tc>
          <w:tcPr>
            <w:tcW w:w="2600" w:type="dxa"/>
            <w:vAlign w:val="bottom"/>
            <w:tcBorders>
              <w:top w:val="single" w:sz="8" w:color="0000EE"/>
              <w:bottom w:val="single" w:sz="8" w:color="0000EE"/>
            </w:tcBorders>
            <w:gridSpan w:val="3"/>
          </w:tcPr>
          <w:p>
            <w:pPr>
              <w:spacing w:after="0" w:line="124" w:lineRule="exact"/>
              <w:rPr>
                <w:rFonts w:ascii="Arial" w:cs="Arial" w:eastAsia="Arial" w:hAnsi="Arial"/>
                <w:sz w:val="12"/>
                <w:szCs w:val="12"/>
                <w:color w:val="0000EE"/>
                <w:w w:val="89"/>
              </w:rPr>
            </w:pPr>
            <w:hyperlink w:anchor="page24">
              <w:r>
                <w:rPr>
                  <w:rFonts w:ascii="Arial" w:cs="Arial" w:eastAsia="Arial" w:hAnsi="Arial"/>
                  <w:sz w:val="12"/>
                  <w:szCs w:val="12"/>
                  <w:color w:val="0000EE"/>
                  <w:w w:val="89"/>
                </w:rPr>
                <w:t>Consolidated Balance Sheets April 30, 2013 and 2012</w:t>
              </w:r>
            </w:hyperlink>
          </w:p>
        </w:tc>
        <w:tc>
          <w:tcPr>
            <w:tcW w:w="200" w:type="dxa"/>
            <w:vAlign w:val="bottom"/>
            <w:tcBorders>
              <w:top w:val="single" w:sz="8" w:color="0000EE"/>
            </w:tcBorders>
          </w:tcPr>
          <w:p>
            <w:pPr>
              <w:spacing w:after="0"/>
              <w:rPr>
                <w:sz w:val="10"/>
                <w:szCs w:val="10"/>
                <w:color w:val="auto"/>
              </w:rPr>
            </w:pPr>
          </w:p>
        </w:tc>
        <w:tc>
          <w:tcPr>
            <w:tcW w:w="7840" w:type="dxa"/>
            <w:vAlign w:val="bottom"/>
            <w:gridSpan w:val="9"/>
          </w:tcPr>
          <w:p>
            <w:pPr>
              <w:spacing w:after="0"/>
              <w:rPr>
                <w:sz w:val="10"/>
                <w:szCs w:val="10"/>
                <w:color w:val="auto"/>
              </w:rPr>
            </w:pPr>
          </w:p>
        </w:tc>
        <w:tc>
          <w:tcPr>
            <w:tcW w:w="840" w:type="dxa"/>
            <w:vAlign w:val="bottom"/>
            <w:gridSpan w:val="2"/>
          </w:tcPr>
          <w:p>
            <w:pPr>
              <w:jc w:val="right"/>
              <w:ind w:right="340"/>
              <w:spacing w:after="0" w:line="124" w:lineRule="exact"/>
              <w:rPr>
                <w:sz w:val="20"/>
                <w:szCs w:val="20"/>
                <w:color w:val="auto"/>
              </w:rPr>
            </w:pPr>
            <w:r>
              <w:rPr>
                <w:rFonts w:ascii="Arial" w:cs="Arial" w:eastAsia="Arial" w:hAnsi="Arial"/>
                <w:sz w:val="12"/>
                <w:szCs w:val="12"/>
                <w:color w:val="auto"/>
              </w:rPr>
              <w:t>24</w:t>
            </w:r>
          </w:p>
        </w:tc>
      </w:tr>
      <w:tr>
        <w:trPr>
          <w:trHeight w:val="124"/>
        </w:trPr>
        <w:tc>
          <w:tcPr>
            <w:tcW w:w="10640" w:type="dxa"/>
            <w:vAlign w:val="bottom"/>
            <w:gridSpan w:val="13"/>
          </w:tcPr>
          <w:p>
            <w:pPr>
              <w:spacing w:after="0" w:line="124" w:lineRule="exact"/>
              <w:rPr>
                <w:rFonts w:ascii="Arial" w:cs="Arial" w:eastAsia="Arial" w:hAnsi="Arial"/>
                <w:sz w:val="12"/>
                <w:szCs w:val="12"/>
                <w:color w:val="0000EE"/>
              </w:rPr>
            </w:pPr>
            <w:hyperlink w:anchor="page25">
              <w:r>
                <w:rPr>
                  <w:rFonts w:ascii="Arial" w:cs="Arial" w:eastAsia="Arial" w:hAnsi="Arial"/>
                  <w:sz w:val="12"/>
                  <w:szCs w:val="12"/>
                  <w:color w:val="0000EE"/>
                </w:rPr>
                <w:t>Consolidated Statements of Income and Comprehensive Income -years ended April 30, 2013 and 2012</w:t>
              </w:r>
            </w:hyperlink>
          </w:p>
        </w:tc>
        <w:tc>
          <w:tcPr>
            <w:tcW w:w="840" w:type="dxa"/>
            <w:vAlign w:val="bottom"/>
            <w:gridSpan w:val="2"/>
          </w:tcPr>
          <w:p>
            <w:pPr>
              <w:jc w:val="right"/>
              <w:ind w:right="340"/>
              <w:spacing w:after="0" w:line="124" w:lineRule="exact"/>
              <w:rPr>
                <w:sz w:val="20"/>
                <w:szCs w:val="20"/>
                <w:color w:val="auto"/>
              </w:rPr>
            </w:pPr>
            <w:r>
              <w:rPr>
                <w:rFonts w:ascii="Arial" w:cs="Arial" w:eastAsia="Arial" w:hAnsi="Arial"/>
                <w:sz w:val="12"/>
                <w:szCs w:val="12"/>
                <w:color w:val="auto"/>
              </w:rPr>
              <w:t>25</w:t>
            </w:r>
          </w:p>
        </w:tc>
      </w:tr>
      <w:tr>
        <w:trPr>
          <w:trHeight w:val="124"/>
        </w:trPr>
        <w:tc>
          <w:tcPr>
            <w:tcW w:w="4920" w:type="dxa"/>
            <w:vAlign w:val="bottom"/>
            <w:tcBorders>
              <w:top w:val="single" w:sz="8" w:color="0000EE"/>
            </w:tcBorders>
            <w:gridSpan w:val="8"/>
          </w:tcPr>
          <w:p>
            <w:pPr>
              <w:spacing w:after="0" w:line="124" w:lineRule="exact"/>
              <w:rPr>
                <w:rFonts w:ascii="Arial" w:cs="Arial" w:eastAsia="Arial" w:hAnsi="Arial"/>
                <w:sz w:val="12"/>
                <w:szCs w:val="12"/>
                <w:color w:val="0000EE"/>
              </w:rPr>
            </w:pPr>
            <w:hyperlink w:anchor="page26">
              <w:r>
                <w:rPr>
                  <w:rFonts w:ascii="Arial" w:cs="Arial" w:eastAsia="Arial" w:hAnsi="Arial"/>
                  <w:sz w:val="12"/>
                  <w:szCs w:val="12"/>
                  <w:color w:val="0000EE"/>
                </w:rPr>
                <w:t>Consolidated Statements of Cash Flows - years ended April 30, 2013 and 2012</w:t>
              </w:r>
            </w:hyperlink>
          </w:p>
        </w:tc>
        <w:tc>
          <w:tcPr>
            <w:tcW w:w="5720" w:type="dxa"/>
            <w:vAlign w:val="bottom"/>
            <w:gridSpan w:val="5"/>
          </w:tcPr>
          <w:p>
            <w:pPr>
              <w:spacing w:after="0"/>
              <w:rPr>
                <w:sz w:val="10"/>
                <w:szCs w:val="10"/>
                <w:color w:val="auto"/>
              </w:rPr>
            </w:pPr>
          </w:p>
        </w:tc>
        <w:tc>
          <w:tcPr>
            <w:tcW w:w="840" w:type="dxa"/>
            <w:vAlign w:val="bottom"/>
            <w:gridSpan w:val="2"/>
          </w:tcPr>
          <w:p>
            <w:pPr>
              <w:jc w:val="right"/>
              <w:ind w:right="340"/>
              <w:spacing w:after="0" w:line="124" w:lineRule="exact"/>
              <w:rPr>
                <w:sz w:val="20"/>
                <w:szCs w:val="20"/>
                <w:color w:val="auto"/>
              </w:rPr>
            </w:pPr>
            <w:r>
              <w:rPr>
                <w:rFonts w:ascii="Arial" w:cs="Arial" w:eastAsia="Arial" w:hAnsi="Arial"/>
                <w:sz w:val="12"/>
                <w:szCs w:val="12"/>
                <w:color w:val="auto"/>
              </w:rPr>
              <w:t>26-27</w:t>
            </w:r>
          </w:p>
        </w:tc>
      </w:tr>
      <w:tr>
        <w:trPr>
          <w:trHeight w:val="20"/>
        </w:trPr>
        <w:tc>
          <w:tcPr>
            <w:tcW w:w="21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124"/>
        </w:trPr>
        <w:tc>
          <w:tcPr>
            <w:tcW w:w="10640" w:type="dxa"/>
            <w:vAlign w:val="bottom"/>
            <w:gridSpan w:val="13"/>
          </w:tcPr>
          <w:p>
            <w:pPr>
              <w:spacing w:after="0" w:line="124" w:lineRule="exact"/>
              <w:rPr>
                <w:rFonts w:ascii="Arial" w:cs="Arial" w:eastAsia="Arial" w:hAnsi="Arial"/>
                <w:sz w:val="12"/>
                <w:szCs w:val="12"/>
                <w:color w:val="0000EE"/>
              </w:rPr>
            </w:pPr>
            <w:hyperlink w:anchor="page28">
              <w:r>
                <w:rPr>
                  <w:rFonts w:ascii="Arial" w:cs="Arial" w:eastAsia="Arial" w:hAnsi="Arial"/>
                  <w:sz w:val="12"/>
                  <w:szCs w:val="12"/>
                  <w:color w:val="0000EE"/>
                </w:rPr>
                <w:t>Consolidated Statements of Changes in Stockholders' Equity - years ended April 30, 2013 and 2012</w:t>
              </w:r>
            </w:hyperlink>
          </w:p>
        </w:tc>
        <w:tc>
          <w:tcPr>
            <w:tcW w:w="840" w:type="dxa"/>
            <w:vAlign w:val="bottom"/>
            <w:gridSpan w:val="2"/>
          </w:tcPr>
          <w:p>
            <w:pPr>
              <w:jc w:val="right"/>
              <w:ind w:right="340"/>
              <w:spacing w:after="0" w:line="124" w:lineRule="exact"/>
              <w:rPr>
                <w:sz w:val="20"/>
                <w:szCs w:val="20"/>
                <w:color w:val="auto"/>
              </w:rPr>
            </w:pPr>
            <w:r>
              <w:rPr>
                <w:rFonts w:ascii="Arial" w:cs="Arial" w:eastAsia="Arial" w:hAnsi="Arial"/>
                <w:sz w:val="12"/>
                <w:szCs w:val="12"/>
                <w:color w:val="auto"/>
              </w:rPr>
              <w:t>28</w:t>
            </w:r>
          </w:p>
        </w:tc>
      </w:tr>
      <w:tr>
        <w:trPr>
          <w:trHeight w:val="124"/>
        </w:trPr>
        <w:tc>
          <w:tcPr>
            <w:tcW w:w="2100" w:type="dxa"/>
            <w:vAlign w:val="bottom"/>
            <w:tcBorders>
              <w:top w:val="single" w:sz="8" w:color="0000EE"/>
              <w:bottom w:val="single" w:sz="8" w:color="0000EE"/>
            </w:tcBorders>
          </w:tcPr>
          <w:p>
            <w:pPr>
              <w:spacing w:after="0" w:line="124" w:lineRule="exact"/>
              <w:rPr>
                <w:rFonts w:ascii="Arial" w:cs="Arial" w:eastAsia="Arial" w:hAnsi="Arial"/>
                <w:sz w:val="12"/>
                <w:szCs w:val="12"/>
                <w:color w:val="0000EE"/>
                <w:w w:val="89"/>
              </w:rPr>
            </w:pPr>
            <w:hyperlink w:anchor="page29">
              <w:r>
                <w:rPr>
                  <w:rFonts w:ascii="Arial" w:cs="Arial" w:eastAsia="Arial" w:hAnsi="Arial"/>
                  <w:sz w:val="12"/>
                  <w:szCs w:val="12"/>
                  <w:color w:val="0000EE"/>
                  <w:w w:val="89"/>
                </w:rPr>
                <w:t>Notes to Consolidated Financial Statements</w:t>
              </w:r>
            </w:hyperlink>
          </w:p>
        </w:tc>
        <w:tc>
          <w:tcPr>
            <w:tcW w:w="180" w:type="dxa"/>
            <w:vAlign w:val="bottom"/>
            <w:tcBorders>
              <w:top w:val="single" w:sz="8" w:color="0000EE"/>
            </w:tcBorders>
          </w:tcPr>
          <w:p>
            <w:pPr>
              <w:spacing w:after="0"/>
              <w:rPr>
                <w:sz w:val="10"/>
                <w:szCs w:val="10"/>
                <w:color w:val="auto"/>
              </w:rPr>
            </w:pPr>
          </w:p>
        </w:tc>
        <w:tc>
          <w:tcPr>
            <w:tcW w:w="32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9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900" w:type="dxa"/>
            <w:vAlign w:val="bottom"/>
            <w:tcBorders>
              <w:top w:val="single" w:sz="8" w:color="0000EE"/>
            </w:tcBorders>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40" w:type="dxa"/>
            <w:vAlign w:val="bottom"/>
            <w:gridSpan w:val="2"/>
          </w:tcPr>
          <w:p>
            <w:pPr>
              <w:jc w:val="right"/>
              <w:ind w:right="340"/>
              <w:spacing w:after="0" w:line="124" w:lineRule="exact"/>
              <w:rPr>
                <w:sz w:val="20"/>
                <w:szCs w:val="20"/>
                <w:color w:val="auto"/>
              </w:rPr>
            </w:pPr>
            <w:r>
              <w:rPr>
                <w:rFonts w:ascii="Arial" w:cs="Arial" w:eastAsia="Arial" w:hAnsi="Arial"/>
                <w:sz w:val="12"/>
                <w:szCs w:val="12"/>
                <w:color w:val="auto"/>
              </w:rPr>
              <w:t>29-47</w:t>
            </w:r>
          </w:p>
        </w:tc>
      </w:tr>
      <w:tr>
        <w:trPr>
          <w:trHeight w:val="313"/>
        </w:trPr>
        <w:tc>
          <w:tcPr>
            <w:tcW w:w="2280" w:type="dxa"/>
            <w:vAlign w:val="bottom"/>
            <w:gridSpan w:val="2"/>
          </w:tcPr>
          <w:p>
            <w:pPr>
              <w:ind w:left="340"/>
              <w:spacing w:after="0"/>
              <w:rPr>
                <w:sz w:val="20"/>
                <w:szCs w:val="20"/>
                <w:color w:val="auto"/>
              </w:rPr>
            </w:pPr>
            <w:r>
              <w:rPr>
                <w:rFonts w:ascii="Arial" w:cs="Arial" w:eastAsia="Arial" w:hAnsi="Arial"/>
                <w:sz w:val="12"/>
                <w:szCs w:val="12"/>
                <w:color w:val="auto"/>
              </w:rPr>
              <w:t>(2) EXHIBITS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79"/>
        </w:trPr>
        <w:tc>
          <w:tcPr>
            <w:tcW w:w="2280" w:type="dxa"/>
            <w:vAlign w:val="bottom"/>
            <w:gridSpan w:val="2"/>
          </w:tcPr>
          <w:p>
            <w:pPr>
              <w:ind w:left="800"/>
              <w:spacing w:after="0"/>
              <w:rPr>
                <w:sz w:val="20"/>
                <w:szCs w:val="20"/>
                <w:color w:val="auto"/>
              </w:rPr>
            </w:pPr>
            <w:r>
              <w:rPr>
                <w:rFonts w:ascii="Arial" w:cs="Arial" w:eastAsia="Arial" w:hAnsi="Arial"/>
                <w:sz w:val="12"/>
                <w:szCs w:val="12"/>
                <w:color w:val="auto"/>
              </w:rPr>
              <w:t>Exhibit 21</w:t>
            </w:r>
          </w:p>
        </w:tc>
        <w:tc>
          <w:tcPr>
            <w:tcW w:w="1600" w:type="dxa"/>
            <w:vAlign w:val="bottom"/>
            <w:tcBorders>
              <w:bottom w:val="single" w:sz="8" w:color="0000EE"/>
            </w:tcBorders>
            <w:gridSpan w:val="4"/>
          </w:tcPr>
          <w:p>
            <w:pPr>
              <w:spacing w:after="0"/>
              <w:rPr>
                <w:sz w:val="20"/>
                <w:szCs w:val="20"/>
                <w:color w:val="auto"/>
              </w:rPr>
            </w:pPr>
            <w:r>
              <w:rPr>
                <w:rFonts w:ascii="Arial" w:cs="Arial" w:eastAsia="Arial" w:hAnsi="Arial"/>
                <w:sz w:val="12"/>
                <w:szCs w:val="12"/>
                <w:color w:val="0000EE"/>
                <w:w w:val="91"/>
              </w:rPr>
              <w:t>List of Subsidiaries of Registrant</w:t>
            </w:r>
          </w:p>
        </w:tc>
        <w:tc>
          <w:tcPr>
            <w:tcW w:w="676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24"/>
        </w:trPr>
        <w:tc>
          <w:tcPr>
            <w:tcW w:w="2280" w:type="dxa"/>
            <w:vAlign w:val="bottom"/>
            <w:gridSpan w:val="2"/>
          </w:tcPr>
          <w:p>
            <w:pPr>
              <w:ind w:left="800"/>
              <w:spacing w:after="0" w:line="124" w:lineRule="exact"/>
              <w:rPr>
                <w:sz w:val="20"/>
                <w:szCs w:val="20"/>
                <w:color w:val="auto"/>
              </w:rPr>
            </w:pPr>
            <w:r>
              <w:rPr>
                <w:rFonts w:ascii="Arial" w:cs="Arial" w:eastAsia="Arial" w:hAnsi="Arial"/>
                <w:sz w:val="12"/>
                <w:szCs w:val="12"/>
                <w:color w:val="auto"/>
              </w:rPr>
              <w:t>Exhibit 23.1</w:t>
            </w:r>
          </w:p>
        </w:tc>
        <w:tc>
          <w:tcPr>
            <w:tcW w:w="8360" w:type="dxa"/>
            <w:vAlign w:val="bottom"/>
            <w:gridSpan w:val="11"/>
          </w:tcPr>
          <w:p>
            <w:pPr>
              <w:spacing w:after="0" w:line="124" w:lineRule="exact"/>
              <w:rPr>
                <w:sz w:val="20"/>
                <w:szCs w:val="20"/>
                <w:color w:val="auto"/>
              </w:rPr>
            </w:pPr>
            <w:r>
              <w:rPr>
                <w:rFonts w:ascii="Arial" w:cs="Arial" w:eastAsia="Arial" w:hAnsi="Arial"/>
                <w:sz w:val="12"/>
                <w:szCs w:val="12"/>
                <w:color w:val="0000EE"/>
              </w:rPr>
              <w:t>Consent of Independent Registered Public Accounting Firm</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20"/>
        </w:trPr>
        <w:tc>
          <w:tcPr>
            <w:tcW w:w="2280" w:type="dxa"/>
            <w:vAlign w:val="bottom"/>
            <w:gridSpan w:val="2"/>
          </w:tcPr>
          <w:p>
            <w:pPr>
              <w:spacing w:after="0" w:line="20" w:lineRule="exact"/>
              <w:rPr>
                <w:sz w:val="1"/>
                <w:szCs w:val="1"/>
                <w:color w:val="auto"/>
              </w:rPr>
            </w:pPr>
          </w:p>
        </w:tc>
        <w:tc>
          <w:tcPr>
            <w:tcW w:w="2880" w:type="dxa"/>
            <w:vAlign w:val="bottom"/>
            <w:gridSpan w:val="7"/>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24"/>
        </w:trPr>
        <w:tc>
          <w:tcPr>
            <w:tcW w:w="2280" w:type="dxa"/>
            <w:vAlign w:val="bottom"/>
            <w:gridSpan w:val="2"/>
          </w:tcPr>
          <w:p>
            <w:pPr>
              <w:ind w:left="800"/>
              <w:spacing w:after="0" w:line="124" w:lineRule="exact"/>
              <w:rPr>
                <w:sz w:val="20"/>
                <w:szCs w:val="20"/>
                <w:color w:val="auto"/>
              </w:rPr>
            </w:pPr>
            <w:r>
              <w:rPr>
                <w:rFonts w:ascii="Arial" w:cs="Arial" w:eastAsia="Arial" w:hAnsi="Arial"/>
                <w:sz w:val="12"/>
                <w:szCs w:val="12"/>
                <w:color w:val="auto"/>
              </w:rPr>
              <w:t>Exhibit 31.1</w:t>
            </w:r>
          </w:p>
        </w:tc>
        <w:tc>
          <w:tcPr>
            <w:tcW w:w="4980" w:type="dxa"/>
            <w:vAlign w:val="bottom"/>
            <w:tcBorders>
              <w:bottom w:val="single" w:sz="8" w:color="0000EE"/>
            </w:tcBorders>
            <w:gridSpan w:val="9"/>
          </w:tcPr>
          <w:p>
            <w:pPr>
              <w:spacing w:after="0" w:line="124" w:lineRule="exact"/>
              <w:rPr>
                <w:sz w:val="20"/>
                <w:szCs w:val="20"/>
                <w:color w:val="auto"/>
              </w:rPr>
            </w:pPr>
            <w:r>
              <w:rPr>
                <w:rFonts w:ascii="Arial" w:cs="Arial" w:eastAsia="Arial" w:hAnsi="Arial"/>
                <w:sz w:val="12"/>
                <w:szCs w:val="12"/>
                <w:color w:val="0000EE"/>
                <w:w w:val="92"/>
              </w:rPr>
              <w:t>Certification of the Chief Executive Officer pursuant to Section 302 of the Sarbanes-Oxley Act of 2002</w:t>
            </w:r>
          </w:p>
        </w:tc>
        <w:tc>
          <w:tcPr>
            <w:tcW w:w="3380" w:type="dxa"/>
            <w:vAlign w:val="bottom"/>
            <w:gridSpan w:val="2"/>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124"/>
        </w:trPr>
        <w:tc>
          <w:tcPr>
            <w:tcW w:w="2280" w:type="dxa"/>
            <w:vAlign w:val="bottom"/>
            <w:gridSpan w:val="2"/>
          </w:tcPr>
          <w:p>
            <w:pPr>
              <w:ind w:left="800"/>
              <w:spacing w:after="0" w:line="124" w:lineRule="exact"/>
              <w:rPr>
                <w:sz w:val="20"/>
                <w:szCs w:val="20"/>
                <w:color w:val="auto"/>
              </w:rPr>
            </w:pPr>
            <w:r>
              <w:rPr>
                <w:rFonts w:ascii="Arial" w:cs="Arial" w:eastAsia="Arial" w:hAnsi="Arial"/>
                <w:sz w:val="12"/>
                <w:szCs w:val="12"/>
                <w:color w:val="auto"/>
              </w:rPr>
              <w:t>Exhibit 31.2</w:t>
            </w:r>
          </w:p>
        </w:tc>
        <w:tc>
          <w:tcPr>
            <w:tcW w:w="8360" w:type="dxa"/>
            <w:vAlign w:val="bottom"/>
            <w:gridSpan w:val="11"/>
          </w:tcPr>
          <w:p>
            <w:pPr>
              <w:spacing w:after="0" w:line="124" w:lineRule="exact"/>
              <w:rPr>
                <w:sz w:val="20"/>
                <w:szCs w:val="20"/>
                <w:color w:val="auto"/>
              </w:rPr>
            </w:pPr>
            <w:r>
              <w:rPr>
                <w:rFonts w:ascii="Arial" w:cs="Arial" w:eastAsia="Arial" w:hAnsi="Arial"/>
                <w:sz w:val="12"/>
                <w:szCs w:val="12"/>
                <w:color w:val="0000EE"/>
              </w:rPr>
              <w:t>Certification of the Chief Financial Officer pursuant to Section 302 of the Sarbanes-Oxley Act of 2002</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20"/>
        </w:trPr>
        <w:tc>
          <w:tcPr>
            <w:tcW w:w="2280" w:type="dxa"/>
            <w:vAlign w:val="bottom"/>
            <w:gridSpan w:val="2"/>
          </w:tcPr>
          <w:p>
            <w:pPr>
              <w:spacing w:after="0" w:line="20" w:lineRule="exact"/>
              <w:rPr>
                <w:sz w:val="1"/>
                <w:szCs w:val="1"/>
                <w:color w:val="auto"/>
              </w:rPr>
            </w:pPr>
          </w:p>
        </w:tc>
        <w:tc>
          <w:tcPr>
            <w:tcW w:w="4940" w:type="dxa"/>
            <w:vAlign w:val="bottom"/>
            <w:gridSpan w:val="8"/>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24"/>
        </w:trPr>
        <w:tc>
          <w:tcPr>
            <w:tcW w:w="2280" w:type="dxa"/>
            <w:vAlign w:val="bottom"/>
            <w:gridSpan w:val="2"/>
          </w:tcPr>
          <w:p>
            <w:pPr>
              <w:ind w:left="800"/>
              <w:spacing w:after="0" w:line="124" w:lineRule="exact"/>
              <w:rPr>
                <w:sz w:val="20"/>
                <w:szCs w:val="20"/>
                <w:color w:val="auto"/>
              </w:rPr>
            </w:pPr>
            <w:r>
              <w:rPr>
                <w:rFonts w:ascii="Arial" w:cs="Arial" w:eastAsia="Arial" w:hAnsi="Arial"/>
                <w:sz w:val="12"/>
                <w:szCs w:val="12"/>
                <w:color w:val="auto"/>
              </w:rPr>
              <w:t>Exhibit 32</w:t>
            </w:r>
          </w:p>
        </w:tc>
        <w:tc>
          <w:tcPr>
            <w:tcW w:w="8360" w:type="dxa"/>
            <w:vAlign w:val="bottom"/>
            <w:gridSpan w:val="11"/>
          </w:tcPr>
          <w:p>
            <w:pPr>
              <w:spacing w:after="0" w:line="124" w:lineRule="exact"/>
              <w:rPr>
                <w:sz w:val="20"/>
                <w:szCs w:val="20"/>
                <w:color w:val="auto"/>
              </w:rPr>
            </w:pPr>
            <w:r>
              <w:rPr>
                <w:rFonts w:ascii="Arial" w:cs="Arial" w:eastAsia="Arial" w:hAnsi="Arial"/>
                <w:sz w:val="12"/>
                <w:szCs w:val="12"/>
                <w:color w:val="0000EE"/>
              </w:rPr>
              <w:t>Certification of the Chief Executive Officer and Chief Financial Officer pursuant to Section 906 of the Sarbanes-Oxley Act of 2002</w:t>
            </w:r>
          </w:p>
        </w:tc>
        <w:tc>
          <w:tcPr>
            <w:tcW w:w="360" w:type="dxa"/>
            <w:vAlign w:val="bottom"/>
          </w:tcPr>
          <w:p>
            <w:pPr>
              <w:spacing w:after="0"/>
              <w:rPr>
                <w:sz w:val="10"/>
                <w:szCs w:val="10"/>
                <w:color w:val="auto"/>
              </w:rPr>
            </w:pPr>
          </w:p>
        </w:tc>
        <w:tc>
          <w:tcPr>
            <w:tcW w:w="480" w:type="dxa"/>
            <w:vAlign w:val="bottom"/>
          </w:tcPr>
          <w:p>
            <w:pPr>
              <w:spacing w:after="0"/>
              <w:rPr>
                <w:sz w:val="10"/>
                <w:szCs w:val="10"/>
                <w:color w:val="auto"/>
              </w:rPr>
            </w:pPr>
          </w:p>
        </w:tc>
      </w:tr>
      <w:tr>
        <w:trPr>
          <w:trHeight w:val="20"/>
        </w:trPr>
        <w:tc>
          <w:tcPr>
            <w:tcW w:w="2280" w:type="dxa"/>
            <w:vAlign w:val="bottom"/>
            <w:gridSpan w:val="2"/>
          </w:tcPr>
          <w:p>
            <w:pPr>
              <w:spacing w:after="0" w:line="20" w:lineRule="exact"/>
              <w:rPr>
                <w:sz w:val="1"/>
                <w:szCs w:val="1"/>
                <w:color w:val="auto"/>
              </w:rPr>
            </w:pPr>
          </w:p>
        </w:tc>
        <w:tc>
          <w:tcPr>
            <w:tcW w:w="6320" w:type="dxa"/>
            <w:vAlign w:val="bottom"/>
            <w:gridSpan w:val="10"/>
            <w:shd w:val="clear" w:color="auto" w:fill="0000EE"/>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r>
      <w:tr>
        <w:trPr>
          <w:trHeight w:val="142"/>
        </w:trPr>
        <w:tc>
          <w:tcPr>
            <w:tcW w:w="2280" w:type="dxa"/>
            <w:vAlign w:val="bottom"/>
            <w:gridSpan w:val="2"/>
          </w:tcPr>
          <w:p>
            <w:pPr>
              <w:ind w:left="800"/>
              <w:spacing w:after="0"/>
              <w:rPr>
                <w:sz w:val="20"/>
                <w:szCs w:val="20"/>
                <w:color w:val="auto"/>
              </w:rPr>
            </w:pPr>
            <w:r>
              <w:rPr>
                <w:rFonts w:ascii="Arial" w:cs="Arial" w:eastAsia="Arial" w:hAnsi="Arial"/>
                <w:sz w:val="12"/>
                <w:szCs w:val="12"/>
                <w:color w:val="auto"/>
              </w:rPr>
              <w:t>Exhibit 101-</w:t>
            </w:r>
          </w:p>
        </w:tc>
        <w:tc>
          <w:tcPr>
            <w:tcW w:w="9200" w:type="dxa"/>
            <w:vAlign w:val="bottom"/>
            <w:gridSpan w:val="13"/>
          </w:tcPr>
          <w:p>
            <w:pPr>
              <w:spacing w:after="0"/>
              <w:rPr>
                <w:sz w:val="20"/>
                <w:szCs w:val="20"/>
                <w:color w:val="auto"/>
              </w:rPr>
            </w:pPr>
            <w:r>
              <w:rPr>
                <w:rFonts w:ascii="Arial" w:cs="Arial" w:eastAsia="Arial" w:hAnsi="Arial"/>
                <w:sz w:val="12"/>
                <w:szCs w:val="12"/>
                <w:color w:val="auto"/>
                <w:w w:val="92"/>
              </w:rPr>
              <w:t>The following materials from the Frequency Electronics, Inc. Annual Report on Form 10-K for the year ended April 30, 2013 formatted in eXtensible Business Reporting Language (XBRL):</w:t>
            </w:r>
          </w:p>
        </w:tc>
      </w:tr>
      <w:tr>
        <w:trPr>
          <w:trHeight w:val="144"/>
        </w:trPr>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0" w:type="dxa"/>
            <w:vAlign w:val="bottom"/>
            <w:gridSpan w:val="13"/>
          </w:tcPr>
          <w:p>
            <w:pPr>
              <w:spacing w:after="0"/>
              <w:rPr>
                <w:sz w:val="20"/>
                <w:szCs w:val="20"/>
                <w:color w:val="auto"/>
              </w:rPr>
            </w:pPr>
            <w:r>
              <w:rPr>
                <w:rFonts w:ascii="Arial" w:cs="Arial" w:eastAsia="Arial" w:hAnsi="Arial"/>
                <w:sz w:val="12"/>
                <w:szCs w:val="12"/>
                <w:color w:val="auto"/>
                <w:w w:val="90"/>
              </w:rPr>
              <w:t>(i) Consolidated Balance Sheets, (ii) Consolidated Statements of Income and Comprehensive Income, (iii) Consolidated Statements of Cash Flows, (iv) Consolidated Statement of Changes in</w:t>
            </w:r>
          </w:p>
        </w:tc>
      </w:tr>
      <w:tr>
        <w:trPr>
          <w:trHeight w:val="153"/>
        </w:trPr>
        <w:tc>
          <w:tcPr>
            <w:tcW w:w="2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360" w:type="dxa"/>
            <w:vAlign w:val="bottom"/>
            <w:gridSpan w:val="11"/>
          </w:tcPr>
          <w:p>
            <w:pPr>
              <w:spacing w:after="0"/>
              <w:rPr>
                <w:sz w:val="20"/>
                <w:szCs w:val="20"/>
                <w:color w:val="auto"/>
              </w:rPr>
            </w:pPr>
            <w:r>
              <w:rPr>
                <w:rFonts w:ascii="Arial" w:cs="Arial" w:eastAsia="Arial" w:hAnsi="Arial"/>
                <w:sz w:val="12"/>
                <w:szCs w:val="12"/>
                <w:color w:val="auto"/>
              </w:rPr>
              <w:t>Stockholders’ Equity and (v) Notes to Consolidated Financial Statements</w:t>
            </w: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r>
    </w:tbl>
    <w:p>
      <w:pPr>
        <w:spacing w:after="0" w:line="153" w:lineRule="exact"/>
        <w:rPr>
          <w:sz w:val="20"/>
          <w:szCs w:val="20"/>
          <w:color w:val="auto"/>
        </w:rPr>
      </w:pPr>
    </w:p>
    <w:p>
      <w:pPr>
        <w:ind w:left="868"/>
        <w:spacing w:after="0"/>
        <w:rPr>
          <w:sz w:val="20"/>
          <w:szCs w:val="20"/>
          <w:color w:val="auto"/>
        </w:rPr>
      </w:pPr>
      <w:r>
        <w:rPr>
          <w:rFonts w:ascii="Arial" w:cs="Arial" w:eastAsia="Arial" w:hAnsi="Arial"/>
          <w:sz w:val="12"/>
          <w:szCs w:val="12"/>
          <w:color w:val="auto"/>
        </w:rPr>
        <w:t>The exhibits listed on the accompanying Index to Exhibits beginning on page 51 are filed as part of this annual report.</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50" w:name="page51"/>
    <w:bookmarkEnd w:id="50"/>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Pursuant to the requirements of Section 13 or 15 (d) of the Securities Exchange Act of 1934, the Registrant has duly caused this report to be signed on its behalf by the undersigned, thereunto duly authorized.</w:t>
      </w:r>
    </w:p>
    <w:p>
      <w:pPr>
        <w:spacing w:after="0" w:line="164" w:lineRule="exact"/>
        <w:rPr>
          <w:sz w:val="20"/>
          <w:szCs w:val="20"/>
          <w:color w:val="auto"/>
        </w:rPr>
      </w:pPr>
    </w:p>
    <w:p>
      <w:pPr>
        <w:ind w:left="5960"/>
        <w:spacing w:after="0"/>
        <w:rPr>
          <w:sz w:val="20"/>
          <w:szCs w:val="20"/>
          <w:color w:val="auto"/>
        </w:rPr>
      </w:pPr>
      <w:r>
        <w:rPr>
          <w:rFonts w:ascii="Arial" w:cs="Arial" w:eastAsia="Arial" w:hAnsi="Arial"/>
          <w:sz w:val="12"/>
          <w:szCs w:val="12"/>
          <w:b w:val="1"/>
          <w:bCs w:val="1"/>
          <w:color w:val="auto"/>
        </w:rPr>
        <w:t>FREQUENCY ELECTRONICS, INC.</w:t>
      </w:r>
    </w:p>
    <w:p>
      <w:pPr>
        <w:spacing w:after="0" w:line="154" w:lineRule="exact"/>
        <w:rPr>
          <w:sz w:val="20"/>
          <w:szCs w:val="20"/>
          <w:color w:val="auto"/>
        </w:rPr>
      </w:pPr>
    </w:p>
    <w:tbl>
      <w:tblPr>
        <w:tblLayout w:type="fixed"/>
        <w:tblInd w:w="5640" w:type="dxa"/>
        <w:tblCellMar>
          <w:top w:w="0" w:type="dxa"/>
          <w:left w:w="0" w:type="dxa"/>
          <w:bottom w:w="0" w:type="dxa"/>
          <w:right w:w="0" w:type="dxa"/>
        </w:tblCellMar>
      </w:tblPr>
      <w:tr>
        <w:trPr>
          <w:trHeight w:val="160"/>
        </w:trPr>
        <w:tc>
          <w:tcPr>
            <w:tcW w:w="340" w:type="dxa"/>
            <w:vAlign w:val="bottom"/>
          </w:tcPr>
          <w:p>
            <w:pPr>
              <w:spacing w:after="0"/>
              <w:rPr>
                <w:sz w:val="20"/>
                <w:szCs w:val="20"/>
                <w:color w:val="auto"/>
              </w:rPr>
            </w:pPr>
            <w:r>
              <w:rPr>
                <w:rFonts w:ascii="Arial" w:cs="Arial" w:eastAsia="Arial" w:hAnsi="Arial"/>
                <w:sz w:val="12"/>
                <w:szCs w:val="12"/>
                <w:color w:val="auto"/>
              </w:rPr>
              <w:t>By:</w:t>
            </w:r>
          </w:p>
        </w:tc>
        <w:tc>
          <w:tcPr>
            <w:tcW w:w="160" w:type="dxa"/>
            <w:vAlign w:val="bottom"/>
          </w:tcPr>
          <w:p>
            <w:pPr>
              <w:spacing w:after="0"/>
              <w:rPr>
                <w:sz w:val="13"/>
                <w:szCs w:val="13"/>
                <w:color w:val="auto"/>
              </w:rPr>
            </w:pPr>
          </w:p>
        </w:tc>
        <w:tc>
          <w:tcPr>
            <w:tcW w:w="3980" w:type="dxa"/>
            <w:vAlign w:val="bottom"/>
            <w:tcBorders>
              <w:bottom w:val="single" w:sz="8" w:color="auto"/>
            </w:tcBorders>
          </w:tcPr>
          <w:p>
            <w:pPr>
              <w:ind w:left="320"/>
              <w:spacing w:after="0"/>
              <w:rPr>
                <w:sz w:val="20"/>
                <w:szCs w:val="20"/>
                <w:color w:val="auto"/>
              </w:rPr>
            </w:pPr>
            <w:r>
              <w:rPr>
                <w:rFonts w:ascii="Arial" w:cs="Arial" w:eastAsia="Arial" w:hAnsi="Arial"/>
                <w:sz w:val="12"/>
                <w:szCs w:val="12"/>
                <w:color w:val="auto"/>
              </w:rPr>
              <w:t>/s/ Martin B. Bloch</w:t>
            </w:r>
          </w:p>
        </w:tc>
      </w:tr>
      <w:tr>
        <w:trPr>
          <w:trHeight w:val="135"/>
        </w:trPr>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980" w:type="dxa"/>
            <w:vAlign w:val="bottom"/>
          </w:tcPr>
          <w:p>
            <w:pPr>
              <w:spacing w:after="0" w:line="136" w:lineRule="exact"/>
              <w:rPr>
                <w:sz w:val="20"/>
                <w:szCs w:val="20"/>
                <w:color w:val="auto"/>
              </w:rPr>
            </w:pPr>
            <w:r>
              <w:rPr>
                <w:rFonts w:ascii="Arial" w:cs="Arial" w:eastAsia="Arial" w:hAnsi="Arial"/>
                <w:sz w:val="12"/>
                <w:szCs w:val="12"/>
                <w:color w:val="auto"/>
              </w:rPr>
              <w:t>Martin B. Bloch</w:t>
            </w:r>
          </w:p>
        </w:tc>
      </w:tr>
      <w:tr>
        <w:trPr>
          <w:trHeight w:val="153"/>
        </w:trPr>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980" w:type="dxa"/>
            <w:vAlign w:val="bottom"/>
          </w:tcPr>
          <w:p>
            <w:pPr>
              <w:ind w:left="320"/>
              <w:spacing w:after="0"/>
              <w:rPr>
                <w:sz w:val="20"/>
                <w:szCs w:val="20"/>
                <w:color w:val="auto"/>
              </w:rPr>
            </w:pPr>
            <w:r>
              <w:rPr>
                <w:rFonts w:ascii="Arial" w:cs="Arial" w:eastAsia="Arial" w:hAnsi="Arial"/>
                <w:sz w:val="12"/>
                <w:szCs w:val="12"/>
                <w:color w:val="auto"/>
              </w:rPr>
              <w:t>President and CEO</w:t>
            </w:r>
          </w:p>
        </w:tc>
      </w:tr>
    </w:tbl>
    <w:p>
      <w:pPr>
        <w:spacing w:after="0" w:line="279" w:lineRule="exact"/>
        <w:rPr>
          <w:sz w:val="20"/>
          <w:szCs w:val="20"/>
          <w:color w:val="auto"/>
        </w:rPr>
      </w:pPr>
    </w:p>
    <w:p>
      <w:pPr>
        <w:ind w:left="5960"/>
        <w:spacing w:after="0"/>
        <w:rPr>
          <w:sz w:val="20"/>
          <w:szCs w:val="20"/>
          <w:color w:val="auto"/>
        </w:rPr>
      </w:pPr>
      <w:r>
        <w:rPr>
          <w:rFonts w:ascii="Arial" w:cs="Arial" w:eastAsia="Arial" w:hAnsi="Arial"/>
          <w:sz w:val="12"/>
          <w:szCs w:val="12"/>
          <w:color w:val="auto"/>
        </w:rPr>
        <w:t>By:/s/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9525</wp:posOffset>
            </wp:positionV>
            <wp:extent cx="252222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2220" cy="11430"/>
                    </a:xfrm>
                    <a:prstGeom prst="rect">
                      <a:avLst/>
                    </a:prstGeom>
                    <a:noFill/>
                  </pic:spPr>
                </pic:pic>
              </a:graphicData>
            </a:graphic>
          </wp:anchor>
        </w:drawing>
      </w:r>
    </w:p>
    <w:p>
      <w:pPr>
        <w:spacing w:after="0" w:line="4" w:lineRule="exact"/>
        <w:rPr>
          <w:sz w:val="20"/>
          <w:szCs w:val="20"/>
          <w:color w:val="auto"/>
        </w:rPr>
      </w:pPr>
    </w:p>
    <w:p>
      <w:pPr>
        <w:ind w:left="6140"/>
        <w:spacing w:after="0"/>
        <w:rPr>
          <w:sz w:val="20"/>
          <w:szCs w:val="20"/>
          <w:color w:val="auto"/>
        </w:rPr>
      </w:pPr>
      <w:r>
        <w:rPr>
          <w:rFonts w:ascii="Arial" w:cs="Arial" w:eastAsia="Arial" w:hAnsi="Arial"/>
          <w:sz w:val="12"/>
          <w:szCs w:val="12"/>
          <w:color w:val="auto"/>
        </w:rPr>
        <w:t>Alan L. Miller</w:t>
      </w:r>
    </w:p>
    <w:p>
      <w:pPr>
        <w:spacing w:after="0" w:line="15" w:lineRule="exact"/>
        <w:rPr>
          <w:sz w:val="20"/>
          <w:szCs w:val="20"/>
          <w:color w:val="auto"/>
        </w:rPr>
      </w:pPr>
    </w:p>
    <w:p>
      <w:pPr>
        <w:ind w:left="646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6460"/>
        <w:spacing w:after="0"/>
        <w:rPr>
          <w:sz w:val="20"/>
          <w:szCs w:val="20"/>
          <w:color w:val="auto"/>
        </w:rPr>
      </w:pPr>
      <w:r>
        <w:rPr>
          <w:rFonts w:ascii="Arial" w:cs="Arial" w:eastAsia="Arial" w:hAnsi="Arial"/>
          <w:sz w:val="12"/>
          <w:szCs w:val="12"/>
          <w:color w:val="auto"/>
        </w:rPr>
        <w:t>and Secretary/Treasurer</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Dated: July 29, 2013</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20" w:type="dxa"/>
            <w:vAlign w:val="bottom"/>
            <w:tcBorders>
              <w:bottom w:val="single" w:sz="8" w:color="auto"/>
            </w:tcBorders>
          </w:tcPr>
          <w:p>
            <w:pPr>
              <w:ind w:left="1480"/>
              <w:spacing w:after="0"/>
              <w:rPr>
                <w:sz w:val="20"/>
                <w:szCs w:val="20"/>
                <w:color w:val="auto"/>
              </w:rPr>
            </w:pPr>
            <w:r>
              <w:rPr>
                <w:rFonts w:ascii="Arial" w:cs="Arial" w:eastAsia="Arial" w:hAnsi="Arial"/>
                <w:sz w:val="12"/>
                <w:szCs w:val="12"/>
                <w:b w:val="1"/>
                <w:bCs w:val="1"/>
                <w:color w:val="auto"/>
              </w:rPr>
              <w:t>Signature</w:t>
            </w:r>
          </w:p>
        </w:tc>
        <w:tc>
          <w:tcPr>
            <w:tcW w:w="760" w:type="dxa"/>
            <w:vAlign w:val="bottom"/>
          </w:tcPr>
          <w:p>
            <w:pPr>
              <w:spacing w:after="0"/>
              <w:rPr>
                <w:sz w:val="13"/>
                <w:szCs w:val="13"/>
                <w:color w:val="auto"/>
              </w:rPr>
            </w:pPr>
          </w:p>
        </w:tc>
        <w:tc>
          <w:tcPr>
            <w:tcW w:w="3820" w:type="dxa"/>
            <w:vAlign w:val="bottom"/>
            <w:tcBorders>
              <w:bottom w:val="single" w:sz="8" w:color="auto"/>
            </w:tcBorders>
          </w:tcPr>
          <w:p>
            <w:pPr>
              <w:ind w:left="1620"/>
              <w:spacing w:after="0"/>
              <w:rPr>
                <w:sz w:val="20"/>
                <w:szCs w:val="20"/>
                <w:color w:val="auto"/>
              </w:rPr>
            </w:pPr>
            <w:r>
              <w:rPr>
                <w:rFonts w:ascii="Arial" w:cs="Arial" w:eastAsia="Arial" w:hAnsi="Arial"/>
                <w:sz w:val="12"/>
                <w:szCs w:val="12"/>
                <w:b w:val="1"/>
                <w:bCs w:val="1"/>
                <w:color w:val="auto"/>
              </w:rPr>
              <w:t>Title</w:t>
            </w:r>
          </w:p>
        </w:tc>
        <w:tc>
          <w:tcPr>
            <w:tcW w:w="760" w:type="dxa"/>
            <w:vAlign w:val="bottom"/>
          </w:tcPr>
          <w:p>
            <w:pPr>
              <w:spacing w:after="0"/>
              <w:rPr>
                <w:sz w:val="13"/>
                <w:szCs w:val="13"/>
                <w:color w:val="auto"/>
              </w:rPr>
            </w:pPr>
          </w:p>
        </w:tc>
        <w:tc>
          <w:tcPr>
            <w:tcW w:w="2320" w:type="dxa"/>
            <w:vAlign w:val="bottom"/>
            <w:tcBorders>
              <w:bottom w:val="single" w:sz="8" w:color="auto"/>
            </w:tcBorders>
          </w:tcPr>
          <w:p>
            <w:pPr>
              <w:jc w:val="right"/>
              <w:ind w:right="1160"/>
              <w:spacing w:after="0"/>
              <w:rPr>
                <w:sz w:val="20"/>
                <w:szCs w:val="20"/>
                <w:color w:val="auto"/>
              </w:rPr>
            </w:pPr>
            <w:r>
              <w:rPr>
                <w:rFonts w:ascii="Arial" w:cs="Arial" w:eastAsia="Arial" w:hAnsi="Arial"/>
                <w:sz w:val="12"/>
                <w:szCs w:val="12"/>
                <w:b w:val="1"/>
                <w:bCs w:val="1"/>
                <w:color w:val="auto"/>
              </w:rPr>
              <w:t>Date</w:t>
            </w:r>
          </w:p>
        </w:tc>
      </w:tr>
      <w:tr>
        <w:trPr>
          <w:trHeight w:val="286"/>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Joseph P. Franklin</w:t>
            </w:r>
          </w:p>
        </w:tc>
        <w:tc>
          <w:tcPr>
            <w:tcW w:w="4580" w:type="dxa"/>
            <w:vAlign w:val="bottom"/>
            <w:gridSpan w:val="2"/>
          </w:tcPr>
          <w:p>
            <w:pPr>
              <w:ind w:left="760"/>
              <w:spacing w:after="0"/>
              <w:rPr>
                <w:sz w:val="20"/>
                <w:szCs w:val="20"/>
                <w:color w:val="auto"/>
              </w:rPr>
            </w:pPr>
            <w:r>
              <w:rPr>
                <w:rFonts w:ascii="Arial" w:cs="Arial" w:eastAsia="Arial" w:hAnsi="Arial"/>
                <w:sz w:val="12"/>
                <w:szCs w:val="12"/>
                <w:color w:val="auto"/>
              </w:rPr>
              <w:t>Chairman of the Board</w:t>
            </w:r>
          </w:p>
        </w:tc>
        <w:tc>
          <w:tcPr>
            <w:tcW w:w="3080" w:type="dxa"/>
            <w:vAlign w:val="bottom"/>
            <w:gridSpan w:val="2"/>
          </w:tcPr>
          <w:p>
            <w:pPr>
              <w:jc w:val="right"/>
              <w:ind w:right="1900"/>
              <w:spacing w:after="0"/>
              <w:rPr>
                <w:sz w:val="20"/>
                <w:szCs w:val="20"/>
                <w:color w:val="auto"/>
              </w:rPr>
            </w:pPr>
            <w:r>
              <w:rPr>
                <w:rFonts w:ascii="Arial" w:cs="Arial" w:eastAsia="Arial" w:hAnsi="Arial"/>
                <w:sz w:val="12"/>
                <w:szCs w:val="12"/>
                <w:color w:val="auto"/>
              </w:rPr>
              <w:t>7/29/13</w:t>
            </w:r>
          </w:p>
        </w:tc>
      </w:tr>
      <w:tr>
        <w:trPr>
          <w:trHeight w:val="151"/>
        </w:trPr>
        <w:tc>
          <w:tcPr>
            <w:tcW w:w="3820" w:type="dxa"/>
            <w:vAlign w:val="bottom"/>
          </w:tcPr>
          <w:p>
            <w:pPr>
              <w:ind w:left="100"/>
              <w:spacing w:after="0"/>
              <w:rPr>
                <w:sz w:val="20"/>
                <w:szCs w:val="20"/>
                <w:color w:val="auto"/>
              </w:rPr>
            </w:pPr>
            <w:r>
              <w:rPr>
                <w:rFonts w:ascii="Arial" w:cs="Arial" w:eastAsia="Arial" w:hAnsi="Arial"/>
                <w:sz w:val="12"/>
                <w:szCs w:val="12"/>
                <w:color w:val="auto"/>
              </w:rPr>
              <w:t>Joseph P. Franklin</w:t>
            </w:r>
          </w:p>
        </w:tc>
        <w:tc>
          <w:tcPr>
            <w:tcW w:w="7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79"/>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Joel Girsky</w:t>
            </w:r>
          </w:p>
        </w:tc>
        <w:tc>
          <w:tcPr>
            <w:tcW w:w="4580" w:type="dxa"/>
            <w:vAlign w:val="bottom"/>
            <w:gridSpan w:val="2"/>
          </w:tcPr>
          <w:p>
            <w:pPr>
              <w:ind w:left="760"/>
              <w:spacing w:after="0"/>
              <w:rPr>
                <w:sz w:val="20"/>
                <w:szCs w:val="20"/>
                <w:color w:val="auto"/>
              </w:rPr>
            </w:pPr>
            <w:r>
              <w:rPr>
                <w:rFonts w:ascii="Arial" w:cs="Arial" w:eastAsia="Arial" w:hAnsi="Arial"/>
                <w:sz w:val="12"/>
                <w:szCs w:val="12"/>
                <w:color w:val="auto"/>
              </w:rPr>
              <w:t>Director</w:t>
            </w:r>
          </w:p>
        </w:tc>
        <w:tc>
          <w:tcPr>
            <w:tcW w:w="3080" w:type="dxa"/>
            <w:vAlign w:val="bottom"/>
            <w:gridSpan w:val="2"/>
          </w:tcPr>
          <w:p>
            <w:pPr>
              <w:jc w:val="right"/>
              <w:ind w:right="1900"/>
              <w:spacing w:after="0"/>
              <w:rPr>
                <w:sz w:val="20"/>
                <w:szCs w:val="20"/>
                <w:color w:val="auto"/>
              </w:rPr>
            </w:pPr>
            <w:r>
              <w:rPr>
                <w:rFonts w:ascii="Arial" w:cs="Arial" w:eastAsia="Arial" w:hAnsi="Arial"/>
                <w:sz w:val="12"/>
                <w:szCs w:val="12"/>
                <w:color w:val="auto"/>
              </w:rPr>
              <w:t>7/29/13</w:t>
            </w:r>
          </w:p>
        </w:tc>
      </w:tr>
      <w:tr>
        <w:trPr>
          <w:trHeight w:val="151"/>
        </w:trPr>
        <w:tc>
          <w:tcPr>
            <w:tcW w:w="3820" w:type="dxa"/>
            <w:vAlign w:val="bottom"/>
          </w:tcPr>
          <w:p>
            <w:pPr>
              <w:ind w:left="100"/>
              <w:spacing w:after="0"/>
              <w:rPr>
                <w:sz w:val="20"/>
                <w:szCs w:val="20"/>
                <w:color w:val="auto"/>
              </w:rPr>
            </w:pPr>
            <w:r>
              <w:rPr>
                <w:rFonts w:ascii="Arial" w:cs="Arial" w:eastAsia="Arial" w:hAnsi="Arial"/>
                <w:sz w:val="12"/>
                <w:szCs w:val="12"/>
                <w:color w:val="auto"/>
              </w:rPr>
              <w:t>Joel Girsky</w:t>
            </w:r>
          </w:p>
        </w:tc>
        <w:tc>
          <w:tcPr>
            <w:tcW w:w="7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79"/>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S. Robert Foley</w:t>
            </w:r>
          </w:p>
        </w:tc>
        <w:tc>
          <w:tcPr>
            <w:tcW w:w="4580" w:type="dxa"/>
            <w:vAlign w:val="bottom"/>
            <w:gridSpan w:val="2"/>
          </w:tcPr>
          <w:p>
            <w:pPr>
              <w:ind w:left="760"/>
              <w:spacing w:after="0"/>
              <w:rPr>
                <w:sz w:val="20"/>
                <w:szCs w:val="20"/>
                <w:color w:val="auto"/>
              </w:rPr>
            </w:pPr>
            <w:r>
              <w:rPr>
                <w:rFonts w:ascii="Arial" w:cs="Arial" w:eastAsia="Arial" w:hAnsi="Arial"/>
                <w:sz w:val="12"/>
                <w:szCs w:val="12"/>
                <w:color w:val="auto"/>
              </w:rPr>
              <w:t>Director</w:t>
            </w:r>
          </w:p>
        </w:tc>
        <w:tc>
          <w:tcPr>
            <w:tcW w:w="3080" w:type="dxa"/>
            <w:vAlign w:val="bottom"/>
            <w:gridSpan w:val="2"/>
          </w:tcPr>
          <w:p>
            <w:pPr>
              <w:jc w:val="right"/>
              <w:ind w:right="1900"/>
              <w:spacing w:after="0"/>
              <w:rPr>
                <w:sz w:val="20"/>
                <w:szCs w:val="20"/>
                <w:color w:val="auto"/>
              </w:rPr>
            </w:pPr>
            <w:r>
              <w:rPr>
                <w:rFonts w:ascii="Arial" w:cs="Arial" w:eastAsia="Arial" w:hAnsi="Arial"/>
                <w:sz w:val="12"/>
                <w:szCs w:val="12"/>
                <w:color w:val="auto"/>
              </w:rPr>
              <w:t>7/29/13</w:t>
            </w:r>
          </w:p>
        </w:tc>
      </w:tr>
      <w:tr>
        <w:trPr>
          <w:trHeight w:val="151"/>
        </w:trPr>
        <w:tc>
          <w:tcPr>
            <w:tcW w:w="3820" w:type="dxa"/>
            <w:vAlign w:val="bottom"/>
          </w:tcPr>
          <w:p>
            <w:pPr>
              <w:ind w:left="100"/>
              <w:spacing w:after="0"/>
              <w:rPr>
                <w:sz w:val="20"/>
                <w:szCs w:val="20"/>
                <w:color w:val="auto"/>
              </w:rPr>
            </w:pPr>
            <w:r>
              <w:rPr>
                <w:rFonts w:ascii="Arial" w:cs="Arial" w:eastAsia="Arial" w:hAnsi="Arial"/>
                <w:sz w:val="12"/>
                <w:szCs w:val="12"/>
                <w:color w:val="auto"/>
              </w:rPr>
              <w:t>S. Robert Foley</w:t>
            </w:r>
          </w:p>
        </w:tc>
        <w:tc>
          <w:tcPr>
            <w:tcW w:w="7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79"/>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Richard Schwartz</w:t>
            </w:r>
          </w:p>
        </w:tc>
        <w:tc>
          <w:tcPr>
            <w:tcW w:w="4580" w:type="dxa"/>
            <w:vAlign w:val="bottom"/>
            <w:gridSpan w:val="2"/>
          </w:tcPr>
          <w:p>
            <w:pPr>
              <w:ind w:left="760"/>
              <w:spacing w:after="0"/>
              <w:rPr>
                <w:sz w:val="20"/>
                <w:szCs w:val="20"/>
                <w:color w:val="auto"/>
              </w:rPr>
            </w:pPr>
            <w:r>
              <w:rPr>
                <w:rFonts w:ascii="Arial" w:cs="Arial" w:eastAsia="Arial" w:hAnsi="Arial"/>
                <w:sz w:val="12"/>
                <w:szCs w:val="12"/>
                <w:color w:val="auto"/>
              </w:rPr>
              <w:t>Director</w:t>
            </w:r>
          </w:p>
        </w:tc>
        <w:tc>
          <w:tcPr>
            <w:tcW w:w="3080" w:type="dxa"/>
            <w:vAlign w:val="bottom"/>
            <w:gridSpan w:val="2"/>
          </w:tcPr>
          <w:p>
            <w:pPr>
              <w:jc w:val="right"/>
              <w:ind w:right="1900"/>
              <w:spacing w:after="0"/>
              <w:rPr>
                <w:sz w:val="20"/>
                <w:szCs w:val="20"/>
                <w:color w:val="auto"/>
              </w:rPr>
            </w:pPr>
            <w:r>
              <w:rPr>
                <w:rFonts w:ascii="Arial" w:cs="Arial" w:eastAsia="Arial" w:hAnsi="Arial"/>
                <w:sz w:val="12"/>
                <w:szCs w:val="12"/>
                <w:color w:val="auto"/>
              </w:rPr>
              <w:t>7/29/13</w:t>
            </w:r>
          </w:p>
        </w:tc>
      </w:tr>
      <w:tr>
        <w:trPr>
          <w:trHeight w:val="151"/>
        </w:trPr>
        <w:tc>
          <w:tcPr>
            <w:tcW w:w="3820" w:type="dxa"/>
            <w:vAlign w:val="bottom"/>
          </w:tcPr>
          <w:p>
            <w:pPr>
              <w:ind w:left="100"/>
              <w:spacing w:after="0"/>
              <w:rPr>
                <w:sz w:val="20"/>
                <w:szCs w:val="20"/>
                <w:color w:val="auto"/>
              </w:rPr>
            </w:pPr>
            <w:r>
              <w:rPr>
                <w:rFonts w:ascii="Arial" w:cs="Arial" w:eastAsia="Arial" w:hAnsi="Arial"/>
                <w:sz w:val="12"/>
                <w:szCs w:val="12"/>
                <w:color w:val="auto"/>
              </w:rPr>
              <w:t>Richard Schwartz</w:t>
            </w:r>
          </w:p>
        </w:tc>
        <w:tc>
          <w:tcPr>
            <w:tcW w:w="7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79"/>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Martin B. Bloch</w:t>
            </w:r>
          </w:p>
        </w:tc>
        <w:tc>
          <w:tcPr>
            <w:tcW w:w="4580" w:type="dxa"/>
            <w:vAlign w:val="bottom"/>
            <w:gridSpan w:val="2"/>
          </w:tcPr>
          <w:p>
            <w:pPr>
              <w:ind w:left="760"/>
              <w:spacing w:after="0"/>
              <w:rPr>
                <w:sz w:val="20"/>
                <w:szCs w:val="20"/>
                <w:color w:val="auto"/>
              </w:rPr>
            </w:pPr>
            <w:r>
              <w:rPr>
                <w:rFonts w:ascii="Arial" w:cs="Arial" w:eastAsia="Arial" w:hAnsi="Arial"/>
                <w:sz w:val="12"/>
                <w:szCs w:val="12"/>
                <w:color w:val="auto"/>
              </w:rPr>
              <w:t>President and CEO</w:t>
            </w:r>
          </w:p>
        </w:tc>
        <w:tc>
          <w:tcPr>
            <w:tcW w:w="3080" w:type="dxa"/>
            <w:vAlign w:val="bottom"/>
            <w:gridSpan w:val="2"/>
          </w:tcPr>
          <w:p>
            <w:pPr>
              <w:jc w:val="right"/>
              <w:ind w:right="1900"/>
              <w:spacing w:after="0"/>
              <w:rPr>
                <w:sz w:val="20"/>
                <w:szCs w:val="20"/>
                <w:color w:val="auto"/>
              </w:rPr>
            </w:pPr>
            <w:r>
              <w:rPr>
                <w:rFonts w:ascii="Arial" w:cs="Arial" w:eastAsia="Arial" w:hAnsi="Arial"/>
                <w:sz w:val="12"/>
                <w:szCs w:val="12"/>
                <w:color w:val="auto"/>
              </w:rPr>
              <w:t>7/29/13</w:t>
            </w:r>
          </w:p>
        </w:tc>
      </w:tr>
      <w:tr>
        <w:trPr>
          <w:trHeight w:val="151"/>
        </w:trPr>
        <w:tc>
          <w:tcPr>
            <w:tcW w:w="3820" w:type="dxa"/>
            <w:vAlign w:val="bottom"/>
          </w:tcPr>
          <w:p>
            <w:pPr>
              <w:ind w:left="100"/>
              <w:spacing w:after="0"/>
              <w:rPr>
                <w:sz w:val="20"/>
                <w:szCs w:val="20"/>
                <w:color w:val="auto"/>
              </w:rPr>
            </w:pPr>
            <w:r>
              <w:rPr>
                <w:rFonts w:ascii="Arial" w:cs="Arial" w:eastAsia="Arial" w:hAnsi="Arial"/>
                <w:sz w:val="12"/>
                <w:szCs w:val="12"/>
                <w:color w:val="auto"/>
              </w:rPr>
              <w:t>Martin B. Bloch</w:t>
            </w:r>
          </w:p>
        </w:tc>
        <w:tc>
          <w:tcPr>
            <w:tcW w:w="4580" w:type="dxa"/>
            <w:vAlign w:val="bottom"/>
            <w:gridSpan w:val="2"/>
          </w:tcPr>
          <w:p>
            <w:pPr>
              <w:ind w:left="760"/>
              <w:spacing w:after="0"/>
              <w:rPr>
                <w:sz w:val="20"/>
                <w:szCs w:val="20"/>
                <w:color w:val="auto"/>
              </w:rPr>
            </w:pPr>
            <w:r>
              <w:rPr>
                <w:rFonts w:ascii="Arial" w:cs="Arial" w:eastAsia="Arial" w:hAnsi="Arial"/>
                <w:sz w:val="12"/>
                <w:szCs w:val="12"/>
                <w:color w:val="auto"/>
              </w:rPr>
              <w:t>(Principal Executive Officer)</w:t>
            </w:r>
          </w:p>
        </w:tc>
        <w:tc>
          <w:tcPr>
            <w:tcW w:w="7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279"/>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Alan L. Miller</w:t>
            </w:r>
          </w:p>
        </w:tc>
        <w:tc>
          <w:tcPr>
            <w:tcW w:w="4580" w:type="dxa"/>
            <w:vAlign w:val="bottom"/>
            <w:gridSpan w:val="2"/>
          </w:tcPr>
          <w:p>
            <w:pPr>
              <w:ind w:left="760"/>
              <w:spacing w:after="0"/>
              <w:rPr>
                <w:sz w:val="20"/>
                <w:szCs w:val="20"/>
                <w:color w:val="auto"/>
              </w:rPr>
            </w:pPr>
            <w:r>
              <w:rPr>
                <w:rFonts w:ascii="Arial" w:cs="Arial" w:eastAsia="Arial" w:hAnsi="Arial"/>
                <w:sz w:val="12"/>
                <w:szCs w:val="12"/>
                <w:color w:val="auto"/>
              </w:rPr>
              <w:t>Chief Financial Officer</w:t>
            </w:r>
          </w:p>
        </w:tc>
        <w:tc>
          <w:tcPr>
            <w:tcW w:w="3080" w:type="dxa"/>
            <w:vAlign w:val="bottom"/>
            <w:gridSpan w:val="2"/>
          </w:tcPr>
          <w:p>
            <w:pPr>
              <w:jc w:val="right"/>
              <w:ind w:right="1900"/>
              <w:spacing w:after="0"/>
              <w:rPr>
                <w:sz w:val="20"/>
                <w:szCs w:val="20"/>
                <w:color w:val="auto"/>
              </w:rPr>
            </w:pPr>
            <w:r>
              <w:rPr>
                <w:rFonts w:ascii="Arial" w:cs="Arial" w:eastAsia="Arial" w:hAnsi="Arial"/>
                <w:sz w:val="12"/>
                <w:szCs w:val="12"/>
                <w:color w:val="auto"/>
              </w:rPr>
              <w:t>7/29/13</w:t>
            </w:r>
          </w:p>
        </w:tc>
      </w:tr>
      <w:tr>
        <w:trPr>
          <w:trHeight w:val="133"/>
        </w:trPr>
        <w:tc>
          <w:tcPr>
            <w:tcW w:w="3820" w:type="dxa"/>
            <w:vAlign w:val="bottom"/>
          </w:tcPr>
          <w:p>
            <w:pPr>
              <w:ind w:left="100"/>
              <w:spacing w:after="0" w:line="133" w:lineRule="exact"/>
              <w:rPr>
                <w:sz w:val="20"/>
                <w:szCs w:val="20"/>
                <w:color w:val="auto"/>
              </w:rPr>
            </w:pPr>
            <w:r>
              <w:rPr>
                <w:rFonts w:ascii="Arial" w:cs="Arial" w:eastAsia="Arial" w:hAnsi="Arial"/>
                <w:sz w:val="12"/>
                <w:szCs w:val="12"/>
                <w:color w:val="auto"/>
              </w:rPr>
              <w:t>Alan L. Miller</w:t>
            </w:r>
          </w:p>
        </w:tc>
        <w:tc>
          <w:tcPr>
            <w:tcW w:w="4580" w:type="dxa"/>
            <w:vAlign w:val="bottom"/>
            <w:gridSpan w:val="2"/>
          </w:tcPr>
          <w:p>
            <w:pPr>
              <w:ind w:left="760"/>
              <w:spacing w:after="0" w:line="133" w:lineRule="exact"/>
              <w:rPr>
                <w:sz w:val="20"/>
                <w:szCs w:val="20"/>
                <w:color w:val="auto"/>
              </w:rPr>
            </w:pPr>
            <w:r>
              <w:rPr>
                <w:rFonts w:ascii="Arial" w:cs="Arial" w:eastAsia="Arial" w:hAnsi="Arial"/>
                <w:sz w:val="12"/>
                <w:szCs w:val="12"/>
                <w:color w:val="auto"/>
              </w:rPr>
              <w:t>and Secretary/Treasurer</w:t>
            </w:r>
          </w:p>
        </w:tc>
        <w:tc>
          <w:tcPr>
            <w:tcW w:w="760" w:type="dxa"/>
            <w:vAlign w:val="bottom"/>
          </w:tcPr>
          <w:p>
            <w:pPr>
              <w:spacing w:after="0"/>
              <w:rPr>
                <w:sz w:val="11"/>
                <w:szCs w:val="11"/>
                <w:color w:val="auto"/>
              </w:rPr>
            </w:pPr>
          </w:p>
        </w:tc>
        <w:tc>
          <w:tcPr>
            <w:tcW w:w="2320" w:type="dxa"/>
            <w:vAlign w:val="bottom"/>
          </w:tcPr>
          <w:p>
            <w:pPr>
              <w:spacing w:after="0"/>
              <w:rPr>
                <w:sz w:val="11"/>
                <w:szCs w:val="11"/>
                <w:color w:val="auto"/>
              </w:rPr>
            </w:pPr>
          </w:p>
        </w:tc>
      </w:tr>
      <w:tr>
        <w:trPr>
          <w:trHeight w:val="144"/>
        </w:trPr>
        <w:tc>
          <w:tcPr>
            <w:tcW w:w="3820" w:type="dxa"/>
            <w:vAlign w:val="bottom"/>
          </w:tcPr>
          <w:p>
            <w:pPr>
              <w:spacing w:after="0"/>
              <w:rPr>
                <w:sz w:val="12"/>
                <w:szCs w:val="12"/>
                <w:color w:val="auto"/>
              </w:rPr>
            </w:pPr>
          </w:p>
        </w:tc>
        <w:tc>
          <w:tcPr>
            <w:tcW w:w="4580" w:type="dxa"/>
            <w:vAlign w:val="bottom"/>
            <w:gridSpan w:val="2"/>
          </w:tcPr>
          <w:p>
            <w:pPr>
              <w:ind w:left="760"/>
              <w:spacing w:after="0"/>
              <w:rPr>
                <w:sz w:val="20"/>
                <w:szCs w:val="20"/>
                <w:color w:val="auto"/>
              </w:rPr>
            </w:pPr>
            <w:r>
              <w:rPr>
                <w:rFonts w:ascii="Arial" w:cs="Arial" w:eastAsia="Arial" w:hAnsi="Arial"/>
                <w:sz w:val="12"/>
                <w:szCs w:val="12"/>
                <w:color w:val="auto"/>
              </w:rPr>
              <w:t>(Principal Financial and</w:t>
            </w:r>
          </w:p>
        </w:tc>
        <w:tc>
          <w:tcPr>
            <w:tcW w:w="760" w:type="dxa"/>
            <w:vAlign w:val="bottom"/>
          </w:tcPr>
          <w:p>
            <w:pPr>
              <w:spacing w:after="0"/>
              <w:rPr>
                <w:sz w:val="12"/>
                <w:szCs w:val="12"/>
                <w:color w:val="auto"/>
              </w:rPr>
            </w:pPr>
          </w:p>
        </w:tc>
        <w:tc>
          <w:tcPr>
            <w:tcW w:w="2320" w:type="dxa"/>
            <w:vAlign w:val="bottom"/>
          </w:tcPr>
          <w:p>
            <w:pPr>
              <w:spacing w:after="0"/>
              <w:rPr>
                <w:sz w:val="12"/>
                <w:szCs w:val="12"/>
                <w:color w:val="auto"/>
              </w:rPr>
            </w:pPr>
          </w:p>
        </w:tc>
      </w:tr>
      <w:tr>
        <w:trPr>
          <w:trHeight w:val="153"/>
        </w:trPr>
        <w:tc>
          <w:tcPr>
            <w:tcW w:w="3820" w:type="dxa"/>
            <w:vAlign w:val="bottom"/>
          </w:tcPr>
          <w:p>
            <w:pPr>
              <w:spacing w:after="0"/>
              <w:rPr>
                <w:sz w:val="13"/>
                <w:szCs w:val="13"/>
                <w:color w:val="auto"/>
              </w:rPr>
            </w:pPr>
          </w:p>
        </w:tc>
        <w:tc>
          <w:tcPr>
            <w:tcW w:w="4580" w:type="dxa"/>
            <w:vAlign w:val="bottom"/>
            <w:gridSpan w:val="2"/>
          </w:tcPr>
          <w:p>
            <w:pPr>
              <w:ind w:left="760"/>
              <w:spacing w:after="0"/>
              <w:rPr>
                <w:sz w:val="20"/>
                <w:szCs w:val="20"/>
                <w:color w:val="auto"/>
              </w:rPr>
            </w:pPr>
            <w:r>
              <w:rPr>
                <w:rFonts w:ascii="Arial" w:cs="Arial" w:eastAsia="Arial" w:hAnsi="Arial"/>
                <w:sz w:val="12"/>
                <w:szCs w:val="12"/>
                <w:color w:val="auto"/>
              </w:rPr>
              <w:t>Accounting Officer)</w:t>
            </w:r>
          </w:p>
        </w:tc>
        <w:tc>
          <w:tcPr>
            <w:tcW w:w="76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405"/>
        </w:trPr>
        <w:tc>
          <w:tcPr>
            <w:tcW w:w="3820" w:type="dxa"/>
            <w:vAlign w:val="bottom"/>
          </w:tcPr>
          <w:p>
            <w:pPr>
              <w:spacing w:after="0"/>
              <w:rPr>
                <w:sz w:val="24"/>
                <w:szCs w:val="24"/>
                <w:color w:val="auto"/>
              </w:rPr>
            </w:pPr>
          </w:p>
        </w:tc>
        <w:tc>
          <w:tcPr>
            <w:tcW w:w="4580" w:type="dxa"/>
            <w:vAlign w:val="bottom"/>
            <w:gridSpan w:val="2"/>
          </w:tcPr>
          <w:p>
            <w:pPr>
              <w:ind w:left="1860"/>
              <w:spacing w:after="0"/>
              <w:rPr>
                <w:sz w:val="20"/>
                <w:szCs w:val="20"/>
                <w:color w:val="auto"/>
              </w:rPr>
            </w:pPr>
            <w:r>
              <w:rPr>
                <w:rFonts w:ascii="Arial" w:cs="Arial" w:eastAsia="Arial" w:hAnsi="Arial"/>
                <w:sz w:val="12"/>
                <w:szCs w:val="12"/>
                <w:color w:val="auto"/>
              </w:rPr>
              <w:t>51</w:t>
            </w:r>
          </w:p>
        </w:tc>
        <w:tc>
          <w:tcPr>
            <w:tcW w:w="7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76"/>
        </w:trPr>
        <w:tc>
          <w:tcPr>
            <w:tcW w:w="38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8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3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1" w:name="page52"/>
    <w:bookmarkEnd w:id="51"/>
    <w:p>
      <w:pPr>
        <w:spacing w:after="0"/>
        <w:rPr>
          <w:rFonts w:ascii="Arial" w:cs="Arial" w:eastAsia="Arial" w:hAnsi="Arial"/>
          <w:sz w:val="10"/>
          <w:szCs w:val="10"/>
          <w:u w:val="single" w:color="auto"/>
          <w:color w:val="0000EE"/>
        </w:rPr>
      </w:pPr>
      <w:hyperlink w:anchor="page2">
        <w:r>
          <w:rPr>
            <w:rFonts w:ascii="Arial" w:cs="Arial" w:eastAsia="Arial" w:hAnsi="Arial"/>
            <w:sz w:val="10"/>
            <w:szCs w:val="10"/>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INDEX TO EXHIBITS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ITEM 15(a)(3)</w:t>
      </w:r>
    </w:p>
    <w:p>
      <w:pPr>
        <w:spacing w:after="0" w:line="168"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660" w:type="dxa"/>
            <w:vAlign w:val="bottom"/>
          </w:tcPr>
          <w:p>
            <w:pPr>
              <w:spacing w:after="0"/>
              <w:rPr>
                <w:sz w:val="20"/>
                <w:szCs w:val="20"/>
                <w:color w:val="auto"/>
              </w:rPr>
            </w:pPr>
            <w:r>
              <w:rPr>
                <w:rFonts w:ascii="Arial" w:cs="Arial" w:eastAsia="Arial" w:hAnsi="Arial"/>
                <w:sz w:val="12"/>
                <w:szCs w:val="12"/>
                <w:b w:val="1"/>
                <w:bCs w:val="1"/>
                <w:color w:val="auto"/>
              </w:rPr>
              <w:t>Exhibit No. in</w:t>
            </w:r>
          </w:p>
        </w:tc>
        <w:tc>
          <w:tcPr>
            <w:tcW w:w="24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57"/>
        </w:trPr>
        <w:tc>
          <w:tcPr>
            <w:tcW w:w="16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this Form 10-K</w:t>
            </w:r>
          </w:p>
        </w:tc>
        <w:tc>
          <w:tcPr>
            <w:tcW w:w="240" w:type="dxa"/>
            <w:vAlign w:val="bottom"/>
          </w:tcPr>
          <w:p>
            <w:pPr>
              <w:spacing w:after="0"/>
              <w:rPr>
                <w:sz w:val="13"/>
                <w:szCs w:val="13"/>
                <w:color w:val="auto"/>
              </w:rPr>
            </w:pPr>
          </w:p>
        </w:tc>
        <w:tc>
          <w:tcPr>
            <w:tcW w:w="7800" w:type="dxa"/>
            <w:vAlign w:val="bottom"/>
            <w:tcBorders>
              <w:bottom w:val="single" w:sz="8" w:color="auto"/>
            </w:tcBorders>
          </w:tcPr>
          <w:p>
            <w:pPr>
              <w:ind w:left="3160"/>
              <w:spacing w:after="0"/>
              <w:rPr>
                <w:sz w:val="20"/>
                <w:szCs w:val="20"/>
                <w:color w:val="auto"/>
              </w:rPr>
            </w:pPr>
            <w:r>
              <w:rPr>
                <w:rFonts w:ascii="Arial" w:cs="Arial" w:eastAsia="Arial" w:hAnsi="Arial"/>
                <w:sz w:val="12"/>
                <w:szCs w:val="12"/>
                <w:b w:val="1"/>
                <w:bCs w:val="1"/>
                <w:color w:val="auto"/>
              </w:rPr>
              <w:t>Description of Exhibit</w:t>
            </w:r>
          </w:p>
        </w:tc>
        <w:tc>
          <w:tcPr>
            <w:tcW w:w="200" w:type="dxa"/>
            <w:vAlign w:val="bottom"/>
          </w:tcPr>
          <w:p>
            <w:pPr>
              <w:spacing w:after="0"/>
              <w:rPr>
                <w:sz w:val="13"/>
                <w:szCs w:val="13"/>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NOTE</w:t>
            </w:r>
          </w:p>
        </w:tc>
        <w:tc>
          <w:tcPr>
            <w:tcW w:w="360" w:type="dxa"/>
            <w:vAlign w:val="bottom"/>
          </w:tcPr>
          <w:p>
            <w:pPr>
              <w:spacing w:after="0"/>
              <w:rPr>
                <w:sz w:val="13"/>
                <w:szCs w:val="13"/>
                <w:color w:val="auto"/>
              </w:rPr>
            </w:pPr>
          </w:p>
        </w:tc>
      </w:tr>
      <w:tr>
        <w:trPr>
          <w:trHeight w:val="277"/>
        </w:trPr>
        <w:tc>
          <w:tcPr>
            <w:tcW w:w="1660" w:type="dxa"/>
            <w:vAlign w:val="bottom"/>
          </w:tcPr>
          <w:p>
            <w:pPr>
              <w:jc w:val="center"/>
              <w:spacing w:after="0"/>
              <w:rPr>
                <w:sz w:val="20"/>
                <w:szCs w:val="20"/>
                <w:color w:val="auto"/>
              </w:rPr>
            </w:pPr>
            <w:r>
              <w:rPr>
                <w:rFonts w:ascii="Arial" w:cs="Arial" w:eastAsia="Arial" w:hAnsi="Arial"/>
                <w:sz w:val="12"/>
                <w:szCs w:val="12"/>
                <w:color w:val="auto"/>
                <w:w w:val="83"/>
              </w:rPr>
              <w:t>2.1</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Stock Purchase Agreement, dated as of February 21, 2012, by and among the Registrant, Elcom Technologies Inc. and the stockholders of Elcom</w:t>
            </w:r>
          </w:p>
        </w:tc>
        <w:tc>
          <w:tcPr>
            <w:tcW w:w="1420" w:type="dxa"/>
            <w:vAlign w:val="bottom"/>
            <w:gridSpan w:val="2"/>
          </w:tcPr>
          <w:p>
            <w:pPr>
              <w:jc w:val="center"/>
              <w:ind w:left="160"/>
              <w:spacing w:after="0"/>
              <w:rPr>
                <w:sz w:val="20"/>
                <w:szCs w:val="20"/>
                <w:color w:val="auto"/>
              </w:rPr>
            </w:pPr>
            <w:r>
              <w:rPr>
                <w:rFonts w:ascii="Arial" w:cs="Arial" w:eastAsia="Arial" w:hAnsi="Arial"/>
                <w:sz w:val="12"/>
                <w:szCs w:val="12"/>
                <w:color w:val="auto"/>
                <w:w w:val="93"/>
              </w:rPr>
              <w:t>(12)</w:t>
            </w:r>
          </w:p>
        </w:tc>
        <w:tc>
          <w:tcPr>
            <w:tcW w:w="360" w:type="dxa"/>
            <w:vAlign w:val="bottom"/>
          </w:tcPr>
          <w:p>
            <w:pPr>
              <w:spacing w:after="0"/>
              <w:rPr>
                <w:sz w:val="24"/>
                <w:szCs w:val="24"/>
                <w:color w:val="auto"/>
              </w:rPr>
            </w:pPr>
          </w:p>
        </w:tc>
      </w:tr>
      <w:tr>
        <w:trPr>
          <w:trHeight w:val="153"/>
        </w:trPr>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Technologies Inc. identified on the signature pages thereto</w:t>
            </w: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3"/>
              </w:rPr>
              <w:t>3.1</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Copy of Certificate of Incorporation of the Registrant filed with the Secretary of State of Delaware</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(1)</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3"/>
              </w:rPr>
              <w:t>3.2</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Amendment to Certificate of Incorporation of the Registrant filed with the Secretary of State of Delaware on March 27, 1981</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(2)</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3"/>
              </w:rPr>
              <w:t>3.3</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Amendment to Certificate of Incorporation of the Registrant filed with Secretary of State of Delaware on October 26, 1984</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(5)</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3"/>
              </w:rPr>
              <w:t>3.4</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Amendment to Certificate of Incorporation of the Registrant filed with the Secretary of State of Delaware on October 22, 1986</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(7)</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3"/>
              </w:rPr>
              <w:t>3.5</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Amended and Restated Certificate of Incorporation of the Registrant filed with the Secretary of State of Delaware on October 26, 1987</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(9)</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3"/>
              </w:rPr>
              <w:t>3.6</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Amended Certificate of Incorporation of the Company filed with the Secretary of State of Delaware on November 2, 1989</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(9)</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3"/>
              </w:rPr>
              <w:t>3.7</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Copy of By-Laws of the Registrant, as amended to date</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(3)</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3"/>
              </w:rPr>
              <w:t>4.1</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Specimen of Common Stock certificate</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(1)</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93"/>
              </w:rPr>
              <w:t>10.1</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Registrant’s 1997 Independent Contractor Stock Option Plan</w:t>
            </w:r>
          </w:p>
        </w:tc>
        <w:tc>
          <w:tcPr>
            <w:tcW w:w="1420" w:type="dxa"/>
            <w:vAlign w:val="bottom"/>
            <w:gridSpan w:val="2"/>
          </w:tcPr>
          <w:p>
            <w:pPr>
              <w:jc w:val="center"/>
              <w:ind w:left="160"/>
              <w:spacing w:after="0"/>
              <w:rPr>
                <w:sz w:val="20"/>
                <w:szCs w:val="20"/>
                <w:color w:val="auto"/>
              </w:rPr>
            </w:pPr>
            <w:r>
              <w:rPr>
                <w:rFonts w:ascii="Arial" w:cs="Arial" w:eastAsia="Arial" w:hAnsi="Arial"/>
                <w:sz w:val="12"/>
                <w:szCs w:val="12"/>
                <w:color w:val="auto"/>
                <w:w w:val="93"/>
              </w:rPr>
              <w:t>(10)</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93"/>
              </w:rPr>
              <w:t>10.8</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Employment agreement between Registrant and Harry Newman</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(4)</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93"/>
              </w:rPr>
              <w:t>10.9</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Employment agreement between Registrant and Marcus Hechler</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(4)</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6"/>
              </w:rPr>
              <w:t>10.10</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Employment agreement between Registrant and Charles Stone</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(8)</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6"/>
              </w:rPr>
              <w:t>10.13</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Lease agreement between Registrant and Reckson Operating Partnership, L.P. dated January 6, 1998</w:t>
            </w:r>
          </w:p>
        </w:tc>
        <w:tc>
          <w:tcPr>
            <w:tcW w:w="1420" w:type="dxa"/>
            <w:vAlign w:val="bottom"/>
            <w:gridSpan w:val="2"/>
          </w:tcPr>
          <w:p>
            <w:pPr>
              <w:jc w:val="center"/>
              <w:ind w:left="160"/>
              <w:spacing w:after="0"/>
              <w:rPr>
                <w:sz w:val="20"/>
                <w:szCs w:val="20"/>
                <w:color w:val="auto"/>
              </w:rPr>
            </w:pPr>
            <w:r>
              <w:rPr>
                <w:rFonts w:ascii="Arial" w:cs="Arial" w:eastAsia="Arial" w:hAnsi="Arial"/>
                <w:sz w:val="12"/>
                <w:szCs w:val="12"/>
                <w:color w:val="auto"/>
                <w:w w:val="93"/>
              </w:rPr>
              <w:t>(11)</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6"/>
              </w:rPr>
              <w:t>10.16</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Registrant’s Cash or Deferral Profit Sharing Plan and Trust under Internal Revenue Code Section 401, dated April 1, 1985</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(6)</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6"/>
              </w:rPr>
              <w:t>10.21</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Form of Agreement concerning Executive Compensation</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(2)</w:t>
            </w:r>
          </w:p>
        </w:tc>
        <w:tc>
          <w:tcPr>
            <w:tcW w:w="360" w:type="dxa"/>
            <w:vAlign w:val="bottom"/>
          </w:tcPr>
          <w:p>
            <w:pPr>
              <w:spacing w:after="0"/>
              <w:rPr>
                <w:sz w:val="24"/>
                <w:szCs w:val="24"/>
                <w:color w:val="auto"/>
              </w:rPr>
            </w:pPr>
          </w:p>
        </w:tc>
      </w:tr>
      <w:tr>
        <w:trPr>
          <w:trHeight w:val="288"/>
        </w:trPr>
        <w:tc>
          <w:tcPr>
            <w:tcW w:w="1660" w:type="dxa"/>
            <w:vAlign w:val="bottom"/>
          </w:tcPr>
          <w:p>
            <w:pPr>
              <w:jc w:val="center"/>
              <w:spacing w:after="0"/>
              <w:rPr>
                <w:sz w:val="20"/>
                <w:szCs w:val="20"/>
                <w:color w:val="auto"/>
              </w:rPr>
            </w:pPr>
            <w:r>
              <w:rPr>
                <w:rFonts w:ascii="Arial" w:cs="Arial" w:eastAsia="Arial" w:hAnsi="Arial"/>
                <w:sz w:val="12"/>
                <w:szCs w:val="12"/>
                <w:color w:val="auto"/>
                <w:w w:val="86"/>
              </w:rPr>
              <w:t>10.23</w:t>
            </w:r>
          </w:p>
        </w:tc>
        <w:tc>
          <w:tcPr>
            <w:tcW w:w="240" w:type="dxa"/>
            <w:vAlign w:val="bottom"/>
          </w:tcPr>
          <w:p>
            <w:pPr>
              <w:spacing w:after="0"/>
              <w:rPr>
                <w:sz w:val="24"/>
                <w:szCs w:val="24"/>
                <w:color w:val="auto"/>
              </w:rPr>
            </w:pPr>
          </w:p>
        </w:tc>
        <w:tc>
          <w:tcPr>
            <w:tcW w:w="7800" w:type="dxa"/>
            <w:vAlign w:val="bottom"/>
          </w:tcPr>
          <w:p>
            <w:pPr>
              <w:spacing w:after="0"/>
              <w:rPr>
                <w:sz w:val="20"/>
                <w:szCs w:val="20"/>
                <w:color w:val="auto"/>
              </w:rPr>
            </w:pPr>
            <w:r>
              <w:rPr>
                <w:rFonts w:ascii="Arial" w:cs="Arial" w:eastAsia="Arial" w:hAnsi="Arial"/>
                <w:sz w:val="12"/>
                <w:szCs w:val="12"/>
                <w:color w:val="auto"/>
              </w:rPr>
              <w:t>Registrant’s Senior Executive Stock Option Plan</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(8)</w:t>
            </w:r>
          </w:p>
        </w:tc>
        <w:tc>
          <w:tcPr>
            <w:tcW w:w="360" w:type="dxa"/>
            <w:vAlign w:val="bottom"/>
          </w:tcPr>
          <w:p>
            <w:pPr>
              <w:spacing w:after="0"/>
              <w:rPr>
                <w:sz w:val="24"/>
                <w:szCs w:val="24"/>
                <w:color w:val="auto"/>
              </w:rPr>
            </w:pPr>
          </w:p>
        </w:tc>
      </w:tr>
      <w:tr>
        <w:trPr>
          <w:trHeight w:val="405"/>
        </w:trPr>
        <w:tc>
          <w:tcPr>
            <w:tcW w:w="1660" w:type="dxa"/>
            <w:vAlign w:val="bottom"/>
          </w:tcPr>
          <w:p>
            <w:pPr>
              <w:spacing w:after="0"/>
              <w:rPr>
                <w:sz w:val="24"/>
                <w:szCs w:val="24"/>
                <w:color w:val="auto"/>
              </w:rPr>
            </w:pPr>
          </w:p>
        </w:tc>
        <w:tc>
          <w:tcPr>
            <w:tcW w:w="8040" w:type="dxa"/>
            <w:vAlign w:val="bottom"/>
            <w:gridSpan w:val="2"/>
          </w:tcPr>
          <w:p>
            <w:pPr>
              <w:jc w:val="right"/>
              <w:ind w:right="3840"/>
              <w:spacing w:after="0"/>
              <w:rPr>
                <w:sz w:val="20"/>
                <w:szCs w:val="20"/>
                <w:color w:val="auto"/>
              </w:rPr>
            </w:pPr>
            <w:r>
              <w:rPr>
                <w:rFonts w:ascii="Arial" w:cs="Arial" w:eastAsia="Arial" w:hAnsi="Arial"/>
                <w:sz w:val="12"/>
                <w:szCs w:val="12"/>
                <w:color w:val="auto"/>
              </w:rPr>
              <w:t>52</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76"/>
        </w:trPr>
        <w:tc>
          <w:tcPr>
            <w:tcW w:w="16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8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15"/>
        </w:trPr>
        <w:tc>
          <w:tcPr>
            <w:tcW w:w="680" w:type="dxa"/>
            <w:vAlign w:val="bottom"/>
            <w:tcBorders>
              <w:bottom w:val="single" w:sz="8" w:color="0000EE"/>
            </w:tcBorders>
          </w:tcPr>
          <w:p>
            <w:pPr>
              <w:spacing w:after="0"/>
              <w:rPr>
                <w:rFonts w:ascii="Arial" w:cs="Arial" w:eastAsia="Arial" w:hAnsi="Arial"/>
                <w:sz w:val="10"/>
                <w:szCs w:val="10"/>
                <w:color w:val="0000EE"/>
                <w:w w:val="83"/>
              </w:rPr>
            </w:pPr>
            <w:hyperlink w:anchor="page2">
              <w:r>
                <w:rPr>
                  <w:rFonts w:ascii="Arial" w:cs="Arial" w:eastAsia="Arial" w:hAnsi="Arial"/>
                  <w:sz w:val="10"/>
                  <w:szCs w:val="10"/>
                  <w:color w:val="0000EE"/>
                  <w:w w:val="83"/>
                </w:rPr>
                <w:t>Table of Contents</w:t>
              </w:r>
            </w:hyperlink>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82"/>
        </w:trPr>
        <w:tc>
          <w:tcPr>
            <w:tcW w:w="1660" w:type="dxa"/>
            <w:vAlign w:val="bottom"/>
            <w:gridSpan w:val="2"/>
          </w:tcPr>
          <w:p>
            <w:pPr>
              <w:spacing w:after="0"/>
              <w:rPr>
                <w:sz w:val="20"/>
                <w:szCs w:val="20"/>
                <w:color w:val="auto"/>
              </w:rPr>
            </w:pPr>
            <w:r>
              <w:rPr>
                <w:rFonts w:ascii="Arial" w:cs="Arial" w:eastAsia="Arial" w:hAnsi="Arial"/>
                <w:sz w:val="12"/>
                <w:szCs w:val="12"/>
                <w:b w:val="1"/>
                <w:bCs w:val="1"/>
                <w:color w:val="auto"/>
              </w:rPr>
              <w:t>Exhibit No. in</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57"/>
        </w:trPr>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rPr>
              <w:t>this Form 10-K</w:t>
            </w:r>
          </w:p>
        </w:tc>
        <w:tc>
          <w:tcPr>
            <w:tcW w:w="240" w:type="dxa"/>
            <w:vAlign w:val="bottom"/>
          </w:tcPr>
          <w:p>
            <w:pPr>
              <w:spacing w:after="0"/>
              <w:rPr>
                <w:sz w:val="13"/>
                <w:szCs w:val="13"/>
                <w:color w:val="auto"/>
              </w:rPr>
            </w:pPr>
          </w:p>
        </w:tc>
        <w:tc>
          <w:tcPr>
            <w:tcW w:w="7800" w:type="dxa"/>
            <w:vAlign w:val="bottom"/>
            <w:tcBorders>
              <w:bottom w:val="single" w:sz="8" w:color="auto"/>
            </w:tcBorders>
            <w:gridSpan w:val="7"/>
          </w:tcPr>
          <w:p>
            <w:pPr>
              <w:spacing w:after="0"/>
              <w:rPr>
                <w:sz w:val="20"/>
                <w:szCs w:val="20"/>
                <w:color w:val="auto"/>
              </w:rPr>
            </w:pPr>
            <w:r>
              <w:rPr>
                <w:rFonts w:ascii="Arial" w:cs="Arial" w:eastAsia="Arial" w:hAnsi="Arial"/>
                <w:sz w:val="12"/>
                <w:szCs w:val="12"/>
                <w:b w:val="1"/>
                <w:bCs w:val="1"/>
                <w:color w:val="auto"/>
              </w:rPr>
              <w:t>Description of Exhibit</w:t>
            </w:r>
          </w:p>
        </w:tc>
        <w:tc>
          <w:tcPr>
            <w:tcW w:w="200" w:type="dxa"/>
            <w:vAlign w:val="bottom"/>
          </w:tcPr>
          <w:p>
            <w:pPr>
              <w:spacing w:after="0"/>
              <w:rPr>
                <w:sz w:val="13"/>
                <w:szCs w:val="13"/>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NOTE</w:t>
            </w:r>
          </w:p>
        </w:tc>
      </w:tr>
      <w:tr>
        <w:trPr>
          <w:trHeight w:val="286"/>
        </w:trPr>
        <w:tc>
          <w:tcPr>
            <w:tcW w:w="1660" w:type="dxa"/>
            <w:vAlign w:val="bottom"/>
            <w:gridSpan w:val="2"/>
          </w:tcPr>
          <w:p>
            <w:pPr>
              <w:jc w:val="center"/>
              <w:spacing w:after="0"/>
              <w:rPr>
                <w:sz w:val="20"/>
                <w:szCs w:val="20"/>
                <w:color w:val="auto"/>
              </w:rPr>
            </w:pPr>
            <w:r>
              <w:rPr>
                <w:rFonts w:ascii="Arial" w:cs="Arial" w:eastAsia="Arial" w:hAnsi="Arial"/>
                <w:sz w:val="12"/>
                <w:szCs w:val="12"/>
                <w:color w:val="auto"/>
                <w:w w:val="86"/>
              </w:rPr>
              <w:t>10.24</w:t>
            </w:r>
          </w:p>
        </w:tc>
        <w:tc>
          <w:tcPr>
            <w:tcW w:w="240" w:type="dxa"/>
            <w:vAlign w:val="bottom"/>
          </w:tcPr>
          <w:p>
            <w:pPr>
              <w:spacing w:after="0"/>
              <w:rPr>
                <w:sz w:val="24"/>
                <w:szCs w:val="24"/>
                <w:color w:val="auto"/>
              </w:rPr>
            </w:pPr>
          </w:p>
        </w:tc>
        <w:tc>
          <w:tcPr>
            <w:tcW w:w="7800" w:type="dxa"/>
            <w:vAlign w:val="bottom"/>
            <w:gridSpan w:val="7"/>
          </w:tcPr>
          <w:p>
            <w:pPr>
              <w:spacing w:after="0"/>
              <w:rPr>
                <w:sz w:val="20"/>
                <w:szCs w:val="20"/>
                <w:color w:val="auto"/>
              </w:rPr>
            </w:pPr>
            <w:r>
              <w:rPr>
                <w:rFonts w:ascii="Arial" w:cs="Arial" w:eastAsia="Arial" w:hAnsi="Arial"/>
                <w:sz w:val="12"/>
                <w:szCs w:val="12"/>
                <w:color w:val="auto"/>
              </w:rPr>
              <w:t>Amendment dated Jan. 1, 1988 to Registrant’s Cash or Deferred Profit Sharing Plan and Trust under Section 401 of Internal Revenue Code</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(8)</w:t>
            </w:r>
          </w:p>
        </w:tc>
      </w:tr>
      <w:tr>
        <w:trPr>
          <w:trHeight w:val="288"/>
        </w:trPr>
        <w:tc>
          <w:tcPr>
            <w:tcW w:w="1660" w:type="dxa"/>
            <w:vAlign w:val="bottom"/>
            <w:gridSpan w:val="2"/>
          </w:tcPr>
          <w:p>
            <w:pPr>
              <w:jc w:val="center"/>
              <w:spacing w:after="0"/>
              <w:rPr>
                <w:sz w:val="20"/>
                <w:szCs w:val="20"/>
                <w:color w:val="auto"/>
              </w:rPr>
            </w:pPr>
            <w:r>
              <w:rPr>
                <w:rFonts w:ascii="Arial" w:cs="Arial" w:eastAsia="Arial" w:hAnsi="Arial"/>
                <w:sz w:val="12"/>
                <w:szCs w:val="12"/>
                <w:color w:val="auto"/>
                <w:w w:val="86"/>
              </w:rPr>
              <w:t>10.25</w:t>
            </w:r>
          </w:p>
        </w:tc>
        <w:tc>
          <w:tcPr>
            <w:tcW w:w="240" w:type="dxa"/>
            <w:vAlign w:val="bottom"/>
          </w:tcPr>
          <w:p>
            <w:pPr>
              <w:spacing w:after="0"/>
              <w:rPr>
                <w:sz w:val="24"/>
                <w:szCs w:val="24"/>
                <w:color w:val="auto"/>
              </w:rPr>
            </w:pPr>
          </w:p>
        </w:tc>
        <w:tc>
          <w:tcPr>
            <w:tcW w:w="7800" w:type="dxa"/>
            <w:vAlign w:val="bottom"/>
            <w:gridSpan w:val="7"/>
          </w:tcPr>
          <w:p>
            <w:pPr>
              <w:spacing w:after="0"/>
              <w:rPr>
                <w:sz w:val="20"/>
                <w:szCs w:val="20"/>
                <w:color w:val="auto"/>
              </w:rPr>
            </w:pPr>
            <w:r>
              <w:rPr>
                <w:rFonts w:ascii="Arial" w:cs="Arial" w:eastAsia="Arial" w:hAnsi="Arial"/>
                <w:sz w:val="12"/>
                <w:szCs w:val="12"/>
                <w:color w:val="auto"/>
              </w:rPr>
              <w:t>Executive Incentive Compensation Plan between Registrant and various employees</w:t>
            </w:r>
          </w:p>
        </w:tc>
        <w:tc>
          <w:tcPr>
            <w:tcW w:w="1420" w:type="dxa"/>
            <w:vAlign w:val="bottom"/>
            <w:gridSpan w:val="2"/>
          </w:tcPr>
          <w:p>
            <w:pPr>
              <w:jc w:val="center"/>
              <w:ind w:left="140"/>
              <w:spacing w:after="0"/>
              <w:rPr>
                <w:sz w:val="20"/>
                <w:szCs w:val="20"/>
                <w:color w:val="auto"/>
              </w:rPr>
            </w:pPr>
            <w:r>
              <w:rPr>
                <w:rFonts w:ascii="Arial" w:cs="Arial" w:eastAsia="Arial" w:hAnsi="Arial"/>
                <w:sz w:val="12"/>
                <w:szCs w:val="12"/>
                <w:color w:val="auto"/>
                <w:w w:val="95"/>
              </w:rPr>
              <w:t>(8)</w:t>
            </w:r>
          </w:p>
        </w:tc>
      </w:tr>
      <w:tr>
        <w:trPr>
          <w:trHeight w:val="261"/>
        </w:trPr>
        <w:tc>
          <w:tcPr>
            <w:tcW w:w="1660" w:type="dxa"/>
            <w:vAlign w:val="bottom"/>
            <w:gridSpan w:val="2"/>
          </w:tcPr>
          <w:p>
            <w:pPr>
              <w:jc w:val="center"/>
              <w:ind w:right="20"/>
              <w:spacing w:after="0"/>
              <w:rPr>
                <w:sz w:val="20"/>
                <w:szCs w:val="20"/>
                <w:color w:val="auto"/>
              </w:rPr>
            </w:pPr>
            <w:r>
              <w:rPr>
                <w:rFonts w:ascii="Arial" w:cs="Arial" w:eastAsia="Arial" w:hAnsi="Arial"/>
                <w:sz w:val="12"/>
                <w:szCs w:val="12"/>
                <w:color w:val="auto"/>
                <w:w w:val="89"/>
              </w:rPr>
              <w:t>21</w:t>
            </w:r>
          </w:p>
        </w:tc>
        <w:tc>
          <w:tcPr>
            <w:tcW w:w="240" w:type="dxa"/>
            <w:vAlign w:val="bottom"/>
          </w:tcPr>
          <w:p>
            <w:pPr>
              <w:spacing w:after="0"/>
              <w:rPr>
                <w:sz w:val="22"/>
                <w:szCs w:val="22"/>
                <w:color w:val="auto"/>
              </w:rPr>
            </w:pPr>
          </w:p>
        </w:tc>
        <w:tc>
          <w:tcPr>
            <w:tcW w:w="1580" w:type="dxa"/>
            <w:vAlign w:val="bottom"/>
            <w:tcBorders>
              <w:bottom w:val="single" w:sz="8" w:color="0000EE"/>
            </w:tcBorders>
            <w:gridSpan w:val="2"/>
          </w:tcPr>
          <w:p>
            <w:pPr>
              <w:spacing w:after="0"/>
              <w:rPr>
                <w:sz w:val="20"/>
                <w:szCs w:val="20"/>
                <w:color w:val="auto"/>
              </w:rPr>
            </w:pPr>
            <w:r>
              <w:rPr>
                <w:rFonts w:ascii="Arial" w:cs="Arial" w:eastAsia="Arial" w:hAnsi="Arial"/>
                <w:sz w:val="12"/>
                <w:szCs w:val="12"/>
                <w:color w:val="0000EE"/>
                <w:w w:val="90"/>
              </w:rPr>
              <w:t>List of Subsidiaries of Registrant</w:t>
            </w:r>
          </w:p>
        </w:tc>
        <w:tc>
          <w:tcPr>
            <w:tcW w:w="6220" w:type="dxa"/>
            <w:vAlign w:val="bottom"/>
            <w:gridSpan w:val="5"/>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68"/>
        </w:trPr>
        <w:tc>
          <w:tcPr>
            <w:tcW w:w="1660" w:type="dxa"/>
            <w:vAlign w:val="bottom"/>
            <w:gridSpan w:val="2"/>
          </w:tcPr>
          <w:p>
            <w:pPr>
              <w:jc w:val="center"/>
              <w:spacing w:after="0"/>
              <w:rPr>
                <w:sz w:val="20"/>
                <w:szCs w:val="20"/>
                <w:color w:val="auto"/>
              </w:rPr>
            </w:pPr>
            <w:r>
              <w:rPr>
                <w:rFonts w:ascii="Arial" w:cs="Arial" w:eastAsia="Arial" w:hAnsi="Arial"/>
                <w:sz w:val="12"/>
                <w:szCs w:val="12"/>
                <w:color w:val="auto"/>
                <w:w w:val="93"/>
              </w:rPr>
              <w:t>23.1</w:t>
            </w:r>
          </w:p>
        </w:tc>
        <w:tc>
          <w:tcPr>
            <w:tcW w:w="240" w:type="dxa"/>
            <w:vAlign w:val="bottom"/>
          </w:tcPr>
          <w:p>
            <w:pPr>
              <w:spacing w:after="0"/>
              <w:rPr>
                <w:sz w:val="23"/>
                <w:szCs w:val="23"/>
                <w:color w:val="auto"/>
              </w:rPr>
            </w:pPr>
          </w:p>
        </w:tc>
        <w:tc>
          <w:tcPr>
            <w:tcW w:w="7800" w:type="dxa"/>
            <w:vAlign w:val="bottom"/>
            <w:gridSpan w:val="7"/>
          </w:tcPr>
          <w:p>
            <w:pPr>
              <w:spacing w:after="0"/>
              <w:rPr>
                <w:sz w:val="20"/>
                <w:szCs w:val="20"/>
                <w:color w:val="auto"/>
              </w:rPr>
            </w:pPr>
            <w:r>
              <w:rPr>
                <w:rFonts w:ascii="Arial" w:cs="Arial" w:eastAsia="Arial" w:hAnsi="Arial"/>
                <w:sz w:val="12"/>
                <w:szCs w:val="12"/>
                <w:color w:val="0000EE"/>
                <w:w w:val="97"/>
              </w:rPr>
              <w:t>Consent of Independent Registered Public Accounting Firm to incorporation by reference of its 2012 audit report in Registrant’s Form S-8 Registration</w:t>
            </w:r>
          </w:p>
        </w:tc>
        <w:tc>
          <w:tcPr>
            <w:tcW w:w="2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124"/>
        </w:trPr>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40" w:type="dxa"/>
            <w:vAlign w:val="bottom"/>
            <w:tcBorders>
              <w:top w:val="single" w:sz="8" w:color="0000EE"/>
            </w:tcBorders>
            <w:gridSpan w:val="6"/>
          </w:tcPr>
          <w:p>
            <w:pPr>
              <w:spacing w:after="0" w:line="124" w:lineRule="exact"/>
              <w:rPr>
                <w:sz w:val="20"/>
                <w:szCs w:val="20"/>
                <w:color w:val="auto"/>
              </w:rPr>
            </w:pPr>
            <w:r>
              <w:rPr>
                <w:rFonts w:ascii="Arial" w:cs="Arial" w:eastAsia="Arial" w:hAnsi="Arial"/>
                <w:sz w:val="12"/>
                <w:szCs w:val="12"/>
                <w:color w:val="0000EE"/>
              </w:rPr>
              <w:t>Statements.</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r>
      <w:tr>
        <w:trPr>
          <w:trHeight w:val="20"/>
        </w:trPr>
        <w:tc>
          <w:tcPr>
            <w:tcW w:w="1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8"/>
        </w:trPr>
        <w:tc>
          <w:tcPr>
            <w:tcW w:w="1660" w:type="dxa"/>
            <w:vAlign w:val="bottom"/>
            <w:gridSpan w:val="2"/>
          </w:tcPr>
          <w:p>
            <w:pPr>
              <w:jc w:val="center"/>
              <w:spacing w:after="0"/>
              <w:rPr>
                <w:sz w:val="20"/>
                <w:szCs w:val="20"/>
                <w:color w:val="auto"/>
              </w:rPr>
            </w:pPr>
            <w:r>
              <w:rPr>
                <w:rFonts w:ascii="Arial" w:cs="Arial" w:eastAsia="Arial" w:hAnsi="Arial"/>
                <w:sz w:val="12"/>
                <w:szCs w:val="12"/>
                <w:color w:val="auto"/>
                <w:w w:val="93"/>
              </w:rPr>
              <w:t>31.1</w:t>
            </w:r>
          </w:p>
        </w:tc>
        <w:tc>
          <w:tcPr>
            <w:tcW w:w="240" w:type="dxa"/>
            <w:vAlign w:val="bottom"/>
          </w:tcPr>
          <w:p>
            <w:pPr>
              <w:spacing w:after="0"/>
              <w:rPr>
                <w:sz w:val="23"/>
                <w:szCs w:val="23"/>
                <w:color w:val="auto"/>
              </w:rPr>
            </w:pPr>
          </w:p>
        </w:tc>
        <w:tc>
          <w:tcPr>
            <w:tcW w:w="7800" w:type="dxa"/>
            <w:vAlign w:val="bottom"/>
            <w:gridSpan w:val="7"/>
          </w:tcPr>
          <w:p>
            <w:pPr>
              <w:spacing w:after="0"/>
              <w:rPr>
                <w:sz w:val="20"/>
                <w:szCs w:val="20"/>
                <w:color w:val="auto"/>
              </w:rPr>
            </w:pPr>
            <w:r>
              <w:rPr>
                <w:rFonts w:ascii="Arial" w:cs="Arial" w:eastAsia="Arial" w:hAnsi="Arial"/>
                <w:sz w:val="12"/>
                <w:szCs w:val="12"/>
                <w:color w:val="0000EE"/>
              </w:rPr>
              <w:t>Certification of the Chief Executive Officer pursuant to Section 302 of the Sarbanes-Oxley Act of 2002</w:t>
            </w:r>
          </w:p>
        </w:tc>
        <w:tc>
          <w:tcPr>
            <w:tcW w:w="2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68"/>
        </w:trPr>
        <w:tc>
          <w:tcPr>
            <w:tcW w:w="1660" w:type="dxa"/>
            <w:vAlign w:val="bottom"/>
            <w:gridSpan w:val="2"/>
          </w:tcPr>
          <w:p>
            <w:pPr>
              <w:jc w:val="center"/>
              <w:spacing w:after="0"/>
              <w:rPr>
                <w:sz w:val="20"/>
                <w:szCs w:val="20"/>
                <w:color w:val="auto"/>
              </w:rPr>
            </w:pPr>
            <w:r>
              <w:rPr>
                <w:rFonts w:ascii="Arial" w:cs="Arial" w:eastAsia="Arial" w:hAnsi="Arial"/>
                <w:sz w:val="12"/>
                <w:szCs w:val="12"/>
                <w:color w:val="auto"/>
                <w:w w:val="93"/>
              </w:rPr>
              <w:t>31.2</w:t>
            </w:r>
          </w:p>
        </w:tc>
        <w:tc>
          <w:tcPr>
            <w:tcW w:w="240" w:type="dxa"/>
            <w:vAlign w:val="bottom"/>
          </w:tcPr>
          <w:p>
            <w:pPr>
              <w:spacing w:after="0"/>
              <w:rPr>
                <w:sz w:val="23"/>
                <w:szCs w:val="23"/>
                <w:color w:val="auto"/>
              </w:rPr>
            </w:pPr>
          </w:p>
        </w:tc>
        <w:tc>
          <w:tcPr>
            <w:tcW w:w="4960" w:type="dxa"/>
            <w:vAlign w:val="bottom"/>
            <w:tcBorders>
              <w:top w:val="single" w:sz="8" w:color="0000EE"/>
            </w:tcBorders>
            <w:gridSpan w:val="4"/>
          </w:tcPr>
          <w:p>
            <w:pPr>
              <w:spacing w:after="0"/>
              <w:rPr>
                <w:sz w:val="20"/>
                <w:szCs w:val="20"/>
                <w:color w:val="auto"/>
              </w:rPr>
            </w:pPr>
            <w:r>
              <w:rPr>
                <w:rFonts w:ascii="Arial" w:cs="Arial" w:eastAsia="Arial" w:hAnsi="Arial"/>
                <w:sz w:val="12"/>
                <w:szCs w:val="12"/>
                <w:color w:val="0000EE"/>
                <w:w w:val="92"/>
              </w:rPr>
              <w:t>Certification of the Chief Financial Officer pursuant to Section 302 of the Sarbanes-Oxley Act of 2002</w:t>
            </w:r>
          </w:p>
        </w:tc>
        <w:tc>
          <w:tcPr>
            <w:tcW w:w="2840" w:type="dxa"/>
            <w:vAlign w:val="bottom"/>
            <w:gridSpan w:val="3"/>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r>
        <w:trPr>
          <w:trHeight w:val="20"/>
        </w:trPr>
        <w:tc>
          <w:tcPr>
            <w:tcW w:w="1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8"/>
        </w:trPr>
        <w:tc>
          <w:tcPr>
            <w:tcW w:w="1660" w:type="dxa"/>
            <w:vAlign w:val="bottom"/>
            <w:gridSpan w:val="2"/>
          </w:tcPr>
          <w:p>
            <w:pPr>
              <w:jc w:val="center"/>
              <w:ind w:right="20"/>
              <w:spacing w:after="0"/>
              <w:rPr>
                <w:sz w:val="20"/>
                <w:szCs w:val="20"/>
                <w:color w:val="auto"/>
              </w:rPr>
            </w:pPr>
            <w:r>
              <w:rPr>
                <w:rFonts w:ascii="Arial" w:cs="Arial" w:eastAsia="Arial" w:hAnsi="Arial"/>
                <w:sz w:val="12"/>
                <w:szCs w:val="12"/>
                <w:color w:val="auto"/>
                <w:w w:val="89"/>
              </w:rPr>
              <w:t>32</w:t>
            </w:r>
          </w:p>
        </w:tc>
        <w:tc>
          <w:tcPr>
            <w:tcW w:w="240" w:type="dxa"/>
            <w:vAlign w:val="bottom"/>
          </w:tcPr>
          <w:p>
            <w:pPr>
              <w:spacing w:after="0"/>
              <w:rPr>
                <w:sz w:val="23"/>
                <w:szCs w:val="23"/>
                <w:color w:val="auto"/>
              </w:rPr>
            </w:pPr>
          </w:p>
        </w:tc>
        <w:tc>
          <w:tcPr>
            <w:tcW w:w="6360" w:type="dxa"/>
            <w:vAlign w:val="bottom"/>
            <w:tcBorders>
              <w:bottom w:val="single" w:sz="8" w:color="0000EE"/>
            </w:tcBorders>
            <w:gridSpan w:val="5"/>
          </w:tcPr>
          <w:p>
            <w:pPr>
              <w:spacing w:after="0"/>
              <w:rPr>
                <w:sz w:val="20"/>
                <w:szCs w:val="20"/>
                <w:color w:val="auto"/>
              </w:rPr>
            </w:pPr>
            <w:r>
              <w:rPr>
                <w:rFonts w:ascii="Arial" w:cs="Arial" w:eastAsia="Arial" w:hAnsi="Arial"/>
                <w:sz w:val="12"/>
                <w:szCs w:val="12"/>
                <w:color w:val="0000EE"/>
                <w:w w:val="91"/>
              </w:rPr>
              <w:t>Certifications of the Chief Executive Officer and Chief Financial Officer pursuant to Section 906 of the Sarbanes-Oxley Act of 2002</w:t>
            </w:r>
          </w:p>
        </w:tc>
        <w:tc>
          <w:tcPr>
            <w:tcW w:w="144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Arial" w:cs="Arial" w:eastAsia="Arial" w:hAnsi="Arial"/>
                <w:sz w:val="12"/>
                <w:szCs w:val="12"/>
                <w:color w:val="auto"/>
                <w:w w:val="93"/>
              </w:rPr>
              <w:t>Filed herewith</w:t>
            </w:r>
          </w:p>
        </w:tc>
      </w:tr>
    </w:tbl>
    <w:p>
      <w:pPr>
        <w:spacing w:after="0" w:line="153" w:lineRule="exact"/>
        <w:rPr>
          <w:sz w:val="20"/>
          <w:szCs w:val="20"/>
          <w:color w:val="auto"/>
        </w:rPr>
      </w:pPr>
    </w:p>
    <w:p>
      <w:pPr>
        <w:ind w:left="1900" w:right="1520" w:hanging="1160"/>
        <w:spacing w:after="0" w:line="298" w:lineRule="auto"/>
        <w:tabs>
          <w:tab w:leader="none" w:pos="1900" w:val="left"/>
        </w:tabs>
        <w:numPr>
          <w:ilvl w:val="0"/>
          <w:numId w:val="14"/>
        </w:numPr>
        <w:rPr>
          <w:rFonts w:ascii="Arial" w:cs="Arial" w:eastAsia="Arial" w:hAnsi="Arial"/>
          <w:sz w:val="11"/>
          <w:szCs w:val="11"/>
          <w:color w:val="auto"/>
        </w:rPr>
      </w:pPr>
      <w:r>
        <w:rPr>
          <w:rFonts w:ascii="Arial" w:cs="Arial" w:eastAsia="Arial" w:hAnsi="Arial"/>
          <w:sz w:val="11"/>
          <w:szCs w:val="11"/>
          <w:color w:val="auto"/>
        </w:rPr>
        <w:t>The following materials from the Frequency Electronics, Inc. Annual Report on Form 10-K for the fiscal year ended April 30, 2013 formatted in eXtensible Business Reporting Language (XBRL): (i) Consolidated Balance Sheets, (ii) Consolidated Statements of Income and Comprehensive Income, (iii) Consolidated Statements of Cash Flows, (iv) Consolidated Statement of Changes in Stockholders’ Equity and (v) Notes to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NOTES:</w:t>
      </w:r>
    </w:p>
    <w:p>
      <w:pPr>
        <w:spacing w:after="0" w:line="168" w:lineRule="exact"/>
        <w:rPr>
          <w:sz w:val="20"/>
          <w:szCs w:val="20"/>
          <w:color w:val="auto"/>
        </w:rPr>
      </w:pPr>
    </w:p>
    <w:p>
      <w:pPr>
        <w:ind w:left="600" w:hanging="437"/>
        <w:spacing w:after="0"/>
        <w:tabs>
          <w:tab w:leader="none" w:pos="6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S-1, File No. 2-29609, which exhibit is incorporated herein by reference.</w:t>
      </w:r>
    </w:p>
    <w:p>
      <w:pPr>
        <w:spacing w:after="0" w:line="14" w:lineRule="exact"/>
        <w:rPr>
          <w:rFonts w:ascii="Arial" w:cs="Arial" w:eastAsia="Arial" w:hAnsi="Arial"/>
          <w:sz w:val="12"/>
          <w:szCs w:val="12"/>
          <w:color w:val="auto"/>
        </w:rPr>
      </w:pPr>
    </w:p>
    <w:p>
      <w:pPr>
        <w:ind w:left="600" w:hanging="437"/>
        <w:spacing w:after="0"/>
        <w:tabs>
          <w:tab w:leader="none" w:pos="6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S-1, File No. 2-71727, which exhibit is incorporated herein by reference.</w:t>
      </w:r>
    </w:p>
    <w:p>
      <w:pPr>
        <w:spacing w:after="0" w:line="6" w:lineRule="exact"/>
        <w:rPr>
          <w:rFonts w:ascii="Arial" w:cs="Arial" w:eastAsia="Arial" w:hAnsi="Arial"/>
          <w:sz w:val="12"/>
          <w:szCs w:val="12"/>
          <w:color w:val="auto"/>
        </w:rPr>
      </w:pPr>
    </w:p>
    <w:p>
      <w:pPr>
        <w:ind w:left="600" w:hanging="437"/>
        <w:spacing w:after="0"/>
        <w:tabs>
          <w:tab w:leader="none" w:pos="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1981,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S-1, File No. 2-69527, which exhibit is incorporated herein by reference.</w:t>
      </w:r>
    </w:p>
    <w:p>
      <w:pPr>
        <w:spacing w:after="0" w:line="6" w:lineRule="exact"/>
        <w:rPr>
          <w:rFonts w:ascii="Arial" w:cs="Arial" w:eastAsia="Arial" w:hAnsi="Arial"/>
          <w:sz w:val="12"/>
          <w:szCs w:val="12"/>
          <w:color w:val="auto"/>
        </w:rPr>
      </w:pPr>
    </w:p>
    <w:p>
      <w:pPr>
        <w:ind w:left="600" w:hanging="437"/>
        <w:spacing w:after="0"/>
        <w:tabs>
          <w:tab w:leader="none" w:pos="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1985,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Filed with the SEC as exhibit, numbered as indicated above, to the annual report of Registrant on Form 10-K, File No. 1-8061, for the year ended April 30, 1986,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1987,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1989,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1990,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Filed with the SEC as an exhibit, numbered as indicated above, to the registration statement of Registrant on Form S-8, File No. 333-42233, which exhibit is incorporated herein by reference.</w:t>
      </w:r>
    </w:p>
    <w:p>
      <w:pPr>
        <w:spacing w:after="0" w:line="6" w:lineRule="exact"/>
        <w:rPr>
          <w:rFonts w:ascii="Arial" w:cs="Arial" w:eastAsia="Arial" w:hAnsi="Arial"/>
          <w:sz w:val="12"/>
          <w:szCs w:val="12"/>
          <w:color w:val="auto"/>
        </w:rPr>
      </w:pPr>
    </w:p>
    <w:p>
      <w:pPr>
        <w:ind w:left="600" w:hanging="437"/>
        <w:spacing w:after="0"/>
        <w:tabs>
          <w:tab w:leader="none" w:pos="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annual report of Registrant on Form 10-K, File No. 1-8061, for the year ended April 30, 1998, which exhibit is incorporated herein by reference.</w:t>
      </w:r>
    </w:p>
    <w:p>
      <w:pPr>
        <w:spacing w:after="0" w:line="17" w:lineRule="exact"/>
        <w:rPr>
          <w:rFonts w:ascii="Arial" w:cs="Arial" w:eastAsia="Arial" w:hAnsi="Arial"/>
          <w:sz w:val="11"/>
          <w:szCs w:val="11"/>
          <w:color w:val="auto"/>
        </w:rPr>
      </w:pPr>
    </w:p>
    <w:p>
      <w:pPr>
        <w:ind w:left="600" w:hanging="437"/>
        <w:spacing w:after="0"/>
        <w:tabs>
          <w:tab w:leader="none" w:pos="600" w:val="left"/>
        </w:tabs>
        <w:numPr>
          <w:ilvl w:val="0"/>
          <w:numId w:val="15"/>
        </w:numPr>
        <w:rPr>
          <w:rFonts w:ascii="Arial" w:cs="Arial" w:eastAsia="Arial" w:hAnsi="Arial"/>
          <w:sz w:val="11"/>
          <w:szCs w:val="11"/>
          <w:color w:val="auto"/>
        </w:rPr>
      </w:pPr>
      <w:r>
        <w:rPr>
          <w:rFonts w:ascii="Arial" w:cs="Arial" w:eastAsia="Arial" w:hAnsi="Arial"/>
          <w:sz w:val="11"/>
          <w:szCs w:val="11"/>
          <w:color w:val="auto"/>
        </w:rPr>
        <w:t>Filed with the SEC as an exhibit, numbered as indicated above, to the current report of Registrant on Form 8-K, File No. 1-8061, on February 27, 2012, which exhibit is incorporated herein by reference.</w:t>
      </w: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20"/>
          </w:cols>
          <w:pgMar w:left="220" w:top="115" w:right="559" w:bottom="1440" w:gutter="0" w:footer="0" w:header="0"/>
        </w:sectPr>
      </w:pPr>
    </w:p>
    <w:bookmarkStart w:id="53" w:name="page54"/>
    <w:bookmarkEnd w:id="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jc w:val="right"/>
        <w:spacing w:after="0"/>
        <w:rPr>
          <w:sz w:val="20"/>
          <w:szCs w:val="20"/>
          <w:color w:val="auto"/>
        </w:rPr>
      </w:pPr>
      <w:r>
        <w:rPr>
          <w:rFonts w:ascii="Arial" w:cs="Arial" w:eastAsia="Arial" w:hAnsi="Arial"/>
          <w:sz w:val="12"/>
          <w:szCs w:val="12"/>
          <w:b w:val="1"/>
          <w:bCs w:val="1"/>
          <w:color w:val="auto"/>
        </w:rPr>
        <w:t>Exhibit 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80" w:type="dxa"/>
            <w:vAlign w:val="bottom"/>
            <w:gridSpan w:val="2"/>
          </w:tcPr>
          <w:p>
            <w:pPr>
              <w:jc w:val="center"/>
              <w:ind w:left="140"/>
              <w:spacing w:after="0"/>
              <w:rPr>
                <w:sz w:val="20"/>
                <w:szCs w:val="20"/>
                <w:color w:val="auto"/>
              </w:rPr>
            </w:pPr>
            <w:r>
              <w:rPr>
                <w:rFonts w:ascii="Arial" w:cs="Arial" w:eastAsia="Arial" w:hAnsi="Arial"/>
                <w:sz w:val="12"/>
                <w:szCs w:val="12"/>
                <w:b w:val="1"/>
                <w:bCs w:val="1"/>
                <w:color w:val="auto"/>
                <w:w w:val="99"/>
              </w:rPr>
              <w:t>FREQUENCY ELECTRONICS, INC. and SUBSIDIARIES</w:t>
            </w:r>
          </w:p>
        </w:tc>
      </w:tr>
      <w:tr>
        <w:trPr>
          <w:trHeight w:val="306"/>
        </w:trPr>
        <w:tc>
          <w:tcPr>
            <w:tcW w:w="3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80" w:type="dxa"/>
            <w:vAlign w:val="bottom"/>
            <w:gridSpan w:val="2"/>
          </w:tcPr>
          <w:p>
            <w:pPr>
              <w:jc w:val="center"/>
              <w:ind w:left="120"/>
              <w:spacing w:after="0"/>
              <w:rPr>
                <w:sz w:val="20"/>
                <w:szCs w:val="20"/>
                <w:color w:val="auto"/>
              </w:rPr>
            </w:pPr>
            <w:r>
              <w:rPr>
                <w:rFonts w:ascii="Arial" w:cs="Arial" w:eastAsia="Arial" w:hAnsi="Arial"/>
                <w:sz w:val="12"/>
                <w:szCs w:val="12"/>
                <w:color w:val="auto"/>
                <w:w w:val="91"/>
              </w:rPr>
              <w:t>List of Subsidiaries of Registrant</w:t>
            </w:r>
          </w:p>
        </w:tc>
      </w:tr>
      <w:tr>
        <w:trPr>
          <w:trHeight w:val="293"/>
        </w:trPr>
        <w:tc>
          <w:tcPr>
            <w:tcW w:w="3440" w:type="dxa"/>
            <w:vAlign w:val="bottom"/>
          </w:tcPr>
          <w:p>
            <w:pPr>
              <w:ind w:left="1040"/>
              <w:spacing w:after="0"/>
              <w:rPr>
                <w:sz w:val="20"/>
                <w:szCs w:val="20"/>
                <w:color w:val="auto"/>
              </w:rPr>
            </w:pPr>
            <w:r>
              <w:rPr>
                <w:rFonts w:ascii="Arial" w:cs="Arial" w:eastAsia="Arial" w:hAnsi="Arial"/>
                <w:sz w:val="12"/>
                <w:szCs w:val="12"/>
                <w:b w:val="1"/>
                <w:bCs w:val="1"/>
                <w:color w:val="auto"/>
              </w:rPr>
              <w:t>Subsidiary &amp; Name under</w:t>
            </w: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57"/>
        </w:trPr>
        <w:tc>
          <w:tcPr>
            <w:tcW w:w="3440" w:type="dxa"/>
            <w:vAlign w:val="bottom"/>
            <w:tcBorders>
              <w:bottom w:val="single" w:sz="8" w:color="auto"/>
            </w:tcBorders>
          </w:tcPr>
          <w:p>
            <w:pPr>
              <w:ind w:left="980"/>
              <w:spacing w:after="0"/>
              <w:rPr>
                <w:sz w:val="20"/>
                <w:szCs w:val="20"/>
                <w:color w:val="auto"/>
              </w:rPr>
            </w:pPr>
            <w:r>
              <w:rPr>
                <w:rFonts w:ascii="Arial" w:cs="Arial" w:eastAsia="Arial" w:hAnsi="Arial"/>
                <w:sz w:val="12"/>
                <w:szCs w:val="12"/>
                <w:b w:val="1"/>
                <w:bCs w:val="1"/>
                <w:color w:val="auto"/>
              </w:rPr>
              <w:t>which business is performed</w:t>
            </w:r>
          </w:p>
        </w:tc>
        <w:tc>
          <w:tcPr>
            <w:tcW w:w="560" w:type="dxa"/>
            <w:vAlign w:val="bottom"/>
          </w:tcPr>
          <w:p>
            <w:pPr>
              <w:spacing w:after="0"/>
              <w:rPr>
                <w:sz w:val="13"/>
                <w:szCs w:val="13"/>
                <w:color w:val="auto"/>
              </w:rPr>
            </w:pPr>
          </w:p>
        </w:tc>
        <w:tc>
          <w:tcPr>
            <w:tcW w:w="2880" w:type="dxa"/>
            <w:vAlign w:val="bottom"/>
            <w:tcBorders>
              <w:bottom w:val="single" w:sz="8" w:color="auto"/>
            </w:tcBorders>
          </w:tcPr>
          <w:p>
            <w:pPr>
              <w:jc w:val="center"/>
              <w:ind w:right="280"/>
              <w:spacing w:after="0"/>
              <w:rPr>
                <w:sz w:val="20"/>
                <w:szCs w:val="20"/>
                <w:color w:val="auto"/>
              </w:rPr>
            </w:pPr>
            <w:r>
              <w:rPr>
                <w:rFonts w:ascii="Arial" w:cs="Arial" w:eastAsia="Arial" w:hAnsi="Arial"/>
                <w:sz w:val="12"/>
                <w:szCs w:val="12"/>
                <w:b w:val="1"/>
                <w:bCs w:val="1"/>
                <w:color w:val="auto"/>
                <w:w w:val="91"/>
              </w:rPr>
              <w:t>Jurisdiction of Incorporation</w:t>
            </w:r>
          </w:p>
        </w:tc>
        <w:tc>
          <w:tcPr>
            <w:tcW w:w="400" w:type="dxa"/>
            <w:vAlign w:val="bottom"/>
          </w:tcPr>
          <w:p>
            <w:pPr>
              <w:spacing w:after="0"/>
              <w:rPr>
                <w:sz w:val="13"/>
                <w:szCs w:val="13"/>
                <w:color w:val="auto"/>
              </w:rPr>
            </w:pPr>
          </w:p>
        </w:tc>
      </w:tr>
      <w:tr>
        <w:trPr>
          <w:trHeight w:val="286"/>
        </w:trPr>
        <w:tc>
          <w:tcPr>
            <w:tcW w:w="3440" w:type="dxa"/>
            <w:vAlign w:val="bottom"/>
          </w:tcPr>
          <w:p>
            <w:pPr>
              <w:ind w:left="80"/>
              <w:spacing w:after="0"/>
              <w:rPr>
                <w:sz w:val="20"/>
                <w:szCs w:val="20"/>
                <w:color w:val="auto"/>
              </w:rPr>
            </w:pPr>
            <w:r>
              <w:rPr>
                <w:rFonts w:ascii="Arial" w:cs="Arial" w:eastAsia="Arial" w:hAnsi="Arial"/>
                <w:sz w:val="12"/>
                <w:szCs w:val="12"/>
                <w:color w:val="auto"/>
              </w:rPr>
              <w:t>Frequency Electronics, Inc.</w:t>
            </w:r>
          </w:p>
        </w:tc>
        <w:tc>
          <w:tcPr>
            <w:tcW w:w="560" w:type="dxa"/>
            <w:vAlign w:val="bottom"/>
          </w:tcPr>
          <w:p>
            <w:pPr>
              <w:spacing w:after="0"/>
              <w:rPr>
                <w:sz w:val="24"/>
                <w:szCs w:val="24"/>
                <w:color w:val="auto"/>
              </w:rPr>
            </w:pPr>
          </w:p>
        </w:tc>
        <w:tc>
          <w:tcPr>
            <w:tcW w:w="3280" w:type="dxa"/>
            <w:vAlign w:val="bottom"/>
            <w:gridSpan w:val="2"/>
          </w:tcPr>
          <w:p>
            <w:pPr>
              <w:jc w:val="center"/>
              <w:ind w:right="740"/>
              <w:spacing w:after="0"/>
              <w:rPr>
                <w:sz w:val="20"/>
                <w:szCs w:val="20"/>
                <w:color w:val="auto"/>
              </w:rPr>
            </w:pPr>
            <w:r>
              <w:rPr>
                <w:rFonts w:ascii="Arial" w:cs="Arial" w:eastAsia="Arial" w:hAnsi="Arial"/>
                <w:sz w:val="12"/>
                <w:szCs w:val="12"/>
                <w:color w:val="auto"/>
                <w:w w:val="90"/>
              </w:rPr>
              <w:t>Delaware</w:t>
            </w:r>
          </w:p>
        </w:tc>
      </w:tr>
      <w:tr>
        <w:trPr>
          <w:trHeight w:val="288"/>
        </w:trPr>
        <w:tc>
          <w:tcPr>
            <w:tcW w:w="3440" w:type="dxa"/>
            <w:vAlign w:val="bottom"/>
          </w:tcPr>
          <w:p>
            <w:pPr>
              <w:ind w:left="80"/>
              <w:spacing w:after="0"/>
              <w:rPr>
                <w:sz w:val="20"/>
                <w:szCs w:val="20"/>
                <w:color w:val="auto"/>
              </w:rPr>
            </w:pPr>
            <w:r>
              <w:rPr>
                <w:rFonts w:ascii="Arial" w:cs="Arial" w:eastAsia="Arial" w:hAnsi="Arial"/>
                <w:sz w:val="12"/>
                <w:szCs w:val="12"/>
                <w:color w:val="auto"/>
              </w:rPr>
              <w:t>FEI Communications, Inc.</w:t>
            </w:r>
          </w:p>
        </w:tc>
        <w:tc>
          <w:tcPr>
            <w:tcW w:w="560" w:type="dxa"/>
            <w:vAlign w:val="bottom"/>
          </w:tcPr>
          <w:p>
            <w:pPr>
              <w:spacing w:after="0"/>
              <w:rPr>
                <w:sz w:val="24"/>
                <w:szCs w:val="24"/>
                <w:color w:val="auto"/>
              </w:rPr>
            </w:pPr>
          </w:p>
        </w:tc>
        <w:tc>
          <w:tcPr>
            <w:tcW w:w="3280" w:type="dxa"/>
            <w:vAlign w:val="bottom"/>
            <w:gridSpan w:val="2"/>
          </w:tcPr>
          <w:p>
            <w:pPr>
              <w:jc w:val="center"/>
              <w:ind w:right="740"/>
              <w:spacing w:after="0"/>
              <w:rPr>
                <w:sz w:val="20"/>
                <w:szCs w:val="20"/>
                <w:color w:val="auto"/>
              </w:rPr>
            </w:pPr>
            <w:r>
              <w:rPr>
                <w:rFonts w:ascii="Arial" w:cs="Arial" w:eastAsia="Arial" w:hAnsi="Arial"/>
                <w:sz w:val="12"/>
                <w:szCs w:val="12"/>
                <w:color w:val="auto"/>
                <w:w w:val="90"/>
              </w:rPr>
              <w:t>Delaware</w:t>
            </w:r>
          </w:p>
        </w:tc>
      </w:tr>
      <w:tr>
        <w:trPr>
          <w:trHeight w:val="288"/>
        </w:trPr>
        <w:tc>
          <w:tcPr>
            <w:tcW w:w="3440" w:type="dxa"/>
            <w:vAlign w:val="bottom"/>
          </w:tcPr>
          <w:p>
            <w:pPr>
              <w:ind w:left="80"/>
              <w:spacing w:after="0"/>
              <w:rPr>
                <w:sz w:val="20"/>
                <w:szCs w:val="20"/>
                <w:color w:val="auto"/>
              </w:rPr>
            </w:pPr>
            <w:r>
              <w:rPr>
                <w:rFonts w:ascii="Arial" w:cs="Arial" w:eastAsia="Arial" w:hAnsi="Arial"/>
                <w:sz w:val="12"/>
                <w:szCs w:val="12"/>
                <w:color w:val="auto"/>
              </w:rPr>
              <w:t>FEI Government Systems, Inc.</w:t>
            </w:r>
          </w:p>
        </w:tc>
        <w:tc>
          <w:tcPr>
            <w:tcW w:w="560" w:type="dxa"/>
            <w:vAlign w:val="bottom"/>
          </w:tcPr>
          <w:p>
            <w:pPr>
              <w:spacing w:after="0"/>
              <w:rPr>
                <w:sz w:val="24"/>
                <w:szCs w:val="24"/>
                <w:color w:val="auto"/>
              </w:rPr>
            </w:pPr>
          </w:p>
        </w:tc>
        <w:tc>
          <w:tcPr>
            <w:tcW w:w="3280" w:type="dxa"/>
            <w:vAlign w:val="bottom"/>
            <w:gridSpan w:val="2"/>
          </w:tcPr>
          <w:p>
            <w:pPr>
              <w:jc w:val="center"/>
              <w:ind w:right="740"/>
              <w:spacing w:after="0"/>
              <w:rPr>
                <w:sz w:val="20"/>
                <w:szCs w:val="20"/>
                <w:color w:val="auto"/>
              </w:rPr>
            </w:pPr>
            <w:r>
              <w:rPr>
                <w:rFonts w:ascii="Arial" w:cs="Arial" w:eastAsia="Arial" w:hAnsi="Arial"/>
                <w:sz w:val="12"/>
                <w:szCs w:val="12"/>
                <w:color w:val="auto"/>
                <w:w w:val="90"/>
              </w:rPr>
              <w:t>Delaware</w:t>
            </w:r>
          </w:p>
        </w:tc>
      </w:tr>
      <w:tr>
        <w:trPr>
          <w:trHeight w:val="288"/>
        </w:trPr>
        <w:tc>
          <w:tcPr>
            <w:tcW w:w="3440" w:type="dxa"/>
            <w:vAlign w:val="bottom"/>
          </w:tcPr>
          <w:p>
            <w:pPr>
              <w:ind w:left="80"/>
              <w:spacing w:after="0"/>
              <w:rPr>
                <w:sz w:val="20"/>
                <w:szCs w:val="20"/>
                <w:color w:val="auto"/>
              </w:rPr>
            </w:pPr>
            <w:r>
              <w:rPr>
                <w:rFonts w:ascii="Arial" w:cs="Arial" w:eastAsia="Arial" w:hAnsi="Arial"/>
                <w:sz w:val="12"/>
                <w:szCs w:val="12"/>
                <w:color w:val="auto"/>
              </w:rPr>
              <w:t>FEI Realty, Inc. (Inactive)</w:t>
            </w:r>
          </w:p>
        </w:tc>
        <w:tc>
          <w:tcPr>
            <w:tcW w:w="560" w:type="dxa"/>
            <w:vAlign w:val="bottom"/>
          </w:tcPr>
          <w:p>
            <w:pPr>
              <w:spacing w:after="0"/>
              <w:rPr>
                <w:sz w:val="24"/>
                <w:szCs w:val="24"/>
                <w:color w:val="auto"/>
              </w:rPr>
            </w:pPr>
          </w:p>
        </w:tc>
        <w:tc>
          <w:tcPr>
            <w:tcW w:w="3280" w:type="dxa"/>
            <w:vAlign w:val="bottom"/>
            <w:gridSpan w:val="2"/>
          </w:tcPr>
          <w:p>
            <w:pPr>
              <w:jc w:val="center"/>
              <w:ind w:right="740"/>
              <w:spacing w:after="0"/>
              <w:rPr>
                <w:sz w:val="20"/>
                <w:szCs w:val="20"/>
                <w:color w:val="auto"/>
              </w:rPr>
            </w:pPr>
            <w:r>
              <w:rPr>
                <w:rFonts w:ascii="Arial" w:cs="Arial" w:eastAsia="Arial" w:hAnsi="Arial"/>
                <w:sz w:val="12"/>
                <w:szCs w:val="12"/>
                <w:color w:val="auto"/>
                <w:w w:val="90"/>
              </w:rPr>
              <w:t>Delaware</w:t>
            </w:r>
          </w:p>
        </w:tc>
      </w:tr>
      <w:tr>
        <w:trPr>
          <w:trHeight w:val="288"/>
        </w:trPr>
        <w:tc>
          <w:tcPr>
            <w:tcW w:w="3440" w:type="dxa"/>
            <w:vAlign w:val="bottom"/>
          </w:tcPr>
          <w:p>
            <w:pPr>
              <w:ind w:left="80"/>
              <w:spacing w:after="0"/>
              <w:rPr>
                <w:sz w:val="20"/>
                <w:szCs w:val="20"/>
                <w:color w:val="auto"/>
              </w:rPr>
            </w:pPr>
            <w:r>
              <w:rPr>
                <w:rFonts w:ascii="Arial" w:cs="Arial" w:eastAsia="Arial" w:hAnsi="Arial"/>
                <w:sz w:val="12"/>
                <w:szCs w:val="12"/>
                <w:color w:val="auto"/>
              </w:rPr>
              <w:t>Monitor Corp. (Inactive)</w:t>
            </w:r>
          </w:p>
        </w:tc>
        <w:tc>
          <w:tcPr>
            <w:tcW w:w="560" w:type="dxa"/>
            <w:vAlign w:val="bottom"/>
          </w:tcPr>
          <w:p>
            <w:pPr>
              <w:spacing w:after="0"/>
              <w:rPr>
                <w:sz w:val="24"/>
                <w:szCs w:val="24"/>
                <w:color w:val="auto"/>
              </w:rPr>
            </w:pPr>
          </w:p>
        </w:tc>
        <w:tc>
          <w:tcPr>
            <w:tcW w:w="3280" w:type="dxa"/>
            <w:vAlign w:val="bottom"/>
            <w:gridSpan w:val="2"/>
          </w:tcPr>
          <w:p>
            <w:pPr>
              <w:jc w:val="center"/>
              <w:ind w:right="740"/>
              <w:spacing w:after="0"/>
              <w:rPr>
                <w:sz w:val="20"/>
                <w:szCs w:val="20"/>
                <w:color w:val="auto"/>
              </w:rPr>
            </w:pPr>
            <w:r>
              <w:rPr>
                <w:rFonts w:ascii="Arial" w:cs="Arial" w:eastAsia="Arial" w:hAnsi="Arial"/>
                <w:sz w:val="12"/>
                <w:szCs w:val="12"/>
                <w:color w:val="auto"/>
                <w:w w:val="90"/>
              </w:rPr>
              <w:t>Delaware</w:t>
            </w:r>
          </w:p>
        </w:tc>
      </w:tr>
      <w:tr>
        <w:trPr>
          <w:trHeight w:val="288"/>
        </w:trPr>
        <w:tc>
          <w:tcPr>
            <w:tcW w:w="3440" w:type="dxa"/>
            <w:vAlign w:val="bottom"/>
          </w:tcPr>
          <w:p>
            <w:pPr>
              <w:ind w:left="80"/>
              <w:spacing w:after="0"/>
              <w:rPr>
                <w:sz w:val="20"/>
                <w:szCs w:val="20"/>
                <w:color w:val="auto"/>
              </w:rPr>
            </w:pPr>
            <w:r>
              <w:rPr>
                <w:rFonts w:ascii="Arial" w:cs="Arial" w:eastAsia="Arial" w:hAnsi="Arial"/>
                <w:sz w:val="12"/>
                <w:szCs w:val="12"/>
                <w:color w:val="auto"/>
              </w:rPr>
              <w:t>FEI Zyfer, Inc.</w:t>
            </w:r>
          </w:p>
        </w:tc>
        <w:tc>
          <w:tcPr>
            <w:tcW w:w="560" w:type="dxa"/>
            <w:vAlign w:val="bottom"/>
          </w:tcPr>
          <w:p>
            <w:pPr>
              <w:spacing w:after="0"/>
              <w:rPr>
                <w:sz w:val="24"/>
                <w:szCs w:val="24"/>
                <w:color w:val="auto"/>
              </w:rPr>
            </w:pPr>
          </w:p>
        </w:tc>
        <w:tc>
          <w:tcPr>
            <w:tcW w:w="3280" w:type="dxa"/>
            <w:vAlign w:val="bottom"/>
            <w:gridSpan w:val="2"/>
          </w:tcPr>
          <w:p>
            <w:pPr>
              <w:jc w:val="center"/>
              <w:ind w:right="740"/>
              <w:spacing w:after="0"/>
              <w:rPr>
                <w:sz w:val="20"/>
                <w:szCs w:val="20"/>
                <w:color w:val="auto"/>
              </w:rPr>
            </w:pPr>
            <w:r>
              <w:rPr>
                <w:rFonts w:ascii="Arial" w:cs="Arial" w:eastAsia="Arial" w:hAnsi="Arial"/>
                <w:sz w:val="12"/>
                <w:szCs w:val="12"/>
                <w:color w:val="auto"/>
                <w:w w:val="90"/>
              </w:rPr>
              <w:t>Delaware</w:t>
            </w:r>
          </w:p>
        </w:tc>
      </w:tr>
      <w:tr>
        <w:trPr>
          <w:trHeight w:val="288"/>
        </w:trPr>
        <w:tc>
          <w:tcPr>
            <w:tcW w:w="3440" w:type="dxa"/>
            <w:vAlign w:val="bottom"/>
          </w:tcPr>
          <w:p>
            <w:pPr>
              <w:ind w:left="80"/>
              <w:spacing w:after="0"/>
              <w:rPr>
                <w:sz w:val="20"/>
                <w:szCs w:val="20"/>
                <w:color w:val="auto"/>
              </w:rPr>
            </w:pPr>
            <w:r>
              <w:rPr>
                <w:rFonts w:ascii="Arial" w:cs="Arial" w:eastAsia="Arial" w:hAnsi="Arial"/>
                <w:sz w:val="12"/>
                <w:szCs w:val="12"/>
                <w:color w:val="auto"/>
              </w:rPr>
              <w:t>FEI-Elcom Tech, Inc.</w:t>
            </w:r>
          </w:p>
        </w:tc>
        <w:tc>
          <w:tcPr>
            <w:tcW w:w="560" w:type="dxa"/>
            <w:vAlign w:val="bottom"/>
          </w:tcPr>
          <w:p>
            <w:pPr>
              <w:spacing w:after="0"/>
              <w:rPr>
                <w:sz w:val="24"/>
                <w:szCs w:val="24"/>
                <w:color w:val="auto"/>
              </w:rPr>
            </w:pPr>
          </w:p>
        </w:tc>
        <w:tc>
          <w:tcPr>
            <w:tcW w:w="3280" w:type="dxa"/>
            <w:vAlign w:val="bottom"/>
            <w:gridSpan w:val="2"/>
          </w:tcPr>
          <w:p>
            <w:pPr>
              <w:jc w:val="center"/>
              <w:ind w:right="740"/>
              <w:spacing w:after="0"/>
              <w:rPr>
                <w:sz w:val="20"/>
                <w:szCs w:val="20"/>
                <w:color w:val="auto"/>
              </w:rPr>
            </w:pPr>
            <w:r>
              <w:rPr>
                <w:rFonts w:ascii="Arial" w:cs="Arial" w:eastAsia="Arial" w:hAnsi="Arial"/>
                <w:sz w:val="12"/>
                <w:szCs w:val="12"/>
                <w:color w:val="auto"/>
                <w:w w:val="90"/>
              </w:rPr>
              <w:t>Delaware</w:t>
            </w:r>
          </w:p>
        </w:tc>
      </w:tr>
      <w:tr>
        <w:trPr>
          <w:trHeight w:val="288"/>
        </w:trPr>
        <w:tc>
          <w:tcPr>
            <w:tcW w:w="3440" w:type="dxa"/>
            <w:vAlign w:val="bottom"/>
          </w:tcPr>
          <w:p>
            <w:pPr>
              <w:ind w:left="80"/>
              <w:spacing w:after="0"/>
              <w:rPr>
                <w:sz w:val="20"/>
                <w:szCs w:val="20"/>
                <w:color w:val="auto"/>
              </w:rPr>
            </w:pPr>
            <w:r>
              <w:rPr>
                <w:rFonts w:ascii="Arial" w:cs="Arial" w:eastAsia="Arial" w:hAnsi="Arial"/>
                <w:sz w:val="12"/>
                <w:szCs w:val="12"/>
                <w:color w:val="auto"/>
              </w:rPr>
              <w:t>Gillam-FEI, s.a.</w:t>
            </w:r>
          </w:p>
        </w:tc>
        <w:tc>
          <w:tcPr>
            <w:tcW w:w="560" w:type="dxa"/>
            <w:vAlign w:val="bottom"/>
          </w:tcPr>
          <w:p>
            <w:pPr>
              <w:spacing w:after="0"/>
              <w:rPr>
                <w:sz w:val="24"/>
                <w:szCs w:val="24"/>
                <w:color w:val="auto"/>
              </w:rPr>
            </w:pPr>
          </w:p>
        </w:tc>
        <w:tc>
          <w:tcPr>
            <w:tcW w:w="3280" w:type="dxa"/>
            <w:vAlign w:val="bottom"/>
            <w:gridSpan w:val="2"/>
          </w:tcPr>
          <w:p>
            <w:pPr>
              <w:jc w:val="center"/>
              <w:ind w:right="740"/>
              <w:spacing w:after="0"/>
              <w:rPr>
                <w:sz w:val="20"/>
                <w:szCs w:val="20"/>
                <w:color w:val="auto"/>
              </w:rPr>
            </w:pPr>
            <w:r>
              <w:rPr>
                <w:rFonts w:ascii="Arial" w:cs="Arial" w:eastAsia="Arial" w:hAnsi="Arial"/>
                <w:sz w:val="12"/>
                <w:szCs w:val="12"/>
                <w:color w:val="auto"/>
                <w:w w:val="96"/>
              </w:rPr>
              <w:t>Belgium</w:t>
            </w:r>
          </w:p>
        </w:tc>
      </w:tr>
      <w:tr>
        <w:trPr>
          <w:trHeight w:val="288"/>
        </w:trPr>
        <w:tc>
          <w:tcPr>
            <w:tcW w:w="3440" w:type="dxa"/>
            <w:vAlign w:val="bottom"/>
          </w:tcPr>
          <w:p>
            <w:pPr>
              <w:ind w:left="80"/>
              <w:spacing w:after="0"/>
              <w:rPr>
                <w:sz w:val="20"/>
                <w:szCs w:val="20"/>
                <w:color w:val="auto"/>
              </w:rPr>
            </w:pPr>
            <w:r>
              <w:rPr>
                <w:rFonts w:ascii="Arial" w:cs="Arial" w:eastAsia="Arial" w:hAnsi="Arial"/>
                <w:sz w:val="12"/>
                <w:szCs w:val="12"/>
                <w:color w:val="auto"/>
              </w:rPr>
              <w:t>Satel-FEI, s.a.</w:t>
            </w:r>
          </w:p>
        </w:tc>
        <w:tc>
          <w:tcPr>
            <w:tcW w:w="560" w:type="dxa"/>
            <w:vAlign w:val="bottom"/>
          </w:tcPr>
          <w:p>
            <w:pPr>
              <w:spacing w:after="0"/>
              <w:rPr>
                <w:sz w:val="24"/>
                <w:szCs w:val="24"/>
                <w:color w:val="auto"/>
              </w:rPr>
            </w:pPr>
          </w:p>
        </w:tc>
        <w:tc>
          <w:tcPr>
            <w:tcW w:w="3280" w:type="dxa"/>
            <w:vAlign w:val="bottom"/>
            <w:gridSpan w:val="2"/>
          </w:tcPr>
          <w:p>
            <w:pPr>
              <w:jc w:val="center"/>
              <w:ind w:right="740"/>
              <w:spacing w:after="0"/>
              <w:rPr>
                <w:sz w:val="20"/>
                <w:szCs w:val="20"/>
                <w:color w:val="auto"/>
              </w:rPr>
            </w:pPr>
            <w:r>
              <w:rPr>
                <w:rFonts w:ascii="Arial" w:cs="Arial" w:eastAsia="Arial" w:hAnsi="Arial"/>
                <w:sz w:val="12"/>
                <w:szCs w:val="12"/>
                <w:color w:val="auto"/>
                <w:w w:val="90"/>
              </w:rPr>
              <w:t>France</w:t>
            </w:r>
          </w:p>
        </w:tc>
      </w:tr>
      <w:tr>
        <w:trPr>
          <w:trHeight w:val="288"/>
        </w:trPr>
        <w:tc>
          <w:tcPr>
            <w:tcW w:w="3440" w:type="dxa"/>
            <w:vAlign w:val="bottom"/>
          </w:tcPr>
          <w:p>
            <w:pPr>
              <w:ind w:left="80"/>
              <w:spacing w:after="0"/>
              <w:rPr>
                <w:sz w:val="20"/>
                <w:szCs w:val="20"/>
                <w:color w:val="auto"/>
              </w:rPr>
            </w:pPr>
            <w:r>
              <w:rPr>
                <w:rFonts w:ascii="Arial" w:cs="Arial" w:eastAsia="Arial" w:hAnsi="Arial"/>
                <w:sz w:val="12"/>
                <w:szCs w:val="12"/>
                <w:color w:val="auto"/>
              </w:rPr>
              <w:t>Frequency Electronics, Inc. Asia</w:t>
            </w:r>
          </w:p>
        </w:tc>
        <w:tc>
          <w:tcPr>
            <w:tcW w:w="560" w:type="dxa"/>
            <w:vAlign w:val="bottom"/>
          </w:tcPr>
          <w:p>
            <w:pPr>
              <w:spacing w:after="0"/>
              <w:rPr>
                <w:sz w:val="24"/>
                <w:szCs w:val="24"/>
                <w:color w:val="auto"/>
              </w:rPr>
            </w:pPr>
          </w:p>
        </w:tc>
        <w:tc>
          <w:tcPr>
            <w:tcW w:w="3280" w:type="dxa"/>
            <w:vAlign w:val="bottom"/>
            <w:gridSpan w:val="2"/>
          </w:tcPr>
          <w:p>
            <w:pPr>
              <w:jc w:val="center"/>
              <w:ind w:right="760"/>
              <w:spacing w:after="0"/>
              <w:rPr>
                <w:sz w:val="20"/>
                <w:szCs w:val="20"/>
                <w:color w:val="auto"/>
              </w:rPr>
            </w:pPr>
            <w:r>
              <w:rPr>
                <w:rFonts w:ascii="Arial" w:cs="Arial" w:eastAsia="Arial" w:hAnsi="Arial"/>
                <w:sz w:val="12"/>
                <w:szCs w:val="12"/>
                <w:color w:val="auto"/>
                <w:w w:val="91"/>
              </w:rPr>
              <w:t>People’s Republic of China</w:t>
            </w:r>
          </w:p>
        </w:tc>
      </w:tr>
    </w:tbl>
    <w:p>
      <w:pPr>
        <w:sectPr>
          <w:pgSz w:w="11900" w:h="16838" w:orient="portrait"/>
          <w:cols w:equalWidth="0" w:num="1">
            <w:col w:w="11480"/>
          </w:cols>
          <w:pgMar w:left="220" w:top="127" w:right="199" w:bottom="1440" w:gutter="0" w:footer="0" w:header="0"/>
        </w:sectPr>
      </w:pPr>
    </w:p>
    <w:bookmarkStart w:id="55" w:name="page56"/>
    <w:bookmarkEnd w:id="55"/>
    <w:p>
      <w:pPr>
        <w:jc w:val="right"/>
        <w:spacing w:after="0"/>
        <w:rPr>
          <w:sz w:val="20"/>
          <w:szCs w:val="20"/>
          <w:color w:val="auto"/>
        </w:rPr>
      </w:pPr>
      <w:r>
        <w:rPr>
          <w:rFonts w:ascii="Arial" w:cs="Arial" w:eastAsia="Arial" w:hAnsi="Arial"/>
          <w:sz w:val="12"/>
          <w:szCs w:val="12"/>
          <w:b w:val="1"/>
          <w:bCs w:val="1"/>
          <w:color w:val="auto"/>
        </w:rPr>
        <w:t>Exhibit 23.1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CONSENT OF INDEPENDENT REGISTERED PUBLIC ACCOUNTING FIRM</w:t>
      </w:r>
    </w:p>
    <w:p>
      <w:pPr>
        <w:spacing w:after="0" w:line="31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consent to the incorporation by reference in the Registration Statements of Frequency Electronics, Inc. on Form S-8 (Nos. 333-08901, 333-40506, 333-140938, 333-156600, 333-42233 and 333-188952) of our report dated July 29, 2013 on our audits of the consolidated financial statements as of April 30, 2013 and 2012 and for each of the years in the two-year period ended April 30, 2013 which report is included in this Annual Report on Form 10-K to be filed on or about July 29, 2013.</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/s/ EisnerAmper LLP</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EisnerAmper LLP</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July 29, 2013</w:t>
      </w:r>
    </w:p>
    <w:p>
      <w:pPr>
        <w:sectPr>
          <w:pgSz w:w="11900" w:h="16838" w:orient="portrait"/>
          <w:cols w:equalWidth="0" w:num="1">
            <w:col w:w="11480"/>
          </w:cols>
          <w:pgMar w:left="220" w:top="127" w:right="199" w:bottom="1440" w:gutter="0" w:footer="0" w:header="0"/>
        </w:sectPr>
      </w:pPr>
    </w:p>
    <w:bookmarkStart w:id="56" w:name="page57"/>
    <w:bookmarkEnd w:id="56"/>
    <w:p>
      <w:pPr>
        <w:jc w:val="right"/>
        <w:spacing w:after="0"/>
        <w:rPr>
          <w:sz w:val="20"/>
          <w:szCs w:val="20"/>
          <w:color w:val="auto"/>
        </w:rPr>
      </w:pPr>
      <w:r>
        <w:rPr>
          <w:rFonts w:ascii="Arial" w:cs="Arial" w:eastAsia="Arial" w:hAnsi="Arial"/>
          <w:sz w:val="12"/>
          <w:szCs w:val="12"/>
          <w:b w:val="1"/>
          <w:bCs w:val="1"/>
          <w:color w:val="auto"/>
        </w:rPr>
        <w:t>Exhibit 31.1</w:t>
      </w:r>
    </w:p>
    <w:p>
      <w:pPr>
        <w:spacing w:after="0" w:line="172" w:lineRule="exact"/>
        <w:rPr>
          <w:sz w:val="20"/>
          <w:szCs w:val="20"/>
          <w:color w:val="auto"/>
        </w:rPr>
      </w:pPr>
    </w:p>
    <w:p>
      <w:pPr>
        <w:jc w:val="center"/>
        <w:ind w:right="332"/>
        <w:spacing w:after="0"/>
        <w:rPr>
          <w:sz w:val="20"/>
          <w:szCs w:val="20"/>
          <w:color w:val="auto"/>
        </w:rPr>
      </w:pPr>
      <w:r>
        <w:rPr>
          <w:rFonts w:ascii="Arial" w:cs="Arial" w:eastAsia="Arial" w:hAnsi="Arial"/>
          <w:sz w:val="12"/>
          <w:szCs w:val="12"/>
          <w:color w:val="auto"/>
        </w:rPr>
        <w:t>Certification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Martin B. Bloch, certify that:</w:t>
      </w:r>
    </w:p>
    <w:p>
      <w:pPr>
        <w:spacing w:after="0" w:line="168" w:lineRule="exact"/>
        <w:rPr>
          <w:sz w:val="20"/>
          <w:szCs w:val="20"/>
          <w:color w:val="auto"/>
        </w:rPr>
      </w:pPr>
    </w:p>
    <w:p>
      <w:pPr>
        <w:ind w:left="148" w:hanging="148"/>
        <w:spacing w:after="0"/>
        <w:tabs>
          <w:tab w:leader="none" w:pos="14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Frequency Electronics, Inc.;</w:t>
      </w:r>
    </w:p>
    <w:p>
      <w:pPr>
        <w:spacing w:after="0" w:line="168" w:lineRule="exact"/>
        <w:rPr>
          <w:rFonts w:ascii="Arial" w:cs="Arial" w:eastAsia="Arial" w:hAnsi="Arial"/>
          <w:sz w:val="12"/>
          <w:szCs w:val="12"/>
          <w:color w:val="auto"/>
        </w:rPr>
      </w:pPr>
    </w:p>
    <w:p>
      <w:pPr>
        <w:ind w:left="8" w:right="20" w:hanging="8"/>
        <w:spacing w:after="0" w:line="276" w:lineRule="auto"/>
        <w:tabs>
          <w:tab w:leader="none" w:pos="163"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5" w:val="left"/>
        </w:tabs>
        <w:numPr>
          <w:ilvl w:val="0"/>
          <w:numId w:val="1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1"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8" w:firstLine="4"/>
        <w:spacing w:after="0" w:line="276" w:lineRule="auto"/>
        <w:tabs>
          <w:tab w:leader="none" w:pos="621"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8" w:firstLine="4"/>
        <w:spacing w:after="0" w:line="276" w:lineRule="auto"/>
        <w:tabs>
          <w:tab w:leader="none" w:pos="653" w:val="left"/>
        </w:tabs>
        <w:numPr>
          <w:ilvl w:val="1"/>
          <w:numId w:val="1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21" w:val="left"/>
        </w:tabs>
        <w:numPr>
          <w:ilvl w:val="1"/>
          <w:numId w:val="16"/>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33" w:val="left"/>
        </w:tabs>
        <w:numPr>
          <w:ilvl w:val="1"/>
          <w:numId w:val="16"/>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2" w:lineRule="exact"/>
        <w:rPr>
          <w:rFonts w:ascii="Arial" w:cs="Arial" w:eastAsia="Arial" w:hAnsi="Arial"/>
          <w:sz w:val="12"/>
          <w:szCs w:val="12"/>
          <w:color w:val="auto"/>
        </w:rPr>
      </w:pPr>
    </w:p>
    <w:p>
      <w:pPr>
        <w:ind w:left="8" w:right="20" w:hanging="8"/>
        <w:spacing w:after="0" w:line="276" w:lineRule="auto"/>
        <w:tabs>
          <w:tab w:leader="none" w:pos="166"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firstLine="4"/>
        <w:spacing w:after="0" w:line="276" w:lineRule="auto"/>
        <w:tabs>
          <w:tab w:leader="none" w:pos="616" w:val="left"/>
        </w:tabs>
        <w:numPr>
          <w:ilvl w:val="1"/>
          <w:numId w:val="1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28" w:hanging="196"/>
        <w:spacing w:after="0"/>
        <w:tabs>
          <w:tab w:leader="none" w:pos="628" w:val="left"/>
        </w:tabs>
        <w:numPr>
          <w:ilvl w:val="1"/>
          <w:numId w:val="1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29, 2013</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By: /s/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-6985</wp:posOffset>
            </wp:positionV>
            <wp:extent cx="116014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60145" cy="5715"/>
                    </a:xfrm>
                    <a:prstGeom prst="rect">
                      <a:avLst/>
                    </a:prstGeom>
                    <a:noFill/>
                  </pic:spPr>
                </pic:pic>
              </a:graphicData>
            </a:graphic>
          </wp:anchor>
        </w:drawing>
      </w:r>
    </w:p>
    <w:p>
      <w:pPr>
        <w:ind w:left="208"/>
        <w:spacing w:after="0"/>
        <w:rPr>
          <w:sz w:val="20"/>
          <w:szCs w:val="20"/>
          <w:color w:val="auto"/>
        </w:rPr>
      </w:pPr>
      <w:r>
        <w:rPr>
          <w:rFonts w:ascii="Arial" w:cs="Arial" w:eastAsia="Arial" w:hAnsi="Arial"/>
          <w:sz w:val="12"/>
          <w:szCs w:val="12"/>
          <w:color w:val="auto"/>
        </w:rPr>
        <w:t>Martin B. Bloch</w:t>
      </w:r>
    </w:p>
    <w:p>
      <w:pPr>
        <w:spacing w:after="0" w:line="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488"/>
          </w:cols>
          <w:pgMar w:left="212" w:top="127" w:right="199" w:bottom="1440" w:gutter="0" w:footer="0" w:header="0"/>
        </w:sectPr>
      </w:pPr>
    </w:p>
    <w:bookmarkStart w:id="57" w:name="page58"/>
    <w:bookmarkEnd w:id="57"/>
    <w:p>
      <w:pPr>
        <w:jc w:val="right"/>
        <w:spacing w:after="0"/>
        <w:rPr>
          <w:sz w:val="20"/>
          <w:szCs w:val="20"/>
          <w:color w:val="auto"/>
        </w:rPr>
      </w:pPr>
      <w:r>
        <w:rPr>
          <w:rFonts w:ascii="Arial" w:cs="Arial" w:eastAsia="Arial" w:hAnsi="Arial"/>
          <w:sz w:val="12"/>
          <w:szCs w:val="12"/>
          <w:b w:val="1"/>
          <w:bCs w:val="1"/>
          <w:color w:val="auto"/>
        </w:rPr>
        <w:t>Exhibit 31.2</w:t>
      </w:r>
    </w:p>
    <w:p>
      <w:pPr>
        <w:spacing w:after="0" w:line="172" w:lineRule="exact"/>
        <w:rPr>
          <w:sz w:val="20"/>
          <w:szCs w:val="20"/>
          <w:color w:val="auto"/>
        </w:rPr>
      </w:pPr>
    </w:p>
    <w:p>
      <w:pPr>
        <w:jc w:val="center"/>
        <w:ind w:right="332"/>
        <w:spacing w:after="0"/>
        <w:rPr>
          <w:sz w:val="20"/>
          <w:szCs w:val="20"/>
          <w:color w:val="auto"/>
        </w:rPr>
      </w:pPr>
      <w:r>
        <w:rPr>
          <w:rFonts w:ascii="Arial" w:cs="Arial" w:eastAsia="Arial" w:hAnsi="Arial"/>
          <w:sz w:val="12"/>
          <w:szCs w:val="12"/>
          <w:color w:val="auto"/>
        </w:rPr>
        <w:t>Certification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 Alan L. Miller, certify that:</w:t>
      </w:r>
    </w:p>
    <w:p>
      <w:pPr>
        <w:spacing w:after="0" w:line="168" w:lineRule="exact"/>
        <w:rPr>
          <w:sz w:val="20"/>
          <w:szCs w:val="20"/>
          <w:color w:val="auto"/>
        </w:rPr>
      </w:pPr>
    </w:p>
    <w:p>
      <w:pPr>
        <w:ind w:left="148" w:hanging="148"/>
        <w:spacing w:after="0"/>
        <w:tabs>
          <w:tab w:leader="none" w:pos="148" w:val="left"/>
        </w:tabs>
        <w:numPr>
          <w:ilvl w:val="0"/>
          <w:numId w:val="17"/>
        </w:numPr>
        <w:rPr>
          <w:rFonts w:ascii="Arial" w:cs="Arial" w:eastAsia="Arial" w:hAnsi="Arial"/>
          <w:sz w:val="12"/>
          <w:szCs w:val="12"/>
          <w:color w:val="auto"/>
        </w:rPr>
      </w:pPr>
      <w:r>
        <w:rPr>
          <w:rFonts w:ascii="Arial" w:cs="Arial" w:eastAsia="Arial" w:hAnsi="Arial"/>
          <w:sz w:val="12"/>
          <w:szCs w:val="12"/>
          <w:color w:val="auto"/>
        </w:rPr>
        <w:t>I have reviewed this annual report on Form 10-K of Frequency Electronics, Inc.;</w:t>
      </w:r>
    </w:p>
    <w:p>
      <w:pPr>
        <w:spacing w:after="0" w:line="168" w:lineRule="exact"/>
        <w:rPr>
          <w:rFonts w:ascii="Arial" w:cs="Arial" w:eastAsia="Arial" w:hAnsi="Arial"/>
          <w:sz w:val="12"/>
          <w:szCs w:val="12"/>
          <w:color w:val="auto"/>
        </w:rPr>
      </w:pPr>
    </w:p>
    <w:p>
      <w:pPr>
        <w:ind w:left="8" w:right="20" w:hanging="8"/>
        <w:spacing w:after="0" w:line="276" w:lineRule="auto"/>
        <w:tabs>
          <w:tab w:leader="none" w:pos="163" w:val="left"/>
        </w:tabs>
        <w:numPr>
          <w:ilvl w:val="0"/>
          <w:numId w:val="1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5" w:val="left"/>
        </w:tabs>
        <w:numPr>
          <w:ilvl w:val="0"/>
          <w:numId w:val="1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2"/>
          <w:szCs w:val="12"/>
          <w:color w:val="auto"/>
        </w:rPr>
      </w:pPr>
    </w:p>
    <w:p>
      <w:pPr>
        <w:ind w:left="8" w:hanging="8"/>
        <w:spacing w:after="0" w:line="276" w:lineRule="auto"/>
        <w:tabs>
          <w:tab w:leader="none" w:pos="161"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2" w:lineRule="exact"/>
        <w:rPr>
          <w:rFonts w:ascii="Arial" w:cs="Arial" w:eastAsia="Arial" w:hAnsi="Arial"/>
          <w:sz w:val="12"/>
          <w:szCs w:val="12"/>
          <w:color w:val="auto"/>
        </w:rPr>
      </w:pPr>
    </w:p>
    <w:p>
      <w:pPr>
        <w:ind w:left="428" w:firstLine="4"/>
        <w:spacing w:after="0" w:line="276" w:lineRule="auto"/>
        <w:tabs>
          <w:tab w:leader="none" w:pos="621"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2"/>
          <w:szCs w:val="12"/>
          <w:color w:val="auto"/>
        </w:rPr>
      </w:pPr>
    </w:p>
    <w:p>
      <w:pPr>
        <w:ind w:left="428" w:firstLine="4"/>
        <w:spacing w:after="0" w:line="276" w:lineRule="auto"/>
        <w:tabs>
          <w:tab w:leader="none" w:pos="653" w:val="left"/>
        </w:tabs>
        <w:numPr>
          <w:ilvl w:val="1"/>
          <w:numId w:val="1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21" w:val="left"/>
        </w:tabs>
        <w:numPr>
          <w:ilvl w:val="1"/>
          <w:numId w:val="1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2"/>
          <w:szCs w:val="12"/>
          <w:color w:val="auto"/>
        </w:rPr>
      </w:pPr>
    </w:p>
    <w:p>
      <w:pPr>
        <w:ind w:left="428" w:right="20" w:firstLine="4"/>
        <w:spacing w:after="0" w:line="276" w:lineRule="auto"/>
        <w:tabs>
          <w:tab w:leader="none" w:pos="633" w:val="left"/>
        </w:tabs>
        <w:numPr>
          <w:ilvl w:val="1"/>
          <w:numId w:val="1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2" w:lineRule="exact"/>
        <w:rPr>
          <w:rFonts w:ascii="Arial" w:cs="Arial" w:eastAsia="Arial" w:hAnsi="Arial"/>
          <w:sz w:val="12"/>
          <w:szCs w:val="12"/>
          <w:color w:val="auto"/>
        </w:rPr>
      </w:pPr>
    </w:p>
    <w:p>
      <w:pPr>
        <w:ind w:left="8" w:right="20" w:hanging="8"/>
        <w:spacing w:after="0" w:line="276" w:lineRule="auto"/>
        <w:tabs>
          <w:tab w:leader="none" w:pos="166"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2"/>
          <w:szCs w:val="12"/>
          <w:color w:val="auto"/>
        </w:rPr>
      </w:pPr>
    </w:p>
    <w:p>
      <w:pPr>
        <w:ind w:left="428" w:firstLine="4"/>
        <w:spacing w:after="0" w:line="276" w:lineRule="auto"/>
        <w:tabs>
          <w:tab w:leader="none" w:pos="616" w:val="left"/>
        </w:tabs>
        <w:numPr>
          <w:ilvl w:val="1"/>
          <w:numId w:val="1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2"/>
          <w:szCs w:val="12"/>
          <w:color w:val="auto"/>
        </w:rPr>
      </w:pPr>
    </w:p>
    <w:p>
      <w:pPr>
        <w:ind w:left="628" w:hanging="196"/>
        <w:spacing w:after="0"/>
        <w:tabs>
          <w:tab w:leader="none" w:pos="628" w:val="left"/>
        </w:tabs>
        <w:numPr>
          <w:ilvl w:val="1"/>
          <w:numId w:val="1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 July 29, 2013</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By: /s/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-6985</wp:posOffset>
            </wp:positionV>
            <wp:extent cx="131508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15085" cy="5715"/>
                    </a:xfrm>
                    <a:prstGeom prst="rect">
                      <a:avLst/>
                    </a:prstGeom>
                    <a:noFill/>
                  </pic:spPr>
                </pic:pic>
              </a:graphicData>
            </a:graphic>
          </wp:anchor>
        </w:drawing>
      </w:r>
    </w:p>
    <w:p>
      <w:pPr>
        <w:ind w:left="208"/>
        <w:spacing w:after="0"/>
        <w:rPr>
          <w:sz w:val="20"/>
          <w:szCs w:val="20"/>
          <w:color w:val="auto"/>
        </w:rPr>
      </w:pPr>
      <w:r>
        <w:rPr>
          <w:rFonts w:ascii="Arial" w:cs="Arial" w:eastAsia="Arial" w:hAnsi="Arial"/>
          <w:sz w:val="12"/>
          <w:szCs w:val="12"/>
          <w:color w:val="auto"/>
        </w:rPr>
        <w:t>Alan L. Miller</w:t>
      </w:r>
    </w:p>
    <w:p>
      <w:pPr>
        <w:spacing w:after="0" w:line="6" w:lineRule="exact"/>
        <w:rPr>
          <w:sz w:val="20"/>
          <w:szCs w:val="20"/>
          <w:color w:val="auto"/>
        </w:rPr>
      </w:pPr>
    </w:p>
    <w:p>
      <w:pPr>
        <w:ind w:left="208"/>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88"/>
          </w:cols>
          <w:pgMar w:left="212" w:top="127" w:right="19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b w:val="1"/>
          <w:bCs w:val="1"/>
          <w:color w:val="auto"/>
        </w:rPr>
        <w:t>Exhibit 32</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SECTION 906 OF</w:t>
      </w:r>
    </w:p>
    <w:p>
      <w:pPr>
        <w:spacing w:after="0" w:line="6"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Certification of CEO</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the Annual Report of Frequency Electronics, Inc. (the “Company”) on Form 10-K for the year ended April 30, 2013 as filed with the Securities and Exchange Commission on the date hereof (the “Report”), I, Martin B.</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Bloch, Chief Executive Officer of the Company, certify, pursuant to Section 18 U.S.C. 1350, as adopted pursuant to Section 906 of the Sarbanes-Oxley Act of 2002, that:</w:t>
      </w:r>
    </w:p>
    <w:p>
      <w:pPr>
        <w:spacing w:after="0" w:line="159" w:lineRule="exact"/>
        <w:rPr>
          <w:sz w:val="20"/>
          <w:szCs w:val="20"/>
          <w:color w:val="auto"/>
        </w:rPr>
      </w:pPr>
    </w:p>
    <w:p>
      <w:pPr>
        <w:ind w:left="620" w:hanging="196"/>
        <w:spacing w:after="0"/>
        <w:tabs>
          <w:tab w:leader="none" w:pos="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and 15(d) of the Securities Exchange Act of 1934; and</w:t>
      </w:r>
    </w:p>
    <w:p>
      <w:pPr>
        <w:spacing w:after="0" w:line="168" w:lineRule="exact"/>
        <w:rPr>
          <w:rFonts w:ascii="Arial" w:cs="Arial" w:eastAsia="Arial" w:hAnsi="Arial"/>
          <w:sz w:val="12"/>
          <w:szCs w:val="12"/>
          <w:color w:val="auto"/>
        </w:rPr>
      </w:pPr>
    </w:p>
    <w:p>
      <w:pPr>
        <w:ind w:left="620" w:hanging="196"/>
        <w:spacing w:after="0"/>
        <w:tabs>
          <w:tab w:leader="none" w:pos="6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140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/s/ Martin B. Bloch</w:t>
            </w:r>
          </w:p>
        </w:tc>
        <w:tc>
          <w:tcPr>
            <w:tcW w:w="1420" w:type="dxa"/>
            <w:vAlign w:val="bottom"/>
          </w:tcPr>
          <w:p>
            <w:pPr>
              <w:ind w:left="780"/>
              <w:spacing w:after="0"/>
              <w:rPr>
                <w:sz w:val="20"/>
                <w:szCs w:val="20"/>
                <w:color w:val="auto"/>
              </w:rPr>
            </w:pPr>
            <w:r>
              <w:rPr>
                <w:rFonts w:ascii="Arial" w:cs="Arial" w:eastAsia="Arial" w:hAnsi="Arial"/>
                <w:sz w:val="12"/>
                <w:szCs w:val="12"/>
                <w:color w:val="auto"/>
                <w:w w:val="86"/>
              </w:rPr>
              <w:t>July 29, 2013</w:t>
            </w:r>
          </w:p>
        </w:tc>
      </w:tr>
      <w:tr>
        <w:trPr>
          <w:trHeight w:val="142"/>
        </w:trPr>
        <w:tc>
          <w:tcPr>
            <w:tcW w:w="1400" w:type="dxa"/>
            <w:vAlign w:val="bottom"/>
          </w:tcPr>
          <w:p>
            <w:pPr>
              <w:ind w:left="80"/>
              <w:spacing w:after="0"/>
              <w:rPr>
                <w:sz w:val="20"/>
                <w:szCs w:val="20"/>
                <w:color w:val="auto"/>
              </w:rPr>
            </w:pPr>
            <w:r>
              <w:rPr>
                <w:rFonts w:ascii="Arial" w:cs="Arial" w:eastAsia="Arial" w:hAnsi="Arial"/>
                <w:sz w:val="12"/>
                <w:szCs w:val="12"/>
                <w:color w:val="auto"/>
              </w:rPr>
              <w:t>Martin B. Bloch</w:t>
            </w:r>
          </w:p>
        </w:tc>
        <w:tc>
          <w:tcPr>
            <w:tcW w:w="1420" w:type="dxa"/>
            <w:vAlign w:val="bottom"/>
          </w:tcPr>
          <w:p>
            <w:pPr>
              <w:spacing w:after="0"/>
              <w:rPr>
                <w:sz w:val="12"/>
                <w:szCs w:val="12"/>
                <w:color w:val="auto"/>
              </w:rPr>
            </w:pPr>
          </w:p>
        </w:tc>
      </w:tr>
      <w:tr>
        <w:trPr>
          <w:trHeight w:val="153"/>
        </w:trPr>
        <w:tc>
          <w:tcPr>
            <w:tcW w:w="1400" w:type="dxa"/>
            <w:vAlign w:val="bottom"/>
          </w:tcPr>
          <w:p>
            <w:pPr>
              <w:ind w:left="80"/>
              <w:spacing w:after="0"/>
              <w:rPr>
                <w:sz w:val="20"/>
                <w:szCs w:val="20"/>
                <w:color w:val="auto"/>
              </w:rPr>
            </w:pPr>
            <w:r>
              <w:rPr>
                <w:rFonts w:ascii="Arial" w:cs="Arial" w:eastAsia="Arial" w:hAnsi="Arial"/>
                <w:sz w:val="12"/>
                <w:szCs w:val="12"/>
                <w:color w:val="auto"/>
              </w:rPr>
              <w:t>Chief Executive Officer</w:t>
            </w:r>
          </w:p>
        </w:tc>
        <w:tc>
          <w:tcPr>
            <w:tcW w:w="1420" w:type="dxa"/>
            <w:vAlign w:val="bottom"/>
          </w:tcPr>
          <w:p>
            <w:pPr>
              <w:spacing w:after="0"/>
              <w:rPr>
                <w:sz w:val="13"/>
                <w:szCs w:val="13"/>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Certification of CFO</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In connection with the Annual Report of Frequency Electronics, Inc. (the “Company”) on Form 10-K for the year ended April 30, 2013 as filed with the Securities and Exchange Commission on the date hereof (the “Report”), I, Alan L.</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Miller, Chief Financial Officer of the Company, certify, pursuant to Section 18 U.S.C. 1350, as adopted pursuant to Section 906 of the Sarbanes-Oxley Act of 2002, that:</w:t>
      </w:r>
    </w:p>
    <w:p>
      <w:pPr>
        <w:spacing w:after="0" w:line="159" w:lineRule="exact"/>
        <w:rPr>
          <w:sz w:val="20"/>
          <w:szCs w:val="20"/>
          <w:color w:val="auto"/>
        </w:rPr>
      </w:pPr>
    </w:p>
    <w:p>
      <w:pPr>
        <w:ind w:left="620" w:hanging="196"/>
        <w:spacing w:after="0"/>
        <w:tabs>
          <w:tab w:leader="none" w:pos="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and 15(d) of the Securities Exchange Act of 1934; and</w:t>
      </w:r>
    </w:p>
    <w:p>
      <w:pPr>
        <w:spacing w:after="0" w:line="168" w:lineRule="exact"/>
        <w:rPr>
          <w:rFonts w:ascii="Arial" w:cs="Arial" w:eastAsia="Arial" w:hAnsi="Arial"/>
          <w:sz w:val="12"/>
          <w:szCs w:val="12"/>
          <w:color w:val="auto"/>
        </w:rPr>
      </w:pPr>
    </w:p>
    <w:p>
      <w:pPr>
        <w:ind w:left="620" w:hanging="196"/>
        <w:spacing w:after="0"/>
        <w:tabs>
          <w:tab w:leader="none" w:pos="6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Alan L. Miller</w:t>
            </w:r>
          </w:p>
        </w:tc>
        <w:tc>
          <w:tcPr>
            <w:tcW w:w="1420" w:type="dxa"/>
            <w:vAlign w:val="bottom"/>
          </w:tcPr>
          <w:p>
            <w:pPr>
              <w:ind w:left="780"/>
              <w:spacing w:after="0"/>
              <w:rPr>
                <w:sz w:val="20"/>
                <w:szCs w:val="20"/>
                <w:color w:val="auto"/>
              </w:rPr>
            </w:pPr>
            <w:r>
              <w:rPr>
                <w:rFonts w:ascii="Arial" w:cs="Arial" w:eastAsia="Arial" w:hAnsi="Arial"/>
                <w:sz w:val="12"/>
                <w:szCs w:val="12"/>
                <w:color w:val="auto"/>
                <w:w w:val="86"/>
              </w:rPr>
              <w:t>July 29, 2013</w:t>
            </w:r>
          </w:p>
        </w:tc>
      </w:tr>
      <w:tr>
        <w:trPr>
          <w:trHeight w:val="142"/>
        </w:trPr>
        <w:tc>
          <w:tcPr>
            <w:tcW w:w="1500" w:type="dxa"/>
            <w:vAlign w:val="bottom"/>
          </w:tcPr>
          <w:p>
            <w:pPr>
              <w:ind w:left="140"/>
              <w:spacing w:after="0"/>
              <w:rPr>
                <w:sz w:val="20"/>
                <w:szCs w:val="20"/>
                <w:color w:val="auto"/>
              </w:rPr>
            </w:pPr>
            <w:r>
              <w:rPr>
                <w:rFonts w:ascii="Arial" w:cs="Arial" w:eastAsia="Arial" w:hAnsi="Arial"/>
                <w:sz w:val="12"/>
                <w:szCs w:val="12"/>
                <w:color w:val="auto"/>
              </w:rPr>
              <w:t>Alan L. Miller</w:t>
            </w:r>
          </w:p>
        </w:tc>
        <w:tc>
          <w:tcPr>
            <w:tcW w:w="1420" w:type="dxa"/>
            <w:vAlign w:val="bottom"/>
          </w:tcPr>
          <w:p>
            <w:pPr>
              <w:spacing w:after="0"/>
              <w:rPr>
                <w:sz w:val="12"/>
                <w:szCs w:val="12"/>
                <w:color w:val="auto"/>
              </w:rPr>
            </w:pPr>
          </w:p>
        </w:tc>
      </w:tr>
      <w:tr>
        <w:trPr>
          <w:trHeight w:val="153"/>
        </w:trPr>
        <w:tc>
          <w:tcPr>
            <w:tcW w:w="1500" w:type="dxa"/>
            <w:vAlign w:val="bottom"/>
          </w:tcPr>
          <w:p>
            <w:pPr>
              <w:ind w:left="140"/>
              <w:spacing w:after="0"/>
              <w:rPr>
                <w:sz w:val="20"/>
                <w:szCs w:val="20"/>
                <w:color w:val="auto"/>
              </w:rPr>
            </w:pPr>
            <w:r>
              <w:rPr>
                <w:rFonts w:ascii="Arial" w:cs="Arial" w:eastAsia="Arial" w:hAnsi="Arial"/>
                <w:sz w:val="12"/>
                <w:szCs w:val="12"/>
                <w:color w:val="auto"/>
              </w:rPr>
              <w:t>Chief Financial Officer</w:t>
            </w:r>
          </w:p>
        </w:tc>
        <w:tc>
          <w:tcPr>
            <w:tcW w:w="1420" w:type="dxa"/>
            <w:vAlign w:val="bottom"/>
          </w:tcPr>
          <w:p>
            <w:pPr>
              <w:spacing w:after="0"/>
              <w:rPr>
                <w:sz w:val="13"/>
                <w:szCs w:val="13"/>
                <w:color w:val="auto"/>
              </w:rPr>
            </w:pPr>
          </w:p>
        </w:tc>
      </w:tr>
    </w:tbl>
    <w:p>
      <w:pPr>
        <w:spacing w:after="0" w:line="200" w:lineRule="exact"/>
        <w:rPr>
          <w:sz w:val="20"/>
          <w:szCs w:val="20"/>
          <w:color w:val="auto"/>
        </w:rPr>
      </w:pPr>
    </w:p>
    <w:p>
      <w:pPr>
        <w:spacing w:after="0" w:line="27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2"/>
          <w:szCs w:val="12"/>
          <w:b w:val="1"/>
          <w:bCs w:val="1"/>
          <w:color w:val="auto"/>
        </w:rPr>
        <w:t>.</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0"/>
    </w:lvl>
  </w:abstractNum>
  <w:abstractNum w:abstractNumId="7">
    <w:nsid w:val="109CF92E"/>
    <w:multiLevelType w:val="hybridMultilevel"/>
    <w:lvl w:ilvl="0">
      <w:lvlJc w:val="left"/>
      <w:lvlText w:val="%1."/>
      <w:numFmt w:val="decimal"/>
      <w:start w:val="11"/>
    </w:lvl>
  </w:abstractNum>
  <w:abstractNum w:abstractNumId="8">
    <w:nsid w:val="DED7263"/>
    <w:multiLevelType w:val="hybridMultilevel"/>
    <w:lvl w:ilvl="0">
      <w:lvlJc w:val="left"/>
      <w:lvlText w:val="%1."/>
      <w:numFmt w:val="decimal"/>
      <w:start w:val="12"/>
    </w:lvl>
  </w:abstractNum>
  <w:abstractNum w:abstractNumId="9">
    <w:nsid w:val="7FDCC233"/>
    <w:multiLevelType w:val="hybridMultilevel"/>
    <w:lvl w:ilvl="0">
      <w:lvlJc w:val="left"/>
      <w:lvlText w:val="%1."/>
      <w:numFmt w:val="decimal"/>
      <w:start w:val="14"/>
    </w:lvl>
  </w:abstractNum>
  <w:abstractNum w:abstractNumId="10">
    <w:nsid w:val="1BEFD79F"/>
    <w:multiLevelType w:val="hybridMultilevel"/>
    <w:lvl w:ilvl="0">
      <w:lvlJc w:val="left"/>
      <w:lvlText w:val="%1."/>
      <w:numFmt w:val="decimal"/>
      <w:start w:val="15"/>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0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2019-12-05T10:08:44Z</dcterms:created>
  <dcterms:modified xsi:type="dcterms:W3CDTF">2019-12-05T10:08:44Z</dcterms:modified>
</cp:coreProperties>
</file>