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8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193675</wp:posOffset>
            </wp:positionV>
            <wp:extent cx="866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203200</wp:posOffset>
            </wp:positionV>
            <wp:extent cx="866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 (d) OF 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October 31, 2017</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SECURITIES EXCHANGE ACT OF 1934</w:t>
      </w:r>
    </w:p>
    <w:p>
      <w:pPr>
        <w:spacing w:after="0" w:line="189"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For the transition period from __________ to __________</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No. 1-8061</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2040" w:type="dxa"/>
            <w:vAlign w:val="bottom"/>
          </w:tcPr>
          <w:p>
            <w:pPr>
              <w:spacing w:after="0"/>
              <w:rPr>
                <w:sz w:val="18"/>
                <w:szCs w:val="18"/>
                <w:color w:val="auto"/>
              </w:rPr>
            </w:pPr>
          </w:p>
        </w:tc>
        <w:tc>
          <w:tcPr>
            <w:tcW w:w="3760" w:type="dxa"/>
            <w:vAlign w:val="bottom"/>
            <w:gridSpan w:val="3"/>
          </w:tcPr>
          <w:p>
            <w:pPr>
              <w:jc w:val="center"/>
              <w:ind w:right="304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11-1986657</w:t>
            </w:r>
          </w:p>
        </w:tc>
        <w:tc>
          <w:tcPr>
            <w:tcW w:w="0" w:type="dxa"/>
            <w:vAlign w:val="bottom"/>
          </w:tcPr>
          <w:p>
            <w:pPr>
              <w:spacing w:after="0"/>
              <w:rPr>
                <w:sz w:val="1"/>
                <w:szCs w:val="1"/>
                <w:color w:val="auto"/>
              </w:rPr>
            </w:pPr>
          </w:p>
        </w:tc>
      </w:tr>
      <w:tr>
        <w:trPr>
          <w:trHeight w:val="20"/>
        </w:trPr>
        <w:tc>
          <w:tcPr>
            <w:tcW w:w="2040" w:type="dxa"/>
            <w:vAlign w:val="bottom"/>
            <w:vMerge w:val="restart"/>
          </w:tcPr>
          <w:p>
            <w:pPr>
              <w:ind w:left="1360"/>
              <w:spacing w:after="0"/>
              <w:rPr>
                <w:sz w:val="20"/>
                <w:szCs w:val="20"/>
                <w:color w:val="auto"/>
              </w:rPr>
            </w:pPr>
            <w:r>
              <w:rPr>
                <w:rFonts w:ascii="Arial" w:cs="Arial" w:eastAsia="Arial" w:hAnsi="Arial"/>
                <w:sz w:val="18"/>
                <w:szCs w:val="18"/>
                <w:color w:val="auto"/>
                <w:w w:val="95"/>
              </w:rPr>
              <w:t>(State or</w:t>
            </w: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40" w:type="dxa"/>
            <w:vAlign w:val="bottom"/>
            <w:vMerge w:val="continue"/>
          </w:tcPr>
          <w:p>
            <w:pPr>
              <w:spacing w:after="0"/>
              <w:rPr>
                <w:sz w:val="16"/>
                <w:szCs w:val="16"/>
                <w:color w:val="auto"/>
              </w:rPr>
            </w:pPr>
          </w:p>
        </w:tc>
        <w:tc>
          <w:tcPr>
            <w:tcW w:w="3760" w:type="dxa"/>
            <w:vAlign w:val="bottom"/>
            <w:gridSpan w:val="3"/>
          </w:tcPr>
          <w:p>
            <w:pPr>
              <w:spacing w:after="0" w:line="195" w:lineRule="exact"/>
              <w:rPr>
                <w:sz w:val="20"/>
                <w:szCs w:val="20"/>
                <w:color w:val="auto"/>
              </w:rPr>
            </w:pPr>
            <w:r>
              <w:rPr>
                <w:rFonts w:ascii="Arial" w:cs="Arial" w:eastAsia="Arial" w:hAnsi="Arial"/>
                <w:sz w:val="18"/>
                <w:szCs w:val="18"/>
                <w:color w:val="auto"/>
              </w:rPr>
              <w:t>other jurisdiction of</w:t>
            </w:r>
          </w:p>
        </w:tc>
        <w:tc>
          <w:tcPr>
            <w:tcW w:w="3620" w:type="dxa"/>
            <w:vAlign w:val="bottom"/>
            <w:gridSpan w:val="5"/>
          </w:tcPr>
          <w:p>
            <w:pPr>
              <w:jc w:val="center"/>
              <w:ind w:left="910"/>
              <w:spacing w:after="0" w:line="195"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5800" w:type="dxa"/>
            <w:vAlign w:val="bottom"/>
            <w:gridSpan w:val="4"/>
          </w:tcPr>
          <w:p>
            <w:pPr>
              <w:jc w:val="center"/>
              <w:ind w:right="1000"/>
              <w:spacing w:after="0"/>
              <w:rPr>
                <w:sz w:val="20"/>
                <w:szCs w:val="20"/>
                <w:color w:val="auto"/>
              </w:rPr>
            </w:pPr>
            <w:r>
              <w:rPr>
                <w:rFonts w:ascii="Arial" w:cs="Arial" w:eastAsia="Arial" w:hAnsi="Arial"/>
                <w:sz w:val="18"/>
                <w:szCs w:val="18"/>
                <w:color w:val="auto"/>
                <w:w w:val="92"/>
              </w:rPr>
              <w:t>incorporation or organization)</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800" w:type="dxa"/>
            <w:vAlign w:val="bottom"/>
            <w:gridSpan w:val="4"/>
          </w:tcPr>
          <w:p>
            <w:pPr>
              <w:jc w:val="center"/>
              <w:ind w:right="1000"/>
              <w:spacing w:after="0"/>
              <w:rPr>
                <w:sz w:val="20"/>
                <w:szCs w:val="20"/>
                <w:color w:val="auto"/>
              </w:rPr>
            </w:pPr>
            <w:r>
              <w:rPr>
                <w:rFonts w:ascii="Arial" w:cs="Arial" w:eastAsia="Arial" w:hAnsi="Arial"/>
                <w:sz w:val="18"/>
                <w:szCs w:val="18"/>
                <w:b w:val="1"/>
                <w:bCs w:val="1"/>
                <w:color w:val="auto"/>
              </w:rPr>
              <w:t>55 CHARLES LINDBERGH BLVD., MITCHEL FIELD, N.Y.</w:t>
            </w:r>
          </w:p>
        </w:tc>
        <w:tc>
          <w:tcPr>
            <w:tcW w:w="27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11553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0" w:type="dxa"/>
            <w:vAlign w:val="bottom"/>
            <w:gridSpan w:val="3"/>
            <w:shd w:val="clear" w:color="auto" w:fill="000000"/>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1740" w:type="dxa"/>
            <w:vAlign w:val="bottom"/>
            <w:gridSpan w:val="4"/>
          </w:tcPr>
          <w:p>
            <w:pPr>
              <w:jc w:val="center"/>
              <w:ind w:right="88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p>
      <w:pPr>
        <w:spacing w:after="0" w:line="202" w:lineRule="exact"/>
        <w:rPr>
          <w:sz w:val="24"/>
          <w:szCs w:val="24"/>
          <w:color w:val="auto"/>
        </w:rPr>
      </w:pPr>
    </w:p>
    <w:p>
      <w:pPr>
        <w:jc w:val="both"/>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6" w:lineRule="exact"/>
        <w:rPr>
          <w:sz w:val="24"/>
          <w:szCs w:val="24"/>
          <w:color w:val="auto"/>
        </w:rPr>
      </w:pPr>
    </w:p>
    <w:p>
      <w:pPr>
        <w:jc w:val="both"/>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6"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945" w:right="239" w:bottom="1440" w:gutter="0" w:footer="0" w:header="0"/>
        </w:sectPr>
      </w:pPr>
    </w:p>
    <w:p>
      <w:pPr>
        <w:spacing w:after="0" w:line="1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07" w:lineRule="exact"/>
        <w:rPr>
          <w:sz w:val="24"/>
          <w:szCs w:val="24"/>
          <w:color w:val="auto"/>
        </w:rPr>
      </w:pPr>
    </w:p>
    <w:p>
      <w:pPr>
        <w:sectPr>
          <w:pgSz w:w="11900" w:h="16838" w:orient="portrait"/>
          <w:cols w:equalWidth="0" w:num="2">
            <w:col w:w="5660" w:space="720"/>
            <w:col w:w="5040"/>
          </w:cols>
          <w:pgMar w:left="240" w:top="945" w:right="239" w:bottom="1440" w:gutter="0" w:footer="0" w:header="0"/>
          <w:type w:val="continuous"/>
        </w:sect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CORPORATE ISSUERS:</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December 11, 2017 – 8,729,682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60" w:type="dxa"/>
            <w:vAlign w:val="bottom"/>
            <w:gridSpan w:val="7"/>
          </w:tcPr>
          <w:p>
            <w:pPr>
              <w:jc w:val="center"/>
              <w:ind w:right="210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60" w:type="dxa"/>
            <w:vAlign w:val="bottom"/>
            <w:gridSpan w:val="7"/>
          </w:tcPr>
          <w:p>
            <w:pPr>
              <w:jc w:val="center"/>
              <w:ind w:right="208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640" w:type="dxa"/>
            <w:vAlign w:val="bottom"/>
            <w:gridSpan w:val="15"/>
          </w:tcPr>
          <w:p>
            <w:pPr>
              <w:spacing w:after="0"/>
              <w:rPr>
                <w:sz w:val="20"/>
                <w:szCs w:val="20"/>
                <w:color w:val="auto"/>
              </w:rPr>
            </w:pPr>
            <w:r>
              <w:rPr>
                <w:rFonts w:ascii="Arial" w:cs="Arial" w:eastAsia="Arial" w:hAnsi="Arial"/>
                <w:sz w:val="18"/>
                <w:szCs w:val="18"/>
                <w:b w:val="1"/>
                <w:bCs w:val="1"/>
                <w:color w:val="auto"/>
              </w:rPr>
              <w:t>Part I. Financial Information:</w:t>
            </w: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3"/>
              </w:rPr>
              <w:t>Page No.</w:t>
            </w:r>
          </w:p>
        </w:tc>
        <w:tc>
          <w:tcPr>
            <w:tcW w:w="0" w:type="dxa"/>
            <w:vAlign w:val="bottom"/>
          </w:tcPr>
          <w:p>
            <w:pPr>
              <w:spacing w:after="0"/>
              <w:rPr>
                <w:sz w:val="1"/>
                <w:szCs w:val="1"/>
                <w:color w:val="auto"/>
              </w:rPr>
            </w:pPr>
          </w:p>
        </w:tc>
      </w:tr>
      <w:tr>
        <w:trPr>
          <w:trHeight w:val="378"/>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4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 Financial Statements:</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4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October 31, 2017 (unaudited) and April 30, 2017</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80" w:type="dxa"/>
            <w:vAlign w:val="bottom"/>
            <w:tcBorders>
              <w:right w:val="single" w:sz="8" w:color="0000EE"/>
            </w:tcBorders>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60" w:type="dxa"/>
            <w:vAlign w:val="bottom"/>
            <w:vMerge w:val="restart"/>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2016</w:t>
              </w:r>
            </w:hyperlink>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40" w:type="dxa"/>
            <w:vAlign w:val="bottom"/>
            <w:gridSpan w:val="12"/>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Operations and Comprehensive Loss (unaudited) Six Months Ended October 31, 2017 and</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360" w:type="dxa"/>
            <w:vAlign w:val="bottom"/>
            <w:vMerge w:val="continu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80" w:type="dxa"/>
            <w:vAlign w:val="bottom"/>
            <w:tcBorders>
              <w:right w:val="single" w:sz="8" w:color="0000EE"/>
            </w:tcBorders>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0" w:type="dxa"/>
            <w:vAlign w:val="bottom"/>
            <w:tcBorders>
              <w:bottom w:val="single" w:sz="8" w:color="0000EE"/>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640" w:type="dxa"/>
            <w:vAlign w:val="bottom"/>
            <w:gridSpan w:val="12"/>
            <w:vMerge w:val="restart"/>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Operations and Comprehensive Loss (unaudited) Three Months Ended October 31, 2017 and</w:t>
              </w:r>
            </w:hyperlink>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40" w:type="dxa"/>
            <w:vAlign w:val="bottom"/>
            <w:gridSpan w:val="12"/>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00" w:type="dxa"/>
            <w:vAlign w:val="bottom"/>
            <w:gridSpan w:val="2"/>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2016</w:t>
              </w:r>
            </w:hyperlink>
          </w:p>
        </w:tc>
        <w:tc>
          <w:tcPr>
            <w:tcW w:w="36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5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1340" w:type="dxa"/>
            <w:vAlign w:val="bottom"/>
            <w:tcBorders>
              <w:top w:val="single" w:sz="8" w:color="0000EE"/>
            </w:tcBorders>
          </w:tcPr>
          <w:p>
            <w:pPr>
              <w:spacing w:after="0"/>
              <w:rPr>
                <w:sz w:val="15"/>
                <w:szCs w:val="15"/>
                <w:color w:val="auto"/>
              </w:rPr>
            </w:pPr>
          </w:p>
        </w:tc>
        <w:tc>
          <w:tcPr>
            <w:tcW w:w="14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4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 Six Months Ended October 31, 2017 and 2016</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960" w:type="dxa"/>
            <w:vAlign w:val="bottom"/>
            <w:tcBorders>
              <w:top w:val="single" w:sz="8" w:color="0000EE"/>
            </w:tcBorders>
            <w:gridSpan w:val="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680" w:type="dxa"/>
            <w:vAlign w:val="bottom"/>
            <w:gridSpan w:val="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7-14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40" w:type="dxa"/>
            <w:vAlign w:val="bottom"/>
            <w:gridSpan w:val="1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2 - Management’s Discussion and Analysis of Financial Condition and Results of Operations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15-21</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20" w:type="dxa"/>
            <w:vAlign w:val="bottom"/>
            <w:tcBorders>
              <w:top w:val="single" w:sz="8" w:color="0000EE"/>
            </w:tcBorders>
            <w:gridSpan w:val="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3 - Quantitative and Qualitative Disclosures About Market Risk</w:t>
              </w:r>
            </w:hyperlink>
          </w:p>
        </w:tc>
        <w:tc>
          <w:tcPr>
            <w:tcW w:w="3020" w:type="dxa"/>
            <w:vAlign w:val="bottom"/>
            <w:gridSpan w:val="4"/>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Item 4 - Controls and Procedures</w:t>
              </w:r>
            </w:hyperlink>
          </w:p>
        </w:tc>
        <w:tc>
          <w:tcPr>
            <w:tcW w:w="2580" w:type="dxa"/>
            <w:vAlign w:val="bottom"/>
            <w:tcBorders>
              <w:top w:val="single" w:sz="8" w:color="0000EE"/>
            </w:tcBorders>
          </w:tcPr>
          <w:p>
            <w:pPr>
              <w:spacing w:after="0"/>
              <w:rPr>
                <w:sz w:val="24"/>
                <w:szCs w:val="24"/>
                <w:color w:val="auto"/>
              </w:rPr>
            </w:pPr>
          </w:p>
        </w:tc>
        <w:tc>
          <w:tcPr>
            <w:tcW w:w="5180" w:type="dxa"/>
            <w:vAlign w:val="bottom"/>
            <w:gridSpan w:val="6"/>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426"/>
        </w:trPr>
        <w:tc>
          <w:tcPr>
            <w:tcW w:w="10640" w:type="dxa"/>
            <w:vAlign w:val="bottom"/>
            <w:gridSpan w:val="15"/>
          </w:tcPr>
          <w:p>
            <w:pPr>
              <w:spacing w:after="0"/>
              <w:rPr>
                <w:sz w:val="20"/>
                <w:szCs w:val="20"/>
                <w:color w:val="auto"/>
              </w:rPr>
            </w:pPr>
            <w:r>
              <w:rPr>
                <w:rFonts w:ascii="Arial" w:cs="Arial" w:eastAsia="Arial" w:hAnsi="Arial"/>
                <w:sz w:val="18"/>
                <w:szCs w:val="18"/>
                <w:b w:val="1"/>
                <w:bCs w:val="1"/>
                <w:color w:val="auto"/>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4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6 - Exhibits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Borders>
              <w:top w:val="single" w:sz="8" w:color="0000EE"/>
            </w:tcBorders>
            <w:gridSpan w:val="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Signatures</w:t>
              </w:r>
            </w:hyperlink>
          </w:p>
        </w:tc>
        <w:tc>
          <w:tcPr>
            <w:tcW w:w="894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202"/>
        </w:trPr>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5920" w:type="dxa"/>
            <w:vAlign w:val="bottom"/>
          </w:tcPr>
          <w:p>
            <w:pPr>
              <w:ind w:left="188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180" w:type="dxa"/>
            <w:vAlign w:val="bottom"/>
            <w:gridSpan w:val="5"/>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920" w:type="dxa"/>
            <w:vAlign w:val="bottom"/>
          </w:tcPr>
          <w:p>
            <w:pPr>
              <w:jc w:val="center"/>
              <w:ind w:left="89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920" w:type="dxa"/>
            <w:vAlign w:val="bottom"/>
          </w:tcPr>
          <w:p>
            <w:pPr>
              <w:jc w:val="center"/>
              <w:ind w:left="890"/>
              <w:spacing w:after="0" w:line="202" w:lineRule="exact"/>
              <w:rPr>
                <w:sz w:val="20"/>
                <w:szCs w:val="20"/>
                <w:color w:val="auto"/>
              </w:rPr>
            </w:pPr>
            <w:r>
              <w:rPr>
                <w:rFonts w:ascii="Arial" w:cs="Arial" w:eastAsia="Arial" w:hAnsi="Arial"/>
                <w:sz w:val="18"/>
                <w:szCs w:val="18"/>
                <w:color w:val="auto"/>
                <w:w w:val="88"/>
              </w:rPr>
              <w:t>Condensed Consolidated Balance Sheets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920" w:type="dxa"/>
            <w:vAlign w:val="bottom"/>
          </w:tcPr>
          <w:p>
            <w:pPr>
              <w:jc w:val="center"/>
              <w:ind w:left="890"/>
              <w:spacing w:after="0"/>
              <w:rPr>
                <w:sz w:val="20"/>
                <w:szCs w:val="20"/>
                <w:color w:val="auto"/>
              </w:rPr>
            </w:pPr>
            <w:r>
              <w:rPr>
                <w:rFonts w:ascii="Arial" w:cs="Arial" w:eastAsia="Arial" w:hAnsi="Arial"/>
                <w:sz w:val="18"/>
                <w:szCs w:val="18"/>
                <w:color w:val="auto"/>
                <w:w w:val="89"/>
              </w:rPr>
              <w:t>(In thousands except par value)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October 31,</w:t>
            </w:r>
          </w:p>
        </w:tc>
        <w:tc>
          <w:tcPr>
            <w:tcW w:w="22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920" w:type="dxa"/>
            <w:vAlign w:val="bottom"/>
            <w:vMerge w:val="restart"/>
          </w:tcPr>
          <w:p>
            <w:pPr>
              <w:jc w:val="center"/>
              <w:ind w:right="2110"/>
              <w:spacing w:after="0"/>
              <w:rPr>
                <w:sz w:val="20"/>
                <w:szCs w:val="20"/>
                <w:color w:val="auto"/>
              </w:rPr>
            </w:pPr>
            <w:r>
              <w:rPr>
                <w:rFonts w:ascii="Arial" w:cs="Arial" w:eastAsia="Arial" w:hAnsi="Arial"/>
                <w:sz w:val="18"/>
                <w:szCs w:val="18"/>
                <w:b w:val="1"/>
                <w:bCs w:val="1"/>
                <w:color w:val="auto"/>
                <w:w w:val="92"/>
              </w:rPr>
              <w:t>ASSETS: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9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180" w:type="dxa"/>
            <w:vAlign w:val="bottom"/>
            <w:gridSpan w:val="5"/>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40" w:type="dxa"/>
            <w:vAlign w:val="bottom"/>
            <w:gridSpan w:val="3"/>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7,815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54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Accounts receivable, net of allowance for doubtful accounts</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of $187 at October 31, 2017 and at April 30, 2017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40" w:type="dxa"/>
            <w:vAlign w:val="bottom"/>
            <w:gridSpan w:val="3"/>
          </w:tcPr>
          <w:p>
            <w:pPr>
              <w:ind w:left="20"/>
              <w:spacing w:after="0"/>
              <w:rPr>
                <w:sz w:val="20"/>
                <w:szCs w:val="20"/>
                <w:color w:val="auto"/>
              </w:rPr>
            </w:pPr>
            <w:r>
              <w:rPr>
                <w:rFonts w:ascii="Arial" w:cs="Arial" w:eastAsia="Arial" w:hAnsi="Arial"/>
                <w:sz w:val="18"/>
                <w:szCs w:val="18"/>
                <w:color w:val="auto"/>
              </w:rPr>
              <w:t>Costs and estimated earnings in excess of billings,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5,949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40" w:type="dxa"/>
            <w:vAlign w:val="bottom"/>
            <w:gridSpan w:val="3"/>
          </w:tcPr>
          <w:p>
            <w:pPr>
              <w:ind w:left="20"/>
              <w:spacing w:after="0"/>
              <w:rPr>
                <w:sz w:val="20"/>
                <w:szCs w:val="20"/>
                <w:color w:val="auto"/>
              </w:rPr>
            </w:pPr>
            <w:r>
              <w:rPr>
                <w:rFonts w:ascii="Arial" w:cs="Arial" w:eastAsia="Arial" w:hAnsi="Arial"/>
                <w:sz w:val="18"/>
                <w:szCs w:val="18"/>
                <w:color w:val="auto"/>
              </w:rPr>
              <w:t>Prepaid income taxes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3,478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540" w:type="dxa"/>
            <w:vAlign w:val="bottom"/>
            <w:gridSpan w:val="3"/>
          </w:tcPr>
          <w:p>
            <w:pPr>
              <w:ind w:left="20"/>
              <w:spacing w:after="0"/>
              <w:rPr>
                <w:sz w:val="20"/>
                <w:szCs w:val="20"/>
                <w:color w:val="auto"/>
              </w:rPr>
            </w:pPr>
            <w:r>
              <w:rPr>
                <w:rFonts w:ascii="Arial" w:cs="Arial" w:eastAsia="Arial" w:hAnsi="Arial"/>
                <w:sz w:val="18"/>
                <w:szCs w:val="18"/>
                <w:color w:val="auto"/>
              </w:rPr>
              <w:t>Current assets of discontinued operations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8,157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69,517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160" w:type="dxa"/>
            <w:vAlign w:val="bottom"/>
            <w:gridSpan w:val="4"/>
          </w:tcPr>
          <w:p>
            <w:pPr>
              <w:spacing w:after="0" w:line="189" w:lineRule="exact"/>
              <w:rPr>
                <w:sz w:val="20"/>
                <w:szCs w:val="20"/>
                <w:color w:val="auto"/>
              </w:rPr>
            </w:pPr>
            <w:r>
              <w:rPr>
                <w:rFonts w:ascii="Arial" w:cs="Arial" w:eastAsia="Arial" w:hAnsi="Arial"/>
                <w:sz w:val="18"/>
                <w:szCs w:val="18"/>
                <w:color w:val="auto"/>
              </w:rPr>
              <w:t>Property, plant and equipment, at cost, net of</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180" w:type="dxa"/>
            <w:vAlign w:val="bottom"/>
            <w:gridSpan w:val="5"/>
          </w:tcPr>
          <w:p>
            <w:pPr>
              <w:spacing w:after="0"/>
              <w:rPr>
                <w:sz w:val="20"/>
                <w:szCs w:val="20"/>
                <w:color w:val="auto"/>
              </w:rPr>
            </w:pPr>
            <w:r>
              <w:rPr>
                <w:rFonts w:ascii="Arial" w:cs="Arial" w:eastAsia="Arial" w:hAnsi="Arial"/>
                <w:sz w:val="18"/>
                <w:szCs w:val="18"/>
                <w:color w:val="auto"/>
              </w:rPr>
              <w:t>accumulated depreciation and amortization</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14,349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spacing w:after="0"/>
              <w:rPr>
                <w:sz w:val="20"/>
                <w:szCs w:val="20"/>
                <w:color w:val="auto"/>
              </w:rPr>
            </w:pPr>
            <w:r>
              <w:rPr>
                <w:rFonts w:ascii="Arial" w:cs="Arial" w:eastAsia="Arial" w:hAnsi="Arial"/>
                <w:sz w:val="18"/>
                <w:szCs w:val="18"/>
                <w:color w:val="auto"/>
              </w:rPr>
              <w:t>Goodwill and other intangible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617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13,694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2,169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ind w:left="3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112,702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113,319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900" w:type="dxa"/>
            <w:vAlign w:val="bottom"/>
            <w:gridSpan w:val="2"/>
          </w:tcPr>
          <w:p>
            <w:pPr>
              <w:jc w:val="center"/>
              <w:ind w:right="113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40" w:type="dxa"/>
            <w:vAlign w:val="bottom"/>
            <w:gridSpan w:val="3"/>
          </w:tcPr>
          <w:p>
            <w:pPr>
              <w:ind w:left="20"/>
              <w:spacing w:after="0"/>
              <w:rPr>
                <w:sz w:val="20"/>
                <w:szCs w:val="20"/>
                <w:color w:val="auto"/>
              </w:rPr>
            </w:pPr>
            <w:r>
              <w:rPr>
                <w:rFonts w:ascii="Arial" w:cs="Arial" w:eastAsia="Arial" w:hAnsi="Arial"/>
                <w:sz w:val="18"/>
                <w:szCs w:val="18"/>
                <w:color w:val="auto"/>
              </w:rPr>
              <w:t>Accounts payable - trade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2,694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540" w:type="dxa"/>
            <w:vAlign w:val="bottom"/>
            <w:gridSpan w:val="3"/>
          </w:tcPr>
          <w:p>
            <w:pPr>
              <w:ind w:left="20"/>
              <w:spacing w:after="0"/>
              <w:rPr>
                <w:sz w:val="20"/>
                <w:szCs w:val="20"/>
                <w:color w:val="auto"/>
              </w:rPr>
            </w:pPr>
            <w:r>
              <w:rPr>
                <w:rFonts w:ascii="Arial" w:cs="Arial" w:eastAsia="Arial" w:hAnsi="Arial"/>
                <w:sz w:val="18"/>
                <w:szCs w:val="18"/>
                <w:color w:val="auto"/>
              </w:rPr>
              <w:t>Current liabilities of discontinued operations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13,453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spacing w:after="0"/>
              <w:rPr>
                <w:sz w:val="20"/>
                <w:szCs w:val="20"/>
                <w:color w:val="auto"/>
              </w:rPr>
            </w:pPr>
            <w:r>
              <w:rPr>
                <w:rFonts w:ascii="Arial" w:cs="Arial" w:eastAsia="Arial" w:hAnsi="Arial"/>
                <w:sz w:val="18"/>
                <w:szCs w:val="18"/>
                <w:color w:val="auto"/>
              </w:rPr>
              <w:t>Deferred rent and other liabilities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540" w:type="dxa"/>
            <w:vAlign w:val="bottom"/>
            <w:gridSpan w:val="3"/>
          </w:tcPr>
          <w:p>
            <w:pPr>
              <w:ind w:left="14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23,824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Preferred stock - $1.00 par value authorized 600 shares, no shares issued</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5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Common stock - $1.00 par value; authorized 20,000 shares, 9,164 shares issued and</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40" w:type="dxa"/>
            <w:vAlign w:val="bottom"/>
            <w:gridSpan w:val="3"/>
          </w:tcPr>
          <w:p>
            <w:pPr>
              <w:ind w:left="20"/>
              <w:spacing w:after="0"/>
              <w:rPr>
                <w:sz w:val="20"/>
                <w:szCs w:val="20"/>
                <w:color w:val="auto"/>
              </w:rPr>
            </w:pPr>
            <w:r>
              <w:rPr>
                <w:rFonts w:ascii="Arial" w:cs="Arial" w:eastAsia="Arial" w:hAnsi="Arial"/>
                <w:sz w:val="18"/>
                <w:szCs w:val="18"/>
                <w:color w:val="auto"/>
              </w:rPr>
              <w:t>8,843 outstanding at October 31, 2017; 8,817 outstanding at April 30, 2017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9,164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56,139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540" w:type="dxa"/>
            <w:vAlign w:val="bottom"/>
            <w:gridSpan w:val="3"/>
          </w:tcPr>
          <w:p>
            <w:pPr>
              <w:ind w:left="2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22,845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88,148</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5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Common stock reacquired and held in treasury -</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40" w:type="dxa"/>
            <w:vAlign w:val="bottom"/>
            <w:gridSpan w:val="3"/>
          </w:tcPr>
          <w:p>
            <w:pPr>
              <w:ind w:left="20"/>
              <w:spacing w:after="0"/>
              <w:rPr>
                <w:sz w:val="20"/>
                <w:szCs w:val="20"/>
                <w:color w:val="auto"/>
              </w:rPr>
            </w:pPr>
            <w:r>
              <w:rPr>
                <w:rFonts w:ascii="Arial" w:cs="Arial" w:eastAsia="Arial" w:hAnsi="Arial"/>
                <w:sz w:val="18"/>
                <w:szCs w:val="18"/>
                <w:color w:val="auto"/>
              </w:rPr>
              <w:t>at cost (321 shares at October 31, 2017 and 347 shares at April 30, 2017)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(1,472)</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540" w:type="dxa"/>
            <w:vAlign w:val="bottom"/>
            <w:gridSpan w:val="3"/>
          </w:tcPr>
          <w:p>
            <w:pPr>
              <w:ind w:left="2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88,878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89,332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112,702</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113,319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08" w:right="23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18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900" w:type="dxa"/>
            <w:vAlign w:val="bottom"/>
            <w:gridSpan w:val="3"/>
          </w:tcPr>
          <w:p>
            <w:pPr>
              <w:jc w:val="center"/>
              <w:ind w:left="187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60" w:type="dxa"/>
            <w:vAlign w:val="bottom"/>
            <w:gridSpan w:val="5"/>
          </w:tcPr>
          <w:p>
            <w:pPr>
              <w:jc w:val="center"/>
              <w:ind w:left="830"/>
              <w:spacing w:after="0" w:line="202" w:lineRule="exact"/>
              <w:rPr>
                <w:sz w:val="20"/>
                <w:szCs w:val="20"/>
                <w:color w:val="auto"/>
              </w:rPr>
            </w:pPr>
            <w:r>
              <w:rPr>
                <w:rFonts w:ascii="Arial" w:cs="Arial" w:eastAsia="Arial" w:hAnsi="Arial"/>
                <w:sz w:val="18"/>
                <w:szCs w:val="18"/>
                <w:color w:val="auto"/>
                <w:w w:val="88"/>
              </w:rPr>
              <w:t>Condensed Consolidated Statements of Operations and Comprehensive Loss</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560" w:type="dxa"/>
            <w:vAlign w:val="bottom"/>
            <w:gridSpan w:val="2"/>
          </w:tcPr>
          <w:p>
            <w:pPr>
              <w:jc w:val="center"/>
              <w:ind w:right="270"/>
              <w:spacing w:after="0" w:line="202" w:lineRule="exact"/>
              <w:rPr>
                <w:sz w:val="20"/>
                <w:szCs w:val="20"/>
                <w:color w:val="auto"/>
              </w:rPr>
            </w:pPr>
            <w:r>
              <w:rPr>
                <w:rFonts w:ascii="Arial" w:cs="Arial" w:eastAsia="Arial" w:hAnsi="Arial"/>
                <w:sz w:val="18"/>
                <w:szCs w:val="18"/>
                <w:color w:val="auto"/>
                <w:w w:val="91"/>
              </w:rPr>
              <w:t>Six Months Ended October 31,</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560" w:type="dxa"/>
            <w:vAlign w:val="bottom"/>
            <w:gridSpan w:val="2"/>
          </w:tcPr>
          <w:p>
            <w:pPr>
              <w:jc w:val="center"/>
              <w:ind w:right="270"/>
              <w:spacing w:after="0" w:line="202" w:lineRule="exact"/>
              <w:rPr>
                <w:sz w:val="20"/>
                <w:szCs w:val="20"/>
                <w:color w:val="auto"/>
              </w:rPr>
            </w:pPr>
            <w:r>
              <w:rPr>
                <w:rFonts w:ascii="Arial" w:cs="Arial" w:eastAsia="Arial" w:hAnsi="Arial"/>
                <w:sz w:val="18"/>
                <w:szCs w:val="18"/>
                <w:color w:val="auto"/>
                <w:w w:val="88"/>
              </w:rPr>
              <w:t>(In thousands except per share data)</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540" w:type="dxa"/>
            <w:vAlign w:val="bottom"/>
          </w:tcPr>
          <w:p>
            <w:pPr>
              <w:jc w:val="center"/>
              <w:ind w:right="1310"/>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18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Condensed Consolidated Statements of Income</w:t>
            </w:r>
          </w:p>
        </w:tc>
        <w:tc>
          <w:tcPr>
            <w:tcW w:w="1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456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jc w:val="right"/>
              <w:ind w:right="72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21,360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4"/>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14,636</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6,724</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spacing w:after="0"/>
              <w:rPr>
                <w:sz w:val="20"/>
                <w:szCs w:val="20"/>
                <w:color w:val="auto"/>
              </w:rPr>
            </w:pPr>
            <w:r>
              <w:rPr>
                <w:rFonts w:ascii="Arial" w:cs="Arial" w:eastAsia="Arial" w:hAnsi="Arial"/>
                <w:sz w:val="18"/>
                <w:szCs w:val="18"/>
                <w:color w:val="auto"/>
              </w:rPr>
              <w:t>Selling and administrative expenses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5,046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5,648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ind w:left="640"/>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(1,686)</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4"/>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Investment income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ind w:left="6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spacing w:after="0"/>
              <w:rPr>
                <w:sz w:val="20"/>
                <w:szCs w:val="20"/>
                <w:color w:val="auto"/>
              </w:rPr>
            </w:pPr>
            <w:r>
              <w:rPr>
                <w:rFonts w:ascii="Arial" w:cs="Arial" w:eastAsia="Arial" w:hAnsi="Arial"/>
                <w:sz w:val="18"/>
                <w:szCs w:val="18"/>
                <w:color w:val="auto"/>
              </w:rPr>
              <w:t>Loss before provision for income taxes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(557)</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4"/>
          </w:tcPr>
          <w:p>
            <w:pPr>
              <w:spacing w:after="0"/>
              <w:rPr>
                <w:sz w:val="20"/>
                <w:szCs w:val="20"/>
                <w:color w:val="auto"/>
              </w:rPr>
            </w:pPr>
            <w:r>
              <w:rPr>
                <w:rFonts w:ascii="Arial" w:cs="Arial" w:eastAsia="Arial" w:hAnsi="Arial"/>
                <w:sz w:val="18"/>
                <w:szCs w:val="18"/>
                <w:color w:val="auto"/>
              </w:rPr>
              <w:t>Net loss from continuing operations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(459)</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ind w:left="64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72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(867)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1"/>
        </w:trPr>
        <w:tc>
          <w:tcPr>
            <w:tcW w:w="12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4"/>
          </w:tcPr>
          <w:p>
            <w:pPr>
              <w:spacing w:after="0"/>
              <w:rPr>
                <w:sz w:val="20"/>
                <w:szCs w:val="20"/>
                <w:color w:val="auto"/>
              </w:rPr>
            </w:pPr>
            <w:r>
              <w:rPr>
                <w:rFonts w:ascii="Arial" w:cs="Arial" w:eastAsia="Arial" w:hAnsi="Arial"/>
                <w:sz w:val="18"/>
                <w:szCs w:val="18"/>
                <w:color w:val="auto"/>
              </w:rPr>
              <w:t>Net loss per common share: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6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Basic loss from continued operations</w:t>
            </w:r>
          </w:p>
        </w:tc>
        <w:tc>
          <w:tcPr>
            <w:tcW w:w="1060" w:type="dxa"/>
            <w:vAlign w:val="bottom"/>
            <w:gridSpan w:val="2"/>
            <w:shd w:val="clear" w:color="auto" w:fill="CCEEFF"/>
          </w:tcPr>
          <w:p>
            <w:pPr>
              <w:jc w:val="right"/>
              <w:ind w:right="72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gridSpan w:val="4"/>
          </w:tcPr>
          <w:p>
            <w:pPr>
              <w:ind w:left="640"/>
              <w:spacing w:after="0"/>
              <w:rPr>
                <w:sz w:val="20"/>
                <w:szCs w:val="20"/>
                <w:color w:val="auto"/>
              </w:rPr>
            </w:pPr>
            <w:r>
              <w:rPr>
                <w:rFonts w:ascii="Arial" w:cs="Arial" w:eastAsia="Arial" w:hAnsi="Arial"/>
                <w:sz w:val="18"/>
                <w:szCs w:val="18"/>
                <w:color w:val="auto"/>
              </w:rPr>
              <w:t>Basic loss from discontinued operations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6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8"/>
                <w:szCs w:val="18"/>
                <w:color w:val="auto"/>
              </w:rPr>
              <w:t>Basic loss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gridSpan w:val="4"/>
          </w:tcPr>
          <w:p>
            <w:pPr>
              <w:ind w:left="640"/>
              <w:spacing w:after="0"/>
              <w:rPr>
                <w:sz w:val="20"/>
                <w:szCs w:val="20"/>
                <w:color w:val="auto"/>
              </w:rPr>
            </w:pPr>
            <w:r>
              <w:rPr>
                <w:rFonts w:ascii="Arial" w:cs="Arial" w:eastAsia="Arial" w:hAnsi="Arial"/>
                <w:sz w:val="18"/>
                <w:szCs w:val="18"/>
                <w:color w:val="auto"/>
              </w:rPr>
              <w:t>Diluted loss from continued operations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6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8"/>
                <w:szCs w:val="18"/>
                <w:color w:val="auto"/>
              </w:rPr>
              <w:t>Diluted loss from 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gridSpan w:val="4"/>
          </w:tcPr>
          <w:p>
            <w:pPr>
              <w:ind w:left="640"/>
              <w:spacing w:after="0"/>
              <w:rPr>
                <w:sz w:val="20"/>
                <w:szCs w:val="20"/>
                <w:color w:val="auto"/>
              </w:rPr>
            </w:pPr>
            <w:r>
              <w:rPr>
                <w:rFonts w:ascii="Arial" w:cs="Arial" w:eastAsia="Arial" w:hAnsi="Arial"/>
                <w:sz w:val="18"/>
                <w:szCs w:val="18"/>
                <w:color w:val="auto"/>
              </w:rPr>
              <w:t>Diluted loss per share</w:t>
            </w:r>
          </w:p>
        </w:tc>
        <w:tc>
          <w:tcPr>
            <w:tcW w:w="1060" w:type="dxa"/>
            <w:vAlign w:val="bottom"/>
            <w:gridSpan w:val="2"/>
          </w:tcPr>
          <w:p>
            <w:pPr>
              <w:jc w:val="right"/>
              <w:ind w:right="72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(0.10)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
        </w:trPr>
        <w:tc>
          <w:tcPr>
            <w:tcW w:w="12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4"/>
          </w:tcPr>
          <w:p>
            <w:pPr>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6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gridSpan w:val="4"/>
          </w:tcPr>
          <w:p>
            <w:pPr>
              <w:ind w:left="64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8,830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8,771</w:t>
            </w:r>
          </w:p>
        </w:tc>
        <w:tc>
          <w:tcPr>
            <w:tcW w:w="0" w:type="dxa"/>
            <w:vAlign w:val="bottom"/>
          </w:tcPr>
          <w:p>
            <w:pPr>
              <w:spacing w:after="0"/>
              <w:rPr>
                <w:sz w:val="1"/>
                <w:szCs w:val="1"/>
                <w:color w:val="auto"/>
              </w:rPr>
            </w:pPr>
          </w:p>
        </w:tc>
      </w:tr>
      <w:tr>
        <w:trPr>
          <w:trHeight w:val="21"/>
        </w:trPr>
        <w:tc>
          <w:tcPr>
            <w:tcW w:w="12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20" w:type="dxa"/>
            <w:vAlign w:val="bottom"/>
            <w:tcBorders>
              <w:bottom w:val="single" w:sz="8" w:color="auto"/>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7"/>
              </w:rPr>
              <w:t>Condensed Consolidated Statements of Comprehensive Loss</w:t>
            </w:r>
          </w:p>
        </w:tc>
        <w:tc>
          <w:tcPr>
            <w:tcW w:w="35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4"/>
          </w:tcPr>
          <w:p>
            <w:pPr>
              <w:ind w:left="64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72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(867)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Other comprehensive loss:</w:t>
            </w: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4"/>
          </w:tcPr>
          <w:p>
            <w:pPr>
              <w:ind w:left="64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575</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Unrealized (loss) gain on marketable securities:</w:t>
            </w: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160" w:type="dxa"/>
            <w:vAlign w:val="bottom"/>
            <w:gridSpan w:val="4"/>
          </w:tcPr>
          <w:p>
            <w:pPr>
              <w:ind w:left="640"/>
              <w:spacing w:after="0" w:line="189" w:lineRule="exact"/>
              <w:rPr>
                <w:sz w:val="20"/>
                <w:szCs w:val="20"/>
                <w:color w:val="auto"/>
              </w:rPr>
            </w:pPr>
            <w:r>
              <w:rPr>
                <w:rFonts w:ascii="Arial" w:cs="Arial" w:eastAsia="Arial" w:hAnsi="Arial"/>
                <w:sz w:val="18"/>
                <w:szCs w:val="18"/>
                <w:color w:val="auto"/>
              </w:rPr>
              <w:t>Change in market value of marketable securities before</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gridSpan w:val="4"/>
          </w:tcPr>
          <w:p>
            <w:pPr>
              <w:ind w:left="680"/>
              <w:spacing w:after="0"/>
              <w:rPr>
                <w:sz w:val="20"/>
                <w:szCs w:val="20"/>
                <w:color w:val="auto"/>
              </w:rPr>
            </w:pPr>
            <w:r>
              <w:rPr>
                <w:rFonts w:ascii="Arial" w:cs="Arial" w:eastAsia="Arial" w:hAnsi="Arial"/>
                <w:sz w:val="18"/>
                <w:szCs w:val="18"/>
                <w:color w:val="auto"/>
              </w:rPr>
              <w:t>reclassification, net of tax of ($20) and ($61)</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160" w:type="dxa"/>
            <w:vAlign w:val="bottom"/>
            <w:gridSpan w:val="4"/>
            <w:shd w:val="clear" w:color="auto" w:fill="CCEEFF"/>
          </w:tcPr>
          <w:p>
            <w:pPr>
              <w:ind w:left="640"/>
              <w:spacing w:after="0" w:line="189" w:lineRule="exact"/>
              <w:rPr>
                <w:sz w:val="20"/>
                <w:szCs w:val="20"/>
                <w:color w:val="auto"/>
              </w:rPr>
            </w:pPr>
            <w:r>
              <w:rPr>
                <w:rFonts w:ascii="Arial" w:cs="Arial" w:eastAsia="Arial" w:hAnsi="Arial"/>
                <w:sz w:val="18"/>
                <w:szCs w:val="18"/>
                <w:color w:val="auto"/>
              </w:rPr>
              <w:t>Reclassification adjustment for realized gains included in</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net income, net of tax of $356 in 2017</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4"/>
          </w:tcPr>
          <w:p>
            <w:pPr>
              <w:ind w:left="640"/>
              <w:spacing w:after="0"/>
              <w:rPr>
                <w:sz w:val="20"/>
                <w:szCs w:val="20"/>
                <w:color w:val="auto"/>
              </w:rPr>
            </w:pPr>
            <w:r>
              <w:rPr>
                <w:rFonts w:ascii="Arial" w:cs="Arial" w:eastAsia="Arial" w:hAnsi="Arial"/>
                <w:sz w:val="18"/>
                <w:szCs w:val="18"/>
                <w:color w:val="auto"/>
              </w:rPr>
              <w:t>Total unrealized (loss) gain on marketable securities, net of tax</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(654)</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4"/>
          </w:tcPr>
          <w:p>
            <w:pPr>
              <w:ind w:left="640"/>
              <w:spacing w:after="0"/>
              <w:rPr>
                <w:sz w:val="20"/>
                <w:szCs w:val="20"/>
                <w:color w:val="auto"/>
              </w:rPr>
            </w:pPr>
            <w:r>
              <w:rPr>
                <w:rFonts w:ascii="Arial" w:cs="Arial" w:eastAsia="Arial" w:hAnsi="Arial"/>
                <w:sz w:val="18"/>
                <w:szCs w:val="18"/>
                <w:color w:val="auto"/>
              </w:rPr>
              <w:t>Total other comprehensive loss (income)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6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8"/>
                <w:szCs w:val="18"/>
                <w:color w:val="auto"/>
              </w:rPr>
              <w:t>Comprehensive loss</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18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900" w:type="dxa"/>
            <w:vAlign w:val="bottom"/>
            <w:gridSpan w:val="3"/>
          </w:tcPr>
          <w:p>
            <w:pPr>
              <w:jc w:val="center"/>
              <w:ind w:left="187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60" w:type="dxa"/>
            <w:vAlign w:val="bottom"/>
            <w:gridSpan w:val="5"/>
          </w:tcPr>
          <w:p>
            <w:pPr>
              <w:jc w:val="center"/>
              <w:ind w:left="830"/>
              <w:spacing w:after="0" w:line="202" w:lineRule="exact"/>
              <w:rPr>
                <w:sz w:val="20"/>
                <w:szCs w:val="20"/>
                <w:color w:val="auto"/>
              </w:rPr>
            </w:pPr>
            <w:r>
              <w:rPr>
                <w:rFonts w:ascii="Arial" w:cs="Arial" w:eastAsia="Arial" w:hAnsi="Arial"/>
                <w:sz w:val="18"/>
                <w:szCs w:val="18"/>
                <w:color w:val="auto"/>
                <w:w w:val="88"/>
              </w:rPr>
              <w:t>Condensed Consolidated Statements of Operations and Comprehensive Loss</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560" w:type="dxa"/>
            <w:vAlign w:val="bottom"/>
            <w:gridSpan w:val="2"/>
          </w:tcPr>
          <w:p>
            <w:pPr>
              <w:jc w:val="center"/>
              <w:ind w:right="290"/>
              <w:spacing w:after="0" w:line="202" w:lineRule="exact"/>
              <w:rPr>
                <w:sz w:val="20"/>
                <w:szCs w:val="20"/>
                <w:color w:val="auto"/>
              </w:rPr>
            </w:pPr>
            <w:r>
              <w:rPr>
                <w:rFonts w:ascii="Arial" w:cs="Arial" w:eastAsia="Arial" w:hAnsi="Arial"/>
                <w:sz w:val="18"/>
                <w:szCs w:val="18"/>
                <w:color w:val="auto"/>
                <w:w w:val="90"/>
              </w:rPr>
              <w:t>Three Months Ended October 31,</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560" w:type="dxa"/>
            <w:vAlign w:val="bottom"/>
            <w:gridSpan w:val="2"/>
          </w:tcPr>
          <w:p>
            <w:pPr>
              <w:jc w:val="center"/>
              <w:ind w:right="270"/>
              <w:spacing w:after="0" w:line="202" w:lineRule="exact"/>
              <w:rPr>
                <w:sz w:val="20"/>
                <w:szCs w:val="20"/>
                <w:color w:val="auto"/>
              </w:rPr>
            </w:pPr>
            <w:r>
              <w:rPr>
                <w:rFonts w:ascii="Arial" w:cs="Arial" w:eastAsia="Arial" w:hAnsi="Arial"/>
                <w:sz w:val="18"/>
                <w:szCs w:val="18"/>
                <w:color w:val="auto"/>
                <w:w w:val="88"/>
              </w:rPr>
              <w:t>(In thousands except per share data)</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540" w:type="dxa"/>
            <w:vAlign w:val="bottom"/>
          </w:tcPr>
          <w:p>
            <w:pPr>
              <w:jc w:val="center"/>
              <w:ind w:right="1310"/>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18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Condensed Consolidated Statements of Income</w:t>
            </w:r>
          </w:p>
        </w:tc>
        <w:tc>
          <w:tcPr>
            <w:tcW w:w="1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456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jc w:val="right"/>
              <w:ind w:right="72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4"/>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7,134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spacing w:after="0"/>
              <w:rPr>
                <w:sz w:val="20"/>
                <w:szCs w:val="20"/>
                <w:color w:val="auto"/>
              </w:rPr>
            </w:pPr>
            <w:r>
              <w:rPr>
                <w:rFonts w:ascii="Arial" w:cs="Arial" w:eastAsia="Arial" w:hAnsi="Arial"/>
                <w:sz w:val="18"/>
                <w:szCs w:val="18"/>
                <w:color w:val="auto"/>
              </w:rPr>
              <w:t>Selling and administrative expenses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2,335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ind w:left="640"/>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(1,866)</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4"/>
          </w:tcPr>
          <w:p>
            <w:pPr>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Investment income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ind w:left="6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spacing w:after="0"/>
              <w:rPr>
                <w:sz w:val="20"/>
                <w:szCs w:val="20"/>
                <w:color w:val="auto"/>
              </w:rPr>
            </w:pPr>
            <w:r>
              <w:rPr>
                <w:rFonts w:ascii="Arial" w:cs="Arial" w:eastAsia="Arial" w:hAnsi="Arial"/>
                <w:sz w:val="18"/>
                <w:szCs w:val="18"/>
                <w:color w:val="auto"/>
              </w:rPr>
              <w:t>Loss before provision for income taxes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(1,873)</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4"/>
          </w:tcPr>
          <w:p>
            <w:pPr>
              <w:spacing w:after="0"/>
              <w:rPr>
                <w:sz w:val="20"/>
                <w:szCs w:val="20"/>
                <w:color w:val="auto"/>
              </w:rPr>
            </w:pPr>
            <w:r>
              <w:rPr>
                <w:rFonts w:ascii="Arial" w:cs="Arial" w:eastAsia="Arial" w:hAnsi="Arial"/>
                <w:sz w:val="18"/>
                <w:szCs w:val="18"/>
                <w:color w:val="auto"/>
              </w:rPr>
              <w:t>Net loss from continuing operations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(1,289)</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ind w:left="64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72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(1,481)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
        </w:trPr>
        <w:tc>
          <w:tcPr>
            <w:tcW w:w="12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4"/>
          </w:tcPr>
          <w:p>
            <w:pPr>
              <w:spacing w:after="0"/>
              <w:rPr>
                <w:sz w:val="20"/>
                <w:szCs w:val="20"/>
                <w:color w:val="auto"/>
              </w:rPr>
            </w:pPr>
            <w:r>
              <w:rPr>
                <w:rFonts w:ascii="Arial" w:cs="Arial" w:eastAsia="Arial" w:hAnsi="Arial"/>
                <w:sz w:val="18"/>
                <w:szCs w:val="18"/>
                <w:color w:val="auto"/>
              </w:rPr>
              <w:t>Net loss per common share: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6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Basic loss from continued operations</w:t>
            </w:r>
          </w:p>
        </w:tc>
        <w:tc>
          <w:tcPr>
            <w:tcW w:w="1060" w:type="dxa"/>
            <w:vAlign w:val="bottom"/>
            <w:gridSpan w:val="2"/>
            <w:shd w:val="clear" w:color="auto" w:fill="CCEEFF"/>
          </w:tcPr>
          <w:p>
            <w:pPr>
              <w:jc w:val="right"/>
              <w:ind w:right="72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gridSpan w:val="4"/>
          </w:tcPr>
          <w:p>
            <w:pPr>
              <w:ind w:left="640"/>
              <w:spacing w:after="0"/>
              <w:rPr>
                <w:sz w:val="20"/>
                <w:szCs w:val="20"/>
                <w:color w:val="auto"/>
              </w:rPr>
            </w:pPr>
            <w:r>
              <w:rPr>
                <w:rFonts w:ascii="Arial" w:cs="Arial" w:eastAsia="Arial" w:hAnsi="Arial"/>
                <w:sz w:val="18"/>
                <w:szCs w:val="18"/>
                <w:color w:val="auto"/>
              </w:rPr>
              <w:t>Basic loss from discontinued operations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6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8"/>
                <w:szCs w:val="18"/>
                <w:color w:val="auto"/>
              </w:rPr>
              <w:t>Basic loss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gridSpan w:val="4"/>
          </w:tcPr>
          <w:p>
            <w:pPr>
              <w:ind w:left="640"/>
              <w:spacing w:after="0"/>
              <w:rPr>
                <w:sz w:val="20"/>
                <w:szCs w:val="20"/>
                <w:color w:val="auto"/>
              </w:rPr>
            </w:pPr>
            <w:r>
              <w:rPr>
                <w:rFonts w:ascii="Arial" w:cs="Arial" w:eastAsia="Arial" w:hAnsi="Arial"/>
                <w:sz w:val="18"/>
                <w:szCs w:val="18"/>
                <w:color w:val="auto"/>
              </w:rPr>
              <w:t>Diluted loss from continued operations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6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8"/>
                <w:szCs w:val="18"/>
                <w:color w:val="auto"/>
              </w:rPr>
              <w:t>Diluted loss from 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gridSpan w:val="4"/>
          </w:tcPr>
          <w:p>
            <w:pPr>
              <w:ind w:left="640"/>
              <w:spacing w:after="0"/>
              <w:rPr>
                <w:sz w:val="20"/>
                <w:szCs w:val="20"/>
                <w:color w:val="auto"/>
              </w:rPr>
            </w:pPr>
            <w:r>
              <w:rPr>
                <w:rFonts w:ascii="Arial" w:cs="Arial" w:eastAsia="Arial" w:hAnsi="Arial"/>
                <w:sz w:val="18"/>
                <w:szCs w:val="18"/>
                <w:color w:val="auto"/>
              </w:rPr>
              <w:t>Diluted loss per share</w:t>
            </w:r>
          </w:p>
        </w:tc>
        <w:tc>
          <w:tcPr>
            <w:tcW w:w="1060" w:type="dxa"/>
            <w:vAlign w:val="bottom"/>
            <w:gridSpan w:val="2"/>
          </w:tcPr>
          <w:p>
            <w:pPr>
              <w:jc w:val="right"/>
              <w:ind w:right="72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(0.17)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
        </w:trPr>
        <w:tc>
          <w:tcPr>
            <w:tcW w:w="12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4"/>
          </w:tcPr>
          <w:p>
            <w:pPr>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6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gridSpan w:val="4"/>
          </w:tcPr>
          <w:p>
            <w:pPr>
              <w:ind w:left="64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8,835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8,781</w:t>
            </w:r>
          </w:p>
        </w:tc>
        <w:tc>
          <w:tcPr>
            <w:tcW w:w="0" w:type="dxa"/>
            <w:vAlign w:val="bottom"/>
          </w:tcPr>
          <w:p>
            <w:pPr>
              <w:spacing w:after="0"/>
              <w:rPr>
                <w:sz w:val="1"/>
                <w:szCs w:val="1"/>
                <w:color w:val="auto"/>
              </w:rPr>
            </w:pPr>
          </w:p>
        </w:tc>
      </w:tr>
      <w:tr>
        <w:trPr>
          <w:trHeight w:val="21"/>
        </w:trPr>
        <w:tc>
          <w:tcPr>
            <w:tcW w:w="12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20" w:type="dxa"/>
            <w:vAlign w:val="bottom"/>
            <w:tcBorders>
              <w:bottom w:val="single" w:sz="8" w:color="auto"/>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7"/>
              </w:rPr>
              <w:t>Condensed Consolidated Statements of Comprehensive Loss</w:t>
            </w:r>
          </w:p>
        </w:tc>
        <w:tc>
          <w:tcPr>
            <w:tcW w:w="35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4"/>
          </w:tcPr>
          <w:p>
            <w:pPr>
              <w:ind w:left="64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72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(1,481)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Other comprehensive income:</w:t>
            </w: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4"/>
          </w:tcPr>
          <w:p>
            <w:pPr>
              <w:ind w:left="64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Unrealized (loss) gain on marketable securities:</w:t>
            </w: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160" w:type="dxa"/>
            <w:vAlign w:val="bottom"/>
            <w:gridSpan w:val="4"/>
          </w:tcPr>
          <w:p>
            <w:pPr>
              <w:ind w:left="640"/>
              <w:spacing w:after="0" w:line="189" w:lineRule="exact"/>
              <w:rPr>
                <w:sz w:val="20"/>
                <w:szCs w:val="20"/>
                <w:color w:val="auto"/>
              </w:rPr>
            </w:pPr>
            <w:r>
              <w:rPr>
                <w:rFonts w:ascii="Arial" w:cs="Arial" w:eastAsia="Arial" w:hAnsi="Arial"/>
                <w:sz w:val="18"/>
                <w:szCs w:val="18"/>
                <w:color w:val="auto"/>
              </w:rPr>
              <w:t>Change in market value of marketable securities before</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gridSpan w:val="4"/>
          </w:tcPr>
          <w:p>
            <w:pPr>
              <w:ind w:left="680"/>
              <w:spacing w:after="0"/>
              <w:rPr>
                <w:sz w:val="20"/>
                <w:szCs w:val="20"/>
                <w:color w:val="auto"/>
              </w:rPr>
            </w:pPr>
            <w:r>
              <w:rPr>
                <w:rFonts w:ascii="Arial" w:cs="Arial" w:eastAsia="Arial" w:hAnsi="Arial"/>
                <w:sz w:val="18"/>
                <w:szCs w:val="18"/>
                <w:color w:val="auto"/>
              </w:rPr>
              <w:t>reclassification, net of tax of ($2) and ($161)</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160" w:type="dxa"/>
            <w:vAlign w:val="bottom"/>
            <w:gridSpan w:val="4"/>
            <w:shd w:val="clear" w:color="auto" w:fill="CCEEFF"/>
          </w:tcPr>
          <w:p>
            <w:pPr>
              <w:ind w:left="640"/>
              <w:spacing w:after="0" w:line="189" w:lineRule="exact"/>
              <w:rPr>
                <w:sz w:val="20"/>
                <w:szCs w:val="20"/>
                <w:color w:val="auto"/>
              </w:rPr>
            </w:pPr>
            <w:r>
              <w:rPr>
                <w:rFonts w:ascii="Arial" w:cs="Arial" w:eastAsia="Arial" w:hAnsi="Arial"/>
                <w:sz w:val="18"/>
                <w:szCs w:val="18"/>
                <w:color w:val="auto"/>
              </w:rPr>
              <w:t>Reclassification adjustment for realized gains included in</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net income, net of tax of $1 in 2017</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4"/>
          </w:tcPr>
          <w:p>
            <w:pPr>
              <w:ind w:left="640"/>
              <w:spacing w:after="0"/>
              <w:rPr>
                <w:sz w:val="20"/>
                <w:szCs w:val="20"/>
                <w:color w:val="auto"/>
              </w:rPr>
            </w:pPr>
            <w:r>
              <w:rPr>
                <w:rFonts w:ascii="Arial" w:cs="Arial" w:eastAsia="Arial" w:hAnsi="Arial"/>
                <w:sz w:val="18"/>
                <w:szCs w:val="18"/>
                <w:color w:val="auto"/>
              </w:rPr>
              <w:t>Total unrealized (loss) gain on marketable securities, net of tax</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4"/>
          </w:tcPr>
          <w:p>
            <w:pPr>
              <w:ind w:left="640"/>
              <w:spacing w:after="0"/>
              <w:rPr>
                <w:sz w:val="20"/>
                <w:szCs w:val="20"/>
                <w:color w:val="auto"/>
              </w:rPr>
            </w:pPr>
            <w:r>
              <w:rPr>
                <w:rFonts w:ascii="Arial" w:cs="Arial" w:eastAsia="Arial" w:hAnsi="Arial"/>
                <w:sz w:val="18"/>
                <w:szCs w:val="18"/>
                <w:color w:val="auto"/>
              </w:rPr>
              <w:t>Total other comprehensive income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60" w:type="dxa"/>
            <w:vAlign w:val="bottom"/>
            <w:tcBorders>
              <w:bottom w:val="single" w:sz="8" w:color="CCEEFF"/>
            </w:tcBorders>
            <w:gridSpan w:val="4"/>
            <w:shd w:val="clear" w:color="auto" w:fill="CCEEFF"/>
          </w:tcPr>
          <w:p>
            <w:pPr>
              <w:ind w:left="640"/>
              <w:spacing w:after="0"/>
              <w:rPr>
                <w:sz w:val="20"/>
                <w:szCs w:val="20"/>
                <w:color w:val="auto"/>
              </w:rPr>
            </w:pPr>
            <w:r>
              <w:rPr>
                <w:rFonts w:ascii="Arial" w:cs="Arial" w:eastAsia="Arial" w:hAnsi="Arial"/>
                <w:sz w:val="18"/>
                <w:szCs w:val="18"/>
                <w:color w:val="auto"/>
              </w:rPr>
              <w:t>Comprehensive loss</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(1,220)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080" w:type="dxa"/>
            <w:vAlign w:val="bottom"/>
          </w:tcPr>
          <w:p>
            <w:pPr>
              <w:jc w:val="center"/>
              <w:ind w:left="169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80" w:type="dxa"/>
            <w:vAlign w:val="bottom"/>
          </w:tcPr>
          <w:p>
            <w:pPr>
              <w:jc w:val="center"/>
              <w:ind w:left="1710"/>
              <w:spacing w:after="0" w:line="202" w:lineRule="exact"/>
              <w:rPr>
                <w:sz w:val="20"/>
                <w:szCs w:val="20"/>
                <w:color w:val="auto"/>
              </w:rPr>
            </w:pPr>
            <w:r>
              <w:rPr>
                <w:rFonts w:ascii="Arial" w:cs="Arial" w:eastAsia="Arial" w:hAnsi="Arial"/>
                <w:sz w:val="18"/>
                <w:szCs w:val="18"/>
                <w:color w:val="auto"/>
                <w:w w:val="89"/>
              </w:rPr>
              <w:t>Condensed Consolidated Statements of Cash Flows</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80" w:type="dxa"/>
            <w:vAlign w:val="bottom"/>
          </w:tcPr>
          <w:p>
            <w:pPr>
              <w:jc w:val="center"/>
              <w:ind w:left="1710"/>
              <w:spacing w:after="0" w:line="202" w:lineRule="exact"/>
              <w:rPr>
                <w:sz w:val="20"/>
                <w:szCs w:val="20"/>
                <w:color w:val="auto"/>
              </w:rPr>
            </w:pPr>
            <w:r>
              <w:rPr>
                <w:rFonts w:ascii="Arial" w:cs="Arial" w:eastAsia="Arial" w:hAnsi="Arial"/>
                <w:sz w:val="18"/>
                <w:szCs w:val="18"/>
                <w:color w:val="auto"/>
                <w:w w:val="91"/>
              </w:rPr>
              <w:t>Six Months Ended October 31,</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80" w:type="dxa"/>
            <w:vAlign w:val="bottom"/>
          </w:tcPr>
          <w:p>
            <w:pPr>
              <w:jc w:val="center"/>
              <w:ind w:left="1710"/>
              <w:spacing w:after="0" w:line="202" w:lineRule="exact"/>
              <w:rPr>
                <w:sz w:val="20"/>
                <w:szCs w:val="20"/>
                <w:color w:val="auto"/>
              </w:rPr>
            </w:pPr>
            <w:r>
              <w:rPr>
                <w:rFonts w:ascii="Arial" w:cs="Arial" w:eastAsia="Arial" w:hAnsi="Arial"/>
                <w:sz w:val="18"/>
                <w:szCs w:val="18"/>
                <w:color w:val="auto"/>
                <w:w w:val="90"/>
              </w:rPr>
              <w:t>(In thousands)</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80" w:type="dxa"/>
            <w:vAlign w:val="bottom"/>
          </w:tcPr>
          <w:p>
            <w:pPr>
              <w:jc w:val="center"/>
              <w:ind w:left="1690"/>
              <w:spacing w:after="0"/>
              <w:rPr>
                <w:sz w:val="20"/>
                <w:szCs w:val="20"/>
                <w:color w:val="auto"/>
              </w:rPr>
            </w:pPr>
            <w:r>
              <w:rPr>
                <w:rFonts w:ascii="Arial" w:cs="Arial" w:eastAsia="Arial" w:hAnsi="Arial"/>
                <w:sz w:val="18"/>
                <w:szCs w:val="18"/>
                <w:color w:val="auto"/>
                <w:w w:val="91"/>
              </w:rPr>
              <w:t>(Unaudited)</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loss from continuing operations</w:t>
            </w:r>
          </w:p>
        </w:tc>
        <w:tc>
          <w:tcPr>
            <w:tcW w:w="880" w:type="dxa"/>
            <w:vAlign w:val="bottom"/>
            <w:shd w:val="clear" w:color="auto" w:fill="CCEEFF"/>
          </w:tcPr>
          <w:p>
            <w:pPr>
              <w:jc w:val="right"/>
              <w:ind w:right="722"/>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Net loss from discontinued operations</w:t>
            </w:r>
          </w:p>
        </w:tc>
        <w:tc>
          <w:tcPr>
            <w:tcW w:w="8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(408)</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loss</w:t>
            </w: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Non-cash charges to earnings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changes in operating assets and liabilities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0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Cash provided by (used in) operating activities – continuing operations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2,215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provided by operating activities – discontinued operations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120"/>
              <w:spacing w:after="0"/>
              <w:rPr>
                <w:sz w:val="20"/>
                <w:szCs w:val="20"/>
                <w:color w:val="auto"/>
              </w:rPr>
            </w:pPr>
            <w:r>
              <w:rPr>
                <w:rFonts w:ascii="Arial" w:cs="Arial" w:eastAsia="Arial" w:hAnsi="Arial"/>
                <w:sz w:val="18"/>
                <w:szCs w:val="18"/>
                <w:color w:val="auto"/>
              </w:rPr>
              <w:t>Net cash provided by (used in) operating activities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2,829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Proceeds on redemption of marketable securities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Purchase of fixed assets and other assets</w:t>
            </w:r>
          </w:p>
        </w:tc>
        <w:tc>
          <w:tcPr>
            <w:tcW w:w="8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(883)</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(used in) investing activities – continuing operations</w:t>
            </w: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5,594</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Cash used in investing activities – discontinued operations</w:t>
            </w:r>
          </w:p>
        </w:tc>
        <w:tc>
          <w:tcPr>
            <w:tcW w:w="8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Tax benefit from exercise of stock-based compensation</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financing activities – continuing operations</w:t>
            </w: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Cash used in financing activities – discontinued operations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 before effect of exchange rate changes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increase (decrease) in cash and cash equivalents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Cash and cash equivalents at beginning of period</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11,809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cash and equivalents of discontinued operations at end of period</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Cash and cash equivalents of continuing operations at end of period</w:t>
            </w:r>
          </w:p>
        </w:tc>
        <w:tc>
          <w:tcPr>
            <w:tcW w:w="88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11,015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280" w:type="dxa"/>
            <w:vAlign w:val="bottom"/>
            <w:gridSpan w:val="2"/>
          </w:tcPr>
          <w:p>
            <w:pPr>
              <w:spacing w:after="0"/>
              <w:rPr>
                <w:sz w:val="18"/>
                <w:szCs w:val="18"/>
                <w:color w:val="auto"/>
              </w:rPr>
            </w:pPr>
          </w:p>
        </w:tc>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Cash paid during the period for:</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Interest</w:t>
            </w:r>
          </w:p>
        </w:tc>
        <w:tc>
          <w:tcPr>
            <w:tcW w:w="880" w:type="dxa"/>
            <w:vAlign w:val="bottom"/>
            <w:tcBorders>
              <w:bottom w:val="single" w:sz="8" w:color="auto"/>
            </w:tcBorders>
          </w:tcPr>
          <w:p>
            <w:pPr>
              <w:jc w:val="right"/>
              <w:ind w:right="722"/>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Income Taxes</w:t>
            </w:r>
          </w:p>
        </w:tc>
        <w:tc>
          <w:tcPr>
            <w:tcW w:w="880" w:type="dxa"/>
            <w:vAlign w:val="bottom"/>
            <w:tcBorders>
              <w:top w:val="single" w:sz="8" w:color="auto"/>
              <w:bottom w:val="single" w:sz="8" w:color="auto"/>
            </w:tcBorders>
            <w:shd w:val="clear" w:color="auto" w:fill="CCEEFF"/>
          </w:tcPr>
          <w:p>
            <w:pPr>
              <w:jc w:val="right"/>
              <w:ind w:right="722"/>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jc w:val="center"/>
        <w:spacing w:after="0" w:line="237" w:lineRule="auto"/>
        <w:rPr>
          <w:sz w:val="20"/>
          <w:szCs w:val="20"/>
          <w:color w:val="auto"/>
        </w:rPr>
      </w:pPr>
      <w:r>
        <w:rPr>
          <w:rFonts w:ascii="Arial" w:cs="Arial" w:eastAsia="Arial" w:hAnsi="Arial"/>
          <w:sz w:val="18"/>
          <w:szCs w:val="18"/>
          <w:color w:val="auto"/>
        </w:rPr>
        <w:t>Notes to Condensed Consolidated Financial Statements</w:t>
      </w:r>
    </w:p>
    <w:p>
      <w:pPr>
        <w:ind w:left="5280"/>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A – CONDENSED CONSOLIDATED FINANCIAL STATEMENTS</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October 31, 2017 and the results of its operations and cash flows for the six and three months ended October 31, 2017 and 2016. The April 30, 2017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Company’s Annual Report on Form 10-K for the year ended April 30, 2017, filed on July 31, 2017, and the financial statements and notes thereto. The results of operations for such interim periods are not necessarily indicative of the operating results for the full fiscal year.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NOTE B – DISCONTINUED OPERATIONS</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In December 2016, the Company entered into a share purchase agreement with certain foreign counterparties with respect to a potential sale of Gillam-FEI (“Gillam”), the Company’s Belgian subsidiary. However, these counterparties have not yet performed their obligations under that agreement. Because the counterparties have failed to perform their obligations under the share purchase agreement the Company has a right to terminate that share purchase agreement. The Company continues to negotiate with these counterparties to effectuate a closing of the transaction contemplated by the share purchase agreement, but the Company is also discussing a sale of the Gillam business with other potential buyers. In April 2017, the Company decided to sell its Gillam business as soon as practicable, and began contacting potential buyers other than the counterparty to the stock purchase agreement. The Company believes that the divestment should be completed by the end of fiscal year 2018. Accordingly, the Company determined that the assets and liabilities of this reportable segment met the discontinued operations criteria in Accounting Standards Codification 205-20-45 for the year ended April 30, 2017, and Gillam’s results have been classified as discontinued operations in the accompanying Consolidated Statements of Operations and Comprehensive Loss.</w:t>
      </w:r>
    </w:p>
    <w:p>
      <w:pPr>
        <w:spacing w:after="0" w:line="15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Summarized operating results for the Gillam discontinued operations, for the three and six months ended October 31, 2017 and 2016 respectively,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8"/>
                <w:szCs w:val="18"/>
                <w:b w:val="1"/>
                <w:bCs w:val="1"/>
                <w:color w:val="auto"/>
              </w:rPr>
              <w:t>Six months</w:t>
            </w:r>
          </w:p>
        </w:tc>
        <w:tc>
          <w:tcPr>
            <w:tcW w:w="2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Three months</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3"/>
          </w:tcPr>
          <w:p>
            <w:pPr>
              <w:jc w:val="right"/>
              <w:spacing w:after="0"/>
              <w:rPr>
                <w:sz w:val="20"/>
                <w:szCs w:val="20"/>
                <w:color w:val="auto"/>
              </w:rPr>
            </w:pPr>
            <w:r>
              <w:rPr>
                <w:rFonts w:ascii="Arial" w:cs="Arial" w:eastAsia="Arial" w:hAnsi="Arial"/>
                <w:sz w:val="18"/>
                <w:szCs w:val="18"/>
                <w:b w:val="1"/>
                <w:bCs w:val="1"/>
                <w:color w:val="auto"/>
              </w:rPr>
              <w:t>Periods ended October 31,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(UNAUDITED)</w:t>
            </w:r>
          </w:p>
        </w:tc>
        <w:tc>
          <w:tcPr>
            <w:tcW w:w="240" w:type="dxa"/>
            <w:vAlign w:val="bottom"/>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19"/>
                <w:szCs w:val="19"/>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(In thousands</w:t>
            </w:r>
          </w:p>
        </w:tc>
        <w:tc>
          <w:tcPr>
            <w:tcW w:w="1580" w:type="dxa"/>
            <w:vAlign w:val="bottom"/>
            <w:gridSpan w:val="3"/>
          </w:tcPr>
          <w:p>
            <w:pPr>
              <w:jc w:val="right"/>
              <w:ind w:right="290"/>
              <w:spacing w:after="0"/>
              <w:rPr>
                <w:sz w:val="20"/>
                <w:szCs w:val="20"/>
                <w:color w:val="auto"/>
              </w:rPr>
            </w:pPr>
            <w:r>
              <w:rPr>
                <w:rFonts w:ascii="Arial" w:cs="Arial" w:eastAsia="Arial" w:hAnsi="Arial"/>
                <w:sz w:val="18"/>
                <w:szCs w:val="18"/>
                <w:color w:val="auto"/>
                <w:w w:val="85"/>
              </w:rPr>
              <w:t>except par value)</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2,294</w:t>
            </w:r>
          </w:p>
        </w:tc>
        <w:tc>
          <w:tcPr>
            <w:tcW w:w="880" w:type="dxa"/>
            <w:vAlign w:val="bottom"/>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943</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1,621</w:t>
            </w:r>
          </w:p>
        </w:tc>
        <w:tc>
          <w:tcPr>
            <w:tcW w:w="88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674</w:t>
            </w:r>
          </w:p>
        </w:tc>
        <w:tc>
          <w:tcPr>
            <w:tcW w:w="4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Gross Margin</w:t>
            </w:r>
          </w:p>
        </w:tc>
        <w:tc>
          <w:tcPr>
            <w:tcW w:w="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950</w:t>
            </w:r>
          </w:p>
        </w:tc>
        <w:tc>
          <w:tcPr>
            <w:tcW w:w="8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346</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80"/>
              <w:spacing w:after="0"/>
              <w:rPr>
                <w:sz w:val="20"/>
                <w:szCs w:val="20"/>
                <w:color w:val="auto"/>
              </w:rPr>
            </w:pPr>
            <w:r>
              <w:rPr>
                <w:rFonts w:ascii="Arial" w:cs="Arial" w:eastAsia="Arial" w:hAnsi="Arial"/>
                <w:sz w:val="18"/>
                <w:szCs w:val="18"/>
                <w:color w:val="auto"/>
              </w:rPr>
              <w:t>Operating Loss</w:t>
            </w:r>
          </w:p>
        </w:tc>
        <w:tc>
          <w:tcPr>
            <w:tcW w:w="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8"/>
                <w:szCs w:val="18"/>
                <w:color w:val="auto"/>
              </w:rPr>
            </w:pP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(554)</w:t>
            </w:r>
          </w:p>
        </w:tc>
        <w:tc>
          <w:tcPr>
            <w:tcW w:w="8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4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80"/>
              <w:spacing w:after="0"/>
              <w:rPr>
                <w:sz w:val="20"/>
                <w:szCs w:val="20"/>
                <w:color w:val="auto"/>
              </w:rPr>
            </w:pPr>
            <w:r>
              <w:rPr>
                <w:rFonts w:ascii="Arial" w:cs="Arial" w:eastAsia="Arial" w:hAnsi="Arial"/>
                <w:sz w:val="18"/>
                <w:szCs w:val="18"/>
                <w:color w:val="auto"/>
              </w:rPr>
              <w:t>Investment (loss) income</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18"/>
                <w:szCs w:val="18"/>
                <w:color w:val="auto"/>
              </w:rPr>
            </w:pP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(557)</w:t>
            </w:r>
          </w:p>
        </w:tc>
        <w:tc>
          <w:tcPr>
            <w:tcW w:w="8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(197)</w:t>
            </w:r>
          </w:p>
        </w:tc>
        <w:tc>
          <w:tcPr>
            <w:tcW w:w="4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(557)</w:t>
            </w:r>
          </w:p>
        </w:tc>
        <w:tc>
          <w:tcPr>
            <w:tcW w:w="880" w:type="dxa"/>
            <w:vAlign w:val="bottom"/>
          </w:tcPr>
          <w:p>
            <w:pPr>
              <w:jc w:val="right"/>
              <w:ind w:right="717"/>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(192)</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1"/>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jc w:val="right"/>
              <w:ind w:right="731"/>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87"/>
        </w:trPr>
        <w:tc>
          <w:tcPr>
            <w:tcW w:w="1280" w:type="dxa"/>
            <w:vAlign w:val="bottom"/>
            <w:tcBorders>
              <w:top w:val="single" w:sz="8" w:color="0000EE"/>
            </w:tcBorders>
          </w:tcPr>
          <w:p>
            <w:pPr>
              <w:spacing w:after="0"/>
              <w:rPr>
                <w:sz w:val="24"/>
                <w:szCs w:val="24"/>
                <w:color w:val="auto"/>
              </w:rPr>
            </w:pPr>
          </w:p>
        </w:tc>
        <w:tc>
          <w:tcPr>
            <w:tcW w:w="690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6900" w:type="dxa"/>
            <w:vAlign w:val="bottom"/>
          </w:tcPr>
          <w:p>
            <w:pPr>
              <w:jc w:val="center"/>
              <w:ind w:left="1890"/>
              <w:spacing w:after="0" w:line="202" w:lineRule="exact"/>
              <w:rPr>
                <w:sz w:val="20"/>
                <w:szCs w:val="20"/>
                <w:color w:val="auto"/>
              </w:rPr>
            </w:pPr>
            <w:r>
              <w:rPr>
                <w:rFonts w:ascii="Arial" w:cs="Arial" w:eastAsia="Arial" w:hAnsi="Arial"/>
                <w:sz w:val="18"/>
                <w:szCs w:val="18"/>
                <w:color w:val="auto"/>
                <w:w w:val="89"/>
              </w:rPr>
              <w:t>Notes to Condensed Consolidated Financial Statements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280" w:type="dxa"/>
            <w:vAlign w:val="bottom"/>
          </w:tcPr>
          <w:p>
            <w:pPr>
              <w:spacing w:after="0"/>
              <w:rPr>
                <w:sz w:val="20"/>
                <w:szCs w:val="20"/>
                <w:color w:val="auto"/>
              </w:rPr>
            </w:pPr>
          </w:p>
        </w:tc>
        <w:tc>
          <w:tcPr>
            <w:tcW w:w="6900" w:type="dxa"/>
            <w:vAlign w:val="bottom"/>
          </w:tcPr>
          <w:p>
            <w:pPr>
              <w:jc w:val="center"/>
              <w:ind w:left="1870"/>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8180" w:type="dxa"/>
            <w:vAlign w:val="bottom"/>
            <w:gridSpan w:val="2"/>
          </w:tcPr>
          <w:p>
            <w:pPr>
              <w:ind w:left="660"/>
              <w:spacing w:after="0"/>
              <w:rPr>
                <w:sz w:val="20"/>
                <w:szCs w:val="20"/>
                <w:color w:val="auto"/>
              </w:rPr>
            </w:pPr>
            <w:r>
              <w:rPr>
                <w:rFonts w:ascii="Arial" w:cs="Arial" w:eastAsia="Arial" w:hAnsi="Arial"/>
                <w:sz w:val="18"/>
                <w:szCs w:val="18"/>
                <w:color w:val="auto"/>
                <w:w w:val="95"/>
              </w:rPr>
              <w:t>The carrying amounts of assets and liabilities for the Gillam discontinued operations are as follows: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 31,</w:t>
            </w:r>
          </w:p>
        </w:tc>
        <w:tc>
          <w:tcPr>
            <w:tcW w:w="22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30,</w:t>
            </w:r>
          </w:p>
        </w:tc>
      </w:tr>
      <w:tr>
        <w:trPr>
          <w:trHeight w:val="241"/>
        </w:trPr>
        <w:tc>
          <w:tcPr>
            <w:tcW w:w="12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128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r>
      <w:tr>
        <w:trPr>
          <w:trHeight w:val="216"/>
        </w:trPr>
        <w:tc>
          <w:tcPr>
            <w:tcW w:w="8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r>
      <w:tr>
        <w:trPr>
          <w:trHeight w:val="216"/>
        </w:trPr>
        <w:tc>
          <w:tcPr>
            <w:tcW w:w="8180" w:type="dxa"/>
            <w:vAlign w:val="bottom"/>
            <w:gridSpan w:val="2"/>
          </w:tcPr>
          <w:p>
            <w:pPr>
              <w:ind w:left="220"/>
              <w:spacing w:after="0"/>
              <w:rPr>
                <w:sz w:val="20"/>
                <w:szCs w:val="20"/>
                <w:color w:val="auto"/>
              </w:rPr>
            </w:pPr>
            <w:r>
              <w:rPr>
                <w:rFonts w:ascii="Arial" w:cs="Arial" w:eastAsia="Arial" w:hAnsi="Arial"/>
                <w:sz w:val="18"/>
                <w:szCs w:val="18"/>
                <w:color w:val="auto"/>
              </w:rPr>
              <w:t>Accounts receivable, net of allowance for doubtful accounts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3,202</w:t>
            </w:r>
          </w:p>
        </w:tc>
      </w:tr>
      <w:tr>
        <w:trPr>
          <w:trHeight w:val="216"/>
        </w:trPr>
        <w:tc>
          <w:tcPr>
            <w:tcW w:w="8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3,980</w:t>
            </w:r>
          </w:p>
        </w:tc>
      </w:tr>
      <w:tr>
        <w:trPr>
          <w:trHeight w:val="223"/>
        </w:trPr>
        <w:tc>
          <w:tcPr>
            <w:tcW w:w="8180" w:type="dxa"/>
            <w:vAlign w:val="bottom"/>
            <w:gridSpan w:val="2"/>
          </w:tcPr>
          <w:p>
            <w:pPr>
              <w:ind w:left="24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r>
      <w:tr>
        <w:trPr>
          <w:trHeight w:val="223"/>
        </w:trPr>
        <w:tc>
          <w:tcPr>
            <w:tcW w:w="81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current assets of discontinued operations</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180" w:type="dxa"/>
            <w:vAlign w:val="bottom"/>
            <w:gridSpan w:val="2"/>
          </w:tcPr>
          <w:p>
            <w:pPr>
              <w:ind w:left="240"/>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547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r>
      <w:tr>
        <w:trPr>
          <w:trHeight w:val="216"/>
        </w:trPr>
        <w:tc>
          <w:tcPr>
            <w:tcW w:w="8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23"/>
        </w:trPr>
        <w:tc>
          <w:tcPr>
            <w:tcW w:w="8180" w:type="dxa"/>
            <w:vAlign w:val="bottom"/>
            <w:gridSpan w:val="2"/>
          </w:tcPr>
          <w:p>
            <w:pPr>
              <w:ind w:left="240"/>
              <w:spacing w:after="0"/>
              <w:rPr>
                <w:sz w:val="20"/>
                <w:szCs w:val="20"/>
                <w:color w:val="auto"/>
              </w:rPr>
            </w:pPr>
            <w:r>
              <w:rPr>
                <w:rFonts w:ascii="Arial" w:cs="Arial" w:eastAsia="Arial" w:hAnsi="Arial"/>
                <w:sz w:val="18"/>
                <w:szCs w:val="18"/>
                <w:color w:val="auto"/>
              </w:rPr>
              <w:t>Deferred taxes – non-current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1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non-current assets of discontinued operations</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r>
      <w:tr>
        <w:trPr>
          <w:trHeight w:val="216"/>
        </w:trPr>
        <w:tc>
          <w:tcPr>
            <w:tcW w:w="8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 – trade</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w:t>
            </w:r>
          </w:p>
        </w:tc>
      </w:tr>
      <w:tr>
        <w:trPr>
          <w:trHeight w:val="223"/>
        </w:trPr>
        <w:tc>
          <w:tcPr>
            <w:tcW w:w="8180" w:type="dxa"/>
            <w:vAlign w:val="bottom"/>
            <w:gridSpan w:val="2"/>
          </w:tcPr>
          <w:p>
            <w:pPr>
              <w:ind w:left="22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974</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r>
      <w:tr>
        <w:trPr>
          <w:trHeight w:val="223"/>
        </w:trPr>
        <w:tc>
          <w:tcPr>
            <w:tcW w:w="81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current liabilities of discontinued operations</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180" w:type="dxa"/>
            <w:vAlign w:val="bottom"/>
            <w:gridSpan w:val="2"/>
          </w:tcPr>
          <w:p>
            <w:pPr>
              <w:ind w:left="240"/>
              <w:spacing w:after="0"/>
              <w:rPr>
                <w:sz w:val="20"/>
                <w:szCs w:val="20"/>
                <w:color w:val="auto"/>
              </w:rPr>
            </w:pPr>
            <w:r>
              <w:rPr>
                <w:rFonts w:ascii="Arial" w:cs="Arial" w:eastAsia="Arial" w:hAnsi="Arial"/>
                <w:sz w:val="18"/>
                <w:szCs w:val="18"/>
                <w:color w:val="auto"/>
              </w:rPr>
              <w:t>Deferred rent and other liabilities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1,215</w:t>
            </w:r>
          </w:p>
        </w:tc>
      </w:tr>
      <w:tr>
        <w:trPr>
          <w:trHeight w:val="223"/>
        </w:trPr>
        <w:tc>
          <w:tcPr>
            <w:tcW w:w="81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non-current liabilities of discontinued operations</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C – EARNINGS PER SHARE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980" w:type="dxa"/>
            <w:vAlign w:val="bottom"/>
            <w:tcBorders>
              <w:bottom w:val="single" w:sz="8" w:color="auto"/>
            </w:tcBorders>
            <w:gridSpan w:val="3"/>
          </w:tcPr>
          <w:p>
            <w:pPr>
              <w:ind w:left="1060"/>
              <w:spacing w:after="0"/>
              <w:rPr>
                <w:sz w:val="20"/>
                <w:szCs w:val="20"/>
                <w:color w:val="auto"/>
              </w:rPr>
            </w:pPr>
            <w:r>
              <w:rPr>
                <w:rFonts w:ascii="Arial" w:cs="Arial" w:eastAsia="Arial" w:hAnsi="Arial"/>
                <w:sz w:val="18"/>
                <w:szCs w:val="18"/>
                <w:b w:val="1"/>
                <w:bCs w:val="1"/>
                <w:color w:val="auto"/>
                <w:w w:val="92"/>
              </w:rPr>
              <w:t>Six months</w:t>
            </w:r>
          </w:p>
        </w:tc>
        <w:tc>
          <w:tcPr>
            <w:tcW w:w="1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w w:val="90"/>
              </w:rPr>
              <w:t>Three months</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gridSpan w:val="5"/>
          </w:tcPr>
          <w:p>
            <w:pPr>
              <w:jc w:val="right"/>
              <w:ind w:right="1180"/>
              <w:spacing w:after="0"/>
              <w:rPr>
                <w:sz w:val="20"/>
                <w:szCs w:val="20"/>
                <w:color w:val="auto"/>
              </w:rPr>
            </w:pPr>
            <w:r>
              <w:rPr>
                <w:rFonts w:ascii="Arial" w:cs="Arial" w:eastAsia="Arial" w:hAnsi="Arial"/>
                <w:sz w:val="18"/>
                <w:szCs w:val="18"/>
                <w:b w:val="1"/>
                <w:bCs w:val="1"/>
                <w:color w:val="auto"/>
                <w:w w:val="91"/>
              </w:rPr>
              <w:t>Periods ended October 31,</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5160" w:type="dxa"/>
            <w:vAlign w:val="bottom"/>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19"/>
                <w:szCs w:val="19"/>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8,830,486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8,771,494</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8,834,945</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8,780,633</w:t>
            </w:r>
          </w:p>
        </w:tc>
      </w:tr>
      <w:tr>
        <w:trPr>
          <w:trHeight w:val="223"/>
        </w:trPr>
        <w:tc>
          <w:tcPr>
            <w:tcW w:w="5160" w:type="dxa"/>
            <w:vAlign w:val="bottom"/>
          </w:tcPr>
          <w:p>
            <w:pPr>
              <w:ind w:left="660"/>
              <w:spacing w:after="0"/>
              <w:rPr>
                <w:sz w:val="20"/>
                <w:szCs w:val="20"/>
                <w:color w:val="auto"/>
              </w:rPr>
            </w:pPr>
            <w:r>
              <w:rPr>
                <w:rFonts w:ascii="Arial" w:cs="Arial" w:eastAsia="Arial" w:hAnsi="Arial"/>
                <w:sz w:val="18"/>
                <w:szCs w:val="18"/>
                <w:color w:val="auto"/>
              </w:rPr>
              <w:t>Effect of dilutive securities</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8,830,486</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8,771,494</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8,834,945</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8,780,633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p>
      <w:pPr>
        <w:jc w:val="both"/>
        <w:ind w:firstLine="656"/>
        <w:spacing w:after="0" w:line="241" w:lineRule="auto"/>
        <w:tabs>
          <w:tab w:leader="none" w:pos="904"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six and three month periods ended October 31, 2017, dilutive securities are excluded since the inclusion of such shares would be antidilutive due to the net loss for the periods. The exercisable shares excluded are 1,353,750. The effect of dilutive securities for the periods would have been 129,245 and 117,209, respectively. For the six and three month periods ended October 31, 2016, dilutive securities are excluded since the inclusion of such shares would be antidilutive due to the net loss for the periods. The exercisable shares excluded are 1,265,375. The effect of dilutive securities for the periods would have been 184,793 and 190,418, respectively.</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computation of diluted earnings per share in the other fiscal periods excludes those options and stock appreciation rights (“SARS”) with an exercise price in excess of the average market price of the Company’s common shares during the periods presented. The inclusion of such options and SARS in the computation of earnings per share would have been antidilutive. The number of excluded options and SARS were: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000" w:type="dxa"/>
            <w:vAlign w:val="bottom"/>
            <w:tcBorders>
              <w:bottom w:val="single" w:sz="8" w:color="auto"/>
            </w:tcBorders>
            <w:gridSpan w:val="3"/>
          </w:tcPr>
          <w:p>
            <w:pPr>
              <w:ind w:left="1080"/>
              <w:spacing w:after="0"/>
              <w:rPr>
                <w:sz w:val="20"/>
                <w:szCs w:val="20"/>
                <w:color w:val="auto"/>
              </w:rPr>
            </w:pPr>
            <w:r>
              <w:rPr>
                <w:rFonts w:ascii="Arial" w:cs="Arial" w:eastAsia="Arial" w:hAnsi="Arial"/>
                <w:sz w:val="18"/>
                <w:szCs w:val="18"/>
                <w:b w:val="1"/>
                <w:bCs w:val="1"/>
                <w:color w:val="auto"/>
                <w:w w:val="92"/>
              </w:rPr>
              <w:t>Six months</w:t>
            </w: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0"/>
              </w:rPr>
              <w:t>Three months</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w w:val="91"/>
              </w:rPr>
              <w:t>Periods ended October 31,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400" w:type="dxa"/>
            <w:vAlign w:val="bottom"/>
          </w:tcPr>
          <w:p>
            <w:pPr>
              <w:ind w:left="52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options and SARS excluded</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555"/>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400" w:type="dxa"/>
            <w:vAlign w:val="bottom"/>
          </w:tcPr>
          <w:p>
            <w:pPr>
              <w:ind w:left="520"/>
              <w:spacing w:after="0"/>
              <w:rPr>
                <w:sz w:val="20"/>
                <w:szCs w:val="20"/>
                <w:color w:val="auto"/>
              </w:rPr>
            </w:pPr>
            <w:r>
              <w:rPr>
                <w:rFonts w:ascii="Arial" w:cs="Arial" w:eastAsia="Arial" w:hAnsi="Arial"/>
                <w:sz w:val="14"/>
                <w:szCs w:val="14"/>
                <w:color w:val="auto"/>
              </w:rPr>
              <w:t>8</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51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08"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jc w:val="center"/>
        <w:spacing w:after="0" w:line="237" w:lineRule="auto"/>
        <w:rPr>
          <w:sz w:val="20"/>
          <w:szCs w:val="20"/>
          <w:color w:val="auto"/>
        </w:rPr>
      </w:pPr>
      <w:r>
        <w:rPr>
          <w:rFonts w:ascii="Arial" w:cs="Arial" w:eastAsia="Arial" w:hAnsi="Arial"/>
          <w:sz w:val="18"/>
          <w:szCs w:val="18"/>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D – COSTS AND ESTIMATED EARNINGS IN EXCESS OF BILLINGS, NET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October 31, 2017 and April 30, 2017, costs and estimated earnings in excess of billings, net, consist of the following:</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4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October 31, 2017</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April 30, 2017</w:t>
            </w:r>
          </w:p>
        </w:tc>
        <w:tc>
          <w:tcPr>
            <w:tcW w:w="120" w:type="dxa"/>
            <w:vAlign w:val="bottom"/>
          </w:tcPr>
          <w:p>
            <w:pPr>
              <w:spacing w:after="0"/>
              <w:rPr>
                <w:sz w:val="19"/>
                <w:szCs w:val="19"/>
                <w:color w:val="auto"/>
              </w:rPr>
            </w:pPr>
          </w:p>
        </w:tc>
      </w:tr>
      <w:tr>
        <w:trPr>
          <w:trHeight w:val="216"/>
        </w:trPr>
        <w:tc>
          <w:tcPr>
            <w:tcW w:w="4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580" w:type="dxa"/>
            <w:vAlign w:val="bottom"/>
            <w:gridSpan w:val="3"/>
          </w:tcPr>
          <w:p>
            <w:pPr>
              <w:jc w:val="right"/>
              <w:ind w:right="870"/>
              <w:spacing w:after="0"/>
              <w:rPr>
                <w:sz w:val="20"/>
                <w:szCs w:val="20"/>
                <w:color w:val="auto"/>
              </w:rPr>
            </w:pPr>
            <w:r>
              <w:rPr>
                <w:rFonts w:ascii="Arial" w:cs="Arial" w:eastAsia="Arial" w:hAnsi="Arial"/>
                <w:sz w:val="17"/>
                <w:szCs w:val="17"/>
                <w:color w:val="auto"/>
                <w:w w:val="71"/>
              </w:rPr>
              <w:t>thousands)</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w:t>
            </w:r>
          </w:p>
        </w:tc>
        <w:tc>
          <w:tcPr>
            <w:tcW w:w="14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8,890</w:t>
            </w: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55"/>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(926)</w:t>
            </w:r>
          </w:p>
        </w:tc>
      </w:tr>
      <w:tr>
        <w:trPr>
          <w:trHeight w:val="257"/>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7,964</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Such amounts represent revenue recognized on long-term contracts that had not been billed at the balance sheet dates or represent a liability for amounts billed in excess of the revenue recognized. Amounts are billed to customers pursuant to contract terms, whereas the related revenue is recognized on the percentage of completion basis at the measurement date. In general, the recorded amounts will be billed and collected or revenue recognized within twelve months of the balance sheet date. Revenue on these long-term contracts is accounted for on the percentage of completion basis. During the six and three months ended October 31, 2017, revenue recognized under percentage of completion contracts was approximately $10.9 million and $4.5 million, respectively. During the six and three months ended October 31, 2016, such revenue was approximately $12.4 million and $5.1 million, respectively. If contract losses are anticipated, costs and estimated earnings in excess of billings are reduced for the full amount of such losses when they are determinable.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NOTE E – TREASURY STOCK TRANSACTIONS</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During the six and three months period ended October 31, 2017, the Company made contributions of 25,270 shares and 11,530 shares, respectively, of its common stock held in treasury to the Company’s profit sharing plan and trust under Section 401(k) of the Internal Revenue Code. Such contributions are in accordance with the Company’s discretionary match of employee voluntary contributions to this plan. During the six months ended October 31, 2017, the Company issued 844 shares from treasury upon the exercise of SARS by certain officers and employees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F – INVENTORIES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which are reported at the lower of cost or market, consist of the following:</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October 31, 2017</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April 30, 2017</w:t>
            </w:r>
          </w:p>
        </w:tc>
        <w:tc>
          <w:tcPr>
            <w:tcW w:w="120" w:type="dxa"/>
            <w:vAlign w:val="bottom"/>
          </w:tcPr>
          <w:p>
            <w:pPr>
              <w:spacing w:after="0"/>
              <w:rPr>
                <w:sz w:val="19"/>
                <w:szCs w:val="19"/>
                <w:color w:val="auto"/>
              </w:rPr>
            </w:pPr>
          </w:p>
        </w:tc>
      </w:tr>
      <w:tr>
        <w:trPr>
          <w:trHeight w:val="216"/>
        </w:trPr>
        <w:tc>
          <w:tcPr>
            <w:tcW w:w="5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58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 Parts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17,702</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Work in Progress</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7,340</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4,009</w:t>
            </w:r>
          </w:p>
        </w:tc>
      </w:tr>
      <w:tr>
        <w:trPr>
          <w:trHeight w:val="27"/>
        </w:trPr>
        <w:tc>
          <w:tcPr>
            <w:tcW w:w="546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46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31,210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29,051</w:t>
            </w:r>
          </w:p>
        </w:tc>
      </w:tr>
      <w:tr>
        <w:trPr>
          <w:trHeight w:val="21"/>
        </w:trPr>
        <w:tc>
          <w:tcPr>
            <w:tcW w:w="5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As of October 31, 2017 and April 30, 2017, approximately $30.2 million and $28.2 million, respectively, of total inventory is located in the United States and $1 million and $0.8 million, respectively, is located in China. The Company buys inventory in bulk quantities which may be used over significant time periods; due to its nature the inventory does not deteriorate.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jc w:val="center"/>
        <w:spacing w:after="0" w:line="237" w:lineRule="auto"/>
        <w:rPr>
          <w:sz w:val="20"/>
          <w:szCs w:val="20"/>
          <w:color w:val="auto"/>
        </w:rPr>
      </w:pPr>
      <w:r>
        <w:rPr>
          <w:rFonts w:ascii="Arial" w:cs="Arial" w:eastAsia="Arial" w:hAnsi="Arial"/>
          <w:sz w:val="18"/>
          <w:szCs w:val="18"/>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G – SEGMENT INFORMATION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operates under two reportable segments based on the geographic locations of its subsidiaries:</w:t>
      </w:r>
    </w:p>
    <w:p>
      <w:pPr>
        <w:spacing w:after="0" w:line="198" w:lineRule="exact"/>
        <w:rPr>
          <w:sz w:val="20"/>
          <w:szCs w:val="20"/>
          <w:color w:val="auto"/>
        </w:rPr>
      </w:pPr>
    </w:p>
    <w:p>
      <w:pPr>
        <w:jc w:val="both"/>
        <w:ind w:left="860" w:hanging="487"/>
        <w:spacing w:after="0" w:line="264"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67" w:lineRule="exact"/>
        <w:rPr>
          <w:rFonts w:ascii="Arial" w:cs="Arial" w:eastAsia="Arial" w:hAnsi="Arial"/>
          <w:sz w:val="18"/>
          <w:szCs w:val="18"/>
          <w:color w:val="auto"/>
        </w:rPr>
      </w:pPr>
    </w:p>
    <w:p>
      <w:pPr>
        <w:jc w:val="both"/>
        <w:ind w:left="860" w:hanging="487"/>
        <w:spacing w:after="0" w:line="286" w:lineRule="auto"/>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FEI-NY segment also includes the operations of the Company’s wholly-owned subsidiaries, FEI-Elcom and FEI-Asia. FEI-Asia functions as a manufacturing facility for the FEI-NY segment with historically minimal sales to outside customers. Beginning in late fiscal year 2014, FEI-Asia began shipping higher volumes of product to third parties as a contract manufacturer. FEI-Elcom, in addition to its own product line, provides design and technical support for the FEI-NY segment’s satellite business.</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tables below present information about reported segments with reconciliation of segment amounts to consolidated amounts as reported in the statement of income or the balance sheet for each of the periods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8"/>
          </w:tcPr>
          <w:p>
            <w:pPr>
              <w:jc w:val="right"/>
              <w:ind w:right="740"/>
              <w:spacing w:after="0"/>
              <w:rPr>
                <w:sz w:val="20"/>
                <w:szCs w:val="20"/>
                <w:color w:val="auto"/>
              </w:rPr>
            </w:pPr>
            <w:r>
              <w:rPr>
                <w:rFonts w:ascii="Arial" w:cs="Arial" w:eastAsia="Arial" w:hAnsi="Arial"/>
                <w:sz w:val="18"/>
                <w:szCs w:val="18"/>
                <w:b w:val="1"/>
                <w:bCs w:val="1"/>
                <w:color w:val="auto"/>
                <w:w w:val="91"/>
              </w:rPr>
              <w:t>Periods ended October 31,</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980" w:type="dxa"/>
            <w:vAlign w:val="bottom"/>
            <w:gridSpan w:val="2"/>
          </w:tcPr>
          <w:p>
            <w:pPr>
              <w:ind w:left="3620"/>
              <w:spacing w:after="0"/>
              <w:rPr>
                <w:sz w:val="20"/>
                <w:szCs w:val="20"/>
                <w:color w:val="auto"/>
              </w:rPr>
            </w:pPr>
            <w:r>
              <w:rPr>
                <w:rFonts w:ascii="Arial" w:cs="Arial" w:eastAsia="Arial" w:hAnsi="Arial"/>
                <w:sz w:val="18"/>
                <w:szCs w:val="18"/>
                <w:b w:val="1"/>
                <w:bCs w:val="1"/>
                <w:color w:val="auto"/>
                <w:w w:val="84"/>
              </w:rPr>
              <w:t>2017</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3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FEI-NY</w:t>
            </w:r>
          </w:p>
        </w:tc>
        <w:tc>
          <w:tcPr>
            <w:tcW w:w="398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15,740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6,579</w:t>
            </w: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FEI-Zyfer</w:t>
            </w:r>
          </w:p>
        </w:tc>
        <w:tc>
          <w:tcPr>
            <w:tcW w:w="3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7,865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6,596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3,593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less intersegment revenues</w:t>
            </w:r>
          </w:p>
        </w:tc>
        <w:tc>
          <w:tcPr>
            <w:tcW w:w="3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(2,245)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(835)</w:t>
            </w: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Consolidated revenues</w:t>
            </w:r>
          </w:p>
        </w:tc>
        <w:tc>
          <w:tcPr>
            <w:tcW w:w="398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21,360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23,028</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9,337</w:t>
            </w:r>
          </w:p>
        </w:tc>
        <w:tc>
          <w:tcPr>
            <w:tcW w:w="120" w:type="dxa"/>
            <w:vAlign w:val="bottom"/>
          </w:tcPr>
          <w:p>
            <w:pPr>
              <w:spacing w:after="0"/>
              <w:rPr>
                <w:sz w:val="18"/>
                <w:szCs w:val="18"/>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11,466</w:t>
            </w:r>
          </w:p>
        </w:tc>
        <w:tc>
          <w:tcPr>
            <w:tcW w:w="0" w:type="dxa"/>
            <w:vAlign w:val="bottom"/>
          </w:tcPr>
          <w:p>
            <w:pPr>
              <w:spacing w:after="0"/>
              <w:rPr>
                <w:sz w:val="1"/>
                <w:szCs w:val="1"/>
                <w:color w:val="auto"/>
              </w:rPr>
            </w:pPr>
          </w:p>
        </w:tc>
      </w:tr>
      <w:tr>
        <w:trPr>
          <w:trHeight w:val="21"/>
        </w:trPr>
        <w:tc>
          <w:tcPr>
            <w:tcW w:w="2040" w:type="dxa"/>
            <w:vAlign w:val="bottom"/>
            <w:gridSpan w:val="3"/>
            <w:vMerge w:val="restart"/>
          </w:tcPr>
          <w:p>
            <w:pPr>
              <w:spacing w:after="0"/>
              <w:rPr>
                <w:sz w:val="20"/>
                <w:szCs w:val="20"/>
                <w:color w:val="auto"/>
              </w:rPr>
            </w:pPr>
            <w:r>
              <w:rPr>
                <w:rFonts w:ascii="Arial" w:cs="Arial" w:eastAsia="Arial" w:hAnsi="Arial"/>
                <w:sz w:val="18"/>
                <w:szCs w:val="18"/>
                <w:color w:val="auto"/>
              </w:rPr>
              <w:t>Operating loss:</w:t>
            </w:r>
          </w:p>
        </w:tc>
        <w:tc>
          <w:tcPr>
            <w:tcW w:w="3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40" w:type="dxa"/>
            <w:vAlign w:val="bottom"/>
            <w:gridSpan w:val="3"/>
            <w:vMerge w:val="continue"/>
          </w:tcPr>
          <w:p>
            <w:pPr>
              <w:spacing w:after="0"/>
              <w:rPr>
                <w:sz w:val="24"/>
                <w:szCs w:val="24"/>
                <w:color w:val="auto"/>
              </w:rPr>
            </w:pPr>
          </w:p>
        </w:tc>
        <w:tc>
          <w:tcPr>
            <w:tcW w:w="3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FEI-NY</w:t>
            </w:r>
          </w:p>
        </w:tc>
        <w:tc>
          <w:tcPr>
            <w:tcW w:w="398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(2,758)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(2,358)</w:t>
            </w: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FEI-Zyfer</w:t>
            </w:r>
          </w:p>
        </w:tc>
        <w:tc>
          <w:tcPr>
            <w:tcW w:w="3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3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w w:val="90"/>
              </w:rPr>
              <w:t>Consolidated operating loss</w:t>
            </w:r>
          </w:p>
        </w:tc>
        <w:tc>
          <w:tcPr>
            <w:tcW w:w="398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(1,686)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(1,866)</w:t>
            </w:r>
          </w:p>
        </w:tc>
        <w:tc>
          <w:tcPr>
            <w:tcW w:w="120" w:type="dxa"/>
            <w:vAlign w:val="bottom"/>
          </w:tcPr>
          <w:p>
            <w:pPr>
              <w:spacing w:after="0"/>
              <w:rPr>
                <w:sz w:val="18"/>
                <w:szCs w:val="18"/>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1"/>
              </w:rPr>
              <w:t>October 31, 2017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April 30, 2017</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Identifiable assets: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FEI-NY (approximately $1.6 million in China)</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62,242</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64,828</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FEI-Zyfer</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10,663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10,427</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less intersegment balances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(12,797)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(11,992)</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Corporate</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52,594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50,056</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Consolidated identifiable assets</w:t>
            </w:r>
          </w:p>
        </w:tc>
        <w:tc>
          <w:tcPr>
            <w:tcW w:w="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112,702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113,319</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51"/>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80" w:type="dxa"/>
            <w:vAlign w:val="bottom"/>
            <w:gridSpan w:val="2"/>
          </w:tcPr>
          <w:p>
            <w:pPr>
              <w:ind w:left="3600"/>
              <w:spacing w:after="0"/>
              <w:rPr>
                <w:sz w:val="20"/>
                <w:szCs w:val="20"/>
                <w:color w:val="auto"/>
              </w:rPr>
            </w:pPr>
            <w:r>
              <w:rPr>
                <w:rFonts w:ascii="Arial" w:cs="Arial" w:eastAsia="Arial" w:hAnsi="Arial"/>
                <w:sz w:val="14"/>
                <w:szCs w:val="14"/>
                <w:color w:val="auto"/>
              </w:rPr>
              <w:t>10</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jc w:val="center"/>
        <w:spacing w:after="0" w:line="237" w:lineRule="auto"/>
        <w:rPr>
          <w:sz w:val="20"/>
          <w:szCs w:val="20"/>
          <w:color w:val="auto"/>
        </w:rPr>
      </w:pPr>
      <w:r>
        <w:rPr>
          <w:rFonts w:ascii="Arial" w:cs="Arial" w:eastAsia="Arial" w:hAnsi="Arial"/>
          <w:sz w:val="18"/>
          <w:szCs w:val="18"/>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H – INVESTMENT IN MORION, INC.</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The Company has an investment in Morion, Inc., (“Morion”)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other assets in the accompanying balance sheets. During the six months ended October 31, 2017 and 2016, the Company acquired product from Morion in the aggregate amount of approximately $170,000 and $204,000, respectively, and the Company sold product and training services to Morion in the aggregate amount of approximately $182,000 and $10,000, respectively. (See discussion of revenues recognized under the license agreement in the paragraph below.) During the three months ended October 31, 2017 and 2016, the Company acquired product from Morion in the aggregate amount of approximately $106,000 and $123,000, respectively, and the Company did not have sales of product nor training services to Morion in same periods. At October 31, 2017 there were neither amounts owed nor receivable related to Morion. During the six months ended October 31, 2017 and 2016, the Company received a dividend from Morion in the amount of approximately $51,000 and $100,000, respectively.</w:t>
      </w:r>
    </w:p>
    <w:p>
      <w:pPr>
        <w:spacing w:after="0" w:line="15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On October 22, 2012, the Company entered into an agreement to license its rubidium oscillator production technology to Morion. The agreement required the Company to sell certain fully-depreciated production equipment previously owned by the Company and to provide training to Morion employees to enable Morion to produce a minimum of 5,000 rubidium oscillators per year. Morion will pay the Company approximately $2.7 million for the license and the equipment plus 5% royalties on third party sales for a 5-year period following an initial production run. During the same 5-year period, the Company commits to purchase from Morion a minimum of approximately $400,000 worth of rubidium oscillators per year although Morion is not obligated to sell that amount to the Company. During the fiscal year ended April 30, 2016, sales to Morion included $375,000 for product and training services under this agreement. Per the amended agreement, the balance of $1 million for the transfer of the license will be due once the United States Department of State (“the State Department”) approves the removal of certain provisions of the original agreement. The State Department has approved the technology transfer called for under the agreement.</w:t>
      </w:r>
    </w:p>
    <w:p>
      <w:pPr>
        <w:spacing w:after="0" w:line="17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On March 29, 2016, the Company renegotiated the $1 million amendment under the original agreement dated October 22, 2012 to $602,000 due to the U.S. Government easing of export regulations. Of this amount $392,500 was billed and paid during fiscal year 2016 and the balance of $210,000 was billed during fiscal year 2017 and was subsequently collected. During the six months ended October 31, 2017 and 2016, sales to Morion include $182,000 and $10,000, respectively, under this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NOTE I – FAIR VALUE OF FINANCIAL INSTRUMENTS</w:t>
      </w:r>
    </w:p>
    <w:p>
      <w:pPr>
        <w:spacing w:after="0" w:line="19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October 31, 2017 and April 30, 2017, respectively are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October 31, 2017</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4"/>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ind w:left="20"/>
              <w:spacing w:after="0" w:line="184" w:lineRule="exact"/>
              <w:rPr>
                <w:sz w:val="20"/>
                <w:szCs w:val="20"/>
                <w:color w:val="auto"/>
              </w:rPr>
            </w:pPr>
            <w:r>
              <w:rPr>
                <w:rFonts w:ascii="Arial" w:cs="Arial" w:eastAsia="Arial" w:hAnsi="Arial"/>
                <w:sz w:val="18"/>
                <w:szCs w:val="18"/>
                <w:b w:val="1"/>
                <w:bCs w:val="1"/>
                <w:color w:val="auto"/>
              </w:rPr>
              <w:t>Gross Unrealized</w:t>
            </w:r>
          </w:p>
        </w:tc>
        <w:tc>
          <w:tcPr>
            <w:tcW w:w="1560" w:type="dxa"/>
            <w:vAlign w:val="bottom"/>
            <w:gridSpan w:val="3"/>
          </w:tcPr>
          <w:p>
            <w:pPr>
              <w:spacing w:after="0" w:line="184" w:lineRule="exact"/>
              <w:rPr>
                <w:sz w:val="20"/>
                <w:szCs w:val="20"/>
                <w:color w:val="auto"/>
              </w:rPr>
            </w:pPr>
            <w:r>
              <w:rPr>
                <w:rFonts w:ascii="Arial" w:cs="Arial" w:eastAsia="Arial" w:hAnsi="Arial"/>
                <w:sz w:val="18"/>
                <w:szCs w:val="18"/>
                <w:b w:val="1"/>
                <w:bCs w:val="1"/>
                <w:color w:val="auto"/>
              </w:rPr>
              <w:t>Gross Unrealized</w:t>
            </w:r>
          </w:p>
        </w:tc>
        <w:tc>
          <w:tcPr>
            <w:tcW w:w="140" w:type="dxa"/>
            <w:vAlign w:val="bottom"/>
          </w:tcPr>
          <w:p>
            <w:pPr>
              <w:spacing w:after="0"/>
              <w:rPr>
                <w:sz w:val="16"/>
                <w:szCs w:val="16"/>
                <w:color w:val="auto"/>
              </w:rPr>
            </w:pPr>
          </w:p>
        </w:tc>
        <w:tc>
          <w:tcPr>
            <w:tcW w:w="1220" w:type="dxa"/>
            <w:vAlign w:val="bottom"/>
          </w:tcPr>
          <w:p>
            <w:pPr>
              <w:jc w:val="center"/>
              <w:ind w:right="50"/>
              <w:spacing w:after="0" w:line="184" w:lineRule="exact"/>
              <w:rPr>
                <w:sz w:val="20"/>
                <w:szCs w:val="20"/>
                <w:color w:val="auto"/>
              </w:rPr>
            </w:pPr>
            <w:r>
              <w:rPr>
                <w:rFonts w:ascii="Arial" w:cs="Arial" w:eastAsia="Arial" w:hAnsi="Arial"/>
                <w:sz w:val="18"/>
                <w:szCs w:val="18"/>
                <w:b w:val="1"/>
                <w:bCs w:val="1"/>
                <w:color w:val="auto"/>
                <w:w w:val="99"/>
              </w:rPr>
              <w:t>Fair Market</w:t>
            </w:r>
          </w:p>
        </w:tc>
        <w:tc>
          <w:tcPr>
            <w:tcW w:w="10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Cost</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1100" w:type="dxa"/>
            <w:vAlign w:val="bottom"/>
          </w:tcPr>
          <w:p>
            <w:pPr>
              <w:ind w:left="420"/>
              <w:spacing w:after="0"/>
              <w:rPr>
                <w:sz w:val="20"/>
                <w:szCs w:val="20"/>
                <w:color w:val="auto"/>
              </w:rPr>
            </w:pPr>
            <w:r>
              <w:rPr>
                <w:rFonts w:ascii="Arial" w:cs="Arial" w:eastAsia="Arial" w:hAnsi="Arial"/>
                <w:sz w:val="18"/>
                <w:szCs w:val="18"/>
                <w:b w:val="1"/>
                <w:bCs w:val="1"/>
                <w:color w:val="auto"/>
              </w:rPr>
              <w:t>Losses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income securities</w:t>
            </w:r>
          </w:p>
        </w:tc>
        <w:tc>
          <w:tcPr>
            <w:tcW w:w="920" w:type="dxa"/>
            <w:vAlign w:val="bottom"/>
            <w:tcBorders>
              <w:top w:val="single" w:sz="8" w:color="auto"/>
            </w:tcBorders>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1,316</w:t>
            </w:r>
          </w:p>
        </w:tc>
        <w:tc>
          <w:tcPr>
            <w:tcW w:w="24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17"/>
                <w:szCs w:val="17"/>
                <w:color w:val="auto"/>
              </w:rPr>
            </w:pPr>
          </w:p>
        </w:tc>
      </w:tr>
      <w:tr>
        <w:trPr>
          <w:trHeight w:val="210"/>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Equity securities</w:t>
            </w:r>
          </w:p>
        </w:tc>
        <w:tc>
          <w:tcPr>
            <w:tcW w:w="920" w:type="dxa"/>
            <w:vAlign w:val="bottom"/>
          </w:tcPr>
          <w:p>
            <w:pPr>
              <w:spacing w:after="0"/>
              <w:rPr>
                <w:sz w:val="18"/>
                <w:szCs w:val="18"/>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4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1,316</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w w:val="93"/>
              </w:rPr>
              <w:t>April 30, 2017</w:t>
            </w: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4"/>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3"/>
          </w:tcPr>
          <w:p>
            <w:pPr>
              <w:ind w:left="20"/>
              <w:spacing w:after="0" w:line="184" w:lineRule="exact"/>
              <w:rPr>
                <w:sz w:val="20"/>
                <w:szCs w:val="20"/>
                <w:color w:val="auto"/>
              </w:rPr>
            </w:pPr>
            <w:r>
              <w:rPr>
                <w:rFonts w:ascii="Arial" w:cs="Arial" w:eastAsia="Arial" w:hAnsi="Arial"/>
                <w:sz w:val="18"/>
                <w:szCs w:val="18"/>
                <w:b w:val="1"/>
                <w:bCs w:val="1"/>
                <w:color w:val="auto"/>
              </w:rPr>
              <w:t>Gross Unrealized</w:t>
            </w:r>
          </w:p>
        </w:tc>
        <w:tc>
          <w:tcPr>
            <w:tcW w:w="1560" w:type="dxa"/>
            <w:vAlign w:val="bottom"/>
            <w:gridSpan w:val="3"/>
          </w:tcPr>
          <w:p>
            <w:pPr>
              <w:spacing w:after="0" w:line="184" w:lineRule="exact"/>
              <w:rPr>
                <w:sz w:val="20"/>
                <w:szCs w:val="20"/>
                <w:color w:val="auto"/>
              </w:rPr>
            </w:pPr>
            <w:r>
              <w:rPr>
                <w:rFonts w:ascii="Arial" w:cs="Arial" w:eastAsia="Arial" w:hAnsi="Arial"/>
                <w:sz w:val="18"/>
                <w:szCs w:val="18"/>
                <w:b w:val="1"/>
                <w:bCs w:val="1"/>
                <w:color w:val="auto"/>
              </w:rPr>
              <w:t>Gross Unrealized</w:t>
            </w:r>
          </w:p>
        </w:tc>
        <w:tc>
          <w:tcPr>
            <w:tcW w:w="140" w:type="dxa"/>
            <w:vAlign w:val="bottom"/>
          </w:tcPr>
          <w:p>
            <w:pPr>
              <w:spacing w:after="0"/>
              <w:rPr>
                <w:sz w:val="16"/>
                <w:szCs w:val="16"/>
                <w:color w:val="auto"/>
              </w:rPr>
            </w:pPr>
          </w:p>
        </w:tc>
        <w:tc>
          <w:tcPr>
            <w:tcW w:w="1220" w:type="dxa"/>
            <w:vAlign w:val="bottom"/>
          </w:tcPr>
          <w:p>
            <w:pPr>
              <w:jc w:val="center"/>
              <w:ind w:right="50"/>
              <w:spacing w:after="0" w:line="184" w:lineRule="exact"/>
              <w:rPr>
                <w:sz w:val="20"/>
                <w:szCs w:val="20"/>
                <w:color w:val="auto"/>
              </w:rPr>
            </w:pPr>
            <w:r>
              <w:rPr>
                <w:rFonts w:ascii="Arial" w:cs="Arial" w:eastAsia="Arial" w:hAnsi="Arial"/>
                <w:sz w:val="18"/>
                <w:szCs w:val="18"/>
                <w:b w:val="1"/>
                <w:bCs w:val="1"/>
                <w:color w:val="auto"/>
                <w:w w:val="99"/>
              </w:rPr>
              <w:t>Fair Market</w:t>
            </w:r>
          </w:p>
        </w:tc>
        <w:tc>
          <w:tcPr>
            <w:tcW w:w="10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Cost</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40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income securities</w:t>
            </w:r>
          </w:p>
        </w:tc>
        <w:tc>
          <w:tcPr>
            <w:tcW w:w="920" w:type="dxa"/>
            <w:vAlign w:val="bottom"/>
            <w:tcBorders>
              <w:top w:val="single" w:sz="8" w:color="auto"/>
            </w:tcBorders>
            <w:shd w:val="clear" w:color="auto" w:fill="CCEEFF"/>
          </w:tcPr>
          <w:p>
            <w:pPr>
              <w:jc w:val="right"/>
              <w:ind w:right="762"/>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1,516</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17"/>
                <w:szCs w:val="17"/>
                <w:color w:val="auto"/>
              </w:rPr>
            </w:pPr>
          </w:p>
        </w:tc>
      </w:tr>
      <w:tr>
        <w:trPr>
          <w:trHeight w:val="210"/>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Equity securities</w:t>
            </w:r>
          </w:p>
        </w:tc>
        <w:tc>
          <w:tcPr>
            <w:tcW w:w="920" w:type="dxa"/>
            <w:vAlign w:val="bottom"/>
          </w:tcPr>
          <w:p>
            <w:pPr>
              <w:spacing w:after="0"/>
              <w:rPr>
                <w:sz w:val="18"/>
                <w:szCs w:val="18"/>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7"/>
              </w:rPr>
              <w:t>5,230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1,248</w:t>
            </w:r>
          </w:p>
        </w:tc>
        <w:tc>
          <w:tcPr>
            <w:tcW w:w="400" w:type="dxa"/>
            <w:vAlign w:val="bottom"/>
          </w:tcPr>
          <w:p>
            <w:pPr>
              <w:spacing w:after="0"/>
              <w:rPr>
                <w:sz w:val="18"/>
                <w:szCs w:val="18"/>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(239)</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6,239</w:t>
            </w:r>
          </w:p>
        </w:tc>
      </w:tr>
      <w:tr>
        <w:trPr>
          <w:trHeight w:val="248"/>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62"/>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7"/>
              </w:rPr>
              <w:t>6,746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1,308</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(239</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7,815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751"/>
        </w:trPr>
        <w:tc>
          <w:tcPr>
            <w:tcW w:w="20" w:type="dxa"/>
            <w:vAlign w:val="bottom"/>
          </w:tcPr>
          <w:p>
            <w:pPr>
              <w:spacing w:after="0"/>
              <w:rPr>
                <w:sz w:val="24"/>
                <w:szCs w:val="24"/>
                <w:color w:val="auto"/>
              </w:rPr>
            </w:pPr>
          </w:p>
        </w:tc>
        <w:tc>
          <w:tcPr>
            <w:tcW w:w="514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jc w:val="right"/>
              <w:ind w:right="222"/>
              <w:spacing w:after="0"/>
              <w:rPr>
                <w:sz w:val="20"/>
                <w:szCs w:val="20"/>
                <w:color w:val="auto"/>
              </w:rPr>
            </w:pPr>
            <w:r>
              <w:rPr>
                <w:rFonts w:ascii="Arial" w:cs="Arial" w:eastAsia="Arial" w:hAnsi="Arial"/>
                <w:sz w:val="14"/>
                <w:szCs w:val="14"/>
                <w:color w:val="auto"/>
              </w:rPr>
              <w:t>11</w:t>
            </w:r>
          </w:p>
        </w:tc>
        <w:tc>
          <w:tcPr>
            <w:tcW w:w="4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5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jc w:val="center"/>
        <w:spacing w:after="0" w:line="237" w:lineRule="auto"/>
        <w:rPr>
          <w:sz w:val="20"/>
          <w:szCs w:val="20"/>
          <w:color w:val="auto"/>
        </w:rPr>
      </w:pPr>
      <w:r>
        <w:rPr>
          <w:rFonts w:ascii="Arial" w:cs="Arial" w:eastAsia="Arial" w:hAnsi="Arial"/>
          <w:sz w:val="18"/>
          <w:szCs w:val="18"/>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Less than 12 months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12 Months or more</w:t>
            </w:r>
          </w:p>
        </w:tc>
        <w:tc>
          <w:tcPr>
            <w:tcW w:w="18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84" w:lineRule="exact"/>
              <w:rPr>
                <w:sz w:val="20"/>
                <w:szCs w:val="20"/>
                <w:color w:val="auto"/>
              </w:rPr>
            </w:pPr>
            <w:r>
              <w:rPr>
                <w:rFonts w:ascii="Arial" w:cs="Arial" w:eastAsia="Arial" w:hAnsi="Arial"/>
                <w:sz w:val="18"/>
                <w:szCs w:val="18"/>
                <w:b w:val="1"/>
                <w:bCs w:val="1"/>
                <w:color w:val="auto"/>
              </w:rPr>
              <w:t>Unrealized</w:t>
            </w:r>
          </w:p>
        </w:tc>
        <w:tc>
          <w:tcPr>
            <w:tcW w:w="2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70"/>
              <w:spacing w:after="0" w:line="184" w:lineRule="exact"/>
              <w:rPr>
                <w:sz w:val="20"/>
                <w:szCs w:val="20"/>
                <w:color w:val="auto"/>
              </w:rPr>
            </w:pPr>
            <w:r>
              <w:rPr>
                <w:rFonts w:ascii="Arial" w:cs="Arial" w:eastAsia="Arial" w:hAnsi="Arial"/>
                <w:sz w:val="18"/>
                <w:szCs w:val="18"/>
                <w:b w:val="1"/>
                <w:bCs w:val="1"/>
                <w:color w:val="auto"/>
                <w:w w:val="98"/>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70"/>
              <w:spacing w:after="0" w:line="184"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840" w:type="dxa"/>
            <w:vAlign w:val="bottom"/>
            <w:gridSpan w:val="5"/>
            <w:vMerge w:val="restart"/>
          </w:tcPr>
          <w:p>
            <w:pPr>
              <w:jc w:val="center"/>
              <w:ind w:right="20"/>
              <w:spacing w:after="0"/>
              <w:rPr>
                <w:sz w:val="20"/>
                <w:szCs w:val="20"/>
                <w:color w:val="auto"/>
              </w:rPr>
            </w:pPr>
            <w:r>
              <w:rPr>
                <w:rFonts w:ascii="Arial" w:cs="Arial" w:eastAsia="Arial" w:hAnsi="Arial"/>
                <w:sz w:val="18"/>
                <w:szCs w:val="18"/>
                <w:color w:val="auto"/>
                <w:w w:val="90"/>
              </w:rPr>
              <w:t>October 31, 2017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Fair Value</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Losses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9"/>
                <w:szCs w:val="19"/>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Losses</w:t>
            </w:r>
          </w:p>
        </w:tc>
        <w:tc>
          <w:tcPr>
            <w:tcW w:w="180" w:type="dxa"/>
            <w:vAlign w:val="bottom"/>
          </w:tcPr>
          <w:p>
            <w:pPr>
              <w:spacing w:after="0"/>
              <w:rPr>
                <w:sz w:val="19"/>
                <w:szCs w:val="19"/>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4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8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w w:val="94"/>
              </w:rPr>
              <w:t>Fixed Income Securities</w:t>
            </w:r>
          </w:p>
        </w:tc>
        <w:tc>
          <w:tcPr>
            <w:tcW w:w="1200" w:type="dxa"/>
            <w:vAlign w:val="bottom"/>
            <w:gridSpan w:val="2"/>
            <w:shd w:val="clear" w:color="auto" w:fill="CCEEFF"/>
          </w:tcPr>
          <w:p>
            <w:pPr>
              <w:jc w:val="right"/>
              <w:ind w:right="910"/>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90"/>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860" w:type="dxa"/>
            <w:vAlign w:val="bottom"/>
            <w:gridSpan w:val="6"/>
          </w:tcPr>
          <w:p>
            <w:pPr>
              <w:spacing w:after="0" w:line="202" w:lineRule="exact"/>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10"/>
              <w:spacing w:after="0" w:line="202"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990"/>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4"/>
          </w:tcPr>
          <w:p>
            <w:pPr>
              <w:jc w:val="center"/>
              <w:ind w:right="300"/>
              <w:spacing w:after="0" w:line="170" w:lineRule="exact"/>
              <w:rPr>
                <w:sz w:val="20"/>
                <w:szCs w:val="20"/>
                <w:color w:val="auto"/>
              </w:rPr>
            </w:pPr>
            <w:r>
              <w:rPr>
                <w:rFonts w:ascii="Arial" w:cs="Arial" w:eastAsia="Arial" w:hAnsi="Arial"/>
                <w:sz w:val="18"/>
                <w:szCs w:val="18"/>
                <w:color w:val="auto"/>
                <w:w w:val="95"/>
              </w:rPr>
              <w:t>April 30, 2017</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8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w w:val="94"/>
              </w:rPr>
              <w:t>Fixed Income Securities</w:t>
            </w:r>
          </w:p>
        </w:tc>
        <w:tc>
          <w:tcPr>
            <w:tcW w:w="1200" w:type="dxa"/>
            <w:vAlign w:val="bottom"/>
            <w:gridSpan w:val="2"/>
            <w:shd w:val="clear" w:color="auto" w:fill="CCEEFF"/>
          </w:tcPr>
          <w:p>
            <w:pPr>
              <w:jc w:val="right"/>
              <w:ind w:right="910"/>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90"/>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860" w:type="dxa"/>
            <w:vAlign w:val="bottom"/>
            <w:gridSpan w:val="6"/>
          </w:tcPr>
          <w:p>
            <w:pPr>
              <w:spacing w:after="0" w:line="202" w:lineRule="exact"/>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w w:val="86"/>
              </w:rPr>
              <w:t>219</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1,024</w:t>
            </w:r>
          </w:p>
        </w:tc>
        <w:tc>
          <w:tcPr>
            <w:tcW w:w="180" w:type="dxa"/>
            <w:vAlign w:val="bottom"/>
          </w:tcPr>
          <w:p>
            <w:pPr>
              <w:spacing w:after="0"/>
              <w:rPr>
                <w:sz w:val="18"/>
                <w:szCs w:val="18"/>
                <w:color w:val="auto"/>
              </w:rPr>
            </w:pP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1,243</w:t>
            </w:r>
          </w:p>
        </w:tc>
        <w:tc>
          <w:tcPr>
            <w:tcW w:w="180" w:type="dxa"/>
            <w:vAlign w:val="bottom"/>
          </w:tcPr>
          <w:p>
            <w:pPr>
              <w:spacing w:after="0"/>
              <w:rPr>
                <w:sz w:val="18"/>
                <w:szCs w:val="18"/>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10"/>
              <w:spacing w:after="0" w:line="182"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6"/>
              </w:rPr>
              <w:t>219</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90"/>
              <w:spacing w:after="0" w:line="182"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w:t>
            </w: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1,024</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(230</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1,243</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116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October 31, 2017 are other-than-temporary due to market volatility of the security’s fair value, analysts’ expectations, and the Company’s ability to hold the securities for a period of time sufficient to allow for any anticipated recoveries in market value.</w:t>
      </w:r>
    </w:p>
    <w:p>
      <w:pPr>
        <w:spacing w:after="0" w:line="175"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During the six months ended October 31, 2017 the Company sold or redeemed available-for-sale securities in the amounts of $6.5 million, realizing gains of approximately $1 million. During the six months ended October 31, 2016, the Company sold or redeemed available-for-sale securities in the amount $1.0M, realizing no gain or loss.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fixed income securities classified as available-for-sale at October 31, 2017 are as follows, at cost (in thousands):</w:t>
      </w:r>
    </w:p>
    <w:p>
      <w:pPr>
        <w:spacing w:after="0" w:line="21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r>
      <w:tr>
        <w:trPr>
          <w:trHeight w:val="223"/>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706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18"/>
                <w:szCs w:val="18"/>
                <w:color w:val="auto"/>
              </w:rPr>
            </w:pPr>
          </w:p>
        </w:tc>
      </w:tr>
      <w:tr>
        <w:trPr>
          <w:trHeight w:val="21"/>
        </w:trPr>
        <w:tc>
          <w:tcPr>
            <w:tcW w:w="7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5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Level 1 Inputs to the valuation methodology are unadjusted quoted prices for identical assets or liabilities in active markets that the Company has the ability to access.</w:t>
      </w:r>
    </w:p>
    <w:p>
      <w:pPr>
        <w:spacing w:after="0" w:line="15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7" w:lineRule="exact"/>
        <w:rPr>
          <w:sz w:val="20"/>
          <w:szCs w:val="20"/>
          <w:color w:val="auto"/>
        </w:rPr>
      </w:pPr>
    </w:p>
    <w:p>
      <w:pPr>
        <w:ind w:left="860" w:hanging="11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ind w:left="860" w:hanging="114"/>
        <w:spacing w:after="0" w:line="234"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ind w:left="860" w:hanging="114"/>
        <w:spacing w:after="0" w:line="234"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 and</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Inputs that are derived principally from or corroborated by observable market data by correlation or other  means.</w:t>
      </w:r>
    </w:p>
    <w:p>
      <w:pPr>
        <w:spacing w:after="0" w:line="182"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19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jc w:val="center"/>
        <w:spacing w:after="0" w:line="237" w:lineRule="auto"/>
        <w:rPr>
          <w:sz w:val="20"/>
          <w:szCs w:val="20"/>
          <w:color w:val="auto"/>
        </w:rPr>
      </w:pPr>
      <w:r>
        <w:rPr>
          <w:rFonts w:ascii="Arial" w:cs="Arial" w:eastAsia="Arial" w:hAnsi="Arial"/>
          <w:sz w:val="18"/>
          <w:szCs w:val="18"/>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J – RECENT ACCOUNTING PRONOUNCEMENTS</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 xml:space="preserve">In January 2017, the Financial Accounting Standards Board (“the FASB”) issued Accounting Standards Update (“ASU”) 2017-04, </w:t>
      </w:r>
      <w:r>
        <w:rPr>
          <w:rFonts w:ascii="Arial" w:cs="Arial" w:eastAsia="Arial" w:hAnsi="Arial"/>
          <w:sz w:val="17"/>
          <w:szCs w:val="17"/>
          <w:i w:val="1"/>
          <w:iCs w:val="1"/>
          <w:color w:val="auto"/>
        </w:rPr>
        <w:t>Intangibles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Goodwill and Other (Topic 350): Simplifying the Test for Goodwill Impairment </w:t>
      </w:r>
      <w:r>
        <w:rPr>
          <w:rFonts w:ascii="Arial" w:cs="Arial" w:eastAsia="Arial" w:hAnsi="Arial"/>
          <w:sz w:val="17"/>
          <w:szCs w:val="17"/>
          <w:color w:val="auto"/>
        </w:rPr>
        <w:t>(“ASU 2017-04”), which simplifies how an entity is required to test goodwill</w:t>
      </w:r>
      <w:r>
        <w:rPr>
          <w:rFonts w:ascii="Arial" w:cs="Arial" w:eastAsia="Arial" w:hAnsi="Arial"/>
          <w:sz w:val="17"/>
          <w:szCs w:val="17"/>
          <w:i w:val="1"/>
          <w:iCs w:val="1"/>
          <w:color w:val="auto"/>
        </w:rPr>
        <w:t xml:space="preserve"> </w:t>
      </w:r>
      <w:r>
        <w:rPr>
          <w:rFonts w:ascii="Arial" w:cs="Arial" w:eastAsia="Arial" w:hAnsi="Arial"/>
          <w:sz w:val="17"/>
          <w:szCs w:val="17"/>
          <w:color w:val="auto"/>
        </w:rPr>
        <w:t>for impairment by 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2019, with early adoption permitted. The Company will not be adopting ASU 2017-04 early, and is in the process of determining the effect that ASU 2017-04 may have, however, the Company expects the new standard to have an immaterial effect on its financial statements.</w:t>
      </w:r>
    </w:p>
    <w:p>
      <w:pPr>
        <w:spacing w:after="0" w:line="16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(“ASU 2016-15”) which clarifies how certain cash receipts and payments should be presented in the statement of cash flows. The guidance is effective for fiscal years beginning after December 15, 2017 and early adoption is permitted. The update is not expected to have a material impact on the financial statements when it becomes effective in the first quarter of fiscal year 2019.</w:t>
      </w:r>
    </w:p>
    <w:p>
      <w:pPr>
        <w:spacing w:after="0" w:line="17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replaces the incurred loss impairment methodology in current generally accepted accounting priciples (“GAAP”) with a</w:t>
      </w:r>
      <w:r>
        <w:rPr>
          <w:rFonts w:ascii="Arial" w:cs="Arial" w:eastAsia="Arial" w:hAnsi="Arial"/>
          <w:sz w:val="18"/>
          <w:szCs w:val="18"/>
          <w:i w:val="1"/>
          <w:iCs w:val="1"/>
          <w:color w:val="auto"/>
        </w:rPr>
        <w:t xml:space="preserve"> </w:t>
      </w:r>
      <w:r>
        <w:rPr>
          <w:rFonts w:ascii="Arial" w:cs="Arial" w:eastAsia="Arial" w:hAnsi="Arial"/>
          <w:sz w:val="18"/>
          <w:szCs w:val="18"/>
          <w:color w:val="auto"/>
        </w:rPr>
        <w:t>methodology that reflects expected credit losses and requires consideration of a broader range of reasonable and supportable information to inform credit loss estimates. The new guidance is effective for fiscal years beginning after December 15, 2019. The Company is evaluating the effect, if any, the update will have on the financial statements when adopted in fiscal year 2021.</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 The objective of the update is to increase transparency and comparability among organizations by recognizing lease assets and lease liabilities on the balance sheet and disclosing key information about leasing arrangements. The standard requires a modified retrospective transition approach for existing leases. The amendments of ASU 2016-02 are effective for fiscal years beginning after December 31, 2018 and early adoption is permitted. While the Company is currently evaluating the impact of this standard on its consolidated financial statements, the Company has minimal leases and expects that when adopted, beginning in fiscal year 2019, the new standard will have an immaterial effect on the Company’s financials.</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In May 2014, the FASB issued ASU No. 2014-09</w:t>
      </w:r>
      <w:r>
        <w:rPr>
          <w:rFonts w:ascii="Arial" w:cs="Arial" w:eastAsia="Arial" w:hAnsi="Arial"/>
          <w:sz w:val="16"/>
          <w:szCs w:val="16"/>
          <w:i w:val="1"/>
          <w:iCs w:val="1"/>
          <w:color w:val="auto"/>
        </w:rPr>
        <w:t>, Revenue from Contracts with Customers (Topic 606)</w:t>
      </w:r>
      <w:r>
        <w:rPr>
          <w:rFonts w:ascii="Arial" w:cs="Arial" w:eastAsia="Arial" w:hAnsi="Arial"/>
          <w:sz w:val="16"/>
          <w:szCs w:val="16"/>
          <w:color w:val="auto"/>
        </w:rPr>
        <w:t>. (“ASU 2014-09”) ASU 2014-09 eliminates most of the existing industry-specific revenue recognition guidance and significantly expands related disclosures. The required disclosures will include both quantitative and qualitative information about the amount, timing and uncertainty of revenue from contracts with customers and the significant judgments used. Entities can retrospectively apply ASU 2014-09 or use an alternative transition method. In July 2015, the FASB approved a one-year deferral of the effective date of ASU 2014-09. ASU 2014-09 is effective for public companies for annual reporting periods beginning on or after December 15, 2017, and for the Company, must be adopted for its fiscal year 2019 beginning on May 1, 2018. The Company is currently evaluating the impact that ASU 2014-09 may have on its financial statements when the statement is adopted for its fiscal year 2019. It appears that there will be an effect on the way the Company recognizes revenue and the associated disclosures, however based upon the work that the Company has done it expects the effect to be immaterial.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NOTE K – CREDIT FACILITY</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On January 30, 2017, the Company repaid the principal balance due on its credit facility, dated June 6, 2013, with JPMorgan Chase Bank, N.A. Subsequently, the Company voluntarily terminated this credit facility with JPMorgan Chase Bank, N.A to reduce the fees and expenses associated with maintaining that facility. The Company did not incur any early termination fees associated with its voluntary termination of this credit facility. If, in the future, the Company determines that it would be beneficial to have a credit facility in place, the Company believes that alternative facilities are available. As at October 31, 2017, the Company had available credit at variable terms based on its securities holdings under an advisory arrangement, under which no borrowings have been made.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jc w:val="center"/>
        <w:spacing w:after="0" w:line="237" w:lineRule="auto"/>
        <w:rPr>
          <w:sz w:val="20"/>
          <w:szCs w:val="20"/>
          <w:color w:val="auto"/>
        </w:rPr>
      </w:pPr>
      <w:r>
        <w:rPr>
          <w:rFonts w:ascii="Arial" w:cs="Arial" w:eastAsia="Arial" w:hAnsi="Arial"/>
          <w:sz w:val="18"/>
          <w:szCs w:val="18"/>
          <w:color w:val="auto"/>
        </w:rPr>
        <w:t>Notes to Condensed Consolidated Financial Statements</w:t>
      </w:r>
    </w:p>
    <w:p>
      <w:pPr>
        <w:ind w:left="5280"/>
        <w:spacing w:after="0"/>
        <w:rPr>
          <w:sz w:val="20"/>
          <w:szCs w:val="20"/>
          <w:color w:val="auto"/>
        </w:rPr>
      </w:pPr>
      <w:r>
        <w:rPr>
          <w:rFonts w:ascii="Arial" w:cs="Arial" w:eastAsia="Arial" w:hAnsi="Arial"/>
          <w:sz w:val="18"/>
          <w:szCs w:val="18"/>
          <w:color w:val="auto"/>
        </w:rPr>
        <w:t>(Unaudited)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NOTE L – VALUATION ALLOWANCE ON DEFERRED TAX ASSETS</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Deferred income taxes arise from temporary differences between the tax basis of assets and liabilities and their reported amounts in the financial statements, which will result in taxable or deductible amounts in the future. In evaluating our ability to recover deferred tax assets in the jurisdiction from which they arise, we consider all positive and negative evidence, including the reversal of deferred tax liabilities, projected future taxable income, tax planning strategies, and results of recent operations. The carrying value of the Company’s net deferred tax assets, assumes that the Company will be able to generate sufficient future taxable income in certain jurisdictions, based on estimates and assumptions. If these estimates and assumptions change in the future, the Company may be required to record an additional valuation allowances against its deferred tax assets resulting in additional income tax expense in the consolidated statement of operations, or conversely, to further reduce its existing valuation allowance resulting in less income tax expense. The Company evaluates the realizability of deferred tax assets and assesses the need for additional valuation allowance quarterly. The valuation allowance of approximately $6.4 million as of October 31, 2017 is intended to provide for uncertainty regarding the ultimate realization of U.S. state investment credits carryovers, and foreign net operating loss and tax credit carryovers.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within the meaning of Section 27A of the Securities Act of 1933, Section 21E of the Securities Exchange Act of 1933 or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All statements by the Company that address activities, events or developments that the Company expects or anticipates will occur in the future, including all statements by the Company regarding its expected financial position, revenues, cash flows and other operating results, business position, legal proceedings or similar matters, are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By making these forward-looking statements, the Company undertakes no obligation to update these statements after the date such statement was first made.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The Company’s significant accounting policies are described in Note 1 to the consolidated financial statements included in the Company’s Annual Report on Form 10-K for the year ended April 30, 2017, filed on July 31, 2017.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Revenue Recognition</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percentage for a contract is reflected in revenues in the period in which the change is known. Provisions for the full amount of anticipated losses on contracts are made in the period in which they become determinable.</w:t>
      </w:r>
    </w:p>
    <w:p>
      <w:pPr>
        <w:spacing w:after="0" w:line="1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w:t>
      </w:r>
    </w:p>
    <w:p>
      <w:pPr>
        <w:spacing w:after="0" w:line="1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16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For customer orders in the Company’s FEI-Zyfer segment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Costs and Expenses</w:t>
      </w:r>
    </w:p>
    <w:p>
      <w:pPr>
        <w:spacing w:after="0" w:line="19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Inventory</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Inventory write downs are established for slow-moving, obsolete items and costs incurred on programs for which production-level orders cannot be determined as probable. Such write downs are based upon management’s experience and expectations for future business. Any changes arising from revised expectations are reflected in cost of sales in the period the revision is made.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Marketable Securities</w:t>
      </w:r>
    </w:p>
    <w:p>
      <w:pPr>
        <w:spacing w:after="0" w:line="19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All of the Company’s investments in marketable securities are Level 1 securities which trade on public markets and have current prices that are readily available. In general, investments in fixed price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 table below sets forth for the respective periods of fiscal years 2018 and 2017 (which end on April 30, 2018 and 2017, respectively) the percentage of consolidated revenues represented by certain items in the Company’s consolidated statements of operations: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020" w:type="dxa"/>
            <w:vAlign w:val="bottom"/>
            <w:tcBorders>
              <w:bottom w:val="single" w:sz="8" w:color="auto"/>
            </w:tcBorders>
            <w:gridSpan w:val="3"/>
          </w:tcPr>
          <w:p>
            <w:pPr>
              <w:ind w:left="1060"/>
              <w:spacing w:after="0"/>
              <w:rPr>
                <w:sz w:val="20"/>
                <w:szCs w:val="20"/>
                <w:color w:val="auto"/>
              </w:rPr>
            </w:pPr>
            <w:r>
              <w:rPr>
                <w:rFonts w:ascii="Arial" w:cs="Arial" w:eastAsia="Arial" w:hAnsi="Arial"/>
                <w:sz w:val="18"/>
                <w:szCs w:val="18"/>
                <w:b w:val="1"/>
                <w:bCs w:val="1"/>
                <w:color w:val="auto"/>
                <w:w w:val="96"/>
              </w:rPr>
              <w:t>Six months</w:t>
            </w:r>
          </w:p>
        </w:tc>
        <w:tc>
          <w:tcPr>
            <w:tcW w:w="9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w w:val="92"/>
              </w:rPr>
              <w:t>Three months</w:t>
            </w: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Periods ended October 31,</w:t>
            </w: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3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76.9%</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70.5%</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FEI-Zyfer</w:t>
            </w:r>
          </w:p>
        </w:tc>
        <w:tc>
          <w:tcPr>
            <w:tcW w:w="1320" w:type="dxa"/>
            <w:vAlign w:val="bottom"/>
          </w:tcPr>
          <w:p>
            <w:pPr>
              <w:jc w:val="right"/>
              <w:spacing w:after="0"/>
              <w:rPr>
                <w:sz w:val="20"/>
                <w:szCs w:val="20"/>
                <w:color w:val="auto"/>
              </w:rPr>
            </w:pPr>
            <w:r>
              <w:rPr>
                <w:rFonts w:ascii="Arial" w:cs="Arial" w:eastAsia="Arial" w:hAnsi="Arial"/>
                <w:sz w:val="18"/>
                <w:szCs w:val="18"/>
                <w:color w:val="auto"/>
              </w:rPr>
              <w:t>36.8</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28.6</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38.5</w:t>
            </w:r>
          </w:p>
        </w:tc>
        <w:tc>
          <w:tcPr>
            <w:tcW w:w="4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67.2</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76.4</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Gross margin</w:t>
            </w:r>
          </w:p>
        </w:tc>
        <w:tc>
          <w:tcPr>
            <w:tcW w:w="1320" w:type="dxa"/>
            <w:vAlign w:val="bottom"/>
          </w:tcPr>
          <w:p>
            <w:pPr>
              <w:jc w:val="right"/>
              <w:spacing w:after="0"/>
              <w:rPr>
                <w:sz w:val="20"/>
                <w:szCs w:val="20"/>
                <w:color w:val="auto"/>
              </w:rPr>
            </w:pPr>
            <w:r>
              <w:rPr>
                <w:rFonts w:ascii="Arial" w:cs="Arial" w:eastAsia="Arial" w:hAnsi="Arial"/>
                <w:sz w:val="18"/>
                <w:szCs w:val="18"/>
                <w:color w:val="auto"/>
              </w:rPr>
              <w:t>31.5</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32.8</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23.6</w:t>
            </w:r>
          </w:p>
        </w:tc>
        <w:tc>
          <w:tcPr>
            <w:tcW w:w="4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24.5</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20" w:type="dxa"/>
            <w:vAlign w:val="bottom"/>
          </w:tcPr>
          <w:p>
            <w:pPr>
              <w:jc w:val="right"/>
              <w:spacing w:after="0"/>
              <w:rPr>
                <w:sz w:val="20"/>
                <w:szCs w:val="20"/>
                <w:color w:val="auto"/>
              </w:rPr>
            </w:pPr>
            <w:r>
              <w:rPr>
                <w:rFonts w:ascii="Arial" w:cs="Arial" w:eastAsia="Arial" w:hAnsi="Arial"/>
                <w:sz w:val="18"/>
                <w:szCs w:val="18"/>
                <w:color w:val="auto"/>
              </w:rPr>
              <w:t>15.8</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15.2</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18.6</w:t>
            </w:r>
          </w:p>
        </w:tc>
        <w:tc>
          <w:tcPr>
            <w:tcW w:w="4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loss</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income(loss), net</w:t>
            </w: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0.9</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(Loss) from continued operations</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(13.8)</w:t>
            </w:r>
          </w:p>
        </w:tc>
        <w:tc>
          <w:tcPr>
            <w:tcW w:w="4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assets</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4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1"/>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320" w:type="dxa"/>
            <w:vAlign w:val="bottom"/>
          </w:tcPr>
          <w:p>
            <w:pPr>
              <w:jc w:val="right"/>
              <w:ind w:right="391"/>
              <w:spacing w:after="0"/>
              <w:rPr>
                <w:sz w:val="20"/>
                <w:szCs w:val="20"/>
                <w:color w:val="auto"/>
              </w:rPr>
            </w:pPr>
            <w:r>
              <w:rPr>
                <w:rFonts w:ascii="Arial" w:cs="Arial" w:eastAsia="Arial" w:hAnsi="Arial"/>
                <w:sz w:val="14"/>
                <w:szCs w:val="14"/>
                <w:color w:val="auto"/>
              </w:rPr>
              <w:t>16</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9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w:t>
            </w: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8"/>
                <w:szCs w:val="18"/>
                <w:b w:val="1"/>
                <w:bCs w:val="1"/>
                <w:color w:val="auto"/>
                <w:w w:val="90"/>
              </w:rPr>
              <w:t>Periods ended October 31,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Segment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3"/>
          </w:tcPr>
          <w:p>
            <w:pPr>
              <w:ind w:left="340"/>
              <w:spacing w:after="0"/>
              <w:rPr>
                <w:sz w:val="20"/>
                <w:szCs w:val="20"/>
                <w:color w:val="auto"/>
              </w:rPr>
            </w:pPr>
            <w:r>
              <w:rPr>
                <w:rFonts w:ascii="Arial" w:cs="Arial" w:eastAsia="Arial" w:hAnsi="Arial"/>
                <w:sz w:val="18"/>
                <w:szCs w:val="18"/>
                <w:b w:val="1"/>
                <w:bCs w:val="1"/>
                <w:color w:val="auto"/>
              </w:rPr>
              <w:t>Change</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3"/>
          </w:tcPr>
          <w:p>
            <w:pPr>
              <w:ind w:left="280"/>
              <w:spacing w:after="0"/>
              <w:rPr>
                <w:sz w:val="20"/>
                <w:szCs w:val="20"/>
                <w:color w:val="auto"/>
              </w:rPr>
            </w:pPr>
            <w:r>
              <w:rPr>
                <w:rFonts w:ascii="Arial" w:cs="Arial" w:eastAsia="Arial" w:hAnsi="Arial"/>
                <w:sz w:val="18"/>
                <w:szCs w:val="18"/>
                <w:b w:val="1"/>
                <w:bCs w:val="1"/>
                <w:color w:val="auto"/>
              </w:rPr>
              <w:t>Change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(1,975)</w:t>
            </w:r>
          </w:p>
        </w:tc>
        <w:tc>
          <w:tcPr>
            <w:tcW w:w="3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(1,154)</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FEI-Zyfer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6,596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1,269</w:t>
            </w:r>
          </w:p>
        </w:tc>
        <w:tc>
          <w:tcPr>
            <w:tcW w:w="3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3,593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(656)</w:t>
            </w:r>
          </w:p>
        </w:tc>
        <w:tc>
          <w:tcPr>
            <w:tcW w:w="3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(1,283)</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(962)</w:t>
            </w:r>
          </w:p>
        </w:tc>
        <w:tc>
          <w:tcPr>
            <w:tcW w:w="3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21,360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23,028</w:t>
            </w:r>
          </w:p>
        </w:tc>
        <w:tc>
          <w:tcPr>
            <w:tcW w:w="2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(1,668)</w:t>
            </w:r>
          </w:p>
        </w:tc>
        <w:tc>
          <w:tcPr>
            <w:tcW w:w="3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9,337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11,466</w:t>
            </w:r>
          </w:p>
        </w:tc>
        <w:tc>
          <w:tcPr>
            <w:tcW w:w="140" w:type="dxa"/>
            <w:vAlign w:val="bottom"/>
          </w:tcPr>
          <w:p>
            <w:pPr>
              <w:spacing w:after="0"/>
              <w:rPr>
                <w:sz w:val="18"/>
                <w:szCs w:val="18"/>
                <w:color w:val="auto"/>
              </w:rPr>
            </w:pPr>
          </w:p>
        </w:tc>
        <w:tc>
          <w:tcPr>
            <w:tcW w:w="52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(2,129)</w:t>
            </w:r>
          </w:p>
        </w:tc>
        <w:tc>
          <w:tcPr>
            <w:tcW w:w="3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For the six months ended October 31, 2017, revenues from commercial and U.S. Government satellite programs decreased approximately $1.6 million over the same period of fiscal year 2017, and accounted for approximately 42% of consolidated revenues compared to approximately 46% in fiscal 2017. Revenues on these contracts are recognized primarily under the percentage of completion method. Revenues from the satellite market are recorded in the FEI-NY segment. Revenues from non-space U.S. Government/Department of Defense (“DOD”) customers, which are recorded in both the FEI-NY and FEI-Zyfer segments, decreased $1.3 million over the same period of fiscal 2017, and accounted for approximately 36% of consolidated revenues compared to approximately 39% in fiscal 2017. Other commercial and industrial revenues in the fiscal year 2018 period accounted for approximately 22% of consolidated revenues compared to 15% in the prior year. Intersegment revenues are eliminated in consolidation.</w:t>
      </w:r>
    </w:p>
    <w:p>
      <w:pPr>
        <w:spacing w:after="0" w:line="16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For the three months ended October 31, 2017 revenues from commercial and U.S. Government satellite programs decreased approximately $444,000 over the same period of fiscal year 2017, and accounted for approximately 41% of consolidated revenues compared to approximately 37% in fiscal 2017. Revenues from non-space U.S. Government/DOD customers, which are recorded in both the FEI-NY and FEI-Zyfer segments, decreased $2.4 million over the same period of fiscal 2017, and accounted for approximately 34% of consolidated revenues compared to approximately 49% in fiscal 2017. Other commercial and industrial revenues for the three months ended October 31, 2017 accounted for approximately 26% of consolidated revenues compared to 14% in the prior year.</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Based on the Company’s current backlog, satellite payload business revenues for fiscal year 2018 are expected to be lower for the full year compared to the prior fiscal year. However satellite payload revenues will remain the dominant portion of the Company’s business during the current year. Revenues from non-space U.S. Government/DOD customers are expected to increase when funding is received for several significant U.S. Government programs which have either been bid or are in the process of being bid. The additional funding is expected in the upcoming fiscal year.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gridSpan w:val="4"/>
          </w:tcPr>
          <w:p>
            <w:pPr>
              <w:spacing w:after="0"/>
              <w:rPr>
                <w:sz w:val="20"/>
                <w:szCs w:val="20"/>
                <w:color w:val="auto"/>
              </w:rPr>
            </w:pPr>
            <w:r>
              <w:rPr>
                <w:rFonts w:ascii="Arial" w:cs="Arial" w:eastAsia="Arial" w:hAnsi="Arial"/>
                <w:sz w:val="18"/>
                <w:szCs w:val="18"/>
                <w:b w:val="1"/>
                <w:bCs w:val="1"/>
                <w:color w:val="auto"/>
              </w:rPr>
              <w:t>Gross margin</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33"/>
        </w:trPr>
        <w:tc>
          <w:tcPr>
            <w:tcW w:w="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b w:val="1"/>
                <w:bCs w:val="1"/>
                <w:color w:val="auto"/>
              </w:rPr>
              <w:t>Six months</w:t>
            </w:r>
          </w:p>
        </w:tc>
        <w:tc>
          <w:tcPr>
            <w:tcW w:w="1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1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8"/>
                <w:szCs w:val="18"/>
                <w:b w:val="1"/>
                <w:bCs w:val="1"/>
                <w:color w:val="auto"/>
              </w:rPr>
              <w:t>Periods ended October 31,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4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(830)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4"/>
              </w:rPr>
              <w:t>(1,526)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2400" w:type="dxa"/>
            <w:vAlign w:val="bottom"/>
            <w:gridSpan w:val="3"/>
          </w:tcPr>
          <w:p>
            <w:pPr>
              <w:spacing w:after="0"/>
              <w:rPr>
                <w:sz w:val="20"/>
                <w:szCs w:val="20"/>
                <w:color w:val="auto"/>
              </w:rPr>
            </w:pPr>
            <w:r>
              <w:rPr>
                <w:rFonts w:ascii="Arial" w:cs="Arial" w:eastAsia="Arial" w:hAnsi="Arial"/>
                <w:sz w:val="18"/>
                <w:szCs w:val="18"/>
                <w:color w:val="auto"/>
              </w:rPr>
              <w:t>GM Rate</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32.8%</w:t>
            </w: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4"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7"/>
          <w:szCs w:val="17"/>
          <w:color w:val="auto"/>
        </w:rPr>
        <w:t>For the six and three month period ended October 31, 2017 gross margin and gross margin rate decreased over the same period in fiscal 2017. The gross margin and gross margin rate decrease is primarily due to lower revenues and unabsorbed manufacturing overhead costs.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12"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w w:val="98"/>
              </w:rPr>
              <w:t>Six months</w:t>
            </w: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Three months</w:t>
            </w: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ind w:left="620"/>
              <w:spacing w:after="0"/>
              <w:rPr>
                <w:sz w:val="20"/>
                <w:szCs w:val="20"/>
                <w:color w:val="auto"/>
              </w:rPr>
            </w:pPr>
            <w:r>
              <w:rPr>
                <w:rFonts w:ascii="Arial" w:cs="Arial" w:eastAsia="Arial" w:hAnsi="Arial"/>
                <w:sz w:val="18"/>
                <w:szCs w:val="18"/>
                <w:b w:val="1"/>
                <w:bCs w:val="1"/>
                <w:color w:val="auto"/>
                <w:w w:val="99"/>
              </w:rPr>
              <w:t>Periods ended October 31,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4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16"/>
        </w:trPr>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4"/>
              </w:rPr>
              <w:t>5,648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(602)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(481)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For the six months ended October 31, 2017 and 2016, selling and administrative (“SG&amp;A”) expenses were approximately 24% and 25%, respectively, of consolidated revenues. For the three months periods ended October 31, 2017 and 2016, SG&amp;A expenses were approximately 25%, of consolidated revenues. The majority of the reduction occurred in the three months ending October 31, 2017 in corporate deferred compensation expense, professional fees and various other SG&amp;A accounts.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212"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w w:val="98"/>
              </w:rPr>
              <w:t>Six months</w:t>
            </w: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Three months</w:t>
            </w: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ind w:left="620"/>
              <w:spacing w:after="0"/>
              <w:rPr>
                <w:sz w:val="20"/>
                <w:szCs w:val="20"/>
                <w:color w:val="auto"/>
              </w:rPr>
            </w:pPr>
            <w:r>
              <w:rPr>
                <w:rFonts w:ascii="Arial" w:cs="Arial" w:eastAsia="Arial" w:hAnsi="Arial"/>
                <w:sz w:val="18"/>
                <w:szCs w:val="18"/>
                <w:b w:val="1"/>
                <w:bCs w:val="1"/>
                <w:color w:val="auto"/>
                <w:w w:val="99"/>
              </w:rPr>
              <w:t>Periods ended October 31,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3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16"/>
        </w:trPr>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4"/>
              </w:rPr>
              <w:t>3,496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(132)</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(361)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Research and development (“R&amp;D”) expenditures represent investments intended to keep the Company’s products at the leading edge of time and frequency technology and enhance future competitiveness. The R&amp;D rate for the six month period ending October 31, 2017 was 16% compared to 15% of sales for the same period of the previous fiscal year. The R&amp;D rate for the three month period ending October 31, 2017 was 19% compared to 18% of sales for the same period of the previous fiscal year. Even though the actual dollars spent on R&amp;D decreased the Company expects the level and activity related to R&amp;D to continue through the current year and beyond to address new large opportunities in secure communications/command and control applications, next generation satellite payload product and additional DOD and commercial markets.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(loss)</w:t>
      </w:r>
    </w:p>
    <w:p>
      <w:pPr>
        <w:spacing w:after="0" w:line="212"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Six months</w:t>
            </w: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10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center"/>
              <w:ind w:left="230"/>
              <w:spacing w:after="0"/>
              <w:rPr>
                <w:sz w:val="20"/>
                <w:szCs w:val="20"/>
                <w:color w:val="auto"/>
              </w:rPr>
            </w:pPr>
            <w:r>
              <w:rPr>
                <w:rFonts w:ascii="Arial" w:cs="Arial" w:eastAsia="Arial" w:hAnsi="Arial"/>
                <w:sz w:val="18"/>
                <w:szCs w:val="18"/>
                <w:b w:val="1"/>
                <w:bCs w:val="1"/>
                <w:color w:val="auto"/>
                <w:w w:val="88"/>
              </w:rPr>
              <w:t>Periods ended October 31,</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3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3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7"/>
              </w:rPr>
              <w:t>(1,590)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(96)</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(684)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bl>
    <w:p>
      <w:pPr>
        <w:spacing w:after="0" w:line="188"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The Company had decreased revenue, gross margin, and gross margin rate in the three months ending October 31, 2017 leading to increased losses for both periods ending October 31, 2017 compared to the same periods of the preceding fiscal year.</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33"/>
        </w:trPr>
        <w:tc>
          <w:tcPr>
            <w:tcW w:w="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Six months</w:t>
            </w: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Three months</w:t>
            </w: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8"/>
                <w:szCs w:val="18"/>
                <w:b w:val="1"/>
                <w:bCs w:val="1"/>
                <w:color w:val="auto"/>
                <w:w w:val="90"/>
              </w:rPr>
              <w:t>Periods ended October 31,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Change</w:t>
            </w:r>
          </w:p>
        </w:tc>
        <w:tc>
          <w:tcPr>
            <w:tcW w:w="5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Change</w:t>
            </w:r>
          </w:p>
        </w:tc>
        <w:tc>
          <w:tcPr>
            <w:tcW w:w="5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888</w:t>
            </w:r>
          </w:p>
        </w:tc>
        <w:tc>
          <w:tcPr>
            <w:tcW w:w="4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4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7"/>
        </w:trPr>
        <w:tc>
          <w:tcPr>
            <w:tcW w:w="20" w:type="dxa"/>
            <w:vAlign w:val="bottom"/>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1,129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916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430%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58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(168)</w:t>
            </w: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NM%</w:t>
            </w:r>
          </w:p>
        </w:tc>
      </w:tr>
      <w:tr>
        <w:trPr>
          <w:trHeight w:val="21"/>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Investment income is derived primarily from the Company’s holdings of marketable securities. Earnings on these securities may vary based on fluctuating interest rates, dividend payout levels, and the timing of purchases or sales of securities. For the three months ending October 31, 2017 investment income was lower than in the same period of fiscal year 2017, mainly due to in the quarter ending July 31, 2017 the Company divested of all its holdings in equities securities in its investment account, which were converted to cash. The Company is in the process of evaluating its future cash management strategies. As a result, the Company recorded gains of approximately $1.0 million during the three months ended July 31, 2017 as compared to no gain or loss in the same period of fiscal year 2017.</w:t>
      </w:r>
    </w:p>
    <w:p>
      <w:pPr>
        <w:spacing w:after="0" w:line="176"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 decrease in interest expense for the six months ended October 31, 2017 compared to the same period of fiscal year 2017 is the result of there being no credit line borrowings during the six months ending October 31, 2017.</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gridSpan w:val="4"/>
          </w:tcPr>
          <w:p>
            <w:pPr>
              <w:spacing w:after="0"/>
              <w:rPr>
                <w:sz w:val="20"/>
                <w:szCs w:val="20"/>
                <w:color w:val="auto"/>
              </w:rPr>
            </w:pPr>
            <w:r>
              <w:rPr>
                <w:rFonts w:ascii="Arial" w:cs="Arial" w:eastAsia="Arial" w:hAnsi="Arial"/>
                <w:sz w:val="18"/>
                <w:szCs w:val="18"/>
                <w:b w:val="1"/>
                <w:bCs w:val="1"/>
                <w:color w:val="auto"/>
              </w:rPr>
              <w:t>Income tax (benefit)</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33"/>
        </w:trPr>
        <w:tc>
          <w:tcPr>
            <w:tcW w:w="2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8"/>
                <w:szCs w:val="18"/>
                <w:b w:val="1"/>
                <w:bCs w:val="1"/>
                <w:color w:val="auto"/>
              </w:rPr>
              <w:t>Six months</w:t>
            </w:r>
          </w:p>
        </w:tc>
        <w:tc>
          <w:tcPr>
            <w:tcW w:w="10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1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8"/>
                <w:szCs w:val="18"/>
                <w:b w:val="1"/>
                <w:bCs w:val="1"/>
                <w:color w:val="auto"/>
              </w:rPr>
              <w:t>Periods ended October 31,</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4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106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5"/>
              </w:rPr>
              <w:t>(420)</w:t>
            </w:r>
          </w:p>
        </w:tc>
        <w:tc>
          <w:tcPr>
            <w:tcW w:w="5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NM</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188"/>
        </w:trPr>
        <w:tc>
          <w:tcPr>
            <w:tcW w:w="20" w:type="dxa"/>
            <w:vAlign w:val="bottom"/>
          </w:tcPr>
          <w:p>
            <w:pPr>
              <w:spacing w:after="0"/>
              <w:rPr>
                <w:sz w:val="16"/>
                <w:szCs w:val="16"/>
                <w:color w:val="auto"/>
              </w:rPr>
            </w:pPr>
          </w:p>
        </w:tc>
        <w:tc>
          <w:tcPr>
            <w:tcW w:w="2400" w:type="dxa"/>
            <w:vAlign w:val="bottom"/>
            <w:gridSpan w:val="3"/>
          </w:tcPr>
          <w:p>
            <w:pPr>
              <w:spacing w:after="0" w:line="189" w:lineRule="exact"/>
              <w:rPr>
                <w:sz w:val="20"/>
                <w:szCs w:val="20"/>
                <w:color w:val="auto"/>
              </w:rPr>
            </w:pPr>
            <w:r>
              <w:rPr>
                <w:rFonts w:ascii="Arial" w:cs="Arial" w:eastAsia="Arial" w:hAnsi="Arial"/>
                <w:sz w:val="18"/>
                <w:szCs w:val="18"/>
                <w:color w:val="auto"/>
              </w:rPr>
              <w:t>Effective tax rate on pre-tax</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7"/>
        </w:trPr>
        <w:tc>
          <w:tcPr>
            <w:tcW w:w="2420" w:type="dxa"/>
            <w:vAlign w:val="bottom"/>
            <w:gridSpan w:val="4"/>
          </w:tcPr>
          <w:p>
            <w:pPr>
              <w:spacing w:after="0"/>
              <w:rPr>
                <w:sz w:val="20"/>
                <w:szCs w:val="20"/>
                <w:color w:val="auto"/>
              </w:rPr>
            </w:pPr>
            <w:r>
              <w:rPr>
                <w:rFonts w:ascii="Arial" w:cs="Arial" w:eastAsia="Arial" w:hAnsi="Arial"/>
                <w:sz w:val="18"/>
                <w:szCs w:val="18"/>
                <w:color w:val="auto"/>
              </w:rPr>
              <w:t>book income:</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The effective tax rate for the six months ended October 31, 2017 was 17.6% compared to 14.8% in the six months ended October 31, 2016. For the three months ended October 31, 2017 and 2016, the effective tax rates were 31.2% and 16.1%, respectively. The current and prior year effective tax rates primarily reflect the impact of deductible permanent differences included in the computation of taxable income and state income taxes. The Company utilizes the availability of R&amp;D credits and the Domestic Productions Activity deduction in the U.S. to lower its effective tax rate.</w:t>
      </w:r>
    </w:p>
    <w:p>
      <w:pPr>
        <w:spacing w:after="0" w:line="15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change in the effective tax rates in the six and three months ended October 31, 2017 compared to prior periods is primarily due to changes in the earnings mix between U.S. and non-domestic operations and a discrete income tax provision related to stock compensation in connection with ASU 2016-09 adopted by the Company in the first quarter of fiscal 2018. Consequently, for the six and three months ended October 31, 2017, the Company recorded a continuing operations income tax benefit of $(98) and $(584), respectively.</w:t>
      </w:r>
    </w:p>
    <w:p>
      <w:pPr>
        <w:spacing w:after="0" w:line="17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As of the date of this filing, both the U.S. House of Representatives and Senate have each passed tax reform legislation. While we continue to assess the impact of the tax reform legislation on our business and consolidated financial statements, if the legislation is enacted, the corporate tax rate would be reduced to 20% from a current rate of 35%. At October 31, 2017, we had U.S. deferred tax assets of approximately $11.8 million based on a U.S. federal tax rate of 34%. If the U.S. federal tax corporate statutory rate is reduced to 20%, this asset will be revalued at the lower rate, resulting in a charge to income tax expense in continuing operations and a corresponding reduction in the deferred tax asset. The impact would be recognized in the period in which the tax legislation is enacted. Consequently, our effective tax rate for the three and six months ended October 31, 2017 does not include the impact of any potential tax reform.</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Six months</w:t>
            </w: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b w:val="1"/>
                <w:bCs w:val="1"/>
                <w:color w:val="auto"/>
              </w:rPr>
              <w:t>Three months</w:t>
            </w: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6"/>
          </w:tcPr>
          <w:p>
            <w:pPr>
              <w:ind w:left="740"/>
              <w:spacing w:after="0"/>
              <w:rPr>
                <w:sz w:val="20"/>
                <w:szCs w:val="20"/>
                <w:color w:val="auto"/>
              </w:rPr>
            </w:pPr>
            <w:r>
              <w:rPr>
                <w:rFonts w:ascii="Arial" w:cs="Arial" w:eastAsia="Arial" w:hAnsi="Arial"/>
                <w:sz w:val="18"/>
                <w:szCs w:val="18"/>
                <w:b w:val="1"/>
                <w:bCs w:val="1"/>
                <w:color w:val="auto"/>
                <w:w w:val="99"/>
              </w:rPr>
              <w:t>Periods ended October 31,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4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Change</w:t>
            </w:r>
          </w:p>
        </w:tc>
        <w:tc>
          <w:tcPr>
            <w:tcW w:w="4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(149)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r>
    </w:tbl>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above table represents the net loss for the Gillam segment accounted for as discontinued operations as presented in Note B to the financial statements. For the six months ended October 31, 2017, as compared to the same periods of fiscal year 2017, sales increased approximately 36%. SG&amp;A expenses and R&amp;D expenses increased by approximately $247,000 and $174,000 respectively, compared to the prior fiscal year.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19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Company’s balance sheet continues to reflect a strong working capital position of $61.9 million at October 31, 2017 and $61.7 million at April 30, 2017. Included in working capital at October 31, 2017 and April 30 2017, is $12.4 million and $10.0 million, respectively, consisting of cash, cash equivalents, and marketable securities. The Company’s current ratio at October 31, 2017 is 9.2 to 1.</w:t>
      </w:r>
    </w:p>
    <w:p>
      <w:pPr>
        <w:spacing w:after="0" w:line="16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Cash provided by operations for the six months ended October 31, 2017 were $2.2 million compared to the use of cash from operating activities of $3.2 million in the comparable fiscal year 2017 period. The increase cash flow in the fiscal year 2018 period resulted primarily from decrease in accounts receivable compared to the balances as of the end of the previous fiscal year. For the six-month periods ended October 31, 2017 and 2016, the Company incurred approximately $1.5 million and $2.9 million, respectively, of non-cash operating expenses including depreciation and amortization, accruals for employee benefit programs and gain on sale of marketable securities.</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Net cash provided by investing activities for the six months ended October 31, 2017, was $5.6 million compared to $1.4 million used in the same period of fiscal year 2017. Sales and redemptions of marketable securities totaled $6.5 million for the six months ended October 31, 2017 compared to $1.0 million during the six months ended October 31, 2016. In the six months ended October 31, 2017 and 2016, the Company acquired property, plant and equipment in the amount of approximately $900,000 and $2.4 million, respectively. The Company may continue to invest cash equivalents as dictated by its investment and acquisition strategies.</w:t>
      </w:r>
    </w:p>
    <w:p>
      <w:pPr>
        <w:spacing w:after="0" w:line="17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Net cash provided by financing activities for the six months ended October 31, 2017 and 2016 was $1,000 and $25,000 for each period, respectively, for the tax benefits arising from the exercise of stock-based awards.</w:t>
      </w:r>
    </w:p>
    <w:p>
      <w:pPr>
        <w:spacing w:after="0" w:line="15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October 31, 2017, the Company has repurchased approximately $4 million of its common stock out of the $5 million authorization. For the six months ended October 31, 2017 and 2016, there were no repurchase of shares.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The Company will continue to expend resources to develop, improve and acquire products for space applications, guidance and targeting systems, and communication systems which management believes will result in future growth and profitability. During fiscal year 2017, the Company secured partial customer funding for a portion of its R&amp;D efforts. The customer funds received in connection therewith appear in revenues and are not included in R&amp;D expenses. For fiscal year 2018, the Company anticipates securing additional customer funding for a portion of its research and development activities, and will allocate internal funds depending on market conditions and identification of new opportunities as in fiscal 2017. The Company expects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6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As of October 31, 2017, the Company’s consolidated funded backlog is approximately $21 million compared to $28 million at April 30, 2017, the end of fiscal year 2017. Approximately 80% of this backlog is expected to be realized in the next twelve months. Included in the backlog at October 31, 2017 is approximately $8.8 million under cost-plus-fee contracts which the Company believes represent firm commitments from its customers for which the Company has not received full funding to-date. The Company excludes from backlog any contracts or awards for which it has not received authorization to proceed and on fixed price contracts excludes any unfunded portion. The Company expects these contracts to become fully funded over time and will add to its backlog at that time.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believes that its liquidity is adequate to meet its operating and investment needs through at least December 15, 2018.</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Based upon the Company’s decision to sell its Gillam business and the associated presentation as Discontinued Operations, the Company believes that the effect on cash flow will be neutral. However it is expected to have a positive cash effect when the intended sale is concluded. The Company is in active negotiation, with a potential foreign buyer, with a view toward completion of a transaction before April 30, 2018.</w:t>
      </w:r>
    </w:p>
    <w:p>
      <w:pPr>
        <w:spacing w:after="0" w:line="15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 Company’s international business is subject to changes in demand or pricing resulting from fluctuations in currency exchange rates, primarily in the Euro to U.S. Dollar exchange rate and in the Chinese Renminbi to U.S. Dollar exchange rate.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u w:val="single" w:color="auto"/>
          <w:color w:val="auto"/>
        </w:rPr>
        <w:t>Disclosure Controls and Procedures</w:t>
      </w:r>
      <w:r>
        <w:rPr>
          <w:rFonts w:ascii="Arial" w:cs="Arial" w:eastAsia="Arial" w:hAnsi="Arial"/>
          <w:sz w:val="17"/>
          <w:szCs w:val="17"/>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October 31, 2017, the Company’s disclosure controls and procedures were effective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u w:val="single" w:color="auto"/>
          <w:color w:val="auto"/>
        </w:rPr>
        <w:t>Changes in Internal Control Over Financial Reporting</w:t>
      </w:r>
      <w:r>
        <w:rPr>
          <w:rFonts w:ascii="Arial" w:cs="Arial" w:eastAsia="Arial" w:hAnsi="Arial"/>
          <w:sz w:val="17"/>
          <w:szCs w:val="17"/>
          <w:color w:val="auto"/>
        </w:rPr>
        <w:t>. There were no changes in the Company’s internal control over financial reporting (as such term is defined in Rules 13a-15(f) and 15d-15(f) under the Exchange Act) during the three months ended October 31, 2017 to which this report relates that have materially affected, or are reasonably likely to materially affect, the Company’s internal control over financial reporting.</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02" w:lineRule="exact"/>
        <w:rPr>
          <w:sz w:val="20"/>
          <w:szCs w:val="20"/>
          <w:color w:val="auto"/>
        </w:rPr>
      </w:pPr>
    </w:p>
    <w:p>
      <w:pPr>
        <w:jc w:val="both"/>
        <w:ind w:left="1260" w:hanging="607"/>
        <w:spacing w:after="0" w:line="262"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31.1 -</w:t>
      </w:r>
      <w:r>
        <w:rPr>
          <w:sz w:val="20"/>
          <w:szCs w:val="20"/>
          <w:color w:val="auto"/>
        </w:rPr>
        <w:tab/>
      </w:r>
      <w:hyperlink w:anchor="page24">
        <w:r>
          <w:rPr>
            <w:rFonts w:ascii="Arial" w:cs="Arial" w:eastAsia="Arial" w:hAnsi="Arial"/>
            <w:sz w:val="18"/>
            <w:szCs w:val="18"/>
            <w:u w:val="single" w:color="auto"/>
            <w:color w:val="0000EE"/>
          </w:rPr>
          <w:t>Certification by the Chief Executive Officer pursuant to Rule 13a-14(a) or 15d-14(a) under the Securities Exchange Act of 1934, as adopted</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pursuant to Section 302 of the Sarbanes-Oxley Act of 2002.</w:t>
        </w:r>
      </w:hyperlink>
    </w:p>
    <w:p>
      <w:pPr>
        <w:spacing w:after="0" w:line="156" w:lineRule="exact"/>
        <w:rPr>
          <w:sz w:val="20"/>
          <w:szCs w:val="20"/>
          <w:color w:val="auto"/>
        </w:rPr>
      </w:pPr>
    </w:p>
    <w:p>
      <w:pPr>
        <w:jc w:val="both"/>
        <w:ind w:left="1260" w:hanging="607"/>
        <w:spacing w:after="0" w:line="262"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31.2 -</w:t>
      </w:r>
      <w:r>
        <w:rPr>
          <w:sz w:val="20"/>
          <w:szCs w:val="20"/>
          <w:color w:val="auto"/>
        </w:rPr>
        <w:tab/>
      </w:r>
      <w:hyperlink w:anchor="page25">
        <w:r>
          <w:rPr>
            <w:rFonts w:ascii="Arial" w:cs="Arial" w:eastAsia="Arial" w:hAnsi="Arial"/>
            <w:sz w:val="18"/>
            <w:szCs w:val="18"/>
            <w:u w:val="single" w:color="auto"/>
            <w:color w:val="0000EE"/>
          </w:rPr>
          <w:t>Certification by the Chief Financial Officer pursuant to Rule 13a-14(a) or 15d-14(a) under the Securities Exchange Act of 1934, as adopted</w:t>
        </w:r>
      </w:hyperlink>
      <w:r>
        <w:rPr>
          <w:rFonts w:ascii="Arial" w:cs="Arial" w:eastAsia="Arial" w:hAnsi="Arial"/>
          <w:sz w:val="18"/>
          <w:szCs w:val="18"/>
          <w:u w:val="single" w:color="auto"/>
          <w:color w:val="0000EE"/>
        </w:rPr>
        <w:t xml:space="preserve"> </w:t>
      </w:r>
      <w:hyperlink w:anchor="page25">
        <w:r>
          <w:rPr>
            <w:rFonts w:ascii="Arial" w:cs="Arial" w:eastAsia="Arial" w:hAnsi="Arial"/>
            <w:sz w:val="18"/>
            <w:szCs w:val="18"/>
            <w:u w:val="single" w:color="auto"/>
            <w:color w:val="0000EE"/>
          </w:rPr>
          <w:t>pursuant to Section 302 of the Sarbanes-Oxley Act of 2002.</w:t>
        </w:r>
      </w:hyperlink>
    </w:p>
    <w:p>
      <w:pPr>
        <w:spacing w:after="0" w:line="156" w:lineRule="exact"/>
        <w:rPr>
          <w:sz w:val="20"/>
          <w:szCs w:val="20"/>
          <w:color w:val="auto"/>
        </w:rPr>
      </w:pPr>
    </w:p>
    <w:p>
      <w:pPr>
        <w:ind w:left="660"/>
        <w:spacing w:after="0"/>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32 -</w:t>
      </w:r>
      <w:r>
        <w:rPr>
          <w:sz w:val="20"/>
          <w:szCs w:val="20"/>
          <w:color w:val="auto"/>
        </w:rPr>
        <w:tab/>
      </w:r>
      <w:hyperlink w:anchor="page26">
        <w:r>
          <w:rPr>
            <w:rFonts w:ascii="Arial" w:cs="Arial" w:eastAsia="Arial" w:hAnsi="Arial"/>
            <w:sz w:val="16"/>
            <w:szCs w:val="16"/>
            <w:u w:val="single" w:color="auto"/>
            <w:color w:val="0000EE"/>
          </w:rPr>
          <w:t>Certifications by the Chief Executive Officer and Chief Financial Officer pursuant to 18 U.S.C. Section 1350, as adopted pursuant to Section</w:t>
        </w:r>
      </w:hyperlink>
    </w:p>
    <w:p>
      <w:pPr>
        <w:spacing w:after="0" w:line="12" w:lineRule="exact"/>
        <w:rPr>
          <w:sz w:val="20"/>
          <w:szCs w:val="20"/>
          <w:color w:val="auto"/>
        </w:rPr>
      </w:pPr>
    </w:p>
    <w:p>
      <w:pPr>
        <w:ind w:left="12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906 of the Sarbanes-Oxley Act of 2002.</w:t>
        </w:r>
      </w:hyperlink>
    </w:p>
    <w:p>
      <w:pPr>
        <w:spacing w:after="0" w:line="182" w:lineRule="exact"/>
        <w:rPr>
          <w:sz w:val="20"/>
          <w:szCs w:val="20"/>
          <w:color w:val="auto"/>
        </w:rPr>
      </w:pPr>
    </w:p>
    <w:p>
      <w:pPr>
        <w:jc w:val="both"/>
        <w:ind w:left="1260" w:hanging="607"/>
        <w:spacing w:after="0" w:line="243" w:lineRule="auto"/>
        <w:tabs>
          <w:tab w:leader="none" w:pos="1240" w:val="left"/>
        </w:tabs>
        <w:rPr>
          <w:sz w:val="20"/>
          <w:szCs w:val="20"/>
          <w:color w:val="auto"/>
        </w:rPr>
      </w:pPr>
      <w:r>
        <w:rPr>
          <w:rFonts w:ascii="Arial" w:cs="Arial" w:eastAsia="Arial" w:hAnsi="Arial"/>
          <w:sz w:val="18"/>
          <w:szCs w:val="18"/>
          <w:color w:val="auto"/>
        </w:rPr>
        <w:t>101-</w:t>
        <w:tab/>
        <w:t>The following materials from the Frequency Electronics, Inc. Quarterly Report on Form 10-Q for the quarter ended October 31, 2017 formatted in eXtensible Business Reporting Language (XBRL): (i) Condensed Consolidated Balance Sheets, (ii) Condensed Consolidated Statements of Operations and Comprehensive Loss, (iii) Condensed Consolidated Statements of Cash Flows and (iv)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6340" w:type="dxa"/>
            <w:vAlign w:val="bottom"/>
            <w:gridSpan w:val="3"/>
          </w:tcPr>
          <w:p>
            <w:pPr>
              <w:ind w:left="1100"/>
              <w:spacing w:after="0"/>
              <w:rPr>
                <w:sz w:val="20"/>
                <w:szCs w:val="20"/>
                <w:color w:val="auto"/>
              </w:rPr>
            </w:pPr>
            <w:r>
              <w:rPr>
                <w:rFonts w:ascii="Arial" w:cs="Arial" w:eastAsia="Arial" w:hAnsi="Arial"/>
                <w:sz w:val="18"/>
                <w:szCs w:val="18"/>
                <w:b w:val="1"/>
                <w:bCs w:val="1"/>
                <w:color w:val="auto"/>
              </w:rPr>
              <w:t>FREQUENCY ELECTRONICS, INC.</w:t>
            </w:r>
          </w:p>
        </w:tc>
      </w:tr>
      <w:tr>
        <w:trPr>
          <w:trHeight w:val="230"/>
        </w:trPr>
        <w:tc>
          <w:tcPr>
            <w:tcW w:w="2960" w:type="dxa"/>
            <w:vAlign w:val="bottom"/>
          </w:tcPr>
          <w:p>
            <w:pPr>
              <w:spacing w:after="0"/>
              <w:rPr>
                <w:sz w:val="20"/>
                <w:szCs w:val="20"/>
                <w:color w:val="auto"/>
              </w:rPr>
            </w:pPr>
          </w:p>
        </w:tc>
        <w:tc>
          <w:tcPr>
            <w:tcW w:w="6340" w:type="dxa"/>
            <w:vAlign w:val="bottom"/>
            <w:gridSpan w:val="3"/>
          </w:tcPr>
          <w:p>
            <w:pPr>
              <w:ind w:left="1100"/>
              <w:spacing w:after="0"/>
              <w:rPr>
                <w:sz w:val="20"/>
                <w:szCs w:val="20"/>
                <w:color w:val="auto"/>
              </w:rPr>
            </w:pPr>
            <w:r>
              <w:rPr>
                <w:rFonts w:ascii="Arial" w:cs="Arial" w:eastAsia="Arial" w:hAnsi="Arial"/>
                <w:sz w:val="18"/>
                <w:szCs w:val="18"/>
                <w:color w:val="auto"/>
              </w:rPr>
              <w:t>(Registrant)</w:t>
            </w:r>
          </w:p>
        </w:tc>
      </w:tr>
      <w:tr>
        <w:trPr>
          <w:trHeight w:val="365"/>
        </w:trPr>
        <w:tc>
          <w:tcPr>
            <w:tcW w:w="2960" w:type="dxa"/>
            <w:vAlign w:val="bottom"/>
          </w:tcPr>
          <w:p>
            <w:pPr>
              <w:spacing w:after="0"/>
              <w:rPr>
                <w:sz w:val="20"/>
                <w:szCs w:val="20"/>
                <w:color w:val="auto"/>
              </w:rPr>
            </w:pPr>
            <w:r>
              <w:rPr>
                <w:rFonts w:ascii="Arial" w:cs="Arial" w:eastAsia="Arial" w:hAnsi="Arial"/>
                <w:sz w:val="18"/>
                <w:szCs w:val="18"/>
                <w:color w:val="auto"/>
              </w:rPr>
              <w:t>Date: December 15, 2017</w:t>
            </w:r>
          </w:p>
        </w:tc>
        <w:tc>
          <w:tcPr>
            <w:tcW w:w="6340" w:type="dxa"/>
            <w:vAlign w:val="bottom"/>
            <w:gridSpan w:val="3"/>
          </w:tcPr>
          <w:p>
            <w:pPr>
              <w:ind w:left="1420"/>
              <w:spacing w:after="0"/>
              <w:rPr>
                <w:sz w:val="20"/>
                <w:szCs w:val="20"/>
                <w:color w:val="auto"/>
              </w:rPr>
            </w:pPr>
            <w:r>
              <w:rPr>
                <w:rFonts w:ascii="Arial" w:cs="Arial" w:eastAsia="Arial" w:hAnsi="Arial"/>
                <w:sz w:val="18"/>
                <w:szCs w:val="18"/>
                <w:color w:val="auto"/>
              </w:rPr>
              <w:t>BY  /s/  Steven L. Bernstein</w:t>
            </w:r>
          </w:p>
        </w:tc>
      </w:tr>
      <w:tr>
        <w:trPr>
          <w:trHeight w:val="20"/>
        </w:trPr>
        <w:tc>
          <w:tcPr>
            <w:tcW w:w="2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5"/>
        </w:trPr>
        <w:tc>
          <w:tcPr>
            <w:tcW w:w="2960" w:type="dxa"/>
            <w:vAlign w:val="bottom"/>
          </w:tcPr>
          <w:p>
            <w:pPr>
              <w:spacing w:after="0"/>
              <w:rPr>
                <w:sz w:val="16"/>
                <w:szCs w:val="16"/>
                <w:color w:val="auto"/>
              </w:rPr>
            </w:pPr>
          </w:p>
        </w:tc>
        <w:tc>
          <w:tcPr>
            <w:tcW w:w="4960" w:type="dxa"/>
            <w:vAlign w:val="bottom"/>
            <w:gridSpan w:val="2"/>
          </w:tcPr>
          <w:p>
            <w:pPr>
              <w:ind w:left="1500"/>
              <w:spacing w:after="0" w:line="195" w:lineRule="exact"/>
              <w:rPr>
                <w:sz w:val="20"/>
                <w:szCs w:val="20"/>
                <w:color w:val="auto"/>
              </w:rPr>
            </w:pPr>
            <w:r>
              <w:rPr>
                <w:rFonts w:ascii="Arial" w:cs="Arial" w:eastAsia="Arial" w:hAnsi="Arial"/>
                <w:sz w:val="18"/>
                <w:szCs w:val="18"/>
                <w:color w:val="auto"/>
              </w:rPr>
              <w:t>Steven L. Bernstein</w:t>
            </w:r>
          </w:p>
        </w:tc>
        <w:tc>
          <w:tcPr>
            <w:tcW w:w="1380" w:type="dxa"/>
            <w:vAlign w:val="bottom"/>
          </w:tcPr>
          <w:p>
            <w:pPr>
              <w:spacing w:after="0"/>
              <w:rPr>
                <w:sz w:val="16"/>
                <w:szCs w:val="16"/>
                <w:color w:val="auto"/>
              </w:rPr>
            </w:pPr>
          </w:p>
        </w:tc>
      </w:tr>
      <w:tr>
        <w:trPr>
          <w:trHeight w:val="203"/>
        </w:trPr>
        <w:tc>
          <w:tcPr>
            <w:tcW w:w="2960" w:type="dxa"/>
            <w:vAlign w:val="bottom"/>
          </w:tcPr>
          <w:p>
            <w:pPr>
              <w:spacing w:after="0"/>
              <w:rPr>
                <w:sz w:val="17"/>
                <w:szCs w:val="17"/>
                <w:color w:val="auto"/>
              </w:rPr>
            </w:pPr>
          </w:p>
        </w:tc>
        <w:tc>
          <w:tcPr>
            <w:tcW w:w="6340" w:type="dxa"/>
            <w:vAlign w:val="bottom"/>
            <w:gridSpan w:val="3"/>
          </w:tcPr>
          <w:p>
            <w:pPr>
              <w:ind w:left="1500"/>
              <w:spacing w:after="0" w:line="202" w:lineRule="exact"/>
              <w:rPr>
                <w:sz w:val="20"/>
                <w:szCs w:val="20"/>
                <w:color w:val="auto"/>
              </w:rPr>
            </w:pPr>
            <w:r>
              <w:rPr>
                <w:rFonts w:ascii="Arial" w:cs="Arial" w:eastAsia="Arial" w:hAnsi="Arial"/>
                <w:sz w:val="18"/>
                <w:szCs w:val="18"/>
                <w:color w:val="auto"/>
              </w:rPr>
              <w:t>Chief Financial Officer</w:t>
            </w:r>
          </w:p>
        </w:tc>
      </w:tr>
      <w:tr>
        <w:trPr>
          <w:trHeight w:val="230"/>
        </w:trPr>
        <w:tc>
          <w:tcPr>
            <w:tcW w:w="2960" w:type="dxa"/>
            <w:vAlign w:val="bottom"/>
          </w:tcPr>
          <w:p>
            <w:pPr>
              <w:spacing w:after="0"/>
              <w:rPr>
                <w:sz w:val="20"/>
                <w:szCs w:val="20"/>
                <w:color w:val="auto"/>
              </w:rPr>
            </w:pPr>
          </w:p>
        </w:tc>
        <w:tc>
          <w:tcPr>
            <w:tcW w:w="6340" w:type="dxa"/>
            <w:vAlign w:val="bottom"/>
            <w:gridSpan w:val="3"/>
          </w:tcPr>
          <w:p>
            <w:pPr>
              <w:ind w:left="1500"/>
              <w:spacing w:after="0"/>
              <w:rPr>
                <w:sz w:val="20"/>
                <w:szCs w:val="20"/>
                <w:color w:val="auto"/>
              </w:rPr>
            </w:pPr>
            <w:r>
              <w:rPr>
                <w:rFonts w:ascii="Arial" w:cs="Arial" w:eastAsia="Arial" w:hAnsi="Arial"/>
                <w:sz w:val="18"/>
                <w:szCs w:val="18"/>
                <w:color w:val="auto"/>
                <w:w w:val="91"/>
              </w:rPr>
              <w:t>Signing on behalf of the registrant and as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Martin Bloch, certify that:</w:t>
      </w:r>
    </w:p>
    <w:p>
      <w:pPr>
        <w:spacing w:after="0" w:line="198"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198" w:lineRule="exact"/>
        <w:rPr>
          <w:rFonts w:ascii="Arial" w:cs="Arial" w:eastAsia="Arial" w:hAnsi="Arial"/>
          <w:sz w:val="18"/>
          <w:szCs w:val="18"/>
          <w:color w:val="auto"/>
        </w:rPr>
      </w:pPr>
    </w:p>
    <w:p>
      <w:pPr>
        <w:ind w:right="20" w:firstLine="8"/>
        <w:spacing w:after="0" w:line="324" w:lineRule="auto"/>
        <w:tabs>
          <w:tab w:leader="none" w:pos="27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firstLine="8"/>
        <w:spacing w:after="0" w:line="262"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jc w:val="both"/>
        <w:ind w:firstLine="8"/>
        <w:spacing w:after="0" w:line="248" w:lineRule="auto"/>
        <w:tabs>
          <w:tab w:leader="none" w:pos="29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sz w:val="20"/>
          <w:szCs w:val="20"/>
          <w:color w:val="auto"/>
        </w:rPr>
      </w:pPr>
    </w:p>
    <w:p>
      <w:pPr>
        <w:jc w:val="both"/>
        <w:ind w:firstLine="8"/>
        <w:spacing w:after="0" w:line="248" w:lineRule="auto"/>
        <w:tabs>
          <w:tab w:leader="none" w:pos="296"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firstLine="8"/>
        <w:spacing w:after="0" w:line="248" w:lineRule="auto"/>
        <w:tabs>
          <w:tab w:leader="none" w:pos="316"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right="20" w:firstLine="8"/>
        <w:spacing w:after="0" w:line="262" w:lineRule="auto"/>
        <w:tabs>
          <w:tab w:leader="none" w:pos="311"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jc w:val="both"/>
        <w:ind w:firstLine="8"/>
        <w:spacing w:after="0" w:line="248"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sz w:val="20"/>
          <w:szCs w:val="20"/>
          <w:color w:val="auto"/>
        </w:rPr>
      </w:pPr>
    </w:p>
    <w:p>
      <w:pPr>
        <w:ind w:right="20" w:firstLine="8"/>
        <w:spacing w:after="0" w:line="291" w:lineRule="auto"/>
        <w:tabs>
          <w:tab w:leader="none" w:pos="25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sz w:val="20"/>
          <w:szCs w:val="20"/>
          <w:color w:val="auto"/>
        </w:rPr>
      </w:pPr>
    </w:p>
    <w:p>
      <w:pPr>
        <w:ind w:firstLine="8"/>
        <w:spacing w:after="0" w:line="262" w:lineRule="auto"/>
        <w:tabs>
          <w:tab w:leader="none" w:pos="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firstLine="8"/>
        <w:spacing w:after="0" w:line="262"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Martin Bloch</w:t>
            </w:r>
          </w:p>
        </w:tc>
        <w:tc>
          <w:tcPr>
            <w:tcW w:w="4660" w:type="dxa"/>
            <w:vAlign w:val="bottom"/>
          </w:tcPr>
          <w:p>
            <w:pPr>
              <w:ind w:left="3240"/>
              <w:spacing w:after="0"/>
              <w:rPr>
                <w:sz w:val="20"/>
                <w:szCs w:val="20"/>
                <w:color w:val="auto"/>
              </w:rPr>
            </w:pPr>
            <w:r>
              <w:rPr>
                <w:rFonts w:ascii="Arial" w:cs="Arial" w:eastAsia="Arial" w:hAnsi="Arial"/>
                <w:sz w:val="18"/>
                <w:szCs w:val="18"/>
                <w:color w:val="auto"/>
                <w:w w:val="88"/>
              </w:rPr>
              <w:t>December 15, 2017</w:t>
            </w:r>
          </w:p>
        </w:tc>
      </w:tr>
      <w:tr>
        <w:trPr>
          <w:trHeight w:val="195"/>
        </w:trPr>
        <w:tc>
          <w:tcPr>
            <w:tcW w:w="60" w:type="dxa"/>
            <w:vAlign w:val="bottom"/>
          </w:tcPr>
          <w:p>
            <w:pPr>
              <w:spacing w:after="0"/>
              <w:rPr>
                <w:sz w:val="16"/>
                <w:szCs w:val="16"/>
                <w:color w:val="auto"/>
              </w:rPr>
            </w:pPr>
          </w:p>
        </w:tc>
        <w:tc>
          <w:tcPr>
            <w:tcW w:w="2200" w:type="dxa"/>
            <w:vAlign w:val="bottom"/>
          </w:tcPr>
          <w:p>
            <w:pPr>
              <w:spacing w:after="0" w:line="195" w:lineRule="exact"/>
              <w:rPr>
                <w:sz w:val="20"/>
                <w:szCs w:val="20"/>
                <w:color w:val="auto"/>
              </w:rPr>
            </w:pPr>
            <w:r>
              <w:rPr>
                <w:rFonts w:ascii="Arial" w:cs="Arial" w:eastAsia="Arial" w:hAnsi="Arial"/>
                <w:sz w:val="18"/>
                <w:szCs w:val="18"/>
                <w:color w:val="auto"/>
              </w:rPr>
              <w:t>Martin Bloch</w:t>
            </w:r>
          </w:p>
        </w:tc>
        <w:tc>
          <w:tcPr>
            <w:tcW w:w="4660" w:type="dxa"/>
            <w:vAlign w:val="bottom"/>
          </w:tcPr>
          <w:p>
            <w:pPr>
              <w:spacing w:after="0"/>
              <w:rPr>
                <w:sz w:val="16"/>
                <w:szCs w:val="16"/>
                <w:color w:val="auto"/>
              </w:rPr>
            </w:pP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4660" w:type="dxa"/>
            <w:vAlign w:val="bottom"/>
          </w:tcPr>
          <w:p>
            <w:pPr>
              <w:spacing w:after="0"/>
              <w:rPr>
                <w:sz w:val="20"/>
                <w:szCs w:val="20"/>
                <w:color w:val="auto"/>
              </w:rPr>
            </w:pPr>
          </w:p>
        </w:tc>
      </w:tr>
    </w:tbl>
    <w:p>
      <w:pPr>
        <w:sectPr>
          <w:pgSz w:w="11900" w:h="16838" w:orient="portrait"/>
          <w:cols w:equalWidth="0" w:num="1">
            <w:col w:w="11420"/>
          </w:cols>
          <w:pgMar w:left="240" w:top="61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Steven L. Bernstein, certify that</w:t>
      </w:r>
    </w:p>
    <w:p>
      <w:pPr>
        <w:spacing w:after="0" w:line="198"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198" w:lineRule="exact"/>
        <w:rPr>
          <w:rFonts w:ascii="Arial" w:cs="Arial" w:eastAsia="Arial" w:hAnsi="Arial"/>
          <w:sz w:val="18"/>
          <w:szCs w:val="18"/>
          <w:color w:val="auto"/>
        </w:rPr>
      </w:pPr>
    </w:p>
    <w:p>
      <w:pPr>
        <w:ind w:right="20" w:firstLine="8"/>
        <w:spacing w:after="0" w:line="324" w:lineRule="auto"/>
        <w:tabs>
          <w:tab w:leader="none" w:pos="275"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firstLine="8"/>
        <w:spacing w:after="0" w:line="262" w:lineRule="auto"/>
        <w:tabs>
          <w:tab w:leader="none" w:pos="2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jc w:val="both"/>
        <w:ind w:firstLine="8"/>
        <w:spacing w:after="0" w:line="248" w:lineRule="auto"/>
        <w:tabs>
          <w:tab w:leader="none" w:pos="29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sz w:val="20"/>
          <w:szCs w:val="20"/>
          <w:color w:val="auto"/>
        </w:rPr>
      </w:pPr>
    </w:p>
    <w:p>
      <w:pPr>
        <w:jc w:val="both"/>
        <w:ind w:firstLine="8"/>
        <w:spacing w:after="0" w:line="248" w:lineRule="auto"/>
        <w:tabs>
          <w:tab w:leader="none" w:pos="2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firstLine="8"/>
        <w:spacing w:after="0" w:line="248" w:lineRule="auto"/>
        <w:tabs>
          <w:tab w:leader="none" w:pos="3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right="20" w:firstLine="8"/>
        <w:spacing w:after="0" w:line="262" w:lineRule="auto"/>
        <w:tabs>
          <w:tab w:leader="none" w:pos="3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jc w:val="both"/>
        <w:ind w:firstLine="8"/>
        <w:spacing w:after="0" w:line="24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sz w:val="20"/>
          <w:szCs w:val="20"/>
          <w:color w:val="auto"/>
        </w:rPr>
      </w:pPr>
    </w:p>
    <w:p>
      <w:pPr>
        <w:ind w:right="20" w:firstLine="8"/>
        <w:spacing w:after="0" w:line="291" w:lineRule="auto"/>
        <w:tabs>
          <w:tab w:leader="none" w:pos="25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sz w:val="20"/>
          <w:szCs w:val="20"/>
          <w:color w:val="auto"/>
        </w:rPr>
      </w:pPr>
    </w:p>
    <w:p>
      <w:pPr>
        <w:ind w:firstLine="8"/>
        <w:spacing w:after="0" w:line="262" w:lineRule="auto"/>
        <w:tabs>
          <w:tab w:leader="none" w:pos="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firstLine="8"/>
        <w:spacing w:after="0" w:line="262" w:lineRule="auto"/>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L. Bernstein</w:t>
            </w:r>
          </w:p>
        </w:tc>
        <w:tc>
          <w:tcPr>
            <w:tcW w:w="4420" w:type="dxa"/>
            <w:vAlign w:val="bottom"/>
          </w:tcPr>
          <w:p>
            <w:pPr>
              <w:ind w:left="3020"/>
              <w:spacing w:after="0"/>
              <w:rPr>
                <w:sz w:val="20"/>
                <w:szCs w:val="20"/>
                <w:color w:val="auto"/>
              </w:rPr>
            </w:pPr>
            <w:r>
              <w:rPr>
                <w:rFonts w:ascii="Arial" w:cs="Arial" w:eastAsia="Arial" w:hAnsi="Arial"/>
                <w:sz w:val="18"/>
                <w:szCs w:val="18"/>
                <w:color w:val="auto"/>
                <w:w w:val="87"/>
              </w:rPr>
              <w:t>December 15, 2017</w:t>
            </w:r>
          </w:p>
        </w:tc>
      </w:tr>
      <w:tr>
        <w:trPr>
          <w:trHeight w:val="195"/>
        </w:trPr>
        <w:tc>
          <w:tcPr>
            <w:tcW w:w="60" w:type="dxa"/>
            <w:vAlign w:val="bottom"/>
          </w:tcPr>
          <w:p>
            <w:pPr>
              <w:spacing w:after="0"/>
              <w:rPr>
                <w:sz w:val="16"/>
                <w:szCs w:val="16"/>
                <w:color w:val="auto"/>
              </w:rPr>
            </w:pPr>
          </w:p>
        </w:tc>
        <w:tc>
          <w:tcPr>
            <w:tcW w:w="2400" w:type="dxa"/>
            <w:vAlign w:val="bottom"/>
          </w:tcPr>
          <w:p>
            <w:pPr>
              <w:spacing w:after="0" w:line="195" w:lineRule="exact"/>
              <w:rPr>
                <w:sz w:val="20"/>
                <w:szCs w:val="20"/>
                <w:color w:val="auto"/>
              </w:rPr>
            </w:pPr>
            <w:r>
              <w:rPr>
                <w:rFonts w:ascii="Arial" w:cs="Arial" w:eastAsia="Arial" w:hAnsi="Arial"/>
                <w:sz w:val="18"/>
                <w:szCs w:val="18"/>
                <w:color w:val="auto"/>
              </w:rPr>
              <w:t>Steven L. Bernstein</w:t>
            </w:r>
          </w:p>
        </w:tc>
        <w:tc>
          <w:tcPr>
            <w:tcW w:w="4420" w:type="dxa"/>
            <w:vAlign w:val="bottom"/>
          </w:tcPr>
          <w:p>
            <w:pPr>
              <w:spacing w:after="0"/>
              <w:rPr>
                <w:sz w:val="16"/>
                <w:szCs w:val="16"/>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4420" w:type="dxa"/>
            <w:vAlign w:val="bottom"/>
          </w:tcPr>
          <w:p>
            <w:pPr>
              <w:spacing w:after="0"/>
              <w:rPr>
                <w:sz w:val="20"/>
                <w:szCs w:val="20"/>
                <w:color w:val="auto"/>
              </w:rPr>
            </w:pPr>
          </w:p>
        </w:tc>
      </w:tr>
    </w:tbl>
    <w:p>
      <w:pPr>
        <w:sectPr>
          <w:pgSz w:w="11900" w:h="16838" w:orient="portrait"/>
          <w:cols w:equalWidth="0" w:num="1">
            <w:col w:w="11420"/>
          </w:cols>
          <w:pgMar w:left="240" w:top="61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32</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34" w:lineRule="auto"/>
        <w:rPr>
          <w:sz w:val="20"/>
          <w:szCs w:val="20"/>
          <w:color w:val="auto"/>
        </w:rPr>
      </w:pPr>
      <w:r>
        <w:rPr>
          <w:rFonts w:ascii="Arial" w:cs="Arial" w:eastAsia="Arial" w:hAnsi="Arial"/>
          <w:sz w:val="18"/>
          <w:szCs w:val="18"/>
          <w:b w:val="1"/>
          <w:bCs w:val="1"/>
          <w:color w:val="auto"/>
        </w:rPr>
        <w:t>18 U.S.C. SECTION 1350</w:t>
      </w:r>
    </w:p>
    <w:p>
      <w:pPr>
        <w:jc w:val="center"/>
        <w:spacing w:after="0" w:line="235" w:lineRule="auto"/>
        <w:rPr>
          <w:sz w:val="20"/>
          <w:szCs w:val="20"/>
          <w:color w:val="auto"/>
        </w:rPr>
      </w:pPr>
      <w:r>
        <w:rPr>
          <w:rFonts w:ascii="Arial" w:cs="Arial" w:eastAsia="Arial" w:hAnsi="Arial"/>
          <w:sz w:val="18"/>
          <w:szCs w:val="18"/>
          <w:b w:val="1"/>
          <w:bCs w:val="1"/>
          <w:color w:val="auto"/>
        </w:rPr>
        <w:t>ADOPTED PURSUANT TO</w:t>
      </w:r>
    </w:p>
    <w:p>
      <w:pPr>
        <w:jc w:val="center"/>
        <w:spacing w:after="0" w:line="235" w:lineRule="auto"/>
        <w:rPr>
          <w:sz w:val="20"/>
          <w:szCs w:val="20"/>
          <w:color w:val="auto"/>
        </w:rPr>
      </w:pPr>
      <w:r>
        <w:rPr>
          <w:rFonts w:ascii="Arial" w:cs="Arial" w:eastAsia="Arial" w:hAnsi="Arial"/>
          <w:sz w:val="18"/>
          <w:szCs w:val="18"/>
          <w:b w:val="1"/>
          <w:bCs w:val="1"/>
          <w:color w:val="auto"/>
        </w:rPr>
        <w:t>SECTION 906 OF THE SARBANES-OXLEY ACT OF 2002</w:t>
      </w:r>
    </w:p>
    <w:p>
      <w:pPr>
        <w:spacing w:after="0" w:line="235" w:lineRule="auto"/>
        <w:rPr>
          <w:sz w:val="20"/>
          <w:szCs w:val="20"/>
          <w:color w:val="auto"/>
        </w:rPr>
      </w:pPr>
      <w:r>
        <w:rPr>
          <w:rFonts w:ascii="Arial" w:cs="Arial" w:eastAsia="Arial" w:hAnsi="Arial"/>
          <w:sz w:val="18"/>
          <w:szCs w:val="18"/>
          <w:b w:val="1"/>
          <w:bCs w:val="1"/>
          <w:u w:val="single" w:color="auto"/>
          <w:color w:val="auto"/>
        </w:rPr>
        <w:t>Certification of CEO</w:t>
      </w:r>
    </w:p>
    <w:p>
      <w:pPr>
        <w:jc w:val="both"/>
        <w:spacing w:after="0" w:line="239"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October 31, 2017 as filed with the Securities and Exchange Commission on the date hereof (the “Report”), I, Martin Bloch,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60" w:hanging="30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960" w:hanging="304"/>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Martin Bloch</w:t>
            </w:r>
          </w:p>
        </w:tc>
        <w:tc>
          <w:tcPr>
            <w:tcW w:w="3980" w:type="dxa"/>
            <w:vAlign w:val="bottom"/>
          </w:tcPr>
          <w:p>
            <w:pPr>
              <w:jc w:val="right"/>
              <w:spacing w:after="0"/>
              <w:rPr>
                <w:sz w:val="20"/>
                <w:szCs w:val="20"/>
                <w:color w:val="auto"/>
              </w:rPr>
            </w:pPr>
            <w:r>
              <w:rPr>
                <w:rFonts w:ascii="Arial" w:cs="Arial" w:eastAsia="Arial" w:hAnsi="Arial"/>
                <w:sz w:val="18"/>
                <w:szCs w:val="18"/>
                <w:color w:val="auto"/>
              </w:rPr>
              <w:t>December 15, 2017</w:t>
            </w:r>
          </w:p>
        </w:tc>
        <w:tc>
          <w:tcPr>
            <w:tcW w:w="0" w:type="dxa"/>
            <w:vAlign w:val="bottom"/>
          </w:tcPr>
          <w:p>
            <w:pPr>
              <w:spacing w:after="0"/>
              <w:rPr>
                <w:sz w:val="1"/>
                <w:szCs w:val="1"/>
                <w:color w:val="auto"/>
              </w:rPr>
            </w:pPr>
          </w:p>
        </w:tc>
      </w:tr>
      <w:tr>
        <w:trPr>
          <w:trHeight w:val="195"/>
        </w:trPr>
        <w:tc>
          <w:tcPr>
            <w:tcW w:w="2980" w:type="dxa"/>
            <w:vAlign w:val="bottom"/>
          </w:tcPr>
          <w:p>
            <w:pPr>
              <w:ind w:left="600"/>
              <w:spacing w:after="0" w:line="195" w:lineRule="exact"/>
              <w:rPr>
                <w:sz w:val="20"/>
                <w:szCs w:val="20"/>
                <w:color w:val="auto"/>
              </w:rPr>
            </w:pPr>
            <w:r>
              <w:rPr>
                <w:rFonts w:ascii="Arial" w:cs="Arial" w:eastAsia="Arial" w:hAnsi="Arial"/>
                <w:sz w:val="18"/>
                <w:szCs w:val="18"/>
                <w:color w:val="auto"/>
              </w:rPr>
              <w:t>Martin Bloch</w:t>
            </w:r>
          </w:p>
        </w:tc>
        <w:tc>
          <w:tcPr>
            <w:tcW w:w="3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600"/>
              <w:spacing w:after="0"/>
              <w:rPr>
                <w:sz w:val="20"/>
                <w:szCs w:val="20"/>
                <w:color w:val="auto"/>
              </w:rPr>
            </w:pPr>
            <w:r>
              <w:rPr>
                <w:rFonts w:ascii="Arial" w:cs="Arial" w:eastAsia="Arial" w:hAnsi="Arial"/>
                <w:sz w:val="18"/>
                <w:szCs w:val="18"/>
                <w:color w:val="auto"/>
              </w:rPr>
              <w:t>Chief Executive Officer</w:t>
            </w:r>
          </w:p>
        </w:tc>
        <w:tc>
          <w:tcPr>
            <w:tcW w:w="39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1"/>
        </w:trPr>
        <w:tc>
          <w:tcPr>
            <w:tcW w:w="2980" w:type="dxa"/>
            <w:vAlign w:val="bottom"/>
          </w:tcPr>
          <w:p>
            <w:pPr>
              <w:spacing w:after="0"/>
              <w:rPr>
                <w:sz w:val="16"/>
                <w:szCs w:val="16"/>
                <w:color w:val="auto"/>
              </w:rPr>
            </w:pPr>
          </w:p>
        </w:tc>
        <w:tc>
          <w:tcPr>
            <w:tcW w:w="3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October 31, 2017 as filed with the Securities and Exchange Commission on the date hereof (the “Report”), I, Steven L. Bernstein, Chief Financial Officer of the Company, certify, pursuant to 18 U.S.C. Section 1350, as adopted pursuant to Section 906 of the Sarbanes-Oxley Act of 2002, that to my knowledge:</w:t>
      </w:r>
    </w:p>
    <w:p>
      <w:pPr>
        <w:spacing w:after="0" w:line="151" w:lineRule="exact"/>
        <w:rPr>
          <w:sz w:val="20"/>
          <w:szCs w:val="20"/>
          <w:color w:val="auto"/>
        </w:rPr>
      </w:pPr>
    </w:p>
    <w:p>
      <w:pPr>
        <w:ind w:left="960" w:hanging="30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960" w:hanging="304"/>
        <w:spacing w:after="0"/>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L. Bernstein</w:t>
            </w:r>
          </w:p>
        </w:tc>
        <w:tc>
          <w:tcPr>
            <w:tcW w:w="3980" w:type="dxa"/>
            <w:vAlign w:val="bottom"/>
          </w:tcPr>
          <w:p>
            <w:pPr>
              <w:ind w:left="2560"/>
              <w:spacing w:after="0"/>
              <w:rPr>
                <w:sz w:val="20"/>
                <w:szCs w:val="20"/>
                <w:color w:val="auto"/>
              </w:rPr>
            </w:pPr>
            <w:r>
              <w:rPr>
                <w:rFonts w:ascii="Arial" w:cs="Arial" w:eastAsia="Arial" w:hAnsi="Arial"/>
                <w:sz w:val="18"/>
                <w:szCs w:val="18"/>
                <w:color w:val="auto"/>
                <w:w w:val="88"/>
              </w:rPr>
              <w:t>December 15, 2017</w:t>
            </w:r>
          </w:p>
        </w:tc>
      </w:tr>
      <w:tr>
        <w:trPr>
          <w:trHeight w:val="195"/>
        </w:trPr>
        <w:tc>
          <w:tcPr>
            <w:tcW w:w="2900" w:type="dxa"/>
            <w:vAlign w:val="bottom"/>
          </w:tcPr>
          <w:p>
            <w:pPr>
              <w:ind w:left="600"/>
              <w:spacing w:after="0" w:line="195" w:lineRule="exact"/>
              <w:rPr>
                <w:sz w:val="20"/>
                <w:szCs w:val="20"/>
                <w:color w:val="auto"/>
              </w:rPr>
            </w:pPr>
            <w:r>
              <w:rPr>
                <w:rFonts w:ascii="Arial" w:cs="Arial" w:eastAsia="Arial" w:hAnsi="Arial"/>
                <w:sz w:val="18"/>
                <w:szCs w:val="18"/>
                <w:color w:val="auto"/>
              </w:rPr>
              <w:t>Steven L. Bernstein</w:t>
            </w:r>
          </w:p>
        </w:tc>
        <w:tc>
          <w:tcPr>
            <w:tcW w:w="3980" w:type="dxa"/>
            <w:vAlign w:val="bottom"/>
          </w:tcPr>
          <w:p>
            <w:pPr>
              <w:spacing w:after="0"/>
              <w:rPr>
                <w:sz w:val="16"/>
                <w:szCs w:val="16"/>
                <w:color w:val="auto"/>
              </w:rPr>
            </w:pPr>
          </w:p>
        </w:tc>
      </w:tr>
      <w:tr>
        <w:trPr>
          <w:trHeight w:val="230"/>
        </w:trPr>
        <w:tc>
          <w:tcPr>
            <w:tcW w:w="2900" w:type="dxa"/>
            <w:vAlign w:val="bottom"/>
          </w:tcPr>
          <w:p>
            <w:pPr>
              <w:ind w:left="600"/>
              <w:spacing w:after="0"/>
              <w:rPr>
                <w:sz w:val="20"/>
                <w:szCs w:val="20"/>
                <w:color w:val="auto"/>
              </w:rPr>
            </w:pPr>
            <w:r>
              <w:rPr>
                <w:rFonts w:ascii="Arial" w:cs="Arial" w:eastAsia="Arial" w:hAnsi="Arial"/>
                <w:sz w:val="18"/>
                <w:szCs w:val="18"/>
                <w:color w:val="auto"/>
              </w:rPr>
              <w:t>Chief Financial Officer</w:t>
            </w:r>
          </w:p>
        </w:tc>
        <w:tc>
          <w:tcPr>
            <w:tcW w:w="3980" w:type="dxa"/>
            <w:vAlign w:val="bottom"/>
          </w:tcPr>
          <w:p>
            <w:pPr>
              <w:spacing w:after="0"/>
              <w:rPr>
                <w:sz w:val="20"/>
                <w:szCs w:val="20"/>
                <w:color w:val="auto"/>
              </w:rPr>
            </w:pPr>
          </w:p>
        </w:tc>
      </w:tr>
    </w:tbl>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8"/>
          <w:szCs w:val="18"/>
          <w:b w:val="1"/>
          <w:bCs w:val="1"/>
          <w:color w:val="auto"/>
        </w:rPr>
        <w:t>.</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6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2019-12-29T02:35:47Z</dcterms:created>
  <dcterms:modified xsi:type="dcterms:W3CDTF">2019-12-29T02:35:47Z</dcterms:modified>
</cp:coreProperties>
</file>