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147955</wp:posOffset>
            </wp:positionH>
            <wp:positionV relativeFrom="page">
              <wp:posOffset>109220</wp:posOffset>
            </wp:positionV>
            <wp:extent cx="7266305" cy="35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305" cy="3556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3183255</wp:posOffset>
            </wp:positionH>
            <wp:positionV relativeFrom="paragraph">
              <wp:posOffset>189230</wp:posOffset>
            </wp:positionV>
            <wp:extent cx="8902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90270" cy="762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3183255</wp:posOffset>
            </wp:positionH>
            <wp:positionV relativeFrom="paragraph">
              <wp:posOffset>205105</wp:posOffset>
            </wp:positionV>
            <wp:extent cx="8902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9027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31" w:lineRule="exact"/>
        <w:rPr>
          <w:sz w:val="24"/>
          <w:szCs w:val="24"/>
          <w:color w:val="auto"/>
        </w:rPr>
      </w:pPr>
    </w:p>
    <w:p>
      <w:pPr>
        <w:ind w:left="4100" w:right="3140" w:hanging="3886"/>
        <w:spacing w:after="0" w:line="533" w:lineRule="auto"/>
        <w:tabs>
          <w:tab w:leader="none" w:pos="574"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QUARTERLY REPORT PURSUANT TO SECTION 13 or 15 (d) OF THE SECURITIES EXCHANGE ACT OF 1934 For the Quarterly Period ended </w:t>
      </w:r>
      <w:r>
        <w:rPr>
          <w:rFonts w:ascii="Arial" w:cs="Arial" w:eastAsia="Arial" w:hAnsi="Arial"/>
          <w:sz w:val="16"/>
          <w:szCs w:val="16"/>
          <w:b w:val="1"/>
          <w:bCs w:val="1"/>
          <w:u w:val="single" w:color="auto"/>
          <w:color w:val="auto"/>
        </w:rPr>
        <w:t>January 31, 2014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31" w:lineRule="exact"/>
        <w:rPr>
          <w:sz w:val="24"/>
          <w:szCs w:val="24"/>
          <w:color w:val="auto"/>
        </w:rPr>
      </w:pPr>
    </w:p>
    <w:p>
      <w:pPr>
        <w:ind w:left="3820" w:right="3120" w:hanging="3606"/>
        <w:spacing w:after="0" w:line="571" w:lineRule="auto"/>
        <w:tabs>
          <w:tab w:leader="none" w:pos="569" w:val="left"/>
        </w:tabs>
        <w:numPr>
          <w:ilvl w:val="0"/>
          <w:numId w:val="2"/>
        </w:numPr>
        <w:rPr>
          <w:rFonts w:ascii="Arial" w:cs="Arial" w:eastAsia="Arial" w:hAnsi="Arial"/>
          <w:sz w:val="15"/>
          <w:szCs w:val="15"/>
          <w:color w:val="auto"/>
        </w:rPr>
      </w:pPr>
      <w:r>
        <w:rPr>
          <w:rFonts w:ascii="Arial" w:cs="Arial" w:eastAsia="Arial" w:hAnsi="Arial"/>
          <w:sz w:val="15"/>
          <w:szCs w:val="15"/>
          <w:color w:val="auto"/>
        </w:rPr>
        <w:t>TRANSITION REPORT PURSUANT TO SECTION 13 or 15 (d) OF THE SECURITIES EXCHANGE ACT OF 1934 For the transition period from __________ to __________</w:t>
      </w:r>
    </w:p>
    <w:p>
      <w:pPr>
        <w:spacing w:after="0" w:line="1" w:lineRule="exact"/>
        <w:rPr>
          <w:rFonts w:ascii="Arial" w:cs="Arial" w:eastAsia="Arial" w:hAnsi="Arial"/>
          <w:sz w:val="15"/>
          <w:szCs w:val="15"/>
          <w:color w:val="auto"/>
        </w:rPr>
      </w:pPr>
    </w:p>
    <w:p>
      <w:pPr>
        <w:ind w:left="4780"/>
        <w:spacing w:after="0"/>
        <w:rPr>
          <w:rFonts w:ascii="Arial" w:cs="Arial" w:eastAsia="Arial" w:hAnsi="Arial"/>
          <w:sz w:val="15"/>
          <w:szCs w:val="15"/>
          <w:color w:val="auto"/>
        </w:rPr>
      </w:pPr>
      <w:r>
        <w:rPr>
          <w:rFonts w:ascii="Arial" w:cs="Arial" w:eastAsia="Arial" w:hAnsi="Arial"/>
          <w:sz w:val="16"/>
          <w:szCs w:val="16"/>
          <w:color w:val="auto"/>
        </w:rPr>
        <w:t>Commission File No. 1-8061</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FREQUENCY ELECTRONICS,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7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640" w:type="dxa"/>
            <w:vAlign w:val="bottom"/>
            <w:gridSpan w:val="5"/>
          </w:tcPr>
          <w:p>
            <w:pPr>
              <w:spacing w:after="0"/>
              <w:rPr>
                <w:sz w:val="20"/>
                <w:szCs w:val="20"/>
                <w:color w:val="auto"/>
              </w:rPr>
            </w:pPr>
            <w:r>
              <w:rPr>
                <w:rFonts w:ascii="Arial" w:cs="Arial" w:eastAsia="Arial" w:hAnsi="Arial"/>
                <w:sz w:val="16"/>
                <w:szCs w:val="16"/>
                <w:b w:val="1"/>
                <w:bCs w:val="1"/>
                <w:color w:val="auto"/>
              </w:rPr>
              <w:t>Delaware</w:t>
            </w:r>
          </w:p>
        </w:tc>
        <w:tc>
          <w:tcPr>
            <w:tcW w:w="1980" w:type="dxa"/>
            <w:vAlign w:val="bottom"/>
            <w:vMerge w:val="restart"/>
          </w:tcPr>
          <w:p>
            <w:pPr>
              <w:spacing w:after="0"/>
              <w:rPr>
                <w:sz w:val="16"/>
                <w:szCs w:val="16"/>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w w:val="88"/>
              </w:rPr>
              <w:t>11-1986657</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vMerge w:val="continue"/>
          </w:tcPr>
          <w:p>
            <w:pPr>
              <w:spacing w:after="0" w:line="20" w:lineRule="exact"/>
              <w:rPr>
                <w:sz w:val="1"/>
                <w:szCs w:val="1"/>
                <w:color w:val="auto"/>
              </w:rPr>
            </w:pPr>
          </w:p>
        </w:tc>
        <w:tc>
          <w:tcPr>
            <w:tcW w:w="780" w:type="dxa"/>
            <w:vAlign w:val="bottom"/>
            <w:gridSpan w:val="3"/>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20" w:type="dxa"/>
            <w:vAlign w:val="bottom"/>
          </w:tcPr>
          <w:p>
            <w:pPr>
              <w:spacing w:after="0"/>
              <w:rPr>
                <w:sz w:val="15"/>
                <w:szCs w:val="15"/>
                <w:color w:val="auto"/>
              </w:rPr>
            </w:pPr>
          </w:p>
        </w:tc>
        <w:tc>
          <w:tcPr>
            <w:tcW w:w="5480" w:type="dxa"/>
            <w:vAlign w:val="bottom"/>
            <w:gridSpan w:val="6"/>
          </w:tcPr>
          <w:p>
            <w:pPr>
              <w:jc w:val="center"/>
              <w:ind w:right="1240"/>
              <w:spacing w:after="0" w:line="174" w:lineRule="exact"/>
              <w:rPr>
                <w:sz w:val="20"/>
                <w:szCs w:val="20"/>
                <w:color w:val="auto"/>
              </w:rPr>
            </w:pPr>
            <w:r>
              <w:rPr>
                <w:rFonts w:ascii="Arial" w:cs="Arial" w:eastAsia="Arial" w:hAnsi="Arial"/>
                <w:sz w:val="16"/>
                <w:szCs w:val="16"/>
                <w:color w:val="auto"/>
                <w:w w:val="93"/>
              </w:rPr>
              <w:t>(State or other jurisdiction of</w:t>
            </w:r>
          </w:p>
        </w:tc>
        <w:tc>
          <w:tcPr>
            <w:tcW w:w="1980" w:type="dxa"/>
            <w:vAlign w:val="bottom"/>
            <w:vMerge w:val="continue"/>
          </w:tcPr>
          <w:p>
            <w:pPr>
              <w:spacing w:after="0"/>
              <w:rPr>
                <w:sz w:val="15"/>
                <w:szCs w:val="15"/>
                <w:color w:val="auto"/>
              </w:rPr>
            </w:pPr>
          </w:p>
        </w:tc>
        <w:tc>
          <w:tcPr>
            <w:tcW w:w="780" w:type="dxa"/>
            <w:vAlign w:val="bottom"/>
            <w:tcBorders>
              <w:bottom w:val="single" w:sz="8" w:color="auto"/>
            </w:tcBorders>
            <w:gridSpan w:val="3"/>
            <w:vMerge w:val="continue"/>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20" w:type="dxa"/>
            <w:vAlign w:val="bottom"/>
          </w:tcPr>
          <w:p>
            <w:pPr>
              <w:spacing w:after="0"/>
              <w:rPr>
                <w:sz w:val="18"/>
                <w:szCs w:val="18"/>
                <w:color w:val="auto"/>
              </w:rPr>
            </w:pPr>
          </w:p>
        </w:tc>
        <w:tc>
          <w:tcPr>
            <w:tcW w:w="5480" w:type="dxa"/>
            <w:vAlign w:val="bottom"/>
            <w:gridSpan w:val="6"/>
          </w:tcPr>
          <w:p>
            <w:pPr>
              <w:jc w:val="center"/>
              <w:ind w:right="1220"/>
              <w:spacing w:after="0"/>
              <w:rPr>
                <w:sz w:val="20"/>
                <w:szCs w:val="20"/>
                <w:color w:val="auto"/>
              </w:rPr>
            </w:pPr>
            <w:r>
              <w:rPr>
                <w:rFonts w:ascii="Arial" w:cs="Arial" w:eastAsia="Arial" w:hAnsi="Arial"/>
                <w:sz w:val="16"/>
                <w:szCs w:val="16"/>
                <w:color w:val="auto"/>
                <w:w w:val="93"/>
              </w:rPr>
              <w:t>incorporation or organization)</w:t>
            </w:r>
          </w:p>
        </w:tc>
        <w:tc>
          <w:tcPr>
            <w:tcW w:w="3540" w:type="dxa"/>
            <w:vAlign w:val="bottom"/>
            <w:gridSpan w:val="5"/>
          </w:tcPr>
          <w:p>
            <w:pPr>
              <w:jc w:val="center"/>
              <w:ind w:left="1119"/>
              <w:spacing w:after="0"/>
              <w:rPr>
                <w:sz w:val="20"/>
                <w:szCs w:val="20"/>
                <w:color w:val="auto"/>
              </w:rPr>
            </w:pPr>
            <w:r>
              <w:rPr>
                <w:rFonts w:ascii="Arial" w:cs="Arial" w:eastAsia="Arial" w:hAnsi="Arial"/>
                <w:sz w:val="16"/>
                <w:szCs w:val="16"/>
                <w:color w:val="auto"/>
                <w:w w:val="94"/>
              </w:rPr>
              <w:t>(I.R.S. Employer Identification No.)</w:t>
            </w:r>
          </w:p>
        </w:tc>
        <w:tc>
          <w:tcPr>
            <w:tcW w:w="0" w:type="dxa"/>
            <w:vAlign w:val="bottom"/>
          </w:tcPr>
          <w:p>
            <w:pPr>
              <w:spacing w:after="0"/>
              <w:rPr>
                <w:sz w:val="1"/>
                <w:szCs w:val="1"/>
                <w:color w:val="auto"/>
              </w:rPr>
            </w:pPr>
          </w:p>
        </w:tc>
      </w:tr>
      <w:tr>
        <w:trPr>
          <w:trHeight w:val="351"/>
        </w:trPr>
        <w:tc>
          <w:tcPr>
            <w:tcW w:w="6200" w:type="dxa"/>
            <w:vAlign w:val="bottom"/>
            <w:gridSpan w:val="7"/>
          </w:tcPr>
          <w:p>
            <w:pPr>
              <w:jc w:val="center"/>
              <w:ind w:right="480"/>
              <w:spacing w:after="0"/>
              <w:rPr>
                <w:sz w:val="20"/>
                <w:szCs w:val="20"/>
                <w:color w:val="auto"/>
              </w:rPr>
            </w:pPr>
            <w:r>
              <w:rPr>
                <w:rFonts w:ascii="Arial" w:cs="Arial" w:eastAsia="Arial" w:hAnsi="Arial"/>
                <w:sz w:val="16"/>
                <w:szCs w:val="16"/>
                <w:b w:val="1"/>
                <w:bCs w:val="1"/>
                <w:color w:val="auto"/>
              </w:rPr>
              <w:t>55 CHARLES LINDBERGH BLVD., MITCHEL FIELD, N.Y.</w:t>
            </w:r>
          </w:p>
        </w:tc>
        <w:tc>
          <w:tcPr>
            <w:tcW w:w="2760" w:type="dxa"/>
            <w:vAlign w:val="bottom"/>
            <w:gridSpan w:val="4"/>
          </w:tcPr>
          <w:p>
            <w:pPr>
              <w:jc w:val="right"/>
              <w:ind w:right="200"/>
              <w:spacing w:after="0"/>
              <w:rPr>
                <w:sz w:val="20"/>
                <w:szCs w:val="20"/>
                <w:color w:val="auto"/>
              </w:rPr>
            </w:pPr>
            <w:r>
              <w:rPr>
                <w:rFonts w:ascii="Arial" w:cs="Arial" w:eastAsia="Arial" w:hAnsi="Arial"/>
                <w:sz w:val="16"/>
                <w:szCs w:val="16"/>
                <w:b w:val="1"/>
                <w:bCs w:val="1"/>
                <w:color w:val="auto"/>
              </w:rPr>
              <w:t>11553</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640" w:type="dxa"/>
            <w:vAlign w:val="bottom"/>
            <w:gridSpan w:val="3"/>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 w:type="dxa"/>
            <w:vAlign w:val="bottom"/>
          </w:tcPr>
          <w:p>
            <w:pPr>
              <w:spacing w:after="0"/>
              <w:rPr>
                <w:sz w:val="18"/>
                <w:szCs w:val="18"/>
                <w:color w:val="auto"/>
              </w:rPr>
            </w:pPr>
          </w:p>
        </w:tc>
        <w:tc>
          <w:tcPr>
            <w:tcW w:w="4280" w:type="dxa"/>
            <w:vAlign w:val="bottom"/>
            <w:gridSpan w:val="5"/>
          </w:tcPr>
          <w:p>
            <w:pPr>
              <w:jc w:val="center"/>
              <w:spacing w:after="0"/>
              <w:rPr>
                <w:sz w:val="20"/>
                <w:szCs w:val="20"/>
                <w:color w:val="auto"/>
              </w:rPr>
            </w:pPr>
            <w:r>
              <w:rPr>
                <w:rFonts w:ascii="Arial" w:cs="Arial" w:eastAsia="Arial" w:hAnsi="Arial"/>
                <w:sz w:val="16"/>
                <w:szCs w:val="16"/>
                <w:color w:val="auto"/>
                <w:w w:val="93"/>
              </w:rPr>
              <w:t>(Address of principal executive offices)</w:t>
            </w:r>
          </w:p>
        </w:tc>
        <w:tc>
          <w:tcPr>
            <w:tcW w:w="1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60" w:type="dxa"/>
            <w:vAlign w:val="bottom"/>
            <w:gridSpan w:val="4"/>
          </w:tcPr>
          <w:p>
            <w:pPr>
              <w:jc w:val="center"/>
              <w:ind w:right="780"/>
              <w:spacing w:after="0"/>
              <w:rPr>
                <w:sz w:val="20"/>
                <w:szCs w:val="20"/>
                <w:color w:val="auto"/>
              </w:rPr>
            </w:pPr>
            <w:r>
              <w:rPr>
                <w:rFonts w:ascii="Arial" w:cs="Arial" w:eastAsia="Arial" w:hAnsi="Arial"/>
                <w:sz w:val="16"/>
                <w:szCs w:val="16"/>
                <w:color w:val="auto"/>
                <w:w w:val="92"/>
              </w:rPr>
              <w:t>(Zip Code)</w:t>
            </w:r>
          </w:p>
        </w:tc>
        <w:tc>
          <w:tcPr>
            <w:tcW w:w="0" w:type="dxa"/>
            <w:vAlign w:val="bottom"/>
          </w:tcPr>
          <w:p>
            <w:pPr>
              <w:spacing w:after="0"/>
              <w:rPr>
                <w:sz w:val="1"/>
                <w:szCs w:val="1"/>
                <w:color w:val="auto"/>
              </w:rPr>
            </w:pPr>
          </w:p>
        </w:tc>
      </w:tr>
      <w:tr>
        <w:trPr>
          <w:trHeight w:val="375"/>
        </w:trPr>
        <w:tc>
          <w:tcPr>
            <w:tcW w:w="6200" w:type="dxa"/>
            <w:vAlign w:val="bottom"/>
            <w:gridSpan w:val="7"/>
          </w:tcPr>
          <w:p>
            <w:pP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516-794-4500</w:t>
            </w: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4"/>
          <w:szCs w:val="24"/>
          <w:color w:val="auto"/>
        </w:rPr>
      </w:pPr>
    </w:p>
    <w:p>
      <w:pPr>
        <w:jc w:val="both"/>
        <w:ind w:right="20"/>
        <w:spacing w:after="0" w:line="35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o</w:t>
      </w:r>
    </w:p>
    <w:p>
      <w:pPr>
        <w:spacing w:after="0" w:line="105" w:lineRule="exact"/>
        <w:rPr>
          <w:sz w:val="24"/>
          <w:szCs w:val="24"/>
          <w:color w:val="auto"/>
        </w:rPr>
      </w:pPr>
    </w:p>
    <w:p>
      <w:pPr>
        <w:jc w:val="both"/>
        <w:ind w:right="20"/>
        <w:spacing w:after="0" w:line="266"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6" w:lineRule="exact"/>
        <w:rPr>
          <w:sz w:val="24"/>
          <w:szCs w:val="24"/>
          <w:color w:val="auto"/>
        </w:rPr>
      </w:pPr>
    </w:p>
    <w:p>
      <w:pPr>
        <w:jc w:val="both"/>
        <w:spacing w:after="0" w:line="28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40"/>
          </w:cols>
          <w:pgMar w:left="240" w:top="279" w:right="219" w:bottom="1440" w:gutter="0" w:footer="0" w:header="0"/>
        </w:sectPr>
      </w:pPr>
    </w:p>
    <w:p>
      <w:pPr>
        <w:spacing w:after="0" w:line="175"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o</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company)</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 x</w:t>
      </w:r>
    </w:p>
    <w:p>
      <w:pPr>
        <w:spacing w:after="0" w:line="621" w:lineRule="exact"/>
        <w:rPr>
          <w:sz w:val="24"/>
          <w:szCs w:val="24"/>
          <w:color w:val="auto"/>
        </w:rPr>
      </w:pPr>
    </w:p>
    <w:p>
      <w:pPr>
        <w:sectPr>
          <w:pgSz w:w="11900" w:h="16838" w:orient="portrait"/>
          <w:cols w:equalWidth="0" w:num="4">
            <w:col w:w="2120" w:space="720"/>
            <w:col w:w="2140" w:space="720"/>
            <w:col w:w="2280" w:space="580"/>
            <w:col w:w="2880"/>
          </w:cols>
          <w:pgMar w:left="240" w:top="279" w:right="219" w:bottom="1440" w:gutter="0" w:footer="0" w:header="0"/>
          <w:type w:val="continuous"/>
        </w:sectPr>
      </w:pP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o No x</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APPLICABLE ONLY TO CORPORATE ISSUERS:</w:t>
      </w:r>
    </w:p>
    <w:p>
      <w:pPr>
        <w:spacing w:after="0" w:line="227"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outstanding of Registrant's Common Stock, par value $1.00 as of March 10, 2014 – 8,552,456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440690</wp:posOffset>
            </wp:positionV>
            <wp:extent cx="7266305"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279"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49"/>
        </w:trPr>
        <w:tc>
          <w:tcPr>
            <w:tcW w:w="10640" w:type="dxa"/>
            <w:vAlign w:val="bottom"/>
            <w:gridSpan w:val="15"/>
          </w:tcPr>
          <w:p>
            <w:pPr>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tc>
        <w:tc>
          <w:tcPr>
            <w:tcW w:w="800" w:type="dxa"/>
            <w:vAlign w:val="bottom"/>
          </w:tcPr>
          <w:p>
            <w:pPr>
              <w:spacing w:after="0"/>
              <w:rPr>
                <w:sz w:val="13"/>
                <w:szCs w:val="13"/>
                <w:color w:val="auto"/>
              </w:rPr>
            </w:pPr>
          </w:p>
        </w:tc>
      </w:tr>
      <w:tr>
        <w:trPr>
          <w:trHeight w:val="403"/>
        </w:trPr>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20" w:type="dxa"/>
            <w:vAlign w:val="bottom"/>
            <w:gridSpan w:val="7"/>
          </w:tcPr>
          <w:p>
            <w:pPr>
              <w:jc w:val="center"/>
              <w:ind w:right="1620"/>
              <w:spacing w:after="0"/>
              <w:rPr>
                <w:sz w:val="20"/>
                <w:szCs w:val="20"/>
                <w:color w:val="auto"/>
              </w:rPr>
            </w:pPr>
            <w:r>
              <w:rPr>
                <w:rFonts w:ascii="Arial" w:cs="Arial" w:eastAsia="Arial" w:hAnsi="Arial"/>
                <w:sz w:val="16"/>
                <w:szCs w:val="16"/>
                <w:b w:val="1"/>
                <w:bCs w:val="1"/>
                <w:color w:val="auto"/>
              </w:rPr>
              <w:t>FREQUENCY ELECTRONICS, INC. and SUBSIDIARIES</w:t>
            </w:r>
          </w:p>
        </w:tc>
        <w:tc>
          <w:tcPr>
            <w:tcW w:w="800" w:type="dxa"/>
            <w:vAlign w:val="bottom"/>
          </w:tcPr>
          <w:p>
            <w:pPr>
              <w:spacing w:after="0"/>
              <w:rPr>
                <w:sz w:val="24"/>
                <w:szCs w:val="24"/>
                <w:color w:val="auto"/>
              </w:rPr>
            </w:pPr>
          </w:p>
        </w:tc>
      </w:tr>
      <w:tr>
        <w:trPr>
          <w:trHeight w:val="387"/>
        </w:trPr>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860" w:type="dxa"/>
            <w:vAlign w:val="bottom"/>
            <w:gridSpan w:val="6"/>
          </w:tcPr>
          <w:p>
            <w:pPr>
              <w:jc w:val="center"/>
              <w:ind w:right="3980"/>
              <w:spacing w:after="0"/>
              <w:rPr>
                <w:sz w:val="20"/>
                <w:szCs w:val="20"/>
                <w:color w:val="auto"/>
              </w:rPr>
            </w:pPr>
            <w:r>
              <w:rPr>
                <w:rFonts w:ascii="Arial" w:cs="Arial" w:eastAsia="Arial" w:hAnsi="Arial"/>
                <w:sz w:val="16"/>
                <w:szCs w:val="16"/>
                <w:color w:val="auto"/>
                <w:w w:val="96"/>
              </w:rPr>
              <w:t>TABLE OF CONTENTS</w:t>
            </w:r>
          </w:p>
        </w:tc>
        <w:tc>
          <w:tcPr>
            <w:tcW w:w="800" w:type="dxa"/>
            <w:vAlign w:val="bottom"/>
          </w:tcPr>
          <w:p>
            <w:pPr>
              <w:spacing w:after="0"/>
              <w:rPr>
                <w:sz w:val="24"/>
                <w:szCs w:val="24"/>
                <w:color w:val="auto"/>
              </w:rPr>
            </w:pPr>
          </w:p>
        </w:tc>
      </w:tr>
      <w:tr>
        <w:trPr>
          <w:trHeight w:val="391"/>
        </w:trPr>
        <w:tc>
          <w:tcPr>
            <w:tcW w:w="10640" w:type="dxa"/>
            <w:vAlign w:val="bottom"/>
            <w:gridSpan w:val="15"/>
          </w:tcPr>
          <w:p>
            <w:pPr>
              <w:spacing w:after="0"/>
              <w:rPr>
                <w:sz w:val="20"/>
                <w:szCs w:val="20"/>
                <w:color w:val="auto"/>
              </w:rPr>
            </w:pPr>
            <w:r>
              <w:rPr>
                <w:rFonts w:ascii="Arial" w:cs="Arial" w:eastAsia="Arial" w:hAnsi="Arial"/>
                <w:sz w:val="16"/>
                <w:szCs w:val="16"/>
                <w:b w:val="1"/>
                <w:bCs w:val="1"/>
                <w:color w:val="auto"/>
              </w:rPr>
              <w:t>Part I. Financial Information:</w:t>
            </w: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w w:val="99"/>
              </w:rPr>
              <w:t>Page No.</w:t>
            </w:r>
          </w:p>
        </w:tc>
      </w:tr>
      <w:tr>
        <w:trPr>
          <w:trHeight w:val="351"/>
        </w:trPr>
        <w:tc>
          <w:tcPr>
            <w:tcW w:w="280" w:type="dxa"/>
            <w:vAlign w:val="bottom"/>
          </w:tcPr>
          <w:p>
            <w:pPr>
              <w:spacing w:after="0"/>
              <w:rPr>
                <w:sz w:val="24"/>
                <w:szCs w:val="24"/>
                <w:color w:val="auto"/>
              </w:rPr>
            </w:pPr>
          </w:p>
        </w:tc>
        <w:tc>
          <w:tcPr>
            <w:tcW w:w="10360" w:type="dxa"/>
            <w:vAlign w:val="bottom"/>
            <w:gridSpan w:val="14"/>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Item 1 - Financial Statements:</w:t>
              </w:r>
            </w:hyperlink>
          </w:p>
        </w:tc>
        <w:tc>
          <w:tcPr>
            <w:tcW w:w="800" w:type="dxa"/>
            <w:vAlign w:val="bottom"/>
          </w:tcPr>
          <w:p>
            <w:pPr>
              <w:jc w:val="center"/>
              <w:spacing w:after="0"/>
              <w:rPr>
                <w:sz w:val="20"/>
                <w:szCs w:val="20"/>
                <w:color w:val="auto"/>
              </w:rPr>
            </w:pPr>
            <w:r>
              <w:rPr>
                <w:rFonts w:ascii="Arial" w:cs="Arial" w:eastAsia="Arial" w:hAnsi="Arial"/>
                <w:sz w:val="16"/>
                <w:szCs w:val="16"/>
                <w:color w:val="auto"/>
                <w:w w:val="89"/>
              </w:rPr>
              <w:t>3</w:t>
            </w:r>
          </w:p>
        </w:tc>
      </w:tr>
      <w:tr>
        <w:trPr>
          <w:trHeight w:val="20"/>
        </w:trPr>
        <w:tc>
          <w:tcPr>
            <w:tcW w:w="2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67"/>
        </w:trPr>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00" w:type="dxa"/>
            <w:vAlign w:val="bottom"/>
            <w:tcBorders>
              <w:bottom w:val="single" w:sz="8" w:color="0000EE"/>
            </w:tcBorders>
            <w:gridSpan w:val="8"/>
          </w:tcPr>
          <w:p>
            <w:pPr>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Condensed Consolidated Balance Sheets - January 31, 2014 (unaudited) and April 30, 2013</w:t>
              </w:r>
            </w:hyperlink>
          </w:p>
        </w:tc>
        <w:tc>
          <w:tcPr>
            <w:tcW w:w="4300" w:type="dxa"/>
            <w:vAlign w:val="bottom"/>
            <w:gridSpan w:val="5"/>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3</w:t>
            </w:r>
          </w:p>
        </w:tc>
      </w:tr>
      <w:tr>
        <w:trPr>
          <w:trHeight w:val="367"/>
        </w:trPr>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0" w:type="dxa"/>
            <w:vAlign w:val="bottom"/>
            <w:tcBorders>
              <w:bottom w:val="single" w:sz="8" w:color="0000EE"/>
            </w:tcBorders>
            <w:gridSpan w:val="11"/>
          </w:tcPr>
          <w:p>
            <w:pPr>
              <w:spacing w:after="0"/>
              <w:rPr>
                <w:rFonts w:ascii="Arial" w:cs="Arial" w:eastAsia="Arial" w:hAnsi="Arial"/>
                <w:sz w:val="16"/>
                <w:szCs w:val="16"/>
                <w:color w:val="0000EE"/>
                <w:w w:val="90"/>
              </w:rPr>
            </w:pPr>
            <w:hyperlink w:anchor="page4">
              <w:r>
                <w:rPr>
                  <w:rFonts w:ascii="Arial" w:cs="Arial" w:eastAsia="Arial" w:hAnsi="Arial"/>
                  <w:sz w:val="16"/>
                  <w:szCs w:val="16"/>
                  <w:color w:val="0000EE"/>
                  <w:w w:val="90"/>
                </w:rPr>
                <w:t>Condensed Consolidated Statements of Income and Comprehensive Income (unaudited) Nine Months Ended January 31, 2014 and 2013</w:t>
              </w:r>
            </w:hyperlink>
          </w:p>
        </w:tc>
        <w:tc>
          <w:tcPr>
            <w:tcW w:w="1400" w:type="dxa"/>
            <w:vAlign w:val="bottom"/>
            <w:gridSpan w:val="2"/>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4</w:t>
            </w:r>
          </w:p>
        </w:tc>
      </w:tr>
      <w:tr>
        <w:trPr>
          <w:trHeight w:val="367"/>
        </w:trPr>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60" w:type="dxa"/>
            <w:vAlign w:val="bottom"/>
            <w:tcBorders>
              <w:bottom w:val="single" w:sz="8" w:color="0000EE"/>
            </w:tcBorders>
            <w:gridSpan w:val="12"/>
          </w:tcPr>
          <w:p>
            <w:pPr>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Condensed Consolidated Statements of Income and Comprehensive Income (unaudited) Three Months Ended January 31, 2014 and 2013</w:t>
              </w:r>
            </w:hyperlink>
          </w:p>
        </w:tc>
        <w:tc>
          <w:tcPr>
            <w:tcW w:w="13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5</w:t>
            </w:r>
          </w:p>
        </w:tc>
      </w:tr>
      <w:tr>
        <w:trPr>
          <w:trHeight w:val="367"/>
        </w:trPr>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20" w:type="dxa"/>
            <w:vAlign w:val="bottom"/>
            <w:tcBorders>
              <w:bottom w:val="single" w:sz="8" w:color="0000EE"/>
            </w:tcBorders>
            <w:gridSpan w:val="10"/>
          </w:tcPr>
          <w:p>
            <w:pPr>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Condensed Consolidated Statements of Cash Flows (unaudited) Nine Months Ended January 31, 2014 and 2013</w:t>
              </w:r>
            </w:hyperlink>
          </w:p>
        </w:tc>
        <w:tc>
          <w:tcPr>
            <w:tcW w:w="2980" w:type="dxa"/>
            <w:vAlign w:val="bottom"/>
            <w:gridSpan w:val="3"/>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6</w:t>
            </w:r>
          </w:p>
        </w:tc>
      </w:tr>
      <w:tr>
        <w:trPr>
          <w:trHeight w:val="367"/>
        </w:trPr>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0" w:type="dxa"/>
            <w:vAlign w:val="bottom"/>
            <w:gridSpan w:val="13"/>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Notes to Condensed Consolidated Financial Statements (unaudited)</w:t>
              </w:r>
            </w:hyperlink>
          </w:p>
        </w:tc>
        <w:tc>
          <w:tcPr>
            <w:tcW w:w="800" w:type="dxa"/>
            <w:vAlign w:val="bottom"/>
          </w:tcPr>
          <w:p>
            <w:pPr>
              <w:jc w:val="center"/>
              <w:spacing w:after="0"/>
              <w:rPr>
                <w:sz w:val="20"/>
                <w:szCs w:val="20"/>
                <w:color w:val="auto"/>
              </w:rPr>
            </w:pPr>
            <w:r>
              <w:rPr>
                <w:rFonts w:ascii="Arial" w:cs="Arial" w:eastAsia="Arial" w:hAnsi="Arial"/>
                <w:sz w:val="16"/>
                <w:szCs w:val="16"/>
                <w:color w:val="auto"/>
                <w:w w:val="87"/>
              </w:rPr>
              <w:t>7-12</w:t>
            </w:r>
          </w:p>
        </w:tc>
      </w:tr>
      <w:tr>
        <w:trPr>
          <w:trHeight w:val="20"/>
        </w:trPr>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360" w:type="dxa"/>
            <w:vAlign w:val="bottom"/>
            <w:tcBorders>
              <w:right w:val="single" w:sz="8" w:color="0000EE"/>
            </w:tcBorders>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67"/>
        </w:trPr>
        <w:tc>
          <w:tcPr>
            <w:tcW w:w="280" w:type="dxa"/>
            <w:vAlign w:val="bottom"/>
          </w:tcPr>
          <w:p>
            <w:pPr>
              <w:spacing w:after="0"/>
              <w:rPr>
                <w:sz w:val="24"/>
                <w:szCs w:val="24"/>
                <w:color w:val="auto"/>
              </w:rPr>
            </w:pPr>
          </w:p>
        </w:tc>
        <w:tc>
          <w:tcPr>
            <w:tcW w:w="440" w:type="dxa"/>
            <w:vAlign w:val="bottom"/>
            <w:gridSpan w:val="2"/>
          </w:tcPr>
          <w:p>
            <w:pPr>
              <w:spacing w:after="0"/>
              <w:rPr>
                <w:rFonts w:ascii="Arial" w:cs="Arial" w:eastAsia="Arial" w:hAnsi="Arial"/>
                <w:sz w:val="16"/>
                <w:szCs w:val="16"/>
                <w:color w:val="0000EE"/>
                <w:w w:val="94"/>
              </w:rPr>
            </w:pPr>
            <w:hyperlink w:anchor="page13">
              <w:r>
                <w:rPr>
                  <w:rFonts w:ascii="Arial" w:cs="Arial" w:eastAsia="Arial" w:hAnsi="Arial"/>
                  <w:sz w:val="16"/>
                  <w:szCs w:val="16"/>
                  <w:color w:val="0000EE"/>
                  <w:w w:val="94"/>
                </w:rPr>
                <w:t>Item 2</w:t>
              </w:r>
            </w:hyperlink>
          </w:p>
        </w:tc>
        <w:tc>
          <w:tcPr>
            <w:tcW w:w="9920" w:type="dxa"/>
            <w:vAlign w:val="bottom"/>
            <w:gridSpan w:val="12"/>
          </w:tcPr>
          <w:p>
            <w:pPr>
              <w:ind w:left="20"/>
              <w:spacing w:after="0"/>
              <w:rPr>
                <w:rFonts w:ascii="Arial" w:cs="Arial" w:eastAsia="Arial" w:hAnsi="Arial"/>
                <w:sz w:val="16"/>
                <w:szCs w:val="16"/>
                <w:color w:val="0000EE"/>
              </w:rPr>
            </w:pPr>
            <w:hyperlink w:anchor="page13">
              <w:r>
                <w:rPr>
                  <w:rFonts w:ascii="Arial" w:cs="Arial" w:eastAsia="Arial" w:hAnsi="Arial"/>
                  <w:sz w:val="16"/>
                  <w:szCs w:val="16"/>
                  <w:color w:val="0000EE"/>
                </w:rPr>
                <w:t>- Management's Discussion and Analysis of Financial Condition and Results of Operations</w:t>
              </w:r>
            </w:hyperlink>
          </w:p>
        </w:tc>
        <w:tc>
          <w:tcPr>
            <w:tcW w:w="800" w:type="dxa"/>
            <w:vAlign w:val="bottom"/>
          </w:tcPr>
          <w:p>
            <w:pPr>
              <w:jc w:val="center"/>
              <w:spacing w:after="0"/>
              <w:rPr>
                <w:sz w:val="20"/>
                <w:szCs w:val="20"/>
                <w:color w:val="auto"/>
              </w:rPr>
            </w:pPr>
            <w:r>
              <w:rPr>
                <w:rFonts w:ascii="Arial" w:cs="Arial" w:eastAsia="Arial" w:hAnsi="Arial"/>
                <w:sz w:val="16"/>
                <w:szCs w:val="16"/>
                <w:color w:val="auto"/>
                <w:w w:val="87"/>
              </w:rPr>
              <w:t>13-20</w:t>
            </w:r>
          </w:p>
        </w:tc>
      </w:tr>
      <w:tr>
        <w:trPr>
          <w:trHeight w:val="367"/>
        </w:trPr>
        <w:tc>
          <w:tcPr>
            <w:tcW w:w="280" w:type="dxa"/>
            <w:vAlign w:val="bottom"/>
          </w:tcPr>
          <w:p>
            <w:pPr>
              <w:spacing w:after="0"/>
              <w:rPr>
                <w:sz w:val="24"/>
                <w:szCs w:val="24"/>
                <w:color w:val="auto"/>
              </w:rPr>
            </w:pPr>
          </w:p>
        </w:tc>
        <w:tc>
          <w:tcPr>
            <w:tcW w:w="440" w:type="dxa"/>
            <w:vAlign w:val="bottom"/>
            <w:tcBorders>
              <w:top w:val="single" w:sz="8" w:color="0000EE"/>
              <w:bottom w:val="single" w:sz="8" w:color="0000EE"/>
            </w:tcBorders>
            <w:gridSpan w:val="2"/>
          </w:tcPr>
          <w:p>
            <w:pPr>
              <w:spacing w:after="0"/>
              <w:rPr>
                <w:rFonts w:ascii="Arial" w:cs="Arial" w:eastAsia="Arial" w:hAnsi="Arial"/>
                <w:sz w:val="16"/>
                <w:szCs w:val="16"/>
                <w:color w:val="0000EE"/>
                <w:w w:val="94"/>
              </w:rPr>
            </w:pPr>
            <w:hyperlink w:anchor="page20">
              <w:r>
                <w:rPr>
                  <w:rFonts w:ascii="Arial" w:cs="Arial" w:eastAsia="Arial" w:hAnsi="Arial"/>
                  <w:sz w:val="16"/>
                  <w:szCs w:val="16"/>
                  <w:color w:val="0000EE"/>
                  <w:w w:val="94"/>
                </w:rPr>
                <w:t>Item 3</w:t>
              </w:r>
            </w:hyperlink>
          </w:p>
        </w:tc>
        <w:tc>
          <w:tcPr>
            <w:tcW w:w="4060" w:type="dxa"/>
            <w:vAlign w:val="bottom"/>
            <w:tcBorders>
              <w:top w:val="single" w:sz="8" w:color="0000EE"/>
              <w:bottom w:val="single" w:sz="8" w:color="0000EE"/>
            </w:tcBorders>
            <w:gridSpan w:val="6"/>
          </w:tcPr>
          <w:p>
            <w:pPr>
              <w:ind w:left="20"/>
              <w:spacing w:after="0"/>
              <w:rPr>
                <w:rFonts w:ascii="Arial" w:cs="Arial" w:eastAsia="Arial" w:hAnsi="Arial"/>
                <w:sz w:val="16"/>
                <w:szCs w:val="16"/>
                <w:color w:val="0000EE"/>
                <w:w w:val="93"/>
              </w:rPr>
            </w:pPr>
            <w:hyperlink w:anchor="page20">
              <w:r>
                <w:rPr>
                  <w:rFonts w:ascii="Arial" w:cs="Arial" w:eastAsia="Arial" w:hAnsi="Arial"/>
                  <w:sz w:val="16"/>
                  <w:szCs w:val="16"/>
                  <w:color w:val="0000EE"/>
                  <w:w w:val="93"/>
                </w:rPr>
                <w:t>- Quantitative and Qualitative Disclosures About Market Risk</w:t>
              </w:r>
            </w:hyperlink>
          </w:p>
        </w:tc>
        <w:tc>
          <w:tcPr>
            <w:tcW w:w="1820" w:type="dxa"/>
            <w:vAlign w:val="bottom"/>
            <w:tcBorders>
              <w:top w:val="single" w:sz="8" w:color="0000EE"/>
            </w:tcBorders>
            <w:gridSpan w:val="2"/>
          </w:tcPr>
          <w:p>
            <w:pPr>
              <w:spacing w:after="0"/>
              <w:rPr>
                <w:sz w:val="24"/>
                <w:szCs w:val="24"/>
                <w:color w:val="auto"/>
              </w:rPr>
            </w:pPr>
          </w:p>
        </w:tc>
        <w:tc>
          <w:tcPr>
            <w:tcW w:w="4040" w:type="dxa"/>
            <w:vAlign w:val="bottom"/>
            <w:gridSpan w:val="4"/>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20</w:t>
            </w:r>
          </w:p>
        </w:tc>
      </w:tr>
      <w:tr>
        <w:trPr>
          <w:trHeight w:val="367"/>
        </w:trPr>
        <w:tc>
          <w:tcPr>
            <w:tcW w:w="280" w:type="dxa"/>
            <w:vAlign w:val="bottom"/>
          </w:tcPr>
          <w:p>
            <w:pPr>
              <w:spacing w:after="0"/>
              <w:rPr>
                <w:sz w:val="24"/>
                <w:szCs w:val="24"/>
                <w:color w:val="auto"/>
              </w:rPr>
            </w:pPr>
          </w:p>
        </w:tc>
        <w:tc>
          <w:tcPr>
            <w:tcW w:w="440" w:type="dxa"/>
            <w:vAlign w:val="bottom"/>
            <w:gridSpan w:val="2"/>
          </w:tcPr>
          <w:p>
            <w:pPr>
              <w:spacing w:after="0"/>
              <w:rPr>
                <w:rFonts w:ascii="Arial" w:cs="Arial" w:eastAsia="Arial" w:hAnsi="Arial"/>
                <w:sz w:val="16"/>
                <w:szCs w:val="16"/>
                <w:color w:val="0000EE"/>
                <w:w w:val="94"/>
              </w:rPr>
            </w:pPr>
            <w:hyperlink w:anchor="page20">
              <w:r>
                <w:rPr>
                  <w:rFonts w:ascii="Arial" w:cs="Arial" w:eastAsia="Arial" w:hAnsi="Arial"/>
                  <w:sz w:val="16"/>
                  <w:szCs w:val="16"/>
                  <w:color w:val="0000EE"/>
                  <w:w w:val="94"/>
                </w:rPr>
                <w:t>Item 4</w:t>
              </w:r>
            </w:hyperlink>
          </w:p>
        </w:tc>
        <w:tc>
          <w:tcPr>
            <w:tcW w:w="9920" w:type="dxa"/>
            <w:vAlign w:val="bottom"/>
            <w:gridSpan w:val="12"/>
          </w:tcPr>
          <w:p>
            <w:pPr>
              <w:ind w:left="20"/>
              <w:spacing w:after="0"/>
              <w:rPr>
                <w:rFonts w:ascii="Arial" w:cs="Arial" w:eastAsia="Arial" w:hAnsi="Arial"/>
                <w:sz w:val="16"/>
                <w:szCs w:val="16"/>
                <w:color w:val="0000EE"/>
              </w:rPr>
            </w:pPr>
            <w:hyperlink w:anchor="page20">
              <w:r>
                <w:rPr>
                  <w:rFonts w:ascii="Arial" w:cs="Arial" w:eastAsia="Arial" w:hAnsi="Arial"/>
                  <w:sz w:val="16"/>
                  <w:szCs w:val="16"/>
                  <w:color w:val="0000EE"/>
                </w:rPr>
                <w:t>- Controls and Procedures</w:t>
              </w:r>
            </w:hyperlink>
          </w:p>
        </w:tc>
        <w:tc>
          <w:tcPr>
            <w:tcW w:w="800" w:type="dxa"/>
            <w:vAlign w:val="bottom"/>
          </w:tcPr>
          <w:p>
            <w:pPr>
              <w:jc w:val="center"/>
              <w:spacing w:after="0"/>
              <w:rPr>
                <w:sz w:val="20"/>
                <w:szCs w:val="20"/>
                <w:color w:val="auto"/>
              </w:rPr>
            </w:pPr>
            <w:r>
              <w:rPr>
                <w:rFonts w:ascii="Arial" w:cs="Arial" w:eastAsia="Arial" w:hAnsi="Arial"/>
                <w:sz w:val="16"/>
                <w:szCs w:val="16"/>
                <w:color w:val="auto"/>
                <w:w w:val="89"/>
              </w:rPr>
              <w:t>20</w:t>
            </w:r>
          </w:p>
        </w:tc>
      </w:tr>
      <w:tr>
        <w:trPr>
          <w:trHeight w:val="20"/>
        </w:trPr>
        <w:tc>
          <w:tcPr>
            <w:tcW w:w="280" w:type="dxa"/>
            <w:vAlign w:val="bottom"/>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22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03"/>
        </w:trPr>
        <w:tc>
          <w:tcPr>
            <w:tcW w:w="10640" w:type="dxa"/>
            <w:vAlign w:val="bottom"/>
            <w:gridSpan w:val="15"/>
          </w:tcPr>
          <w:p>
            <w:pPr>
              <w:spacing w:after="0"/>
              <w:rPr>
                <w:sz w:val="20"/>
                <w:szCs w:val="20"/>
                <w:color w:val="auto"/>
              </w:rPr>
            </w:pPr>
            <w:r>
              <w:rPr>
                <w:rFonts w:ascii="Arial" w:cs="Arial" w:eastAsia="Arial" w:hAnsi="Arial"/>
                <w:sz w:val="16"/>
                <w:szCs w:val="16"/>
                <w:b w:val="1"/>
                <w:bCs w:val="1"/>
                <w:color w:val="auto"/>
              </w:rPr>
              <w:t>Part II. Other Information:</w:t>
            </w:r>
          </w:p>
        </w:tc>
        <w:tc>
          <w:tcPr>
            <w:tcW w:w="800" w:type="dxa"/>
            <w:vAlign w:val="bottom"/>
          </w:tcPr>
          <w:p>
            <w:pPr>
              <w:spacing w:after="0"/>
              <w:rPr>
                <w:sz w:val="24"/>
                <w:szCs w:val="24"/>
                <w:color w:val="auto"/>
              </w:rPr>
            </w:pPr>
          </w:p>
        </w:tc>
      </w:tr>
      <w:tr>
        <w:trPr>
          <w:trHeight w:val="351"/>
        </w:trPr>
        <w:tc>
          <w:tcPr>
            <w:tcW w:w="280" w:type="dxa"/>
            <w:vAlign w:val="bottom"/>
          </w:tcPr>
          <w:p>
            <w:pPr>
              <w:spacing w:after="0"/>
              <w:rPr>
                <w:sz w:val="24"/>
                <w:szCs w:val="24"/>
                <w:color w:val="auto"/>
              </w:rPr>
            </w:pPr>
          </w:p>
        </w:tc>
        <w:tc>
          <w:tcPr>
            <w:tcW w:w="440" w:type="dxa"/>
            <w:vAlign w:val="bottom"/>
            <w:tcBorders>
              <w:bottom w:val="single" w:sz="8" w:color="0000EE"/>
            </w:tcBorders>
            <w:gridSpan w:val="2"/>
          </w:tcPr>
          <w:p>
            <w:pPr>
              <w:spacing w:after="0"/>
              <w:rPr>
                <w:rFonts w:ascii="Arial" w:cs="Arial" w:eastAsia="Arial" w:hAnsi="Arial"/>
                <w:sz w:val="16"/>
                <w:szCs w:val="16"/>
                <w:color w:val="0000EE"/>
                <w:w w:val="94"/>
              </w:rPr>
            </w:pPr>
            <w:hyperlink w:anchor="page21">
              <w:r>
                <w:rPr>
                  <w:rFonts w:ascii="Arial" w:cs="Arial" w:eastAsia="Arial" w:hAnsi="Arial"/>
                  <w:sz w:val="16"/>
                  <w:szCs w:val="16"/>
                  <w:color w:val="0000EE"/>
                  <w:w w:val="94"/>
                </w:rPr>
                <w:t>Item 6</w:t>
              </w:r>
            </w:hyperlink>
          </w:p>
        </w:tc>
        <w:tc>
          <w:tcPr>
            <w:tcW w:w="660" w:type="dxa"/>
            <w:vAlign w:val="bottom"/>
            <w:tcBorders>
              <w:bottom w:val="single" w:sz="8" w:color="0000EE"/>
            </w:tcBorders>
            <w:gridSpan w:val="3"/>
          </w:tcPr>
          <w:p>
            <w:pPr>
              <w:ind w:left="20"/>
              <w:spacing w:after="0"/>
              <w:rPr>
                <w:rFonts w:ascii="Arial" w:cs="Arial" w:eastAsia="Arial" w:hAnsi="Arial"/>
                <w:sz w:val="16"/>
                <w:szCs w:val="16"/>
                <w:color w:val="0000EE"/>
                <w:w w:val="94"/>
              </w:rPr>
            </w:pPr>
            <w:hyperlink w:anchor="page21">
              <w:r>
                <w:rPr>
                  <w:rFonts w:ascii="Arial" w:cs="Arial" w:eastAsia="Arial" w:hAnsi="Arial"/>
                  <w:sz w:val="16"/>
                  <w:szCs w:val="16"/>
                  <w:color w:val="0000EE"/>
                  <w:w w:val="94"/>
                </w:rPr>
                <w:t>- Exhibits</w:t>
              </w:r>
            </w:hyperlink>
          </w:p>
        </w:tc>
        <w:tc>
          <w:tcPr>
            <w:tcW w:w="9260" w:type="dxa"/>
            <w:vAlign w:val="bottom"/>
            <w:gridSpan w:val="9"/>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21</w:t>
            </w:r>
          </w:p>
        </w:tc>
      </w:tr>
      <w:tr>
        <w:trPr>
          <w:trHeight w:val="367"/>
        </w:trPr>
        <w:tc>
          <w:tcPr>
            <w:tcW w:w="280" w:type="dxa"/>
            <w:vAlign w:val="bottom"/>
          </w:tcPr>
          <w:p>
            <w:pPr>
              <w:spacing w:after="0"/>
              <w:rPr>
                <w:sz w:val="24"/>
                <w:szCs w:val="24"/>
                <w:color w:val="auto"/>
              </w:rPr>
            </w:pPr>
          </w:p>
        </w:tc>
        <w:tc>
          <w:tcPr>
            <w:tcW w:w="10360" w:type="dxa"/>
            <w:vAlign w:val="bottom"/>
            <w:gridSpan w:val="14"/>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Signatures</w:t>
              </w:r>
            </w:hyperlink>
          </w:p>
        </w:tc>
        <w:tc>
          <w:tcPr>
            <w:tcW w:w="800" w:type="dxa"/>
            <w:vAlign w:val="bottom"/>
          </w:tcPr>
          <w:p>
            <w:pPr>
              <w:jc w:val="center"/>
              <w:spacing w:after="0"/>
              <w:rPr>
                <w:sz w:val="20"/>
                <w:szCs w:val="20"/>
                <w:color w:val="auto"/>
              </w:rPr>
            </w:pPr>
            <w:r>
              <w:rPr>
                <w:rFonts w:ascii="Arial" w:cs="Arial" w:eastAsia="Arial" w:hAnsi="Arial"/>
                <w:sz w:val="16"/>
                <w:szCs w:val="16"/>
                <w:color w:val="auto"/>
                <w:w w:val="89"/>
              </w:rPr>
              <w:t>22</w:t>
            </w:r>
          </w:p>
        </w:tc>
      </w:tr>
      <w:tr>
        <w:trPr>
          <w:trHeight w:val="883"/>
        </w:trPr>
        <w:tc>
          <w:tcPr>
            <w:tcW w:w="280" w:type="dxa"/>
            <w:vAlign w:val="bottom"/>
            <w:tcBorders>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280" w:type="dxa"/>
            <w:vAlign w:val="bottom"/>
            <w:tcBorders>
              <w:top w:val="single" w:sz="8" w:color="0000EE"/>
              <w:bottom w:val="single" w:sz="8" w:color="808080"/>
            </w:tcBorders>
          </w:tcPr>
          <w:p>
            <w:pPr>
              <w:spacing w:after="0"/>
              <w:rPr>
                <w:sz w:val="24"/>
                <w:szCs w:val="24"/>
                <w:color w:val="auto"/>
              </w:rPr>
            </w:pPr>
          </w:p>
        </w:tc>
        <w:tc>
          <w:tcPr>
            <w:tcW w:w="20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-13335</wp:posOffset>
            </wp:positionV>
            <wp:extent cx="127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49"/>
        </w:trPr>
        <w:tc>
          <w:tcPr>
            <w:tcW w:w="7920" w:type="dxa"/>
            <w:vAlign w:val="bottom"/>
            <w:gridSpan w:val="5"/>
          </w:tcPr>
          <w:p>
            <w:pPr>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5840" w:type="dxa"/>
            <w:vAlign w:val="bottom"/>
          </w:tcPr>
          <w:p>
            <w:pPr>
              <w:jc w:val="center"/>
              <w:ind w:left="739"/>
              <w:spacing w:after="0"/>
              <w:rPr>
                <w:sz w:val="20"/>
                <w:szCs w:val="20"/>
                <w:color w:val="auto"/>
              </w:rPr>
            </w:pPr>
            <w:r>
              <w:rPr>
                <w:rFonts w:ascii="Arial" w:cs="Arial" w:eastAsia="Arial" w:hAnsi="Arial"/>
                <w:sz w:val="16"/>
                <w:szCs w:val="16"/>
                <w:b w:val="1"/>
                <w:bCs w:val="1"/>
                <w:color w:val="auto"/>
              </w:rPr>
              <w:t>PART I. FINANCIAL INFORMATION</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7920" w:type="dxa"/>
            <w:vAlign w:val="bottom"/>
            <w:gridSpan w:val="5"/>
          </w:tcPr>
          <w:p>
            <w:pPr>
              <w:spacing w:after="0"/>
              <w:rPr>
                <w:sz w:val="20"/>
                <w:szCs w:val="20"/>
                <w:color w:val="auto"/>
              </w:rPr>
            </w:pPr>
            <w:r>
              <w:rPr>
                <w:rFonts w:ascii="Arial" w:cs="Arial" w:eastAsia="Arial" w:hAnsi="Arial"/>
                <w:sz w:val="16"/>
                <w:szCs w:val="16"/>
                <w:b w:val="1"/>
                <w:bCs w:val="1"/>
                <w:color w:val="auto"/>
              </w:rPr>
              <w:t>Item 1.  Financial Statements</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5840" w:type="dxa"/>
            <w:vAlign w:val="bottom"/>
          </w:tcPr>
          <w:p>
            <w:pPr>
              <w:jc w:val="center"/>
              <w:ind w:left="759"/>
              <w:spacing w:after="0"/>
              <w:rPr>
                <w:sz w:val="20"/>
                <w:szCs w:val="20"/>
                <w:color w:val="auto"/>
              </w:rPr>
            </w:pPr>
            <w:r>
              <w:rPr>
                <w:rFonts w:ascii="Arial" w:cs="Arial" w:eastAsia="Arial" w:hAnsi="Arial"/>
                <w:sz w:val="16"/>
                <w:szCs w:val="16"/>
                <w:b w:val="1"/>
                <w:bCs w:val="1"/>
                <w:color w:val="auto"/>
              </w:rPr>
              <w:t>FREQUENCY ELECTRONICS, INC. and SUBSIDIARIES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40" w:type="dxa"/>
            <w:vAlign w:val="bottom"/>
          </w:tcPr>
          <w:p>
            <w:pPr>
              <w:jc w:val="center"/>
              <w:ind w:left="759"/>
              <w:spacing w:after="0"/>
              <w:rPr>
                <w:sz w:val="20"/>
                <w:szCs w:val="20"/>
                <w:color w:val="auto"/>
              </w:rPr>
            </w:pPr>
            <w:r>
              <w:rPr>
                <w:rFonts w:ascii="Arial" w:cs="Arial" w:eastAsia="Arial" w:hAnsi="Arial"/>
                <w:sz w:val="16"/>
                <w:szCs w:val="16"/>
                <w:b w:val="1"/>
                <w:bCs w:val="1"/>
                <w:color w:val="auto"/>
                <w:w w:val="87"/>
              </w:rPr>
              <w:t>Condensed Consolidated Balance Sheets</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January 31,</w:t>
            </w:r>
          </w:p>
        </w:tc>
        <w:tc>
          <w:tcPr>
            <w:tcW w:w="220" w:type="dxa"/>
            <w:vAlign w:val="bottom"/>
          </w:tcPr>
          <w:p>
            <w:pPr>
              <w:spacing w:after="0"/>
              <w:rPr>
                <w:sz w:val="24"/>
                <w:szCs w:val="2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April 30,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2014</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center"/>
              <w:ind w:right="19"/>
              <w:spacing w:after="0" w:line="181" w:lineRule="exact"/>
              <w:rPr>
                <w:sz w:val="20"/>
                <w:szCs w:val="20"/>
                <w:color w:val="auto"/>
              </w:rPr>
            </w:pPr>
            <w:r>
              <w:rPr>
                <w:rFonts w:ascii="Arial" w:cs="Arial" w:eastAsia="Arial" w:hAnsi="Arial"/>
                <w:sz w:val="16"/>
                <w:szCs w:val="16"/>
                <w:color w:val="auto"/>
                <w:w w:val="99"/>
              </w:rPr>
              <w:t>(UNAUDITED)</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40" w:type="dxa"/>
            <w:vAlign w:val="bottom"/>
            <w:vMerge w:val="restart"/>
          </w:tcPr>
          <w:p>
            <w:pPr>
              <w:jc w:val="center"/>
              <w:ind w:right="2099"/>
              <w:spacing w:after="0"/>
              <w:rPr>
                <w:sz w:val="20"/>
                <w:szCs w:val="20"/>
                <w:color w:val="auto"/>
              </w:rPr>
            </w:pPr>
            <w:r>
              <w:rPr>
                <w:rFonts w:ascii="Arial" w:cs="Arial" w:eastAsia="Arial" w:hAnsi="Arial"/>
                <w:sz w:val="16"/>
                <w:szCs w:val="16"/>
                <w:b w:val="1"/>
                <w:bCs w:val="1"/>
                <w:color w:val="auto"/>
                <w:w w:val="95"/>
              </w:rPr>
              <w:t>ASSETS:</w:t>
            </w:r>
          </w:p>
        </w:tc>
        <w:tc>
          <w:tcPr>
            <w:tcW w:w="100" w:type="dxa"/>
            <w:vAlign w:val="bottom"/>
          </w:tcPr>
          <w:p>
            <w:pPr>
              <w:spacing w:after="0"/>
              <w:rPr>
                <w:sz w:val="17"/>
                <w:szCs w:val="17"/>
                <w:color w:val="auto"/>
              </w:rPr>
            </w:pPr>
          </w:p>
        </w:tc>
        <w:tc>
          <w:tcPr>
            <w:tcW w:w="2840" w:type="dxa"/>
            <w:vAlign w:val="bottom"/>
            <w:gridSpan w:val="5"/>
          </w:tcPr>
          <w:p>
            <w:pPr>
              <w:jc w:val="right"/>
              <w:ind w:right="500"/>
              <w:spacing w:after="0"/>
              <w:rPr>
                <w:sz w:val="20"/>
                <w:szCs w:val="20"/>
                <w:color w:val="auto"/>
              </w:rPr>
            </w:pPr>
            <w:r>
              <w:rPr>
                <w:rFonts w:ascii="Arial" w:cs="Arial" w:eastAsia="Arial" w:hAnsi="Arial"/>
                <w:sz w:val="16"/>
                <w:szCs w:val="16"/>
                <w:color w:val="auto"/>
              </w:rPr>
              <w:t>(In thousands except par value)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920" w:type="dxa"/>
            <w:vAlign w:val="bottom"/>
            <w:gridSpan w:val="5"/>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90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8,561</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gridSpan w:val="4"/>
          </w:tcPr>
          <w:p>
            <w:pPr>
              <w:ind w:left="120"/>
              <w:spacing w:after="0"/>
              <w:rPr>
                <w:sz w:val="20"/>
                <w:szCs w:val="20"/>
                <w:color w:val="auto"/>
              </w:rPr>
            </w:pPr>
            <w:r>
              <w:rPr>
                <w:rFonts w:ascii="Arial" w:cs="Arial" w:eastAsia="Arial" w:hAnsi="Arial"/>
                <w:sz w:val="16"/>
                <w:szCs w:val="16"/>
                <w:color w:val="auto"/>
              </w:rPr>
              <w:t>Marketable securities</w:t>
            </w:r>
          </w:p>
        </w:tc>
        <w:tc>
          <w:tcPr>
            <w:tcW w:w="100" w:type="dxa"/>
            <w:vAlign w:val="bottom"/>
          </w:tcPr>
          <w:p>
            <w:pPr>
              <w:spacing w:after="0"/>
              <w:rPr>
                <w:sz w:val="16"/>
                <w:szCs w:val="16"/>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14,071</w:t>
            </w:r>
          </w:p>
        </w:tc>
        <w:tc>
          <w:tcPr>
            <w:tcW w:w="22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18,270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900" w:type="dxa"/>
            <w:vAlign w:val="bottom"/>
            <w:gridSpan w:val="4"/>
            <w:shd w:val="clear" w:color="auto" w:fill="CCEEFF"/>
          </w:tcPr>
          <w:p>
            <w:pPr>
              <w:ind w:left="120"/>
              <w:spacing w:after="0" w:line="181" w:lineRule="exact"/>
              <w:rPr>
                <w:sz w:val="20"/>
                <w:szCs w:val="20"/>
                <w:color w:val="auto"/>
              </w:rPr>
            </w:pPr>
            <w:r>
              <w:rPr>
                <w:rFonts w:ascii="Arial" w:cs="Arial" w:eastAsia="Arial" w:hAnsi="Arial"/>
                <w:sz w:val="16"/>
                <w:szCs w:val="16"/>
                <w:color w:val="auto"/>
              </w:rPr>
              <w:t>Accounts receivable, net of allowance for doubtful accounts</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900" w:type="dxa"/>
            <w:vAlign w:val="bottom"/>
            <w:gridSpan w:val="4"/>
            <w:shd w:val="clear" w:color="auto" w:fill="CCEEFF"/>
          </w:tcPr>
          <w:p>
            <w:pPr>
              <w:ind w:left="260"/>
              <w:spacing w:after="0"/>
              <w:rPr>
                <w:sz w:val="20"/>
                <w:szCs w:val="20"/>
                <w:color w:val="auto"/>
              </w:rPr>
            </w:pPr>
            <w:r>
              <w:rPr>
                <w:rFonts w:ascii="Arial" w:cs="Arial" w:eastAsia="Arial" w:hAnsi="Arial"/>
                <w:sz w:val="16"/>
                <w:szCs w:val="16"/>
                <w:color w:val="auto"/>
              </w:rPr>
              <w:t>of $326 at January 31, 2014 and $288 at April 30, 2013</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12,124</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gridSpan w:val="4"/>
          </w:tcPr>
          <w:p>
            <w:pPr>
              <w:ind w:left="120"/>
              <w:spacing w:after="0"/>
              <w:rPr>
                <w:sz w:val="20"/>
                <w:szCs w:val="20"/>
                <w:color w:val="auto"/>
              </w:rPr>
            </w:pPr>
            <w:r>
              <w:rPr>
                <w:rFonts w:ascii="Arial" w:cs="Arial" w:eastAsia="Arial" w:hAnsi="Arial"/>
                <w:sz w:val="16"/>
                <w:szCs w:val="16"/>
                <w:color w:val="auto"/>
              </w:rPr>
              <w:t>Costs and estimated earnings in excess of billings, net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3,857</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42,076</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37,521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gridSpan w:val="4"/>
          </w:tcPr>
          <w:p>
            <w:pPr>
              <w:ind w:left="120"/>
              <w:spacing w:after="0"/>
              <w:rPr>
                <w:sz w:val="20"/>
                <w:szCs w:val="20"/>
                <w:color w:val="auto"/>
              </w:rPr>
            </w:pPr>
            <w:r>
              <w:rPr>
                <w:rFonts w:ascii="Arial" w:cs="Arial" w:eastAsia="Arial" w:hAnsi="Arial"/>
                <w:sz w:val="16"/>
                <w:szCs w:val="16"/>
                <w:color w:val="auto"/>
              </w:rPr>
              <w:t>Prepaid and deferred income taxes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4,036</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6"/>
                <w:szCs w:val="16"/>
                <w:color w:val="auto"/>
              </w:rPr>
              <w:t>Prepaid expenses and other</w:t>
            </w: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1,335</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gridSpan w:val="4"/>
          </w:tcPr>
          <w:p>
            <w:pPr>
              <w:ind w:left="420"/>
              <w:spacing w:after="0"/>
              <w:rPr>
                <w:sz w:val="20"/>
                <w:szCs w:val="20"/>
                <w:color w:val="auto"/>
              </w:rPr>
            </w:pPr>
            <w:r>
              <w:rPr>
                <w:rFonts w:ascii="Arial" w:cs="Arial" w:eastAsia="Arial" w:hAnsi="Arial"/>
                <w:sz w:val="16"/>
                <w:szCs w:val="16"/>
                <w:color w:val="auto"/>
              </w:rPr>
              <w:t>Total current assets</w:t>
            </w:r>
          </w:p>
        </w:tc>
        <w:tc>
          <w:tcPr>
            <w:tcW w:w="100" w:type="dxa"/>
            <w:vAlign w:val="bottom"/>
          </w:tcPr>
          <w:p>
            <w:pPr>
              <w:spacing w:after="0"/>
              <w:rPr>
                <w:sz w:val="16"/>
                <w:szCs w:val="16"/>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86,060</w:t>
            </w:r>
          </w:p>
        </w:tc>
        <w:tc>
          <w:tcPr>
            <w:tcW w:w="22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81,016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900" w:type="dxa"/>
            <w:vAlign w:val="bottom"/>
            <w:gridSpan w:val="4"/>
            <w:shd w:val="clear" w:color="auto" w:fill="CCEEFF"/>
          </w:tcPr>
          <w:p>
            <w:pPr>
              <w:spacing w:after="0" w:line="181" w:lineRule="exact"/>
              <w:rPr>
                <w:sz w:val="20"/>
                <w:szCs w:val="20"/>
                <w:color w:val="auto"/>
              </w:rPr>
            </w:pPr>
            <w:r>
              <w:rPr>
                <w:rFonts w:ascii="Arial" w:cs="Arial" w:eastAsia="Arial" w:hAnsi="Arial"/>
                <w:sz w:val="16"/>
                <w:szCs w:val="16"/>
                <w:color w:val="auto"/>
              </w:rPr>
              <w:t>Property, plant and equipment, at cost,</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90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less accumulated depreciation and amortization</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10,193</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gridSpan w:val="4"/>
          </w:tcPr>
          <w:p>
            <w:pPr>
              <w:spacing w:after="0"/>
              <w:rPr>
                <w:sz w:val="20"/>
                <w:szCs w:val="20"/>
                <w:color w:val="auto"/>
              </w:rPr>
            </w:pPr>
            <w:r>
              <w:rPr>
                <w:rFonts w:ascii="Arial" w:cs="Arial" w:eastAsia="Arial" w:hAnsi="Arial"/>
                <w:sz w:val="16"/>
                <w:szCs w:val="16"/>
                <w:color w:val="auto"/>
              </w:rPr>
              <w:t>Deferred income taxes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6,479</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Goodwill and other intangible assets</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712</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gridSpan w:val="4"/>
          </w:tcPr>
          <w:p>
            <w:pPr>
              <w:spacing w:after="0"/>
              <w:rPr>
                <w:sz w:val="20"/>
                <w:szCs w:val="20"/>
                <w:color w:val="auto"/>
              </w:rPr>
            </w:pPr>
            <w:r>
              <w:rPr>
                <w:rFonts w:ascii="Arial" w:cs="Arial" w:eastAsia="Arial" w:hAnsi="Arial"/>
                <w:sz w:val="16"/>
                <w:szCs w:val="16"/>
                <w:color w:val="auto"/>
              </w:rPr>
              <w:t>Cash surrender value of life insurance and cash held in trust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11,213</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10,763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Other assets</w:t>
            </w: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1,718</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gridSpan w:val="4"/>
          </w:tcPr>
          <w:p>
            <w:pPr>
              <w:ind w:left="260"/>
              <w:spacing w:after="0"/>
              <w:rPr>
                <w:sz w:val="20"/>
                <w:szCs w:val="20"/>
                <w:color w:val="auto"/>
              </w:rPr>
            </w:pPr>
            <w:r>
              <w:rPr>
                <w:rFonts w:ascii="Arial" w:cs="Arial" w:eastAsia="Arial" w:hAnsi="Arial"/>
                <w:sz w:val="16"/>
                <w:szCs w:val="16"/>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116,375</w:t>
            </w:r>
          </w:p>
        </w:tc>
        <w:tc>
          <w:tcPr>
            <w:tcW w:w="200" w:type="dxa"/>
            <w:vAlign w:val="bottom"/>
          </w:tcPr>
          <w:p>
            <w:pPr>
              <w:spacing w:after="0"/>
              <w:rPr>
                <w:sz w:val="16"/>
                <w:szCs w:val="16"/>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108,909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840" w:type="dxa"/>
            <w:vAlign w:val="bottom"/>
            <w:shd w:val="clear" w:color="auto" w:fill="CCEEFF"/>
          </w:tcPr>
          <w:p>
            <w:pPr>
              <w:jc w:val="center"/>
              <w:ind w:right="2099"/>
              <w:spacing w:after="0" w:line="182" w:lineRule="exact"/>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gridSpan w:val="4"/>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gridSpan w:val="4"/>
            <w:shd w:val="clear" w:color="auto" w:fill="CCEEFF"/>
          </w:tcPr>
          <w:p>
            <w:pPr>
              <w:ind w:left="260"/>
              <w:spacing w:after="0"/>
              <w:rPr>
                <w:sz w:val="20"/>
                <w:szCs w:val="20"/>
                <w:color w:val="auto"/>
              </w:rPr>
            </w:pPr>
            <w:r>
              <w:rPr>
                <w:rFonts w:ascii="Arial" w:cs="Arial" w:eastAsia="Arial" w:hAnsi="Arial"/>
                <w:sz w:val="16"/>
                <w:szCs w:val="16"/>
                <w:color w:val="auto"/>
              </w:rPr>
              <w:t>Short-term credit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gridSpan w:val="4"/>
          </w:tcPr>
          <w:p>
            <w:pPr>
              <w:ind w:left="260"/>
              <w:spacing w:after="0"/>
              <w:rPr>
                <w:sz w:val="20"/>
                <w:szCs w:val="20"/>
                <w:color w:val="auto"/>
              </w:rPr>
            </w:pPr>
            <w:r>
              <w:rPr>
                <w:rFonts w:ascii="Arial" w:cs="Arial" w:eastAsia="Arial" w:hAnsi="Arial"/>
                <w:sz w:val="16"/>
                <w:szCs w:val="16"/>
                <w:color w:val="auto"/>
              </w:rPr>
              <w:t>Accounts payable - trade</w:t>
            </w:r>
          </w:p>
        </w:tc>
        <w:tc>
          <w:tcPr>
            <w:tcW w:w="100" w:type="dxa"/>
            <w:vAlign w:val="bottom"/>
          </w:tcPr>
          <w:p>
            <w:pPr>
              <w:spacing w:after="0"/>
              <w:rPr>
                <w:sz w:val="16"/>
                <w:szCs w:val="16"/>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940</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6"/>
                <w:szCs w:val="16"/>
                <w:color w:val="auto"/>
              </w:rPr>
              <w:t>Accrued liabilities</w:t>
            </w: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6,604</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gridSpan w:val="4"/>
          </w:tcPr>
          <w:p>
            <w:pPr>
              <w:ind w:left="520"/>
              <w:spacing w:after="0"/>
              <w:rPr>
                <w:sz w:val="20"/>
                <w:szCs w:val="20"/>
                <w:color w:val="auto"/>
              </w:rPr>
            </w:pPr>
            <w:r>
              <w:rPr>
                <w:rFonts w:ascii="Arial" w:cs="Arial" w:eastAsia="Arial" w:hAnsi="Arial"/>
                <w:sz w:val="16"/>
                <w:szCs w:val="16"/>
                <w:color w:val="auto"/>
              </w:rPr>
              <w:t>Total current liabilities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7,544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Long term debt- noncurrent</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10,100</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gridSpan w:val="4"/>
          </w:tcPr>
          <w:p>
            <w:pPr>
              <w:spacing w:after="0"/>
              <w:rPr>
                <w:sz w:val="20"/>
                <w:szCs w:val="20"/>
                <w:color w:val="auto"/>
              </w:rPr>
            </w:pPr>
            <w:r>
              <w:rPr>
                <w:rFonts w:ascii="Arial" w:cs="Arial" w:eastAsia="Arial" w:hAnsi="Arial"/>
                <w:sz w:val="16"/>
                <w:szCs w:val="16"/>
                <w:color w:val="auto"/>
              </w:rPr>
              <w:t>Deferred compensation</w:t>
            </w:r>
          </w:p>
        </w:tc>
        <w:tc>
          <w:tcPr>
            <w:tcW w:w="100" w:type="dxa"/>
            <w:vAlign w:val="bottom"/>
          </w:tcPr>
          <w:p>
            <w:pPr>
              <w:spacing w:after="0"/>
              <w:rPr>
                <w:sz w:val="16"/>
                <w:szCs w:val="16"/>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10,592</w:t>
            </w:r>
          </w:p>
        </w:tc>
        <w:tc>
          <w:tcPr>
            <w:tcW w:w="22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10,374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Deferred rent and other liabilities</w:t>
            </w: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gridSpan w:val="4"/>
          </w:tcPr>
          <w:p>
            <w:pPr>
              <w:ind w:left="420"/>
              <w:spacing w:after="0"/>
              <w:rPr>
                <w:sz w:val="20"/>
                <w:szCs w:val="20"/>
                <w:color w:val="auto"/>
              </w:rPr>
            </w:pPr>
            <w:r>
              <w:rPr>
                <w:rFonts w:ascii="Arial" w:cs="Arial" w:eastAsia="Arial" w:hAnsi="Arial"/>
                <w:sz w:val="16"/>
                <w:szCs w:val="16"/>
                <w:color w:val="auto"/>
              </w:rPr>
              <w:t>Total liabilities</w:t>
            </w:r>
          </w:p>
        </w:tc>
        <w:tc>
          <w:tcPr>
            <w:tcW w:w="10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28,953</w:t>
            </w:r>
          </w:p>
        </w:tc>
        <w:tc>
          <w:tcPr>
            <w:tcW w:w="22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26,457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1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gridSpan w:val="4"/>
          </w:tcPr>
          <w:p>
            <w:pPr>
              <w:spacing w:after="0"/>
              <w:rPr>
                <w:sz w:val="20"/>
                <w:szCs w:val="20"/>
                <w:color w:val="auto"/>
              </w:rPr>
            </w:pPr>
            <w:r>
              <w:rPr>
                <w:rFonts w:ascii="Arial" w:cs="Arial" w:eastAsia="Arial" w:hAnsi="Arial"/>
                <w:sz w:val="16"/>
                <w:szCs w:val="16"/>
                <w:color w:val="auto"/>
              </w:rPr>
              <w:t>Stockholders' equity:</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Preferred stock- $1.00 par value</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gridSpan w:val="4"/>
          </w:tcPr>
          <w:p>
            <w:pPr>
              <w:ind w:left="120"/>
              <w:spacing w:after="0"/>
              <w:rPr>
                <w:sz w:val="20"/>
                <w:szCs w:val="20"/>
                <w:color w:val="auto"/>
              </w:rPr>
            </w:pPr>
            <w:r>
              <w:rPr>
                <w:rFonts w:ascii="Arial" w:cs="Arial" w:eastAsia="Arial" w:hAnsi="Arial"/>
                <w:sz w:val="16"/>
                <w:szCs w:val="16"/>
                <w:color w:val="auto"/>
              </w:rPr>
              <w:t>Common stock-$1.00 par value, issued 9,164 shares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9,164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9,164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Additional paid-in capital</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52,916</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51,913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gridSpan w:val="4"/>
          </w:tcPr>
          <w:p>
            <w:pPr>
              <w:ind w:left="120"/>
              <w:spacing w:after="0"/>
              <w:rPr>
                <w:sz w:val="20"/>
                <w:szCs w:val="20"/>
                <w:color w:val="auto"/>
              </w:rPr>
            </w:pPr>
            <w:r>
              <w:rPr>
                <w:rFonts w:ascii="Arial" w:cs="Arial" w:eastAsia="Arial" w:hAnsi="Arial"/>
                <w:sz w:val="16"/>
                <w:szCs w:val="16"/>
                <w:color w:val="auto"/>
              </w:rPr>
              <w:t>Retained earnings</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23,947</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86,027</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81,739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900" w:type="dxa"/>
            <w:vAlign w:val="bottom"/>
            <w:gridSpan w:val="4"/>
          </w:tcPr>
          <w:p>
            <w:pPr>
              <w:ind w:left="120"/>
              <w:spacing w:after="0" w:line="181" w:lineRule="exact"/>
              <w:rPr>
                <w:sz w:val="20"/>
                <w:szCs w:val="20"/>
                <w:color w:val="auto"/>
              </w:rPr>
            </w:pPr>
            <w:r>
              <w:rPr>
                <w:rFonts w:ascii="Arial" w:cs="Arial" w:eastAsia="Arial" w:hAnsi="Arial"/>
                <w:sz w:val="16"/>
                <w:szCs w:val="16"/>
                <w:color w:val="auto"/>
              </w:rPr>
              <w:t>Common stock reacquired and held in treasury –</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gridSpan w:val="4"/>
          </w:tcPr>
          <w:p>
            <w:pPr>
              <w:ind w:left="260"/>
              <w:spacing w:after="0"/>
              <w:rPr>
                <w:sz w:val="20"/>
                <w:szCs w:val="20"/>
                <w:color w:val="auto"/>
              </w:rPr>
            </w:pPr>
            <w:r>
              <w:rPr>
                <w:rFonts w:ascii="Arial" w:cs="Arial" w:eastAsia="Arial" w:hAnsi="Arial"/>
                <w:sz w:val="16"/>
                <w:szCs w:val="16"/>
                <w:color w:val="auto"/>
              </w:rPr>
              <w:t>at cost (614 shares at January 31, 2014 and</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900" w:type="dxa"/>
            <w:vAlign w:val="bottom"/>
            <w:gridSpan w:val="4"/>
          </w:tcPr>
          <w:p>
            <w:pPr>
              <w:ind w:left="260"/>
              <w:spacing w:after="0"/>
              <w:rPr>
                <w:sz w:val="20"/>
                <w:szCs w:val="20"/>
                <w:color w:val="auto"/>
              </w:rPr>
            </w:pPr>
            <w:r>
              <w:rPr>
                <w:rFonts w:ascii="Arial" w:cs="Arial" w:eastAsia="Arial" w:hAnsi="Arial"/>
                <w:sz w:val="16"/>
                <w:szCs w:val="16"/>
                <w:color w:val="auto"/>
              </w:rPr>
              <w:t>701 shares at April 30, 2013)</w:t>
            </w:r>
          </w:p>
        </w:tc>
        <w:tc>
          <w:tcPr>
            <w:tcW w:w="10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(2,810)</w:t>
            </w:r>
          </w:p>
        </w:tc>
        <w:tc>
          <w:tcPr>
            <w:tcW w:w="2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(3,200)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Accumulated other comprehensive income</w:t>
            </w: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4,205</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gridSpan w:val="4"/>
          </w:tcPr>
          <w:p>
            <w:pPr>
              <w:ind w:left="420"/>
              <w:spacing w:after="0"/>
              <w:rPr>
                <w:sz w:val="20"/>
                <w:szCs w:val="20"/>
                <w:color w:val="auto"/>
              </w:rPr>
            </w:pPr>
            <w:r>
              <w:rPr>
                <w:rFonts w:ascii="Arial" w:cs="Arial" w:eastAsia="Arial" w:hAnsi="Arial"/>
                <w:sz w:val="16"/>
                <w:szCs w:val="16"/>
                <w:color w:val="auto"/>
              </w:rPr>
              <w:t>Total stockholders' equity</w:t>
            </w:r>
          </w:p>
        </w:tc>
        <w:tc>
          <w:tcPr>
            <w:tcW w:w="10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87,422</w:t>
            </w:r>
          </w:p>
        </w:tc>
        <w:tc>
          <w:tcPr>
            <w:tcW w:w="22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82,452</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116,375</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108,909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3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66305"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0860"/>
          </w:cols>
          <w:pgMar w:left="240" w:top="111" w:right="799" w:bottom="1440" w:gutter="0" w:footer="0" w:header="0"/>
        </w:sectPr>
      </w:pPr>
    </w:p>
    <w:bookmarkStart w:id="3" w:name="page4"/>
    <w:bookmarkEnd w:id="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FREQUENCY ELECTRONICS,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Nine Months Ended January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Income</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gridSpan w:val="5"/>
          </w:tcPr>
          <w:p>
            <w:pPr>
              <w:jc w:val="right"/>
              <w:ind w:right="360"/>
              <w:spacing w:after="0"/>
              <w:rPr>
                <w:sz w:val="20"/>
                <w:szCs w:val="20"/>
                <w:color w:val="auto"/>
              </w:rPr>
            </w:pPr>
            <w:r>
              <w:rPr>
                <w:rFonts w:ascii="Arial" w:cs="Arial" w:eastAsia="Arial" w:hAnsi="Arial"/>
                <w:sz w:val="16"/>
                <w:szCs w:val="16"/>
                <w:color w:val="auto"/>
                <w:w w:val="91"/>
              </w:rPr>
              <w:t>(In thousands except per share data)</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7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52,052</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51,391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tcPr>
          <w:p>
            <w:pPr>
              <w:spacing w:after="0"/>
              <w:rPr>
                <w:sz w:val="20"/>
                <w:szCs w:val="20"/>
                <w:color w:val="auto"/>
              </w:rPr>
            </w:pPr>
            <w:r>
              <w:rPr>
                <w:rFonts w:ascii="Arial" w:cs="Arial" w:eastAsia="Arial" w:hAnsi="Arial"/>
                <w:sz w:val="16"/>
                <w:szCs w:val="16"/>
                <w:color w:val="auto"/>
              </w:rPr>
              <w:t>Cost of revenues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33,443</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Gross margin</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18,609</w:t>
            </w: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19,463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18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10,534</w:t>
            </w:r>
          </w:p>
        </w:tc>
        <w:tc>
          <w:tcPr>
            <w:tcW w:w="30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10,883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Research and development expense</w:t>
            </w: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4,589</w:t>
            </w: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tcPr>
          <w:p>
            <w:pPr>
              <w:ind w:left="120"/>
              <w:spacing w:after="0"/>
              <w:rPr>
                <w:sz w:val="20"/>
                <w:szCs w:val="20"/>
                <w:color w:val="auto"/>
              </w:rPr>
            </w:pPr>
            <w:r>
              <w:rPr>
                <w:rFonts w:ascii="Arial" w:cs="Arial" w:eastAsia="Arial" w:hAnsi="Arial"/>
                <w:sz w:val="16"/>
                <w:szCs w:val="16"/>
                <w:color w:val="auto"/>
              </w:rPr>
              <w:t>Operating profit</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3,486</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4,849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7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900" w:type="dxa"/>
            <w:vAlign w:val="bottom"/>
          </w:tcPr>
          <w:p>
            <w:pPr>
              <w:spacing w:after="0"/>
              <w:rPr>
                <w:sz w:val="20"/>
                <w:szCs w:val="20"/>
                <w:color w:val="auto"/>
              </w:rPr>
            </w:pPr>
            <w:r>
              <w:rPr>
                <w:rFonts w:ascii="Arial" w:cs="Arial" w:eastAsia="Arial" w:hAnsi="Arial"/>
                <w:sz w:val="16"/>
                <w:szCs w:val="16"/>
                <w:color w:val="auto"/>
              </w:rPr>
              <w:t>Other income (expense):</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Investment income</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775</w:t>
            </w: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tcPr>
          <w:p>
            <w:pPr>
              <w:ind w:left="1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(120)</w:t>
            </w:r>
          </w:p>
        </w:tc>
        <w:tc>
          <w:tcPr>
            <w:tcW w:w="3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income (expense), net</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714</w:t>
            </w: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Income before provision for income taxes</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4,855</w:t>
            </w:r>
          </w:p>
        </w:tc>
        <w:tc>
          <w:tcPr>
            <w:tcW w:w="20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5,129</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1,570</w:t>
            </w: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3,285</w:t>
            </w:r>
          </w:p>
        </w:tc>
        <w:tc>
          <w:tcPr>
            <w:tcW w:w="200" w:type="dxa"/>
            <w:vAlign w:val="bottom"/>
          </w:tcPr>
          <w:p>
            <w:pPr>
              <w:spacing w:after="0"/>
              <w:rPr>
                <w:sz w:val="16"/>
                <w:szCs w:val="16"/>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restart"/>
          </w:tcPr>
          <w:p>
            <w:pPr>
              <w:spacing w:after="0"/>
              <w:rPr>
                <w:sz w:val="15"/>
                <w:szCs w:val="15"/>
                <w:color w:val="auto"/>
              </w:rPr>
            </w:pPr>
          </w:p>
        </w:tc>
        <w:tc>
          <w:tcPr>
            <w:tcW w:w="7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900" w:type="dxa"/>
            <w:vAlign w:val="bottom"/>
          </w:tcPr>
          <w:p>
            <w:pPr>
              <w:spacing w:after="0"/>
              <w:rPr>
                <w:sz w:val="20"/>
                <w:szCs w:val="20"/>
                <w:color w:val="auto"/>
              </w:rPr>
            </w:pPr>
            <w:r>
              <w:rPr>
                <w:rFonts w:ascii="Arial" w:cs="Arial" w:eastAsia="Arial" w:hAnsi="Arial"/>
                <w:sz w:val="16"/>
                <w:szCs w:val="16"/>
                <w:color w:val="auto"/>
              </w:rPr>
              <w:t>Net income per common share</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900" w:type="dxa"/>
            <w:vAlign w:val="bottom"/>
          </w:tcPr>
          <w:p>
            <w:pPr>
              <w:ind w:left="120"/>
              <w:spacing w:after="0" w:line="182" w:lineRule="exact"/>
              <w:rPr>
                <w:sz w:val="20"/>
                <w:szCs w:val="20"/>
                <w:color w:val="auto"/>
              </w:rPr>
            </w:pPr>
            <w:r>
              <w:rPr>
                <w:rFonts w:ascii="Arial" w:cs="Arial" w:eastAsia="Arial" w:hAnsi="Arial"/>
                <w:sz w:val="16"/>
                <w:szCs w:val="16"/>
                <w:color w:val="auto"/>
              </w:rPr>
              <w:t>Diluted</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00"/>
              <w:spacing w:after="0" w:line="182" w:lineRule="exact"/>
              <w:rPr>
                <w:sz w:val="20"/>
                <w:szCs w:val="20"/>
                <w:color w:val="auto"/>
              </w:rPr>
            </w:pPr>
            <w:r>
              <w:rPr>
                <w:rFonts w:ascii="Arial" w:cs="Arial" w:eastAsia="Arial" w:hAnsi="Arial"/>
                <w:sz w:val="16"/>
                <w:szCs w:val="16"/>
                <w:color w:val="auto"/>
              </w:rPr>
              <w:t>0.37</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line="182" w:lineRule="exact"/>
              <w:rPr>
                <w:sz w:val="20"/>
                <w:szCs w:val="20"/>
                <w:color w:val="auto"/>
              </w:rPr>
            </w:pPr>
            <w:r>
              <w:rPr>
                <w:rFonts w:ascii="Arial" w:cs="Arial" w:eastAsia="Arial" w:hAnsi="Arial"/>
                <w:sz w:val="16"/>
                <w:szCs w:val="16"/>
                <w:color w:val="auto"/>
              </w:rPr>
              <w:t>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restart"/>
          </w:tcPr>
          <w:p>
            <w:pPr>
              <w:spacing w:after="0"/>
              <w:rPr>
                <w:sz w:val="15"/>
                <w:szCs w:val="15"/>
                <w:color w:val="auto"/>
              </w:rPr>
            </w:pPr>
          </w:p>
        </w:tc>
        <w:tc>
          <w:tcPr>
            <w:tcW w:w="7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900" w:type="dxa"/>
            <w:vAlign w:val="bottom"/>
          </w:tcPr>
          <w:p>
            <w:pPr>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8,516</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900" w:type="dxa"/>
            <w:vAlign w:val="bottom"/>
          </w:tcPr>
          <w:p>
            <w:pPr>
              <w:ind w:left="120"/>
              <w:spacing w:after="0" w:line="182" w:lineRule="exact"/>
              <w:rPr>
                <w:sz w:val="20"/>
                <w:szCs w:val="20"/>
                <w:color w:val="auto"/>
              </w:rPr>
            </w:pPr>
            <w:r>
              <w:rPr>
                <w:rFonts w:ascii="Arial" w:cs="Arial" w:eastAsia="Arial" w:hAnsi="Arial"/>
                <w:sz w:val="16"/>
                <w:szCs w:val="16"/>
                <w:color w:val="auto"/>
              </w:rPr>
              <w:t>Diluted</w:t>
            </w: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8,806</w:t>
            </w: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8,584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92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7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900" w:type="dxa"/>
            <w:vAlign w:val="bottom"/>
          </w:tcPr>
          <w:p>
            <w:pPr>
              <w:spacing w:after="0"/>
              <w:rPr>
                <w:sz w:val="20"/>
                <w:szCs w:val="20"/>
                <w:color w:val="auto"/>
              </w:rPr>
            </w:pPr>
            <w:r>
              <w:rPr>
                <w:rFonts w:ascii="Arial" w:cs="Arial" w:eastAsia="Arial" w:hAnsi="Arial"/>
                <w:sz w:val="16"/>
                <w:szCs w:val="16"/>
                <w:color w:val="auto"/>
              </w:rPr>
              <w:t>Condensed Consolidated Statements of Comprehensive Income</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3,285</w:t>
            </w: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990</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tcPr>
          <w:p>
            <w:pPr>
              <w:spacing w:after="0"/>
              <w:rPr>
                <w:sz w:val="20"/>
                <w:szCs w:val="20"/>
                <w:color w:val="auto"/>
              </w:rPr>
            </w:pPr>
            <w:r>
              <w:rPr>
                <w:rFonts w:ascii="Arial" w:cs="Arial" w:eastAsia="Arial" w:hAnsi="Arial"/>
                <w:sz w:val="16"/>
                <w:szCs w:val="16"/>
                <w:color w:val="auto"/>
              </w:rPr>
              <w:t>Change in market value of marketable securities</w:t>
            </w:r>
          </w:p>
        </w:tc>
        <w:tc>
          <w:tcPr>
            <w:tcW w:w="1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(1,104)</w:t>
            </w:r>
          </w:p>
        </w:tc>
        <w:tc>
          <w:tcPr>
            <w:tcW w:w="30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Deferred tax effect of change in marketable securities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Total other comprehensive income</w:t>
            </w: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292</w:t>
            </w:r>
          </w:p>
        </w:tc>
        <w:tc>
          <w:tcPr>
            <w:tcW w:w="200" w:type="dxa"/>
            <w:vAlign w:val="bottom"/>
            <w:tcBorders>
              <w:top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3,577</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4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66305"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0860"/>
          </w:cols>
          <w:pgMar w:left="240" w:top="124" w:right="799" w:bottom="1440" w:gutter="0" w:footer="0" w:header="0"/>
        </w:sectPr>
      </w:pPr>
    </w:p>
    <w:bookmarkStart w:id="4" w:name="page5"/>
    <w:bookmarkEnd w:id="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FREQUENCY ELECTRONICS,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January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Income</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gridSpan w:val="5"/>
          </w:tcPr>
          <w:p>
            <w:pPr>
              <w:jc w:val="right"/>
              <w:ind w:right="360"/>
              <w:spacing w:after="0"/>
              <w:rPr>
                <w:sz w:val="20"/>
                <w:szCs w:val="20"/>
                <w:color w:val="auto"/>
              </w:rPr>
            </w:pPr>
            <w:r>
              <w:rPr>
                <w:rFonts w:ascii="Arial" w:cs="Arial" w:eastAsia="Arial" w:hAnsi="Arial"/>
                <w:sz w:val="16"/>
                <w:szCs w:val="16"/>
                <w:color w:val="auto"/>
                <w:w w:val="91"/>
              </w:rPr>
              <w:t>(In thousands except per share data)</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7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18,218</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17,137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tcPr>
          <w:p>
            <w:pPr>
              <w:spacing w:after="0"/>
              <w:rPr>
                <w:sz w:val="20"/>
                <w:szCs w:val="20"/>
                <w:color w:val="auto"/>
              </w:rPr>
            </w:pPr>
            <w:r>
              <w:rPr>
                <w:rFonts w:ascii="Arial" w:cs="Arial" w:eastAsia="Arial" w:hAnsi="Arial"/>
                <w:sz w:val="16"/>
                <w:szCs w:val="16"/>
                <w:color w:val="auto"/>
              </w:rPr>
              <w:t>Cost of revenues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12,107</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Gross margin</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6,111</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Selling and administrative expenses</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3,488</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tcPr>
          <w:p>
            <w:pPr>
              <w:spacing w:after="0"/>
              <w:rPr>
                <w:sz w:val="20"/>
                <w:szCs w:val="20"/>
                <w:color w:val="auto"/>
              </w:rPr>
            </w:pPr>
            <w:r>
              <w:rPr>
                <w:rFonts w:ascii="Arial" w:cs="Arial" w:eastAsia="Arial" w:hAnsi="Arial"/>
                <w:sz w:val="16"/>
                <w:szCs w:val="16"/>
                <w:color w:val="auto"/>
              </w:rPr>
              <w:t>Research and development expense</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1,363</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1,113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profit</w:t>
            </w:r>
          </w:p>
        </w:tc>
        <w:tc>
          <w:tcPr>
            <w:tcW w:w="1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1,260</w:t>
            </w:r>
          </w:p>
        </w:tc>
        <w:tc>
          <w:tcPr>
            <w:tcW w:w="20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tcPr>
          <w:p>
            <w:pPr>
              <w:ind w:left="120"/>
              <w:spacing w:after="0"/>
              <w:rPr>
                <w:sz w:val="20"/>
                <w:szCs w:val="20"/>
                <w:color w:val="auto"/>
              </w:rPr>
            </w:pPr>
            <w:r>
              <w:rPr>
                <w:rFonts w:ascii="Arial" w:cs="Arial" w:eastAsia="Arial" w:hAnsi="Arial"/>
                <w:sz w:val="16"/>
                <w:szCs w:val="16"/>
                <w:color w:val="auto"/>
              </w:rPr>
              <w:t>Investment income</w:t>
            </w:r>
          </w:p>
        </w:tc>
        <w:tc>
          <w:tcPr>
            <w:tcW w:w="18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425</w:t>
            </w:r>
          </w:p>
        </w:tc>
        <w:tc>
          <w:tcPr>
            <w:tcW w:w="30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w:t>
            </w: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tcPr>
          <w:p>
            <w:pPr>
              <w:ind w:left="120"/>
              <w:spacing w:after="0"/>
              <w:rPr>
                <w:sz w:val="20"/>
                <w:szCs w:val="20"/>
                <w:color w:val="auto"/>
              </w:rPr>
            </w:pPr>
            <w:r>
              <w:rPr>
                <w:rFonts w:ascii="Arial" w:cs="Arial" w:eastAsia="Arial" w:hAnsi="Arial"/>
                <w:sz w:val="16"/>
                <w:szCs w:val="16"/>
                <w:color w:val="auto"/>
              </w:rPr>
              <w:t>Other expense, net</w:t>
            </w:r>
          </w:p>
        </w:tc>
        <w:tc>
          <w:tcPr>
            <w:tcW w:w="18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(22)</w:t>
            </w:r>
          </w:p>
        </w:tc>
        <w:tc>
          <w:tcPr>
            <w:tcW w:w="30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Income before provision for income taxes</w:t>
            </w:r>
          </w:p>
        </w:tc>
        <w:tc>
          <w:tcPr>
            <w:tcW w:w="1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20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18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420</w:t>
            </w:r>
          </w:p>
        </w:tc>
        <w:tc>
          <w:tcPr>
            <w:tcW w:w="3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1,218</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92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7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900" w:type="dxa"/>
            <w:vAlign w:val="bottom"/>
          </w:tcPr>
          <w:p>
            <w:pPr>
              <w:spacing w:after="0"/>
              <w:rPr>
                <w:sz w:val="20"/>
                <w:szCs w:val="20"/>
                <w:color w:val="auto"/>
              </w:rPr>
            </w:pPr>
            <w:r>
              <w:rPr>
                <w:rFonts w:ascii="Arial" w:cs="Arial" w:eastAsia="Arial" w:hAnsi="Arial"/>
                <w:sz w:val="16"/>
                <w:szCs w:val="16"/>
                <w:color w:val="auto"/>
              </w:rPr>
              <w:t>Net income per common share</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900" w:type="dxa"/>
            <w:vAlign w:val="bottom"/>
          </w:tcPr>
          <w:p>
            <w:pPr>
              <w:ind w:left="120"/>
              <w:spacing w:after="0" w:line="182" w:lineRule="exact"/>
              <w:rPr>
                <w:sz w:val="20"/>
                <w:szCs w:val="20"/>
                <w:color w:val="auto"/>
              </w:rPr>
            </w:pPr>
            <w:r>
              <w:rPr>
                <w:rFonts w:ascii="Arial" w:cs="Arial" w:eastAsia="Arial" w:hAnsi="Arial"/>
                <w:sz w:val="16"/>
                <w:szCs w:val="16"/>
                <w:color w:val="auto"/>
              </w:rPr>
              <w:t>Diluted</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00"/>
              <w:spacing w:after="0" w:line="182" w:lineRule="exact"/>
              <w:rPr>
                <w:sz w:val="20"/>
                <w:szCs w:val="20"/>
                <w:color w:val="auto"/>
              </w:rPr>
            </w:pPr>
            <w:r>
              <w:rPr>
                <w:rFonts w:ascii="Arial" w:cs="Arial" w:eastAsia="Arial" w:hAnsi="Arial"/>
                <w:sz w:val="16"/>
                <w:szCs w:val="16"/>
                <w:color w:val="auto"/>
              </w:rPr>
              <w:t>0.14</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line="182" w:lineRule="exact"/>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restart"/>
          </w:tcPr>
          <w:p>
            <w:pPr>
              <w:spacing w:after="0"/>
              <w:rPr>
                <w:sz w:val="15"/>
                <w:szCs w:val="15"/>
                <w:color w:val="auto"/>
              </w:rPr>
            </w:pPr>
          </w:p>
        </w:tc>
        <w:tc>
          <w:tcPr>
            <w:tcW w:w="7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900" w:type="dxa"/>
            <w:vAlign w:val="bottom"/>
          </w:tcPr>
          <w:p>
            <w:pPr>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8,537</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900" w:type="dxa"/>
            <w:vAlign w:val="bottom"/>
          </w:tcPr>
          <w:p>
            <w:pPr>
              <w:ind w:left="120"/>
              <w:spacing w:after="0" w:line="182" w:lineRule="exact"/>
              <w:rPr>
                <w:sz w:val="20"/>
                <w:szCs w:val="20"/>
                <w:color w:val="auto"/>
              </w:rPr>
            </w:pPr>
            <w:r>
              <w:rPr>
                <w:rFonts w:ascii="Arial" w:cs="Arial" w:eastAsia="Arial" w:hAnsi="Arial"/>
                <w:sz w:val="16"/>
                <w:szCs w:val="16"/>
                <w:color w:val="auto"/>
              </w:rPr>
              <w:t>Diluted</w:t>
            </w: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8,857</w:t>
            </w: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8,604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92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7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900" w:type="dxa"/>
            <w:vAlign w:val="bottom"/>
          </w:tcPr>
          <w:p>
            <w:pPr>
              <w:spacing w:after="0"/>
              <w:rPr>
                <w:sz w:val="20"/>
                <w:szCs w:val="20"/>
                <w:color w:val="auto"/>
              </w:rPr>
            </w:pPr>
            <w:r>
              <w:rPr>
                <w:rFonts w:ascii="Arial" w:cs="Arial" w:eastAsia="Arial" w:hAnsi="Arial"/>
                <w:sz w:val="16"/>
                <w:szCs w:val="16"/>
                <w:b w:val="1"/>
                <w:bCs w:val="1"/>
                <w:color w:val="auto"/>
              </w:rPr>
              <w:t>Condensed Consolidated Statements of Comprehensive Income</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1,218</w:t>
            </w: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tcPr>
          <w:p>
            <w:pPr>
              <w:spacing w:after="0"/>
              <w:rPr>
                <w:sz w:val="20"/>
                <w:szCs w:val="20"/>
                <w:color w:val="auto"/>
              </w:rPr>
            </w:pPr>
            <w:r>
              <w:rPr>
                <w:rFonts w:ascii="Arial" w:cs="Arial" w:eastAsia="Arial" w:hAnsi="Arial"/>
                <w:sz w:val="16"/>
                <w:szCs w:val="16"/>
                <w:color w:val="auto"/>
              </w:rPr>
              <w:t>Other comprehensive (loss) income:</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172</w:t>
            </w: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tcPr>
          <w:p>
            <w:pPr>
              <w:spacing w:after="0"/>
              <w:rPr>
                <w:sz w:val="20"/>
                <w:szCs w:val="20"/>
                <w:color w:val="auto"/>
              </w:rPr>
            </w:pPr>
            <w:r>
              <w:rPr>
                <w:rFonts w:ascii="Arial" w:cs="Arial" w:eastAsia="Arial" w:hAnsi="Arial"/>
                <w:sz w:val="16"/>
                <w:szCs w:val="16"/>
                <w:color w:val="auto"/>
              </w:rPr>
              <w:t>Change in market value of marketable securities</w:t>
            </w:r>
          </w:p>
        </w:tc>
        <w:tc>
          <w:tcPr>
            <w:tcW w:w="1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(374)</w:t>
            </w:r>
          </w:p>
        </w:tc>
        <w:tc>
          <w:tcPr>
            <w:tcW w:w="3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tax effect of change in marketable securities</w:t>
            </w: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tcPr>
          <w:p>
            <w:pPr>
              <w:spacing w:after="0"/>
              <w:rPr>
                <w:sz w:val="20"/>
                <w:szCs w:val="20"/>
                <w:color w:val="auto"/>
              </w:rPr>
            </w:pPr>
            <w:r>
              <w:rPr>
                <w:rFonts w:ascii="Arial" w:cs="Arial" w:eastAsia="Arial" w:hAnsi="Arial"/>
                <w:sz w:val="16"/>
                <w:szCs w:val="16"/>
                <w:color w:val="auto"/>
              </w:rPr>
              <w:t>Total other comprehensive (loss) income</w:t>
            </w:r>
          </w:p>
        </w:tc>
        <w:tc>
          <w:tcPr>
            <w:tcW w:w="18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(76)</w:t>
            </w:r>
          </w:p>
        </w:tc>
        <w:tc>
          <w:tcPr>
            <w:tcW w:w="3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5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66305"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0860"/>
          </w:cols>
          <w:pgMar w:left="240" w:top="124" w:right="7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49"/>
        </w:trPr>
        <w:tc>
          <w:tcPr>
            <w:tcW w:w="8360" w:type="dxa"/>
            <w:vAlign w:val="bottom"/>
            <w:gridSpan w:val="3"/>
          </w:tcPr>
          <w:p>
            <w:pPr>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7440" w:type="dxa"/>
            <w:vAlign w:val="bottom"/>
          </w:tcPr>
          <w:p>
            <w:pPr>
              <w:jc w:val="center"/>
              <w:ind w:left="1519"/>
              <w:spacing w:after="0"/>
              <w:rPr>
                <w:sz w:val="20"/>
                <w:szCs w:val="20"/>
                <w:color w:val="auto"/>
              </w:rPr>
            </w:pPr>
            <w:r>
              <w:rPr>
                <w:rFonts w:ascii="Arial" w:cs="Arial" w:eastAsia="Arial" w:hAnsi="Arial"/>
                <w:sz w:val="16"/>
                <w:szCs w:val="16"/>
                <w:b w:val="1"/>
                <w:bCs w:val="1"/>
                <w:color w:val="auto"/>
              </w:rPr>
              <w:t>FREQUENCY ELECTRONICS, INC. and SUBSIDIARIES</w:t>
            </w: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40" w:type="dxa"/>
            <w:vAlign w:val="bottom"/>
          </w:tcPr>
          <w:p>
            <w:pPr>
              <w:ind w:left="2740"/>
              <w:spacing w:after="0"/>
              <w:rPr>
                <w:sz w:val="20"/>
                <w:szCs w:val="20"/>
                <w:color w:val="auto"/>
              </w:rPr>
            </w:pPr>
            <w:r>
              <w:rPr>
                <w:rFonts w:ascii="Arial" w:cs="Arial" w:eastAsia="Arial" w:hAnsi="Arial"/>
                <w:sz w:val="16"/>
                <w:szCs w:val="16"/>
                <w:b w:val="1"/>
                <w:bCs w:val="1"/>
                <w:color w:val="auto"/>
              </w:rPr>
              <w:t>Condensed Consolidated Statements of Cash Flows</w:t>
            </w: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40" w:type="dxa"/>
            <w:vAlign w:val="bottom"/>
          </w:tcPr>
          <w:p>
            <w:pPr>
              <w:jc w:val="center"/>
              <w:ind w:left="1479"/>
              <w:spacing w:after="0"/>
              <w:rPr>
                <w:sz w:val="20"/>
                <w:szCs w:val="20"/>
                <w:color w:val="auto"/>
              </w:rPr>
            </w:pPr>
            <w:r>
              <w:rPr>
                <w:rFonts w:ascii="Arial" w:cs="Arial" w:eastAsia="Arial" w:hAnsi="Arial"/>
                <w:sz w:val="16"/>
                <w:szCs w:val="16"/>
                <w:b w:val="1"/>
                <w:bCs w:val="1"/>
                <w:color w:val="auto"/>
                <w:w w:val="92"/>
              </w:rPr>
              <w:t>Nine Months Ended January 31,</w:t>
            </w: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40" w:type="dxa"/>
            <w:vAlign w:val="bottom"/>
          </w:tcPr>
          <w:p>
            <w:pPr>
              <w:jc w:val="center"/>
              <w:ind w:left="1479"/>
              <w:spacing w:after="0"/>
              <w:rPr>
                <w:sz w:val="20"/>
                <w:szCs w:val="20"/>
                <w:color w:val="auto"/>
              </w:rPr>
            </w:pPr>
            <w:r>
              <w:rPr>
                <w:rFonts w:ascii="Arial" w:cs="Arial" w:eastAsia="Arial" w:hAnsi="Arial"/>
                <w:sz w:val="16"/>
                <w:szCs w:val="16"/>
                <w:b w:val="1"/>
                <w:bCs w:val="1"/>
                <w:color w:val="auto"/>
                <w:w w:val="94"/>
              </w:rPr>
              <w:t>(Unaudited)</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4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jc w:val="right"/>
              <w:ind w:right="99"/>
              <w:spacing w:after="0"/>
              <w:rPr>
                <w:sz w:val="20"/>
                <w:szCs w:val="20"/>
                <w:color w:val="auto"/>
              </w:rPr>
            </w:pPr>
            <w:r>
              <w:rPr>
                <w:rFonts w:ascii="Arial" w:cs="Arial" w:eastAsia="Arial" w:hAnsi="Arial"/>
                <w:sz w:val="16"/>
                <w:szCs w:val="16"/>
                <w:color w:val="auto"/>
              </w:rPr>
              <w:t>(In</w:t>
            </w:r>
          </w:p>
        </w:tc>
        <w:tc>
          <w:tcPr>
            <w:tcW w:w="660" w:type="dxa"/>
            <w:vAlign w:val="bottom"/>
            <w:gridSpan w:val="3"/>
          </w:tcPr>
          <w:p>
            <w:pPr>
              <w:jc w:val="right"/>
              <w:ind w:right="100"/>
              <w:spacing w:after="0"/>
              <w:rPr>
                <w:sz w:val="20"/>
                <w:szCs w:val="20"/>
                <w:color w:val="auto"/>
              </w:rPr>
            </w:pPr>
            <w:r>
              <w:rPr>
                <w:rFonts w:ascii="Arial" w:cs="Arial" w:eastAsia="Arial" w:hAnsi="Arial"/>
                <w:sz w:val="15"/>
                <w:szCs w:val="15"/>
                <w:color w:val="auto"/>
                <w:w w:val="72"/>
              </w:rPr>
              <w:t>thousands)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4"/>
        </w:trPr>
        <w:tc>
          <w:tcPr>
            <w:tcW w:w="8360" w:type="dxa"/>
            <w:vAlign w:val="bottom"/>
            <w:gridSpan w:val="3"/>
          </w:tcPr>
          <w:p>
            <w:pPr>
              <w:spacing w:after="0"/>
              <w:rPr>
                <w:sz w:val="20"/>
                <w:szCs w:val="20"/>
                <w:color w:val="auto"/>
              </w:rPr>
            </w:pPr>
            <w:r>
              <w:rPr>
                <w:rFonts w:ascii="Arial" w:cs="Arial" w:eastAsia="Arial" w:hAnsi="Arial"/>
                <w:sz w:val="16"/>
                <w:szCs w:val="16"/>
                <w:color w:val="auto"/>
              </w:rPr>
              <w:t>Cash flows from operating activities:</w:t>
            </w: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900" w:type="dxa"/>
            <w:vAlign w:val="bottom"/>
            <w:shd w:val="clear" w:color="auto" w:fill="CCEEFF"/>
          </w:tcPr>
          <w:p>
            <w:pPr>
              <w:jc w:val="right"/>
              <w:ind w:right="74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3,285</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3,729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340" w:type="dxa"/>
            <w:vAlign w:val="bottom"/>
            <w:gridSpan w:val="2"/>
          </w:tcPr>
          <w:p>
            <w:pPr>
              <w:ind w:left="120"/>
              <w:spacing w:after="0"/>
              <w:rPr>
                <w:sz w:val="20"/>
                <w:szCs w:val="20"/>
                <w:color w:val="auto"/>
              </w:rPr>
            </w:pPr>
            <w:r>
              <w:rPr>
                <w:rFonts w:ascii="Arial" w:cs="Arial" w:eastAsia="Arial" w:hAnsi="Arial"/>
                <w:sz w:val="16"/>
                <w:szCs w:val="16"/>
                <w:color w:val="auto"/>
              </w:rPr>
              <w:t>Non-cash charges to earnings, net</w:t>
            </w:r>
          </w:p>
        </w:tc>
        <w:tc>
          <w:tcPr>
            <w:tcW w:w="900" w:type="dxa"/>
            <w:vAlign w:val="bottom"/>
          </w:tcPr>
          <w:p>
            <w:pPr>
              <w:spacing w:after="0"/>
              <w:rPr>
                <w:sz w:val="16"/>
                <w:szCs w:val="16"/>
                <w:color w:val="auto"/>
              </w:rPr>
            </w:pPr>
          </w:p>
        </w:tc>
        <w:tc>
          <w:tcPr>
            <w:tcW w:w="620" w:type="dxa"/>
            <w:vAlign w:val="bottom"/>
            <w:gridSpan w:val="2"/>
          </w:tcPr>
          <w:p>
            <w:pPr>
              <w:jc w:val="right"/>
              <w:ind w:right="64"/>
              <w:spacing w:after="0"/>
              <w:rPr>
                <w:sz w:val="20"/>
                <w:szCs w:val="20"/>
                <w:color w:val="auto"/>
              </w:rPr>
            </w:pPr>
            <w:r>
              <w:rPr>
                <w:rFonts w:ascii="Arial" w:cs="Arial" w:eastAsia="Arial" w:hAnsi="Arial"/>
                <w:sz w:val="16"/>
                <w:szCs w:val="16"/>
                <w:color w:val="auto"/>
              </w:rPr>
              <w:t>3,779</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3,843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Gain on sale of equipment</w:t>
            </w:r>
          </w:p>
        </w:tc>
        <w:tc>
          <w:tcPr>
            <w:tcW w:w="9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(736)</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340" w:type="dxa"/>
            <w:vAlign w:val="bottom"/>
            <w:gridSpan w:val="2"/>
          </w:tcPr>
          <w:p>
            <w:pPr>
              <w:ind w:left="120"/>
              <w:spacing w:after="0"/>
              <w:rPr>
                <w:sz w:val="20"/>
                <w:szCs w:val="20"/>
                <w:color w:val="auto"/>
              </w:rPr>
            </w:pPr>
            <w:r>
              <w:rPr>
                <w:rFonts w:ascii="Arial" w:cs="Arial" w:eastAsia="Arial" w:hAnsi="Arial"/>
                <w:sz w:val="16"/>
                <w:szCs w:val="16"/>
                <w:color w:val="auto"/>
              </w:rPr>
              <w:t>Net changes in operating assets and liabilities</w:t>
            </w:r>
          </w:p>
        </w:tc>
        <w:tc>
          <w:tcPr>
            <w:tcW w:w="900" w:type="dxa"/>
            <w:vAlign w:val="bottom"/>
          </w:tcPr>
          <w:p>
            <w:pPr>
              <w:spacing w:after="0"/>
              <w:rPr>
                <w:sz w:val="16"/>
                <w:szCs w:val="16"/>
                <w:color w:val="auto"/>
              </w:rPr>
            </w:pPr>
          </w:p>
        </w:tc>
        <w:tc>
          <w:tcPr>
            <w:tcW w:w="620" w:type="dxa"/>
            <w:vAlign w:val="bottom"/>
            <w:gridSpan w:val="2"/>
          </w:tcPr>
          <w:p>
            <w:pPr>
              <w:jc w:val="right"/>
              <w:ind w:right="4"/>
              <w:spacing w:after="0"/>
              <w:rPr>
                <w:sz w:val="20"/>
                <w:szCs w:val="20"/>
                <w:color w:val="auto"/>
              </w:rPr>
            </w:pPr>
            <w:r>
              <w:rPr>
                <w:rFonts w:ascii="Arial" w:cs="Arial" w:eastAsia="Arial" w:hAnsi="Arial"/>
                <w:sz w:val="16"/>
                <w:szCs w:val="16"/>
                <w:color w:val="auto"/>
              </w:rPr>
              <w:t>(5,634)</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(4,347)</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3,225</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744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9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340" w:type="dxa"/>
            <w:vAlign w:val="bottom"/>
            <w:gridSpan w:val="2"/>
          </w:tcPr>
          <w:p>
            <w:pPr>
              <w:ind w:left="120"/>
              <w:spacing w:after="0"/>
              <w:rPr>
                <w:sz w:val="20"/>
                <w:szCs w:val="20"/>
                <w:color w:val="auto"/>
              </w:rPr>
            </w:pPr>
            <w:r>
              <w:rPr>
                <w:rFonts w:ascii="Arial" w:cs="Arial" w:eastAsia="Arial" w:hAnsi="Arial"/>
                <w:sz w:val="16"/>
                <w:szCs w:val="16"/>
                <w:color w:val="auto"/>
              </w:rPr>
              <w:t>Proceeds from sale of marketable securities</w:t>
            </w:r>
          </w:p>
        </w:tc>
        <w:tc>
          <w:tcPr>
            <w:tcW w:w="900" w:type="dxa"/>
            <w:vAlign w:val="bottom"/>
          </w:tcPr>
          <w:p>
            <w:pPr>
              <w:spacing w:after="0"/>
              <w:rPr>
                <w:sz w:val="16"/>
                <w:szCs w:val="16"/>
                <w:color w:val="auto"/>
              </w:rPr>
            </w:pPr>
          </w:p>
        </w:tc>
        <w:tc>
          <w:tcPr>
            <w:tcW w:w="620" w:type="dxa"/>
            <w:vAlign w:val="bottom"/>
            <w:gridSpan w:val="2"/>
          </w:tcPr>
          <w:p>
            <w:pPr>
              <w:jc w:val="right"/>
              <w:ind w:right="64"/>
              <w:spacing w:after="0"/>
              <w:rPr>
                <w:sz w:val="20"/>
                <w:szCs w:val="20"/>
                <w:color w:val="auto"/>
              </w:rPr>
            </w:pPr>
            <w:r>
              <w:rPr>
                <w:rFonts w:ascii="Arial" w:cs="Arial" w:eastAsia="Arial" w:hAnsi="Arial"/>
                <w:sz w:val="16"/>
                <w:szCs w:val="16"/>
                <w:color w:val="auto"/>
              </w:rPr>
              <w:t>4,993</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2,509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Purchase of marketable securities</w:t>
            </w:r>
          </w:p>
        </w:tc>
        <w:tc>
          <w:tcPr>
            <w:tcW w:w="9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(1,602)</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340" w:type="dxa"/>
            <w:vAlign w:val="bottom"/>
            <w:gridSpan w:val="2"/>
          </w:tcPr>
          <w:p>
            <w:pPr>
              <w:ind w:left="120"/>
              <w:spacing w:after="0"/>
              <w:rPr>
                <w:sz w:val="20"/>
                <w:szCs w:val="20"/>
                <w:color w:val="auto"/>
              </w:rPr>
            </w:pPr>
            <w:r>
              <w:rPr>
                <w:rFonts w:ascii="Arial" w:cs="Arial" w:eastAsia="Arial" w:hAnsi="Arial"/>
                <w:sz w:val="16"/>
                <w:szCs w:val="16"/>
                <w:color w:val="auto"/>
              </w:rPr>
              <w:t>Purchase of fixed assets</w:t>
            </w:r>
          </w:p>
        </w:tc>
        <w:tc>
          <w:tcPr>
            <w:tcW w:w="900" w:type="dxa"/>
            <w:vAlign w:val="bottom"/>
          </w:tcPr>
          <w:p>
            <w:pPr>
              <w:spacing w:after="0"/>
              <w:rPr>
                <w:sz w:val="16"/>
                <w:szCs w:val="16"/>
                <w:color w:val="auto"/>
              </w:rPr>
            </w:pPr>
          </w:p>
        </w:tc>
        <w:tc>
          <w:tcPr>
            <w:tcW w:w="620" w:type="dxa"/>
            <w:vAlign w:val="bottom"/>
            <w:gridSpan w:val="2"/>
          </w:tcPr>
          <w:p>
            <w:pPr>
              <w:jc w:val="right"/>
              <w:ind w:right="4"/>
              <w:spacing w:after="0"/>
              <w:rPr>
                <w:sz w:val="20"/>
                <w:szCs w:val="20"/>
                <w:color w:val="auto"/>
              </w:rPr>
            </w:pPr>
            <w:r>
              <w:rPr>
                <w:rFonts w:ascii="Arial" w:cs="Arial" w:eastAsia="Arial" w:hAnsi="Arial"/>
                <w:sz w:val="16"/>
                <w:szCs w:val="16"/>
                <w:color w:val="auto"/>
              </w:rPr>
              <w:t>(3,560)</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(1,608)</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9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(169)</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744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9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340" w:type="dxa"/>
            <w:vAlign w:val="bottom"/>
            <w:gridSpan w:val="2"/>
          </w:tcPr>
          <w:p>
            <w:pPr>
              <w:ind w:left="120"/>
              <w:spacing w:after="0"/>
              <w:rPr>
                <w:sz w:val="20"/>
                <w:szCs w:val="20"/>
                <w:color w:val="auto"/>
              </w:rPr>
            </w:pPr>
            <w:r>
              <w:rPr>
                <w:rFonts w:ascii="Arial" w:cs="Arial" w:eastAsia="Arial" w:hAnsi="Arial"/>
                <w:sz w:val="16"/>
                <w:szCs w:val="16"/>
                <w:color w:val="auto"/>
              </w:rPr>
              <w:t>Proceeds from credit line borrowings</w:t>
            </w:r>
          </w:p>
        </w:tc>
        <w:tc>
          <w:tcPr>
            <w:tcW w:w="900" w:type="dxa"/>
            <w:vAlign w:val="bottom"/>
          </w:tcPr>
          <w:p>
            <w:pPr>
              <w:spacing w:after="0"/>
              <w:rPr>
                <w:sz w:val="16"/>
                <w:szCs w:val="16"/>
                <w:color w:val="auto"/>
              </w:rPr>
            </w:pPr>
          </w:p>
        </w:tc>
        <w:tc>
          <w:tcPr>
            <w:tcW w:w="620" w:type="dxa"/>
            <w:vAlign w:val="bottom"/>
            <w:gridSpan w:val="2"/>
          </w:tcPr>
          <w:p>
            <w:pPr>
              <w:jc w:val="right"/>
              <w:ind w:right="64"/>
              <w:spacing w:after="0"/>
              <w:rPr>
                <w:sz w:val="20"/>
                <w:szCs w:val="20"/>
                <w:color w:val="auto"/>
              </w:rPr>
            </w:pPr>
            <w:r>
              <w:rPr>
                <w:rFonts w:ascii="Arial" w:cs="Arial" w:eastAsia="Arial" w:hAnsi="Arial"/>
                <w:sz w:val="16"/>
                <w:szCs w:val="16"/>
                <w:color w:val="auto"/>
              </w:rPr>
              <w:t>4,100</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Payment of lease and short-term credit obligations</w:t>
            </w:r>
          </w:p>
        </w:tc>
        <w:tc>
          <w:tcPr>
            <w:tcW w:w="9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(5,311)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340" w:type="dxa"/>
            <w:vAlign w:val="bottom"/>
            <w:gridSpan w:val="2"/>
          </w:tcPr>
          <w:p>
            <w:pPr>
              <w:ind w:left="120"/>
              <w:spacing w:after="0"/>
              <w:rPr>
                <w:sz w:val="20"/>
                <w:szCs w:val="20"/>
                <w:color w:val="auto"/>
              </w:rPr>
            </w:pPr>
            <w:r>
              <w:rPr>
                <w:rFonts w:ascii="Arial" w:cs="Arial" w:eastAsia="Arial" w:hAnsi="Arial"/>
                <w:sz w:val="16"/>
                <w:szCs w:val="16"/>
                <w:color w:val="auto"/>
              </w:rPr>
              <w:t>Payment of cash dividend</w:t>
            </w:r>
          </w:p>
        </w:tc>
        <w:tc>
          <w:tcPr>
            <w:tcW w:w="9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(1,684)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Tax benefit from exercise of stock-base compensation</w:t>
            </w:r>
          </w:p>
        </w:tc>
        <w:tc>
          <w:tcPr>
            <w:tcW w:w="9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222</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340" w:type="dxa"/>
            <w:vAlign w:val="bottom"/>
            <w:gridSpan w:val="2"/>
          </w:tcPr>
          <w:p>
            <w:pPr>
              <w:ind w:left="120"/>
              <w:spacing w:after="0"/>
              <w:rPr>
                <w:sz w:val="20"/>
                <w:szCs w:val="20"/>
                <w:color w:val="auto"/>
              </w:rPr>
            </w:pPr>
            <w:r>
              <w:rPr>
                <w:rFonts w:ascii="Arial" w:cs="Arial" w:eastAsia="Arial" w:hAnsi="Arial"/>
                <w:sz w:val="16"/>
                <w:szCs w:val="16"/>
                <w:color w:val="auto"/>
              </w:rPr>
              <w:t>Exercise of stock options</w:t>
            </w:r>
          </w:p>
        </w:tc>
        <w:tc>
          <w:tcPr>
            <w:tcW w:w="9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provided by (used in) financing activities</w:t>
            </w: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(2,975)</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744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34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Net increase in cash and cash equivalents</w:t>
            </w: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before effect of exchange rate changes</w:t>
            </w:r>
          </w:p>
        </w:tc>
        <w:tc>
          <w:tcPr>
            <w:tcW w:w="9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4,832</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90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34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Effect of exchange rate changes</w:t>
            </w: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on cash and cash equivalents</w:t>
            </w: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269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744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increase in cash and cash equivalents</w:t>
            </w:r>
          </w:p>
        </w:tc>
        <w:tc>
          <w:tcPr>
            <w:tcW w:w="9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5,101</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90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9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3,460</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4,782</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744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vMerge w:val="continue"/>
          </w:tcPr>
          <w:p>
            <w:pPr>
              <w:spacing w:after="0"/>
              <w:rPr>
                <w:sz w:val="20"/>
                <w:szCs w:val="20"/>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900" w:type="dxa"/>
            <w:vAlign w:val="bottom"/>
            <w:shd w:val="clear" w:color="auto" w:fill="CCEEFF"/>
          </w:tcPr>
          <w:p>
            <w:pPr>
              <w:jc w:val="right"/>
              <w:ind w:right="743"/>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8,561</w:t>
            </w:r>
          </w:p>
        </w:tc>
        <w:tc>
          <w:tcPr>
            <w:tcW w:w="1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5,222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744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7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20" w:type="dxa"/>
            <w:vAlign w:val="bottom"/>
            <w:gridSpan w:val="2"/>
          </w:tcPr>
          <w:p>
            <w:pPr>
              <w:spacing w:after="0"/>
              <w:rPr>
                <w:sz w:val="16"/>
                <w:szCs w:val="16"/>
                <w:color w:val="auto"/>
              </w:rPr>
            </w:pPr>
          </w:p>
        </w:tc>
        <w:tc>
          <w:tcPr>
            <w:tcW w:w="7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7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340" w:type="dxa"/>
            <w:vAlign w:val="bottom"/>
            <w:gridSpan w:val="2"/>
          </w:tcPr>
          <w:p>
            <w:pPr>
              <w:spacing w:after="0"/>
              <w:rPr>
                <w:sz w:val="20"/>
                <w:szCs w:val="20"/>
                <w:color w:val="auto"/>
              </w:rPr>
            </w:pPr>
            <w:r>
              <w:rPr>
                <w:rFonts w:ascii="Arial" w:cs="Arial" w:eastAsia="Arial" w:hAnsi="Arial"/>
                <w:sz w:val="16"/>
                <w:szCs w:val="16"/>
                <w:color w:val="auto"/>
              </w:rPr>
              <w:t>Supplemental disclosures of cash flow information:</w:t>
            </w: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Cash paid during the period for:</w:t>
            </w:r>
          </w:p>
        </w:tc>
        <w:tc>
          <w:tcPr>
            <w:tcW w:w="9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340" w:type="dxa"/>
            <w:vAlign w:val="bottom"/>
            <w:gridSpan w:val="2"/>
          </w:tcPr>
          <w:p>
            <w:pPr>
              <w:ind w:left="120"/>
              <w:spacing w:after="0"/>
              <w:rPr>
                <w:sz w:val="20"/>
                <w:szCs w:val="20"/>
                <w:color w:val="auto"/>
              </w:rPr>
            </w:pPr>
            <w:r>
              <w:rPr>
                <w:rFonts w:ascii="Arial" w:cs="Arial" w:eastAsia="Arial" w:hAnsi="Arial"/>
                <w:sz w:val="16"/>
                <w:szCs w:val="16"/>
                <w:color w:val="auto"/>
              </w:rPr>
              <w:t>Interest</w:t>
            </w:r>
          </w:p>
        </w:tc>
        <w:tc>
          <w:tcPr>
            <w:tcW w:w="900" w:type="dxa"/>
            <w:vAlign w:val="bottom"/>
          </w:tcPr>
          <w:p>
            <w:pPr>
              <w:jc w:val="right"/>
              <w:ind w:right="743"/>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4"/>
              <w:spacing w:after="0"/>
              <w:rPr>
                <w:sz w:val="20"/>
                <w:szCs w:val="20"/>
                <w:color w:val="auto"/>
              </w:rPr>
            </w:pPr>
            <w:r>
              <w:rPr>
                <w:rFonts w:ascii="Arial" w:cs="Arial" w:eastAsia="Arial" w:hAnsi="Arial"/>
                <w:sz w:val="16"/>
                <w:szCs w:val="16"/>
                <w:color w:val="auto"/>
              </w:rPr>
              <w:t>121</w:t>
            </w:r>
          </w:p>
        </w:tc>
        <w:tc>
          <w:tcPr>
            <w:tcW w:w="5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gridSpan w:val="2"/>
            <w:shd w:val="clear" w:color="auto" w:fill="CCEEFF"/>
          </w:tcPr>
          <w:p>
            <w:pPr>
              <w:ind w:left="120"/>
              <w:spacing w:after="0" w:line="182" w:lineRule="exact"/>
              <w:rPr>
                <w:sz w:val="20"/>
                <w:szCs w:val="20"/>
                <w:color w:val="auto"/>
              </w:rPr>
            </w:pPr>
            <w:r>
              <w:rPr>
                <w:rFonts w:ascii="Arial" w:cs="Arial" w:eastAsia="Arial" w:hAnsi="Arial"/>
                <w:sz w:val="16"/>
                <w:szCs w:val="16"/>
                <w:color w:val="auto"/>
              </w:rPr>
              <w:t>Income Taxes</w:t>
            </w:r>
          </w:p>
        </w:tc>
        <w:tc>
          <w:tcPr>
            <w:tcW w:w="900" w:type="dxa"/>
            <w:vAlign w:val="bottom"/>
            <w:shd w:val="clear" w:color="auto" w:fill="CCEEFF"/>
          </w:tcPr>
          <w:p>
            <w:pPr>
              <w:jc w:val="right"/>
              <w:ind w:right="743"/>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1,296</w:t>
            </w: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360"/>
              <w:spacing w:after="0" w:line="182" w:lineRule="exact"/>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6"/>
                <w:szCs w:val="16"/>
                <w:color w:val="auto"/>
              </w:rPr>
              <w:t>1,889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4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66305"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6" w:name="page7"/>
    <w:bookmarkEnd w:id="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1"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FREQUENCY ELECTRONICS, INC. and SUBSIDIARIES</w:t>
      </w:r>
    </w:p>
    <w:p>
      <w:pPr>
        <w:spacing w:after="0" w:line="23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Notes to Condensed Consolidated Financial Statements</w:t>
      </w:r>
    </w:p>
    <w:p>
      <w:pPr>
        <w:spacing w:after="0" w:line="2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(Unaudited)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A - CONSOLIDATED FINANCIAL STATEMENTS</w:t>
      </w:r>
    </w:p>
    <w:p>
      <w:pPr>
        <w:spacing w:after="0" w:line="207" w:lineRule="exact"/>
        <w:rPr>
          <w:sz w:val="20"/>
          <w:szCs w:val="20"/>
          <w:color w:val="auto"/>
        </w:rPr>
      </w:pPr>
    </w:p>
    <w:p>
      <w:pPr>
        <w:jc w:val="both"/>
        <w:ind w:right="100" w:firstLine="435"/>
        <w:spacing w:after="0" w:line="276" w:lineRule="auto"/>
        <w:rPr>
          <w:sz w:val="20"/>
          <w:szCs w:val="20"/>
          <w:color w:val="auto"/>
        </w:rPr>
      </w:pPr>
      <w:r>
        <w:rPr>
          <w:rFonts w:ascii="Arial" w:cs="Arial" w:eastAsia="Arial" w:hAnsi="Arial"/>
          <w:sz w:val="15"/>
          <w:szCs w:val="15"/>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January 31, 2014 and the results of its operations and cash flows for the nine and three months ended January 31, 2014 and 2013. The April 30, 2013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financial statements and notes thereto included in the Company's Annual Report on Form 10-K for the year ended April 30, 2013. The results of operations for such interim periods are not necessarily indicative of the operating results for the full fiscal year.</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B - EARNINGS PER SHARE</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Reconciliation of the weighted average shares outstanding for basic and diluted Earnings Per Share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86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Nine months</w:t>
            </w:r>
          </w:p>
        </w:tc>
        <w:tc>
          <w:tcPr>
            <w:tcW w:w="1560" w:type="dxa"/>
            <w:vAlign w:val="bottom"/>
            <w:tcBorders>
              <w:bottom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2"/>
          </w:tcPr>
          <w:p>
            <w:pPr>
              <w:jc w:val="right"/>
              <w:ind w:right="1580"/>
              <w:spacing w:after="0"/>
              <w:rPr>
                <w:sz w:val="20"/>
                <w:szCs w:val="20"/>
                <w:color w:val="auto"/>
              </w:rPr>
            </w:pPr>
            <w:r>
              <w:rPr>
                <w:rFonts w:ascii="Arial" w:cs="Arial" w:eastAsia="Arial" w:hAnsi="Arial"/>
                <w:sz w:val="16"/>
                <w:szCs w:val="16"/>
                <w:b w:val="1"/>
                <w:bCs w:val="1"/>
                <w:color w:val="auto"/>
                <w:w w:val="88"/>
              </w:rPr>
              <w:t>Three months</w:t>
            </w:r>
          </w:p>
        </w:tc>
        <w:tc>
          <w:tcPr>
            <w:tcW w:w="480" w:type="dxa"/>
            <w:vAlign w:val="bottom"/>
          </w:tcPr>
          <w:p>
            <w:pPr>
              <w:spacing w:after="0"/>
              <w:rPr>
                <w:sz w:val="18"/>
                <w:szCs w:val="18"/>
                <w:color w:val="auto"/>
              </w:rPr>
            </w:pPr>
          </w:p>
        </w:tc>
      </w:tr>
      <w:tr>
        <w:trPr>
          <w:trHeight w:val="177"/>
        </w:trPr>
        <w:tc>
          <w:tcPr>
            <w:tcW w:w="1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jc w:val="right"/>
              <w:spacing w:after="0" w:line="177" w:lineRule="exact"/>
              <w:rPr>
                <w:sz w:val="20"/>
                <w:szCs w:val="20"/>
                <w:color w:val="auto"/>
              </w:rPr>
            </w:pPr>
            <w:r>
              <w:rPr>
                <w:rFonts w:ascii="Arial" w:cs="Arial" w:eastAsia="Arial" w:hAnsi="Arial"/>
                <w:sz w:val="16"/>
                <w:szCs w:val="16"/>
                <w:b w:val="1"/>
                <w:bCs w:val="1"/>
                <w:color w:val="auto"/>
              </w:rPr>
              <w:t>Periods</w:t>
            </w:r>
          </w:p>
        </w:tc>
        <w:tc>
          <w:tcPr>
            <w:tcW w:w="1500" w:type="dxa"/>
            <w:vAlign w:val="bottom"/>
            <w:gridSpan w:val="2"/>
          </w:tcPr>
          <w:p>
            <w:pPr>
              <w:ind w:left="140"/>
              <w:spacing w:after="0" w:line="177" w:lineRule="exact"/>
              <w:rPr>
                <w:sz w:val="20"/>
                <w:szCs w:val="20"/>
                <w:color w:val="auto"/>
              </w:rPr>
            </w:pPr>
            <w:r>
              <w:rPr>
                <w:rFonts w:ascii="Arial" w:cs="Arial" w:eastAsia="Arial" w:hAnsi="Arial"/>
                <w:sz w:val="16"/>
                <w:szCs w:val="16"/>
                <w:b w:val="1"/>
                <w:bCs w:val="1"/>
                <w:color w:val="auto"/>
                <w:w w:val="95"/>
              </w:rPr>
              <w:t>ended January 31,</w:t>
            </w: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214"/>
        </w:trPr>
        <w:tc>
          <w:tcPr>
            <w:tcW w:w="1860" w:type="dxa"/>
            <w:vAlign w:val="bottom"/>
          </w:tcPr>
          <w:p>
            <w:pPr>
              <w:spacing w:after="0"/>
              <w:rPr>
                <w:sz w:val="18"/>
                <w:szCs w:val="18"/>
                <w:color w:val="auto"/>
              </w:rPr>
            </w:pPr>
          </w:p>
        </w:tc>
        <w:tc>
          <w:tcPr>
            <w:tcW w:w="1560" w:type="dxa"/>
            <w:vAlign w:val="bottom"/>
          </w:tcPr>
          <w:p>
            <w:pPr>
              <w:jc w:val="right"/>
              <w:ind w:right="539"/>
              <w:spacing w:after="0"/>
              <w:rPr>
                <w:sz w:val="20"/>
                <w:szCs w:val="20"/>
                <w:color w:val="auto"/>
              </w:rPr>
            </w:pPr>
            <w:r>
              <w:rPr>
                <w:rFonts w:ascii="Arial" w:cs="Arial" w:eastAsia="Arial" w:hAnsi="Arial"/>
                <w:sz w:val="16"/>
                <w:szCs w:val="16"/>
                <w:b w:val="1"/>
                <w:bCs w:val="1"/>
                <w:color w:val="auto"/>
              </w:rPr>
              <w:t>2014</w:t>
            </w:r>
          </w:p>
        </w:tc>
        <w:tc>
          <w:tcPr>
            <w:tcW w:w="980" w:type="dxa"/>
            <w:vAlign w:val="bottom"/>
          </w:tcPr>
          <w:p>
            <w:pPr>
              <w:spacing w:after="0"/>
              <w:rPr>
                <w:sz w:val="18"/>
                <w:szCs w:val="18"/>
                <w:color w:val="auto"/>
              </w:rPr>
            </w:pPr>
          </w:p>
        </w:tc>
        <w:tc>
          <w:tcPr>
            <w:tcW w:w="1560" w:type="dxa"/>
            <w:vAlign w:val="bottom"/>
          </w:tcPr>
          <w:p>
            <w:pPr>
              <w:jc w:val="right"/>
              <w:ind w:right="539"/>
              <w:spacing w:after="0"/>
              <w:rPr>
                <w:sz w:val="20"/>
                <w:szCs w:val="20"/>
                <w:color w:val="auto"/>
              </w:rPr>
            </w:pPr>
            <w:r>
              <w:rPr>
                <w:rFonts w:ascii="Arial" w:cs="Arial" w:eastAsia="Arial" w:hAnsi="Arial"/>
                <w:sz w:val="16"/>
                <w:szCs w:val="16"/>
                <w:b w:val="1"/>
                <w:bCs w:val="1"/>
                <w:color w:val="auto"/>
              </w:rPr>
              <w:t>2013</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539"/>
              <w:spacing w:after="0"/>
              <w:rPr>
                <w:sz w:val="20"/>
                <w:szCs w:val="20"/>
                <w:color w:val="auto"/>
              </w:rPr>
            </w:pPr>
            <w:r>
              <w:rPr>
                <w:rFonts w:ascii="Arial" w:cs="Arial" w:eastAsia="Arial" w:hAnsi="Arial"/>
                <w:sz w:val="16"/>
                <w:szCs w:val="16"/>
                <w:b w:val="1"/>
                <w:bCs w:val="1"/>
                <w:color w:val="auto"/>
              </w:rPr>
              <w:t>2014</w:t>
            </w:r>
          </w:p>
        </w:tc>
        <w:tc>
          <w:tcPr>
            <w:tcW w:w="254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2013</w:t>
            </w:r>
          </w:p>
        </w:tc>
        <w:tc>
          <w:tcPr>
            <w:tcW w:w="480" w:type="dxa"/>
            <w:vAlign w:val="bottom"/>
          </w:tcPr>
          <w:p>
            <w:pPr>
              <w:spacing w:after="0"/>
              <w:rPr>
                <w:sz w:val="18"/>
                <w:szCs w:val="18"/>
                <w:color w:val="auto"/>
              </w:rPr>
            </w:pPr>
          </w:p>
        </w:tc>
      </w:tr>
      <w:tr>
        <w:trPr>
          <w:trHeight w:val="181"/>
        </w:trPr>
        <w:tc>
          <w:tcPr>
            <w:tcW w:w="1860" w:type="dxa"/>
            <w:vAlign w:val="bottom"/>
          </w:tcPr>
          <w:p>
            <w:pPr>
              <w:spacing w:after="0" w:line="181" w:lineRule="exact"/>
              <w:rPr>
                <w:sz w:val="20"/>
                <w:szCs w:val="20"/>
                <w:color w:val="auto"/>
              </w:rPr>
            </w:pPr>
            <w:r>
              <w:rPr>
                <w:rFonts w:ascii="Arial" w:cs="Arial" w:eastAsia="Arial" w:hAnsi="Arial"/>
                <w:sz w:val="16"/>
                <w:szCs w:val="16"/>
                <w:color w:val="auto"/>
              </w:rPr>
              <w:t>Weighted</w:t>
            </w:r>
          </w:p>
        </w:tc>
        <w:tc>
          <w:tcPr>
            <w:tcW w:w="1560" w:type="dxa"/>
            <w:vAlign w:val="bottom"/>
            <w:tcBorders>
              <w:top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r>
      <w:tr>
        <w:trPr>
          <w:trHeight w:val="193"/>
        </w:trPr>
        <w:tc>
          <w:tcPr>
            <w:tcW w:w="1860" w:type="dxa"/>
            <w:vAlign w:val="bottom"/>
          </w:tcPr>
          <w:p>
            <w:pPr>
              <w:spacing w:after="0"/>
              <w:rPr>
                <w:sz w:val="20"/>
                <w:szCs w:val="20"/>
                <w:color w:val="auto"/>
              </w:rPr>
            </w:pPr>
            <w:r>
              <w:rPr>
                <w:rFonts w:ascii="Arial" w:cs="Arial" w:eastAsia="Arial" w:hAnsi="Arial"/>
                <w:sz w:val="16"/>
                <w:szCs w:val="16"/>
                <w:color w:val="auto"/>
              </w:rPr>
              <w:t>average</w:t>
            </w:r>
          </w:p>
        </w:tc>
        <w:tc>
          <w:tcPr>
            <w:tcW w:w="1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93"/>
        </w:trPr>
        <w:tc>
          <w:tcPr>
            <w:tcW w:w="1860" w:type="dxa"/>
            <w:vAlign w:val="bottom"/>
          </w:tcPr>
          <w:p>
            <w:pPr>
              <w:spacing w:after="0"/>
              <w:rPr>
                <w:sz w:val="20"/>
                <w:szCs w:val="20"/>
                <w:color w:val="auto"/>
              </w:rPr>
            </w:pPr>
            <w:r>
              <w:rPr>
                <w:rFonts w:ascii="Arial" w:cs="Arial" w:eastAsia="Arial" w:hAnsi="Arial"/>
                <w:sz w:val="16"/>
                <w:szCs w:val="16"/>
                <w:color w:val="auto"/>
              </w:rPr>
              <w:t>shares</w:t>
            </w:r>
          </w:p>
        </w:tc>
        <w:tc>
          <w:tcPr>
            <w:tcW w:w="1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06"/>
        </w:trPr>
        <w:tc>
          <w:tcPr>
            <w:tcW w:w="1860" w:type="dxa"/>
            <w:vAlign w:val="bottom"/>
          </w:tcPr>
          <w:p>
            <w:pPr>
              <w:spacing w:after="0"/>
              <w:rPr>
                <w:sz w:val="20"/>
                <w:szCs w:val="20"/>
                <w:color w:val="auto"/>
              </w:rPr>
            </w:pPr>
            <w:r>
              <w:rPr>
                <w:rFonts w:ascii="Arial" w:cs="Arial" w:eastAsia="Arial" w:hAnsi="Arial"/>
                <w:sz w:val="16"/>
                <w:szCs w:val="16"/>
                <w:color w:val="auto"/>
              </w:rPr>
              <w:t>outstanding:</w:t>
            </w:r>
          </w:p>
        </w:tc>
        <w:tc>
          <w:tcPr>
            <w:tcW w:w="1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94"/>
        </w:trPr>
        <w:tc>
          <w:tcPr>
            <w:tcW w:w="1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2540" w:type="dxa"/>
            <w:vAlign w:val="bottom"/>
            <w:gridSpan w:val="2"/>
            <w:shd w:val="clear" w:color="auto" w:fill="CCEEFF"/>
          </w:tcPr>
          <w:p>
            <w:pPr>
              <w:jc w:val="right"/>
              <w:ind w:right="899"/>
              <w:spacing w:after="0"/>
              <w:rPr>
                <w:sz w:val="20"/>
                <w:szCs w:val="20"/>
                <w:color w:val="auto"/>
              </w:rPr>
            </w:pPr>
            <w:r>
              <w:rPr>
                <w:rFonts w:ascii="Arial" w:cs="Arial" w:eastAsia="Arial" w:hAnsi="Arial"/>
                <w:sz w:val="16"/>
                <w:szCs w:val="16"/>
                <w:color w:val="auto"/>
              </w:rPr>
              <w:t>8,515,638</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8,401,348</w:t>
            </w: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8,537,294</w:t>
            </w:r>
          </w:p>
        </w:tc>
        <w:tc>
          <w:tcPr>
            <w:tcW w:w="302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8,424,162</w:t>
            </w:r>
          </w:p>
        </w:tc>
      </w:tr>
      <w:tr>
        <w:trPr>
          <w:trHeight w:val="181"/>
        </w:trPr>
        <w:tc>
          <w:tcPr>
            <w:tcW w:w="1860" w:type="dxa"/>
            <w:vAlign w:val="bottom"/>
          </w:tcPr>
          <w:p>
            <w:pPr>
              <w:ind w:left="140"/>
              <w:spacing w:after="0" w:line="181" w:lineRule="exact"/>
              <w:rPr>
                <w:sz w:val="20"/>
                <w:szCs w:val="20"/>
                <w:color w:val="auto"/>
              </w:rPr>
            </w:pPr>
            <w:r>
              <w:rPr>
                <w:rFonts w:ascii="Arial" w:cs="Arial" w:eastAsia="Arial" w:hAnsi="Arial"/>
                <w:sz w:val="16"/>
                <w:szCs w:val="16"/>
                <w:color w:val="auto"/>
              </w:rPr>
              <w:t>Effect of</w:t>
            </w:r>
          </w:p>
        </w:tc>
        <w:tc>
          <w:tcPr>
            <w:tcW w:w="1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93"/>
        </w:trPr>
        <w:tc>
          <w:tcPr>
            <w:tcW w:w="1860" w:type="dxa"/>
            <w:vAlign w:val="bottom"/>
          </w:tcPr>
          <w:p>
            <w:pPr>
              <w:spacing w:after="0"/>
              <w:rPr>
                <w:sz w:val="20"/>
                <w:szCs w:val="20"/>
                <w:color w:val="auto"/>
              </w:rPr>
            </w:pPr>
            <w:r>
              <w:rPr>
                <w:rFonts w:ascii="Arial" w:cs="Arial" w:eastAsia="Arial" w:hAnsi="Arial"/>
                <w:sz w:val="16"/>
                <w:szCs w:val="16"/>
                <w:color w:val="auto"/>
              </w:rPr>
              <w:t>dilutive</w:t>
            </w:r>
          </w:p>
        </w:tc>
        <w:tc>
          <w:tcPr>
            <w:tcW w:w="1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06"/>
        </w:trPr>
        <w:tc>
          <w:tcPr>
            <w:tcW w:w="1860" w:type="dxa"/>
            <w:vAlign w:val="bottom"/>
          </w:tcPr>
          <w:p>
            <w:pPr>
              <w:spacing w:after="0"/>
              <w:rPr>
                <w:sz w:val="20"/>
                <w:szCs w:val="20"/>
                <w:color w:val="auto"/>
              </w:rPr>
            </w:pPr>
            <w:r>
              <w:rPr>
                <w:rFonts w:ascii="Arial" w:cs="Arial" w:eastAsia="Arial" w:hAnsi="Arial"/>
                <w:sz w:val="16"/>
                <w:szCs w:val="16"/>
                <w:color w:val="auto"/>
              </w:rPr>
              <w:t>securities</w:t>
            </w:r>
          </w:p>
        </w:tc>
        <w:tc>
          <w:tcPr>
            <w:tcW w:w="2540" w:type="dxa"/>
            <w:vAlign w:val="bottom"/>
            <w:gridSpan w:val="2"/>
          </w:tcPr>
          <w:p>
            <w:pPr>
              <w:jc w:val="right"/>
              <w:ind w:right="899"/>
              <w:spacing w:after="0"/>
              <w:rPr>
                <w:sz w:val="20"/>
                <w:szCs w:val="20"/>
                <w:color w:val="auto"/>
              </w:rPr>
            </w:pPr>
            <w:r>
              <w:rPr>
                <w:rFonts w:ascii="Arial" w:cs="Arial" w:eastAsia="Arial" w:hAnsi="Arial"/>
                <w:sz w:val="16"/>
                <w:szCs w:val="16"/>
                <w:color w:val="auto"/>
              </w:rPr>
              <w:t>290,324</w:t>
            </w:r>
          </w:p>
        </w:tc>
        <w:tc>
          <w:tcPr>
            <w:tcW w:w="1560" w:type="dxa"/>
            <w:vAlign w:val="bottom"/>
          </w:tcPr>
          <w:p>
            <w:pPr>
              <w:jc w:val="right"/>
              <w:spacing w:after="0"/>
              <w:rPr>
                <w:sz w:val="20"/>
                <w:szCs w:val="20"/>
                <w:color w:val="auto"/>
              </w:rPr>
            </w:pPr>
            <w:r>
              <w:rPr>
                <w:rFonts w:ascii="Arial" w:cs="Arial" w:eastAsia="Arial" w:hAnsi="Arial"/>
                <w:sz w:val="16"/>
                <w:szCs w:val="16"/>
                <w:color w:val="auto"/>
              </w:rPr>
              <w:t>182,268</w:t>
            </w: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319,904</w:t>
            </w:r>
          </w:p>
        </w:tc>
        <w:tc>
          <w:tcPr>
            <w:tcW w:w="3020" w:type="dxa"/>
            <w:vAlign w:val="bottom"/>
            <w:gridSpan w:val="3"/>
          </w:tcPr>
          <w:p>
            <w:pPr>
              <w:jc w:val="right"/>
              <w:ind w:right="480"/>
              <w:spacing w:after="0"/>
              <w:rPr>
                <w:sz w:val="20"/>
                <w:szCs w:val="20"/>
                <w:color w:val="auto"/>
              </w:rPr>
            </w:pPr>
            <w:r>
              <w:rPr>
                <w:rFonts w:ascii="Arial" w:cs="Arial" w:eastAsia="Arial" w:hAnsi="Arial"/>
                <w:sz w:val="16"/>
                <w:szCs w:val="16"/>
                <w:color w:val="auto"/>
              </w:rPr>
              <w:t>179,612</w:t>
            </w:r>
          </w:p>
        </w:tc>
      </w:tr>
      <w:tr>
        <w:trPr>
          <w:trHeight w:val="24"/>
        </w:trPr>
        <w:tc>
          <w:tcPr>
            <w:tcW w:w="186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r>
      <w:tr>
        <w:trPr>
          <w:trHeight w:val="213"/>
        </w:trPr>
        <w:tc>
          <w:tcPr>
            <w:tcW w:w="1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540" w:type="dxa"/>
            <w:vAlign w:val="bottom"/>
            <w:gridSpan w:val="2"/>
            <w:shd w:val="clear" w:color="auto" w:fill="CCEEFF"/>
          </w:tcPr>
          <w:p>
            <w:pPr>
              <w:jc w:val="right"/>
              <w:ind w:right="899"/>
              <w:spacing w:after="0"/>
              <w:rPr>
                <w:sz w:val="20"/>
                <w:szCs w:val="20"/>
                <w:color w:val="auto"/>
              </w:rPr>
            </w:pPr>
            <w:r>
              <w:rPr>
                <w:rFonts w:ascii="Arial" w:cs="Arial" w:eastAsia="Arial" w:hAnsi="Arial"/>
                <w:sz w:val="16"/>
                <w:szCs w:val="16"/>
                <w:color w:val="auto"/>
              </w:rPr>
              <w:t>8,805,962</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8,583,616</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8,857,198</w:t>
            </w:r>
          </w:p>
        </w:tc>
        <w:tc>
          <w:tcPr>
            <w:tcW w:w="302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8,603,774</w:t>
            </w:r>
          </w:p>
        </w:tc>
      </w:tr>
      <w:tr>
        <w:trPr>
          <w:trHeight w:val="20"/>
        </w:trPr>
        <w:tc>
          <w:tcPr>
            <w:tcW w:w="18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bl>
    <w:p>
      <w:pPr>
        <w:spacing w:after="0" w:line="181" w:lineRule="exact"/>
        <w:rPr>
          <w:sz w:val="20"/>
          <w:szCs w:val="20"/>
          <w:color w:val="auto"/>
        </w:rPr>
      </w:pPr>
    </w:p>
    <w:p>
      <w:pPr>
        <w:ind w:right="160" w:firstLine="435"/>
        <w:spacing w:after="0" w:line="266" w:lineRule="auto"/>
        <w:rPr>
          <w:sz w:val="20"/>
          <w:szCs w:val="20"/>
          <w:color w:val="auto"/>
        </w:rPr>
      </w:pPr>
      <w:r>
        <w:rPr>
          <w:rFonts w:ascii="Arial" w:cs="Arial" w:eastAsia="Arial" w:hAnsi="Arial"/>
          <w:sz w:val="16"/>
          <w:szCs w:val="16"/>
          <w:color w:val="auto"/>
        </w:rPr>
        <w:t>The computation of diluted earnings per share excludes those options and stock appreciation rights (“SARS”) with an exercise price in excess of the average market price of the Company’s common shares during the periods presented. The inclusion of such options and SARS in the computation of earnings per share would have been antidilutive. The number of excluded options and SARS were: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w w:val="92"/>
              </w:rPr>
              <w:t>Nine months</w:t>
            </w:r>
          </w:p>
        </w:tc>
        <w:tc>
          <w:tcPr>
            <w:tcW w:w="1520" w:type="dxa"/>
            <w:vAlign w:val="bottom"/>
            <w:tcBorders>
              <w:bottom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2"/>
          </w:tcPr>
          <w:p>
            <w:pPr>
              <w:jc w:val="right"/>
              <w:ind w:right="1500"/>
              <w:spacing w:after="0"/>
              <w:rPr>
                <w:sz w:val="20"/>
                <w:szCs w:val="20"/>
                <w:color w:val="auto"/>
              </w:rPr>
            </w:pPr>
            <w:r>
              <w:rPr>
                <w:rFonts w:ascii="Arial" w:cs="Arial" w:eastAsia="Arial" w:hAnsi="Arial"/>
                <w:sz w:val="16"/>
                <w:szCs w:val="16"/>
                <w:b w:val="1"/>
                <w:bCs w:val="1"/>
                <w:color w:val="auto"/>
                <w:w w:val="88"/>
              </w:rPr>
              <w:t>Three months</w:t>
            </w:r>
          </w:p>
        </w:tc>
        <w:tc>
          <w:tcPr>
            <w:tcW w:w="500" w:type="dxa"/>
            <w:vAlign w:val="bottom"/>
          </w:tcPr>
          <w:p>
            <w:pPr>
              <w:spacing w:after="0"/>
              <w:rPr>
                <w:sz w:val="18"/>
                <w:szCs w:val="18"/>
                <w:color w:val="auto"/>
              </w:rPr>
            </w:pPr>
          </w:p>
        </w:tc>
      </w:tr>
      <w:tr>
        <w:trPr>
          <w:trHeight w:val="177"/>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jc w:val="right"/>
              <w:spacing w:after="0" w:line="177" w:lineRule="exact"/>
              <w:rPr>
                <w:sz w:val="20"/>
                <w:szCs w:val="20"/>
                <w:color w:val="auto"/>
              </w:rPr>
            </w:pPr>
            <w:r>
              <w:rPr>
                <w:rFonts w:ascii="Arial" w:cs="Arial" w:eastAsia="Arial" w:hAnsi="Arial"/>
                <w:sz w:val="16"/>
                <w:szCs w:val="16"/>
                <w:b w:val="1"/>
                <w:bCs w:val="1"/>
                <w:color w:val="auto"/>
              </w:rPr>
              <w:t>Periods</w:t>
            </w:r>
          </w:p>
        </w:tc>
        <w:tc>
          <w:tcPr>
            <w:tcW w:w="1480" w:type="dxa"/>
            <w:vAlign w:val="bottom"/>
            <w:gridSpan w:val="2"/>
          </w:tcPr>
          <w:p>
            <w:pPr>
              <w:ind w:left="120"/>
              <w:spacing w:after="0" w:line="177" w:lineRule="exact"/>
              <w:rPr>
                <w:sz w:val="20"/>
                <w:szCs w:val="20"/>
                <w:color w:val="auto"/>
              </w:rPr>
            </w:pPr>
            <w:r>
              <w:rPr>
                <w:rFonts w:ascii="Arial" w:cs="Arial" w:eastAsia="Arial" w:hAnsi="Arial"/>
                <w:sz w:val="16"/>
                <w:szCs w:val="16"/>
                <w:b w:val="1"/>
                <w:bCs w:val="1"/>
                <w:color w:val="auto"/>
                <w:w w:val="95"/>
              </w:rPr>
              <w:t>ended January 31,</w:t>
            </w: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14"/>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960" w:type="dxa"/>
            <w:vAlign w:val="bottom"/>
          </w:tcPr>
          <w:p>
            <w:pPr>
              <w:spacing w:after="0"/>
              <w:rPr>
                <w:sz w:val="18"/>
                <w:szCs w:val="18"/>
                <w:color w:val="auto"/>
              </w:rPr>
            </w:pPr>
          </w:p>
        </w:tc>
        <w:tc>
          <w:tcPr>
            <w:tcW w:w="1520" w:type="dxa"/>
            <w:vAlign w:val="bottom"/>
          </w:tcPr>
          <w:p>
            <w:pPr>
              <w:jc w:val="right"/>
              <w:ind w:right="519"/>
              <w:spacing w:after="0"/>
              <w:rPr>
                <w:sz w:val="20"/>
                <w:szCs w:val="20"/>
                <w:color w:val="auto"/>
              </w:rPr>
            </w:pPr>
            <w:r>
              <w:rPr>
                <w:rFonts w:ascii="Arial" w:cs="Arial" w:eastAsia="Arial" w:hAnsi="Arial"/>
                <w:sz w:val="16"/>
                <w:szCs w:val="16"/>
                <w:b w:val="1"/>
                <w:bCs w:val="1"/>
                <w:color w:val="auto"/>
              </w:rPr>
              <w:t>2013</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246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2013</w:t>
            </w:r>
          </w:p>
        </w:tc>
        <w:tc>
          <w:tcPr>
            <w:tcW w:w="500" w:type="dxa"/>
            <w:vAlign w:val="bottom"/>
          </w:tcPr>
          <w:p>
            <w:pPr>
              <w:spacing w:after="0"/>
              <w:rPr>
                <w:sz w:val="18"/>
                <w:szCs w:val="18"/>
                <w:color w:val="auto"/>
              </w:rPr>
            </w:pPr>
          </w:p>
        </w:tc>
      </w:tr>
      <w:tr>
        <w:trPr>
          <w:trHeight w:val="181"/>
        </w:trPr>
        <w:tc>
          <w:tcPr>
            <w:tcW w:w="20" w:type="dxa"/>
            <w:vAlign w:val="bottom"/>
          </w:tcPr>
          <w:p>
            <w:pPr>
              <w:spacing w:after="0"/>
              <w:rPr>
                <w:sz w:val="15"/>
                <w:szCs w:val="15"/>
                <w:color w:val="auto"/>
              </w:rPr>
            </w:pPr>
          </w:p>
        </w:tc>
        <w:tc>
          <w:tcPr>
            <w:tcW w:w="9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Outstanding</w:t>
            </w:r>
          </w:p>
        </w:tc>
        <w:tc>
          <w:tcPr>
            <w:tcW w:w="1080" w:type="dxa"/>
            <w:vAlign w:val="bottom"/>
            <w:shd w:val="clear" w:color="auto" w:fill="CCEEFF"/>
          </w:tcPr>
          <w:p>
            <w:pPr>
              <w:ind w:left="120"/>
              <w:spacing w:after="0" w:line="181" w:lineRule="exact"/>
              <w:rPr>
                <w:sz w:val="20"/>
                <w:szCs w:val="20"/>
                <w:color w:val="auto"/>
              </w:rPr>
            </w:pPr>
            <w:r>
              <w:rPr>
                <w:rFonts w:ascii="Arial" w:cs="Arial" w:eastAsia="Arial" w:hAnsi="Arial"/>
                <w:sz w:val="16"/>
                <w:szCs w:val="16"/>
                <w:color w:val="auto"/>
              </w:rPr>
              <w:t>options</w:t>
            </w:r>
          </w:p>
        </w:tc>
        <w:tc>
          <w:tcPr>
            <w:tcW w:w="1520" w:type="dxa"/>
            <w:vAlign w:val="bottom"/>
            <w:tcBorders>
              <w:top w:val="single" w:sz="8" w:color="auto"/>
            </w:tcBorders>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right w:val="single" w:sz="8" w:color="CCEEFF"/>
            </w:tcBorders>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206"/>
        </w:trPr>
        <w:tc>
          <w:tcPr>
            <w:tcW w:w="20" w:type="dxa"/>
            <w:vAlign w:val="bottom"/>
          </w:tcPr>
          <w:p>
            <w:pPr>
              <w:spacing w:after="0"/>
              <w:rPr>
                <w:sz w:val="17"/>
                <w:szCs w:val="17"/>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and SARS excluded</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276,875</w:t>
            </w:r>
          </w:p>
        </w:tc>
        <w:tc>
          <w:tcPr>
            <w:tcW w:w="9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942,375</w:t>
            </w: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210,000</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942,375</w:t>
            </w:r>
          </w:p>
        </w:tc>
        <w:tc>
          <w:tcPr>
            <w:tcW w:w="500" w:type="dxa"/>
            <w:vAlign w:val="bottom"/>
            <w:shd w:val="clear" w:color="auto" w:fill="CCEEFF"/>
          </w:tcPr>
          <w:p>
            <w:pPr>
              <w:spacing w:after="0"/>
              <w:rPr>
                <w:sz w:val="17"/>
                <w:szCs w:val="17"/>
                <w:color w:val="auto"/>
              </w:rPr>
            </w:pPr>
          </w:p>
        </w:tc>
      </w:tr>
      <w:tr>
        <w:trPr>
          <w:trHeight w:val="24"/>
        </w:trPr>
        <w:tc>
          <w:tcPr>
            <w:tcW w:w="20" w:type="dxa"/>
            <w:vAlign w:val="bottom"/>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500" w:type="dxa"/>
            <w:vAlign w:val="bottom"/>
            <w:shd w:val="clear" w:color="auto" w:fill="CCEEFF"/>
          </w:tcPr>
          <w:p>
            <w:pPr>
              <w:spacing w:after="0"/>
              <w:rPr>
                <w:sz w:val="2"/>
                <w:szCs w:val="2"/>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C - COSTS AND ESTIMATED EARNINGS IN EXCESS OF BILLINGS, NET</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At January 31, 2014 and April 30, 2013, costs and estimated earnings in excess of billings, net, consist of the following:</w:t>
      </w:r>
    </w:p>
    <w:p>
      <w:pPr>
        <w:spacing w:after="0" w:line="223" w:lineRule="exact"/>
        <w:rPr>
          <w:sz w:val="20"/>
          <w:szCs w:val="20"/>
          <w:color w:val="auto"/>
        </w:rPr>
      </w:pPr>
    </w:p>
    <w:tbl>
      <w:tblPr>
        <w:tblLayout w:type="fixed"/>
        <w:tblInd w:w="142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4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January 31, 2014</w:t>
            </w:r>
          </w:p>
        </w:tc>
        <w:tc>
          <w:tcPr>
            <w:tcW w:w="980" w:type="dxa"/>
            <w:vAlign w:val="bottom"/>
          </w:tcPr>
          <w:p>
            <w:pPr>
              <w:spacing w:after="0"/>
              <w:rPr>
                <w:sz w:val="18"/>
                <w:szCs w:val="18"/>
                <w:color w:val="auto"/>
              </w:rPr>
            </w:pPr>
          </w:p>
        </w:tc>
        <w:tc>
          <w:tcPr>
            <w:tcW w:w="144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b w:val="1"/>
                <w:bCs w:val="1"/>
                <w:color w:val="auto"/>
              </w:rPr>
              <w:t>April 30, 2013</w:t>
            </w:r>
          </w:p>
        </w:tc>
        <w:tc>
          <w:tcPr>
            <w:tcW w:w="500" w:type="dxa"/>
            <w:vAlign w:val="bottom"/>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w w:val="87"/>
              </w:rPr>
              <w:t>(In thousands)</w:t>
            </w: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Costs and estimated earnings in excess of billings</w:t>
            </w:r>
          </w:p>
        </w:tc>
        <w:tc>
          <w:tcPr>
            <w:tcW w:w="7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7,002</w:t>
            </w:r>
          </w:p>
        </w:tc>
        <w:tc>
          <w:tcPr>
            <w:tcW w:w="9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10,228</w:t>
            </w:r>
          </w:p>
        </w:tc>
        <w:tc>
          <w:tcPr>
            <w:tcW w:w="500" w:type="dxa"/>
            <w:vAlign w:val="bottom"/>
            <w:shd w:val="clear" w:color="auto" w:fill="CCEEFF"/>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Billings in excess of costs and estimated earnings</w:t>
            </w:r>
          </w:p>
        </w:tc>
        <w:tc>
          <w:tcPr>
            <w:tcW w:w="7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(3,145</w:t>
            </w:r>
          </w:p>
        </w:tc>
        <w:tc>
          <w:tcPr>
            <w:tcW w:w="9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(1,611</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20" w:type="dxa"/>
            <w:vAlign w:val="bottom"/>
          </w:tcPr>
          <w:p>
            <w:pPr>
              <w:spacing w:after="0"/>
              <w:rPr>
                <w:sz w:val="20"/>
                <w:szCs w:val="20"/>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asset</w:t>
            </w:r>
          </w:p>
        </w:tc>
        <w:tc>
          <w:tcPr>
            <w:tcW w:w="7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3,857</w:t>
            </w:r>
          </w:p>
        </w:tc>
        <w:tc>
          <w:tcPr>
            <w:tcW w:w="9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8,617</w:t>
            </w:r>
          </w:p>
        </w:tc>
        <w:tc>
          <w:tcPr>
            <w:tcW w:w="500" w:type="dxa"/>
            <w:vAlign w:val="bottom"/>
            <w:tcBorders>
              <w:bottom w:val="single" w:sz="8" w:color="CCEEFF"/>
            </w:tcBorders>
            <w:shd w:val="clear" w:color="auto" w:fill="CCEEFF"/>
          </w:tcPr>
          <w:p>
            <w:pPr>
              <w:spacing w:after="0"/>
              <w:rPr>
                <w:sz w:val="20"/>
                <w:szCs w:val="20"/>
                <w:color w:val="auto"/>
              </w:rPr>
            </w:pPr>
          </w:p>
        </w:tc>
      </w:tr>
    </w:tbl>
    <w:p>
      <w:pPr>
        <w:spacing w:after="0" w:line="205" w:lineRule="exact"/>
        <w:rPr>
          <w:sz w:val="20"/>
          <w:szCs w:val="20"/>
          <w:color w:val="auto"/>
        </w:rPr>
      </w:pPr>
    </w:p>
    <w:p>
      <w:pPr>
        <w:jc w:val="both"/>
        <w:ind w:right="100" w:firstLine="435"/>
        <w:spacing w:after="0" w:line="257" w:lineRule="auto"/>
        <w:rPr>
          <w:sz w:val="20"/>
          <w:szCs w:val="20"/>
          <w:color w:val="auto"/>
        </w:rPr>
      </w:pPr>
      <w:r>
        <w:rPr>
          <w:rFonts w:ascii="Arial" w:cs="Arial" w:eastAsia="Arial" w:hAnsi="Arial"/>
          <w:sz w:val="16"/>
          <w:szCs w:val="16"/>
          <w:color w:val="auto"/>
        </w:rPr>
        <w:t>Such amounts represent revenue recognized on long-term contracts that had not been billed at the balance sheet dates or represent a liability for amounts billed in excess of the revenue recognized. Amounts are billed to customers pursuant to contract terms, whereas the related revenue is recognized on the percentage of completion basis at the measurement date. In general, the recorded amounts will be billed and collected or revenue recognized within twelve months of the balance sheet date. Revenue on these long-term contracts is accounted for on the percentage of completion basis. During the nine and three months ended January 31, 2014, revenue recognized under percentage of completion contracts was approximately $30.2 million and $10.8 million, respectively. During the nine and three months ended January 31, 2013, such revenue was approximately $25.9 million and $8.9 million, respectively.</w:t>
      </w:r>
    </w:p>
    <w:p>
      <w:pPr>
        <w:spacing w:after="0" w:line="30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7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66305"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520"/>
          </w:cols>
          <w:pgMar w:left="240" w:top="124" w:right="139" w:bottom="1440" w:gutter="0" w:footer="0" w:header="0"/>
        </w:sectPr>
      </w:pPr>
    </w:p>
    <w:bookmarkStart w:id="7" w:name="page8"/>
    <w:bookmarkEnd w:id="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1" w:lineRule="exact"/>
        <w:rPr>
          <w:sz w:val="20"/>
          <w:szCs w:val="20"/>
          <w:color w:val="auto"/>
        </w:rPr>
      </w:pPr>
    </w:p>
    <w:p>
      <w:pPr>
        <w:jc w:val="center"/>
        <w:ind w:right="580"/>
        <w:spacing w:after="0"/>
        <w:rPr>
          <w:sz w:val="20"/>
          <w:szCs w:val="20"/>
          <w:color w:val="auto"/>
        </w:rPr>
      </w:pPr>
      <w:r>
        <w:rPr>
          <w:rFonts w:ascii="Arial" w:cs="Arial" w:eastAsia="Arial" w:hAnsi="Arial"/>
          <w:sz w:val="16"/>
          <w:szCs w:val="16"/>
          <w:b w:val="1"/>
          <w:bCs w:val="1"/>
          <w:color w:val="auto"/>
        </w:rPr>
        <w:t>FREQUENCY ELECTRONICS, INC. and SUBSIDIARIES</w:t>
      </w:r>
    </w:p>
    <w:p>
      <w:pPr>
        <w:spacing w:after="0" w:line="207"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Notes to Condensed Consolidated Financial Statements</w:t>
      </w:r>
    </w:p>
    <w:p>
      <w:pPr>
        <w:spacing w:after="0" w:line="22"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D - TREASURY STOCK TRANSACTIONS</w:t>
      </w:r>
    </w:p>
    <w:p>
      <w:pPr>
        <w:spacing w:after="0" w:line="207" w:lineRule="exact"/>
        <w:rPr>
          <w:sz w:val="20"/>
          <w:szCs w:val="20"/>
          <w:color w:val="auto"/>
        </w:rPr>
      </w:pPr>
    </w:p>
    <w:p>
      <w:pPr>
        <w:jc w:val="both"/>
        <w:ind w:firstLine="435"/>
        <w:spacing w:after="0" w:line="261" w:lineRule="auto"/>
        <w:rPr>
          <w:sz w:val="20"/>
          <w:szCs w:val="20"/>
          <w:color w:val="auto"/>
        </w:rPr>
      </w:pPr>
      <w:r>
        <w:rPr>
          <w:rFonts w:ascii="Arial" w:cs="Arial" w:eastAsia="Arial" w:hAnsi="Arial"/>
          <w:sz w:val="16"/>
          <w:szCs w:val="16"/>
          <w:color w:val="auto"/>
        </w:rPr>
        <w:t>During the nine month period ended January 31, 2014, the Company made a contribution of 29,735 shares of its common stock held in treasury to the Company’s profit sharing plan and trust under section 401(k) of the Internal Revenue Code. Such contributions are in accordance with the Company’s discretionary match of employee voluntary contributions to this plan. During the same period, the Company issued 56,763 shares from treasury upon the exercise of stock options and SARs by certain officers and employees of the Company.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20" w:type="dxa"/>
            <w:vAlign w:val="bottom"/>
            <w:gridSpan w:val="2"/>
          </w:tcPr>
          <w:p>
            <w:pPr>
              <w:spacing w:after="0"/>
              <w:rPr>
                <w:sz w:val="20"/>
                <w:szCs w:val="20"/>
                <w:color w:val="auto"/>
              </w:rPr>
            </w:pPr>
            <w:r>
              <w:rPr>
                <w:rFonts w:ascii="Arial" w:cs="Arial" w:eastAsia="Arial" w:hAnsi="Arial"/>
                <w:sz w:val="16"/>
                <w:szCs w:val="16"/>
                <w:b w:val="1"/>
                <w:bCs w:val="1"/>
                <w:color w:val="auto"/>
              </w:rPr>
              <w:t>NOTE E - INVENTORIES</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6920" w:type="dxa"/>
            <w:vAlign w:val="bottom"/>
            <w:gridSpan w:val="2"/>
          </w:tcPr>
          <w:p>
            <w:pPr>
              <w:ind w:left="440"/>
              <w:spacing w:after="0"/>
              <w:rPr>
                <w:sz w:val="20"/>
                <w:szCs w:val="20"/>
                <w:color w:val="auto"/>
              </w:rPr>
            </w:pPr>
            <w:r>
              <w:rPr>
                <w:rFonts w:ascii="Arial" w:cs="Arial" w:eastAsia="Arial" w:hAnsi="Arial"/>
                <w:sz w:val="16"/>
                <w:szCs w:val="16"/>
                <w:color w:val="auto"/>
              </w:rPr>
              <w:t>Inventories, which are reported at the lower of cost or market, consist of the following:</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4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0"/>
              </w:rPr>
              <w:t>January 31, 2014</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8"/>
              </w:rPr>
              <w:t>April 30, 2013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rPr>
              <w:t>(In</w:t>
            </w:r>
          </w:p>
        </w:tc>
        <w:tc>
          <w:tcPr>
            <w:tcW w:w="1600" w:type="dxa"/>
            <w:vAlign w:val="bottom"/>
            <w:gridSpan w:val="3"/>
          </w:tcPr>
          <w:p>
            <w:pPr>
              <w:jc w:val="right"/>
              <w:ind w:right="899"/>
              <w:spacing w:after="0"/>
              <w:rPr>
                <w:sz w:val="20"/>
                <w:szCs w:val="20"/>
                <w:color w:val="auto"/>
              </w:rPr>
            </w:pPr>
            <w:r>
              <w:rPr>
                <w:rFonts w:ascii="Arial" w:cs="Arial" w:eastAsia="Arial" w:hAnsi="Arial"/>
                <w:sz w:val="15"/>
                <w:szCs w:val="15"/>
                <w:b w:val="1"/>
                <w:bCs w:val="1"/>
                <w:color w:val="auto"/>
                <w:w w:val="74"/>
              </w:rPr>
              <w:t>thousands)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440" w:type="dxa"/>
            <w:vAlign w:val="bottom"/>
            <w:vMerge w:val="restart"/>
          </w:tcPr>
          <w:p>
            <w:pPr>
              <w:spacing w:after="0"/>
              <w:rPr>
                <w:sz w:val="15"/>
                <w:szCs w:val="15"/>
                <w:color w:val="auto"/>
              </w:rPr>
            </w:pPr>
          </w:p>
        </w:tc>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440" w:type="dxa"/>
            <w:vAlign w:val="bottom"/>
            <w:vMerge w:val="continue"/>
          </w:tcPr>
          <w:p>
            <w:pPr>
              <w:spacing w:after="0"/>
              <w:rPr>
                <w:sz w:val="16"/>
                <w:szCs w:val="16"/>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Raw Materials and Component Parts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25,546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21,066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440" w:type="dxa"/>
            <w:vAlign w:val="bottom"/>
          </w:tcPr>
          <w:p>
            <w:pPr>
              <w:spacing w:after="0"/>
              <w:rPr>
                <w:sz w:val="16"/>
                <w:szCs w:val="16"/>
                <w:color w:val="auto"/>
              </w:rPr>
            </w:pPr>
          </w:p>
        </w:tc>
        <w:tc>
          <w:tcPr>
            <w:tcW w:w="5480" w:type="dxa"/>
            <w:vAlign w:val="bottom"/>
          </w:tcPr>
          <w:p>
            <w:pPr>
              <w:spacing w:after="0"/>
              <w:rPr>
                <w:sz w:val="20"/>
                <w:szCs w:val="20"/>
                <w:color w:val="auto"/>
              </w:rPr>
            </w:pPr>
            <w:r>
              <w:rPr>
                <w:rFonts w:ascii="Arial" w:cs="Arial" w:eastAsia="Arial" w:hAnsi="Arial"/>
                <w:sz w:val="16"/>
                <w:szCs w:val="16"/>
                <w:color w:val="auto"/>
              </w:rPr>
              <w:t>Work in Progress</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13,469</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13,665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440" w:type="dxa"/>
            <w:vAlign w:val="bottom"/>
          </w:tcPr>
          <w:p>
            <w:pPr>
              <w:spacing w:after="0"/>
              <w:rPr>
                <w:sz w:val="17"/>
                <w:szCs w:val="17"/>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3,061</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2,790</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44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42,076</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37,521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right="20" w:firstLine="435"/>
        <w:spacing w:after="0" w:line="280" w:lineRule="auto"/>
        <w:rPr>
          <w:sz w:val="20"/>
          <w:szCs w:val="20"/>
          <w:color w:val="auto"/>
        </w:rPr>
      </w:pPr>
      <w:r>
        <w:rPr>
          <w:rFonts w:ascii="Arial" w:cs="Arial" w:eastAsia="Arial" w:hAnsi="Arial"/>
          <w:sz w:val="16"/>
          <w:szCs w:val="16"/>
          <w:color w:val="auto"/>
        </w:rPr>
        <w:t>As of January 31, 2014 and April 30, 2013, approximately $33.4 million and $29.9 million, respectively, of total inventory is located in the United States, approximately $8.0 million and $6.9 million, respectively, is located in Belgium and $0.7 million and $0.7 million, respectively, is located in China.</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F - SEGMENT INFORMATION</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operates under three reportable segments based on the geographic locations of its subsidiaries:</w:t>
      </w:r>
    </w:p>
    <w:p>
      <w:pPr>
        <w:spacing w:after="0" w:line="227" w:lineRule="exact"/>
        <w:rPr>
          <w:sz w:val="20"/>
          <w:szCs w:val="20"/>
          <w:color w:val="auto"/>
        </w:rPr>
      </w:pPr>
    </w:p>
    <w:p>
      <w:pPr>
        <w:jc w:val="both"/>
        <w:ind w:left="1020" w:right="20" w:hanging="276"/>
        <w:spacing w:after="0" w:line="266"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FEI-NY – operates out of New York and its operations consist principally of precision time and frequency control products used in three principal markets-communication satellites (both commercial and U.S. Government-funded); terrestrial cellular telephone or other ground-based telecommunication stations and other components and systems for the U.S. military.</w:t>
      </w:r>
    </w:p>
    <w:p>
      <w:pPr>
        <w:spacing w:after="0" w:line="186" w:lineRule="exact"/>
        <w:rPr>
          <w:rFonts w:ascii="Arial" w:cs="Arial" w:eastAsia="Arial" w:hAnsi="Arial"/>
          <w:sz w:val="16"/>
          <w:szCs w:val="16"/>
          <w:color w:val="auto"/>
        </w:rPr>
      </w:pPr>
    </w:p>
    <w:p>
      <w:pPr>
        <w:ind w:left="1020" w:hanging="276"/>
        <w:spacing w:after="0" w:line="280"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Gillam-FEI - operates out of Belgium and France and primarily sells wireline synchronization and network management systems in non-U.S. markets. All sales from Gillam-FEI to the United States are to other segments of the Company.</w:t>
      </w:r>
    </w:p>
    <w:p>
      <w:pPr>
        <w:spacing w:after="0" w:line="175" w:lineRule="exact"/>
        <w:rPr>
          <w:rFonts w:ascii="Arial" w:cs="Arial" w:eastAsia="Arial" w:hAnsi="Arial"/>
          <w:sz w:val="16"/>
          <w:szCs w:val="16"/>
          <w:color w:val="auto"/>
        </w:rPr>
      </w:pPr>
    </w:p>
    <w:p>
      <w:pPr>
        <w:jc w:val="both"/>
        <w:ind w:left="1020" w:right="20" w:hanging="276"/>
        <w:spacing w:after="0" w:line="266"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United States market.</w:t>
      </w:r>
    </w:p>
    <w:p>
      <w:pPr>
        <w:spacing w:after="0" w:line="186" w:lineRule="exact"/>
        <w:rPr>
          <w:sz w:val="20"/>
          <w:szCs w:val="20"/>
          <w:color w:val="auto"/>
        </w:rPr>
      </w:pPr>
    </w:p>
    <w:p>
      <w:pPr>
        <w:jc w:val="both"/>
        <w:ind w:firstLine="435"/>
        <w:spacing w:after="0" w:line="266" w:lineRule="auto"/>
        <w:rPr>
          <w:sz w:val="20"/>
          <w:szCs w:val="20"/>
          <w:color w:val="auto"/>
        </w:rPr>
      </w:pPr>
      <w:r>
        <w:rPr>
          <w:rFonts w:ascii="Arial" w:cs="Arial" w:eastAsia="Arial" w:hAnsi="Arial"/>
          <w:sz w:val="16"/>
          <w:szCs w:val="16"/>
          <w:color w:val="auto"/>
        </w:rPr>
        <w:t>The FEI-NY segment also includes the operations of the Company’s wholly-owned subsidiaries, FEI-Elcom Tech (“FEI-Elcom”) and FEI-Asia. FEI-Asia functions primarily as a manufacturing facility for the Company’s commercial product subsidiaries with minimal sales to outside customers. FEI-Elcom, in addition to its own product line, provides design and technical support for the FEI-NY segment’s satellite business.</w:t>
      </w:r>
    </w:p>
    <w:p>
      <w:pPr>
        <w:spacing w:after="0" w:line="186" w:lineRule="exact"/>
        <w:rPr>
          <w:sz w:val="20"/>
          <w:szCs w:val="20"/>
          <w:color w:val="auto"/>
        </w:rPr>
      </w:pPr>
    </w:p>
    <w:p>
      <w:pPr>
        <w:jc w:val="both"/>
        <w:ind w:right="20" w:firstLine="435"/>
        <w:spacing w:after="0" w:line="266" w:lineRule="auto"/>
        <w:rPr>
          <w:sz w:val="20"/>
          <w:szCs w:val="20"/>
          <w:color w:val="auto"/>
        </w:rPr>
      </w:pPr>
      <w:r>
        <w:rPr>
          <w:rFonts w:ascii="Arial" w:cs="Arial" w:eastAsia="Arial" w:hAnsi="Arial"/>
          <w:sz w:val="16"/>
          <w:szCs w:val="16"/>
          <w:color w:val="auto"/>
        </w:rPr>
        <w:t>The Company’s chief executive officer measures segment performance based on total revenues and profits generated by each geographic location rather than on the specific types of customers or end- users. Consequently, the Company determined that the segments indicated above most appropriately reflect the way the Company’s management views the business.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66305"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8" w:name="page9"/>
    <w:bookmarkEnd w:id="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1" w:lineRule="exact"/>
        <w:rPr>
          <w:sz w:val="20"/>
          <w:szCs w:val="20"/>
          <w:color w:val="auto"/>
        </w:rPr>
      </w:pPr>
    </w:p>
    <w:p>
      <w:pPr>
        <w:jc w:val="center"/>
        <w:ind w:right="580"/>
        <w:spacing w:after="0"/>
        <w:rPr>
          <w:sz w:val="20"/>
          <w:szCs w:val="20"/>
          <w:color w:val="auto"/>
        </w:rPr>
      </w:pPr>
      <w:r>
        <w:rPr>
          <w:rFonts w:ascii="Arial" w:cs="Arial" w:eastAsia="Arial" w:hAnsi="Arial"/>
          <w:sz w:val="16"/>
          <w:szCs w:val="16"/>
          <w:b w:val="1"/>
          <w:bCs w:val="1"/>
          <w:color w:val="auto"/>
        </w:rPr>
        <w:t>FREQUENCY ELECTRONICS, INC. and SUBSIDIARIES</w:t>
      </w:r>
    </w:p>
    <w:p>
      <w:pPr>
        <w:spacing w:after="0" w:line="207"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Notes to Condensed Consolidated Financial Statements</w:t>
      </w:r>
    </w:p>
    <w:p>
      <w:pPr>
        <w:spacing w:after="0" w:line="22"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(Unaudited)</w:t>
      </w:r>
    </w:p>
    <w:p>
      <w:pPr>
        <w:spacing w:after="0" w:line="208" w:lineRule="exact"/>
        <w:rPr>
          <w:sz w:val="20"/>
          <w:szCs w:val="20"/>
          <w:color w:val="auto"/>
        </w:rPr>
      </w:pPr>
    </w:p>
    <w:p>
      <w:pPr>
        <w:jc w:val="both"/>
        <w:ind w:right="20" w:firstLine="435"/>
        <w:spacing w:after="0" w:line="269" w:lineRule="auto"/>
        <w:rPr>
          <w:sz w:val="20"/>
          <w:szCs w:val="20"/>
          <w:color w:val="auto"/>
        </w:rPr>
      </w:pPr>
      <w:r>
        <w:rPr>
          <w:rFonts w:ascii="Arial" w:cs="Arial" w:eastAsia="Arial" w:hAnsi="Arial"/>
          <w:sz w:val="19"/>
          <w:szCs w:val="19"/>
          <w:color w:val="auto"/>
        </w:rPr>
        <w:t>The tables below present information about reported segments with reconciliation of segment amounts to consolidated amounts as reported in the statement of income or the balance sheet for each of the periods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2"/>
              </w:rPr>
              <w:t>Nine months</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88"/>
              </w:rPr>
              <w:t>Three months</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2014</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rPr>
              <w:t>2013</w:t>
            </w:r>
          </w:p>
        </w:tc>
        <w:tc>
          <w:tcPr>
            <w:tcW w:w="500" w:type="dxa"/>
            <w:vAlign w:val="bottom"/>
          </w:tcPr>
          <w:p>
            <w:pPr>
              <w:ind w:left="80"/>
              <w:spacing w:after="0"/>
              <w:rPr>
                <w:sz w:val="20"/>
                <w:szCs w:val="20"/>
                <w:color w:val="auto"/>
              </w:rPr>
            </w:pPr>
            <w:r>
              <w:rPr>
                <w:rFonts w:ascii="Arial" w:cs="Arial" w:eastAsia="Arial" w:hAnsi="Arial"/>
                <w:sz w:val="15"/>
                <w:szCs w:val="15"/>
                <w:b w:val="1"/>
                <w:bCs w:val="1"/>
                <w:color w:val="auto"/>
                <w:w w:val="72"/>
              </w:rPr>
              <w:t>Periods</w:t>
            </w:r>
          </w:p>
        </w:tc>
        <w:tc>
          <w:tcPr>
            <w:tcW w:w="1420" w:type="dxa"/>
            <w:vAlign w:val="bottom"/>
            <w:gridSpan w:val="6"/>
          </w:tcPr>
          <w:p>
            <w:pPr>
              <w:ind w:left="140"/>
              <w:spacing w:after="0"/>
              <w:rPr>
                <w:sz w:val="20"/>
                <w:szCs w:val="20"/>
                <w:color w:val="auto"/>
              </w:rPr>
            </w:pPr>
            <w:r>
              <w:rPr>
                <w:rFonts w:ascii="Arial" w:cs="Arial" w:eastAsia="Arial" w:hAnsi="Arial"/>
                <w:sz w:val="16"/>
                <w:szCs w:val="16"/>
                <w:b w:val="1"/>
                <w:bCs w:val="1"/>
                <w:color w:val="auto"/>
                <w:w w:val="90"/>
              </w:rPr>
              <w:t>ended January 31,</w:t>
            </w:r>
          </w:p>
        </w:tc>
        <w:tc>
          <w:tcPr>
            <w:tcW w:w="780" w:type="dxa"/>
            <w:vAlign w:val="bottom"/>
            <w:gridSpan w:val="2"/>
            <w:vMerge w:val="restart"/>
          </w:tcPr>
          <w:p>
            <w:pPr>
              <w:jc w:val="right"/>
              <w:ind w:right="259"/>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2013</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40" w:type="dxa"/>
            <w:vAlign w:val="bottom"/>
            <w:tcBorders>
              <w:bottom w:val="single" w:sz="8" w:color="auto"/>
            </w:tcBorders>
            <w:gridSpan w:val="2"/>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Borders>
              <w:bottom w:val="single" w:sz="8" w:color="auto"/>
            </w:tcBorders>
            <w:gridSpan w:val="2"/>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Borders>
              <w:bottom w:val="single" w:sz="8" w:color="auto"/>
            </w:tcBorders>
            <w:gridSpan w:val="2"/>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720" w:type="dxa"/>
            <w:vAlign w:val="bottom"/>
            <w:gridSpan w:val="2"/>
          </w:tcPr>
          <w:p>
            <w:pPr>
              <w:spacing w:after="0"/>
              <w:rPr>
                <w:sz w:val="20"/>
                <w:szCs w:val="20"/>
                <w:color w:val="auto"/>
              </w:rPr>
            </w:pPr>
            <w:r>
              <w:rPr>
                <w:rFonts w:ascii="Arial" w:cs="Arial" w:eastAsia="Arial" w:hAnsi="Arial"/>
                <w:sz w:val="16"/>
                <w:szCs w:val="16"/>
                <w:color w:val="auto"/>
              </w:rPr>
              <w:t>Revenues:</w:t>
            </w: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FEI-NY</w:t>
            </w:r>
          </w:p>
        </w:tc>
        <w:tc>
          <w:tcPr>
            <w:tcW w:w="940" w:type="dxa"/>
            <w:vAlign w:val="bottom"/>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w w:val="93"/>
              </w:rPr>
              <w:t>40,309</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w w:val="98"/>
              </w:rPr>
              <w:t>38,211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1"/>
              <w:spacing w:after="0"/>
              <w:rPr>
                <w:sz w:val="20"/>
                <w:szCs w:val="20"/>
                <w:color w:val="auto"/>
              </w:rPr>
            </w:pPr>
            <w:r>
              <w:rPr>
                <w:rFonts w:ascii="Arial" w:cs="Arial" w:eastAsia="Arial" w:hAnsi="Arial"/>
                <w:sz w:val="15"/>
                <w:szCs w:val="15"/>
                <w:color w:val="auto"/>
                <w:w w:val="71"/>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14,270</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14,076</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00" w:type="dxa"/>
            <w:vAlign w:val="bottom"/>
          </w:tcPr>
          <w:p>
            <w:pPr>
              <w:spacing w:after="0"/>
              <w:rPr>
                <w:sz w:val="20"/>
                <w:szCs w:val="20"/>
                <w:color w:val="auto"/>
              </w:rPr>
            </w:pPr>
            <w:r>
              <w:rPr>
                <w:rFonts w:ascii="Arial" w:cs="Arial" w:eastAsia="Arial" w:hAnsi="Arial"/>
                <w:sz w:val="16"/>
                <w:szCs w:val="16"/>
                <w:color w:val="auto"/>
              </w:rPr>
              <w:t>Gillam-FEI</w:t>
            </w: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6,990</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gridSpan w:val="2"/>
          </w:tcPr>
          <w:p>
            <w:pPr>
              <w:jc w:val="right"/>
              <w:ind w:right="119"/>
              <w:spacing w:after="0"/>
              <w:rPr>
                <w:sz w:val="20"/>
                <w:szCs w:val="20"/>
                <w:color w:val="auto"/>
              </w:rPr>
            </w:pPr>
            <w:r>
              <w:rPr>
                <w:rFonts w:ascii="Arial" w:cs="Arial" w:eastAsia="Arial" w:hAnsi="Arial"/>
                <w:sz w:val="16"/>
                <w:szCs w:val="16"/>
                <w:color w:val="auto"/>
              </w:rPr>
              <w:t>6,431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2,422</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1,913</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FEI-Zyfer</w:t>
            </w:r>
          </w:p>
        </w:tc>
        <w:tc>
          <w:tcPr>
            <w:tcW w:w="3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5,976</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8,742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1,624</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2,054</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00" w:type="dxa"/>
            <w:vAlign w:val="bottom"/>
          </w:tcPr>
          <w:p>
            <w:pPr>
              <w:spacing w:after="0" w:line="181" w:lineRule="exact"/>
              <w:rPr>
                <w:sz w:val="20"/>
                <w:szCs w:val="20"/>
                <w:color w:val="auto"/>
              </w:rPr>
            </w:pPr>
            <w:r>
              <w:rPr>
                <w:rFonts w:ascii="Arial" w:cs="Arial" w:eastAsia="Arial" w:hAnsi="Arial"/>
                <w:sz w:val="16"/>
                <w:szCs w:val="16"/>
                <w:color w:val="auto"/>
              </w:rPr>
              <w:t>less intersegment</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20" w:type="dxa"/>
            <w:vAlign w:val="bottom"/>
            <w:gridSpan w:val="2"/>
          </w:tcPr>
          <w:p>
            <w:pPr>
              <w:spacing w:after="0"/>
              <w:rPr>
                <w:sz w:val="20"/>
                <w:szCs w:val="20"/>
                <w:color w:val="auto"/>
              </w:rPr>
            </w:pPr>
            <w:r>
              <w:rPr>
                <w:rFonts w:ascii="Arial" w:cs="Arial" w:eastAsia="Arial" w:hAnsi="Arial"/>
                <w:sz w:val="16"/>
                <w:szCs w:val="16"/>
                <w:color w:val="auto"/>
              </w:rPr>
              <w:t>revenues</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(1,223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gridSpan w:val="2"/>
          </w:tcPr>
          <w:p>
            <w:pPr>
              <w:jc w:val="right"/>
              <w:ind w:right="119"/>
              <w:spacing w:after="0"/>
              <w:rPr>
                <w:sz w:val="20"/>
                <w:szCs w:val="20"/>
                <w:color w:val="auto"/>
              </w:rPr>
            </w:pPr>
            <w:r>
              <w:rPr>
                <w:rFonts w:ascii="Arial" w:cs="Arial" w:eastAsia="Arial" w:hAnsi="Arial"/>
                <w:sz w:val="16"/>
                <w:szCs w:val="16"/>
                <w:color w:val="auto"/>
              </w:rPr>
              <w:t>(1,993</w:t>
            </w:r>
          </w:p>
        </w:tc>
        <w:tc>
          <w:tcPr>
            <w:tcW w:w="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(98</w:t>
            </w:r>
          </w:p>
        </w:tc>
        <w:tc>
          <w:tcPr>
            <w:tcW w:w="80" w:type="dxa"/>
            <w:vAlign w:val="bottom"/>
          </w:tcPr>
          <w:p>
            <w:pPr>
              <w:spacing w:after="0"/>
              <w:rPr>
                <w:sz w:val="18"/>
                <w:szCs w:val="18"/>
                <w:color w:val="auto"/>
              </w:rPr>
            </w:pPr>
          </w:p>
        </w:tc>
        <w:tc>
          <w:tcPr>
            <w:tcW w:w="6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(906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00" w:type="dxa"/>
            <w:vAlign w:val="bottom"/>
            <w:shd w:val="clear" w:color="auto" w:fill="CCEEFF"/>
          </w:tcPr>
          <w:p>
            <w:pPr>
              <w:ind w:left="120"/>
              <w:spacing w:after="0" w:line="181" w:lineRule="exact"/>
              <w:rPr>
                <w:sz w:val="20"/>
                <w:szCs w:val="20"/>
                <w:color w:val="auto"/>
              </w:rPr>
            </w:pPr>
            <w:r>
              <w:rPr>
                <w:rFonts w:ascii="Arial" w:cs="Arial" w:eastAsia="Arial" w:hAnsi="Arial"/>
                <w:sz w:val="16"/>
                <w:szCs w:val="16"/>
                <w:color w:val="auto"/>
              </w:rPr>
              <w:t>Consolidated</w:t>
            </w:r>
          </w:p>
        </w:tc>
        <w:tc>
          <w:tcPr>
            <w:tcW w:w="3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940" w:type="dxa"/>
            <w:vAlign w:val="bottom"/>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52,052</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w w:val="98"/>
              </w:rPr>
              <w:t>51,391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1"/>
              <w:spacing w:after="0"/>
              <w:rPr>
                <w:sz w:val="20"/>
                <w:szCs w:val="20"/>
                <w:color w:val="auto"/>
              </w:rPr>
            </w:pPr>
            <w:r>
              <w:rPr>
                <w:rFonts w:ascii="Arial" w:cs="Arial" w:eastAsia="Arial" w:hAnsi="Arial"/>
                <w:sz w:val="15"/>
                <w:szCs w:val="15"/>
                <w:color w:val="auto"/>
                <w:w w:val="71"/>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18,218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17,137</w:t>
            </w: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1720" w:type="dxa"/>
            <w:vAlign w:val="bottom"/>
            <w:gridSpan w:val="2"/>
          </w:tcPr>
          <w:p>
            <w:pPr>
              <w:spacing w:after="0"/>
              <w:rPr>
                <w:sz w:val="20"/>
                <w:szCs w:val="20"/>
                <w:color w:val="auto"/>
              </w:rPr>
            </w:pPr>
            <w:r>
              <w:rPr>
                <w:rFonts w:ascii="Arial" w:cs="Arial" w:eastAsia="Arial" w:hAnsi="Arial"/>
                <w:sz w:val="16"/>
                <w:szCs w:val="16"/>
                <w:color w:val="auto"/>
              </w:rPr>
              <w:t>Operating</w:t>
            </w: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720" w:type="dxa"/>
            <w:vAlign w:val="bottom"/>
            <w:gridSpan w:val="2"/>
          </w:tcPr>
          <w:p>
            <w:pPr>
              <w:spacing w:after="0"/>
              <w:rPr>
                <w:sz w:val="20"/>
                <w:szCs w:val="20"/>
                <w:color w:val="auto"/>
              </w:rPr>
            </w:pPr>
            <w:r>
              <w:rPr>
                <w:rFonts w:ascii="Arial" w:cs="Arial" w:eastAsia="Arial" w:hAnsi="Arial"/>
                <w:sz w:val="16"/>
                <w:szCs w:val="16"/>
                <w:color w:val="auto"/>
              </w:rPr>
              <w:t>profit (loss):</w:t>
            </w: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FEI-NY</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4,782</w:t>
            </w:r>
          </w:p>
        </w:tc>
        <w:tc>
          <w:tcPr>
            <w:tcW w:w="6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5,178</w:t>
            </w: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2,042</w:t>
            </w: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2,205</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00" w:type="dxa"/>
            <w:vAlign w:val="bottom"/>
          </w:tcPr>
          <w:p>
            <w:pPr>
              <w:spacing w:after="0"/>
              <w:rPr>
                <w:sz w:val="20"/>
                <w:szCs w:val="20"/>
                <w:color w:val="auto"/>
              </w:rPr>
            </w:pPr>
            <w:r>
              <w:rPr>
                <w:rFonts w:ascii="Arial" w:cs="Arial" w:eastAsia="Arial" w:hAnsi="Arial"/>
                <w:sz w:val="16"/>
                <w:szCs w:val="16"/>
                <w:color w:val="auto"/>
              </w:rPr>
              <w:t>Gillam-FEI</w:t>
            </w: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6"/>
                <w:szCs w:val="16"/>
                <w:color w:val="auto"/>
              </w:rPr>
              <w:t>(244</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6"/>
                <w:szCs w:val="16"/>
                <w:color w:val="auto"/>
              </w:rPr>
              <w:t>(129</w:t>
            </w:r>
          </w:p>
        </w:tc>
        <w:tc>
          <w:tcPr>
            <w:tcW w:w="66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6"/>
                <w:szCs w:val="16"/>
                <w:color w:val="auto"/>
              </w:rPr>
              <w:t>(208</w:t>
            </w:r>
          </w:p>
        </w:tc>
        <w:tc>
          <w:tcPr>
            <w:tcW w:w="6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(153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FEI-Zyfer</w:t>
            </w:r>
          </w:p>
        </w:tc>
        <w:tc>
          <w:tcPr>
            <w:tcW w:w="3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(652</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135</w:t>
            </w: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(377</w:t>
            </w:r>
          </w:p>
        </w:tc>
        <w:tc>
          <w:tcPr>
            <w:tcW w:w="6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(162</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Arial" w:cs="Arial" w:eastAsia="Arial" w:hAnsi="Arial"/>
                <w:sz w:val="16"/>
                <w:szCs w:val="16"/>
                <w:color w:val="auto"/>
              </w:rPr>
              <w:t>Corporate</w:t>
            </w: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6"/>
                <w:szCs w:val="16"/>
                <w:color w:val="auto"/>
              </w:rPr>
              <w:t>(400</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6"/>
                <w:szCs w:val="16"/>
                <w:color w:val="auto"/>
              </w:rPr>
              <w:t>(335</w:t>
            </w:r>
          </w:p>
        </w:tc>
        <w:tc>
          <w:tcPr>
            <w:tcW w:w="66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6"/>
                <w:szCs w:val="16"/>
                <w:color w:val="auto"/>
              </w:rPr>
              <w:t>(197</w:t>
            </w:r>
          </w:p>
        </w:tc>
        <w:tc>
          <w:tcPr>
            <w:tcW w:w="6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(140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00" w:type="dxa"/>
            <w:vAlign w:val="bottom"/>
            <w:shd w:val="clear" w:color="auto" w:fill="CCEEFF"/>
          </w:tcPr>
          <w:p>
            <w:pPr>
              <w:ind w:left="120"/>
              <w:spacing w:after="0" w:line="181" w:lineRule="exact"/>
              <w:rPr>
                <w:sz w:val="20"/>
                <w:szCs w:val="20"/>
                <w:color w:val="auto"/>
              </w:rPr>
            </w:pPr>
            <w:r>
              <w:rPr>
                <w:rFonts w:ascii="Arial" w:cs="Arial" w:eastAsia="Arial" w:hAnsi="Arial"/>
                <w:sz w:val="16"/>
                <w:szCs w:val="16"/>
                <w:color w:val="auto"/>
              </w:rPr>
              <w:t>Consolidated</w:t>
            </w:r>
          </w:p>
        </w:tc>
        <w:tc>
          <w:tcPr>
            <w:tcW w:w="38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operating profit</w:t>
            </w:r>
          </w:p>
        </w:tc>
        <w:tc>
          <w:tcPr>
            <w:tcW w:w="3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3,486</w:t>
            </w:r>
          </w:p>
        </w:tc>
        <w:tc>
          <w:tcPr>
            <w:tcW w:w="6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4,849</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1,260</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1,750</w:t>
            </w: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720" w:type="dxa"/>
            <w:vAlign w:val="bottom"/>
            <w:gridSpan w:val="2"/>
          </w:tcPr>
          <w:p>
            <w:pPr>
              <w:spacing w:after="0"/>
              <w:rPr>
                <w:sz w:val="20"/>
                <w:szCs w:val="20"/>
                <w:color w:val="auto"/>
              </w:rPr>
            </w:pPr>
            <w:r>
              <w:rPr>
                <w:rFonts w:ascii="Arial" w:cs="Arial" w:eastAsia="Arial" w:hAnsi="Arial"/>
                <w:sz w:val="16"/>
                <w:szCs w:val="16"/>
                <w:color w:val="auto"/>
              </w:rPr>
              <w:t>Identifiable assets:</w:t>
            </w: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Borders>
              <w:bottom w:val="single" w:sz="8" w:color="auto"/>
            </w:tcBorders>
            <w:gridSpan w:val="5"/>
          </w:tcPr>
          <w:p>
            <w:pPr>
              <w:jc w:val="right"/>
              <w:ind w:right="139"/>
              <w:spacing w:after="0"/>
              <w:rPr>
                <w:sz w:val="20"/>
                <w:szCs w:val="20"/>
                <w:color w:val="auto"/>
              </w:rPr>
            </w:pPr>
            <w:r>
              <w:rPr>
                <w:rFonts w:ascii="Arial" w:cs="Arial" w:eastAsia="Arial" w:hAnsi="Arial"/>
                <w:sz w:val="16"/>
                <w:szCs w:val="16"/>
                <w:b w:val="1"/>
                <w:bCs w:val="1"/>
                <w:color w:val="auto"/>
              </w:rPr>
              <w:t>January 31, 2014</w:t>
            </w:r>
          </w:p>
        </w:tc>
        <w:tc>
          <w:tcPr>
            <w:tcW w:w="38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b w:val="1"/>
                <w:bCs w:val="1"/>
                <w:color w:val="auto"/>
                <w:w w:val="94"/>
              </w:rPr>
              <w:t>April 30, 2013</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8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FEI-NY (approximately $3 million in China)</w:t>
            </w: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60,325</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55,508</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40" w:type="dxa"/>
            <w:vAlign w:val="bottom"/>
            <w:gridSpan w:val="3"/>
          </w:tcPr>
          <w:p>
            <w:pPr>
              <w:spacing w:after="0"/>
              <w:rPr>
                <w:sz w:val="20"/>
                <w:szCs w:val="20"/>
                <w:color w:val="auto"/>
              </w:rPr>
            </w:pPr>
            <w:r>
              <w:rPr>
                <w:rFonts w:ascii="Arial" w:cs="Arial" w:eastAsia="Arial" w:hAnsi="Arial"/>
                <w:sz w:val="16"/>
                <w:szCs w:val="16"/>
                <w:color w:val="auto"/>
              </w:rPr>
              <w:t>Gillam-FEI (all in Belgium or France)</w:t>
            </w: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19,586</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18,071</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FEI-Zyfer</w:t>
            </w:r>
          </w:p>
        </w:tc>
        <w:tc>
          <w:tcPr>
            <w:tcW w:w="3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10,274</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10,418</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00" w:type="dxa"/>
            <w:vAlign w:val="bottom"/>
          </w:tcPr>
          <w:p>
            <w:pPr>
              <w:spacing w:after="0"/>
              <w:rPr>
                <w:sz w:val="20"/>
                <w:szCs w:val="20"/>
                <w:color w:val="auto"/>
              </w:rPr>
            </w:pPr>
            <w:r>
              <w:rPr>
                <w:rFonts w:ascii="Arial" w:cs="Arial" w:eastAsia="Arial" w:hAnsi="Arial"/>
                <w:sz w:val="16"/>
                <w:szCs w:val="16"/>
                <w:color w:val="auto"/>
                <w:w w:val="86"/>
              </w:rPr>
              <w:t>less intersegment balances</w:t>
            </w: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88"/>
              </w:rPr>
              <w:t>(18,592</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w w:val="95"/>
              </w:rPr>
              <w:t>(18,903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Corporate</w:t>
            </w:r>
          </w:p>
        </w:tc>
        <w:tc>
          <w:tcPr>
            <w:tcW w:w="3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44,782</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43,815</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40" w:type="dxa"/>
            <w:vAlign w:val="bottom"/>
            <w:gridSpan w:val="3"/>
          </w:tcPr>
          <w:p>
            <w:pPr>
              <w:ind w:left="120"/>
              <w:spacing w:after="0"/>
              <w:rPr>
                <w:sz w:val="20"/>
                <w:szCs w:val="20"/>
                <w:color w:val="auto"/>
              </w:rPr>
            </w:pPr>
            <w:r>
              <w:rPr>
                <w:rFonts w:ascii="Arial" w:cs="Arial" w:eastAsia="Arial" w:hAnsi="Arial"/>
                <w:sz w:val="16"/>
                <w:szCs w:val="16"/>
                <w:color w:val="auto"/>
              </w:rPr>
              <w:t>Consolidated identifiable assets</w:t>
            </w: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116,375</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499"/>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w w:val="89"/>
              </w:rPr>
              <w:t>108,909</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G - INVESTMENT IN MORION, INC.</w:t>
      </w:r>
    </w:p>
    <w:p>
      <w:pPr>
        <w:spacing w:after="0" w:line="231" w:lineRule="exact"/>
        <w:rPr>
          <w:sz w:val="20"/>
          <w:szCs w:val="20"/>
          <w:color w:val="auto"/>
        </w:rPr>
      </w:pPr>
    </w:p>
    <w:p>
      <w:pPr>
        <w:jc w:val="both"/>
        <w:ind w:firstLine="435"/>
        <w:spacing w:after="0" w:line="266" w:lineRule="auto"/>
        <w:rPr>
          <w:sz w:val="20"/>
          <w:szCs w:val="20"/>
          <w:color w:val="auto"/>
        </w:rPr>
      </w:pPr>
      <w:r>
        <w:rPr>
          <w:rFonts w:ascii="Arial" w:cs="Arial" w:eastAsia="Arial" w:hAnsi="Arial"/>
          <w:sz w:val="16"/>
          <w:szCs w:val="16"/>
          <w:color w:val="auto"/>
        </w:rPr>
        <w:t>The Company has an investment in Morion, Inc., (“Morion”) a privately-held Russian company, which manufactures high precision quartz resonators and crystal oscillators. The Company’s investment consists of 4.6% of Morion’s outstanding shares, accordingly, the Company accounts for its investment in Morion on the cost basis. This investment is included in other assets in the accompanying balance sheets.</w:t>
      </w:r>
    </w:p>
    <w:p>
      <w:pPr>
        <w:spacing w:after="0" w:line="186" w:lineRule="exact"/>
        <w:rPr>
          <w:sz w:val="20"/>
          <w:szCs w:val="20"/>
          <w:color w:val="auto"/>
        </w:rPr>
      </w:pPr>
    </w:p>
    <w:p>
      <w:pPr>
        <w:jc w:val="both"/>
        <w:ind w:firstLine="435"/>
        <w:spacing w:after="0" w:line="257" w:lineRule="auto"/>
        <w:rPr>
          <w:sz w:val="20"/>
          <w:szCs w:val="20"/>
          <w:color w:val="auto"/>
        </w:rPr>
      </w:pPr>
      <w:r>
        <w:rPr>
          <w:rFonts w:ascii="Arial" w:cs="Arial" w:eastAsia="Arial" w:hAnsi="Arial"/>
          <w:sz w:val="16"/>
          <w:szCs w:val="16"/>
          <w:color w:val="auto"/>
        </w:rPr>
        <w:t>During the nine months ended January 31, 2014 and 2013, the Company acquired product from Morion in the aggregate amount of approximately $177,000 and $42,000, respectively, and the Company sold product and training services to Morion in the aggregate amount of approximately $808,000 and $200,000, respectively. (Includes revenues recognized under the license agreement discussed in the paragraph below.) During the three months ended January 31, 2014 and 2013, the Company acquired product from Morion in the aggregate amount of approximately $79,000 and $23,000, respectively, and the Company sold product and training services to Morion in the aggregate amount of approximately $156,000 and $103,000, respectively. At January 31, 2014, approximately $4,000 was payable to Morion and accounts receivable from Morion was approximately $152,000.</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66305"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9" w:name="page10"/>
    <w:bookmarkEnd w:id="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1" w:lineRule="exact"/>
        <w:rPr>
          <w:sz w:val="20"/>
          <w:szCs w:val="20"/>
          <w:color w:val="auto"/>
        </w:rPr>
      </w:pPr>
    </w:p>
    <w:p>
      <w:pPr>
        <w:jc w:val="center"/>
        <w:ind w:right="580"/>
        <w:spacing w:after="0"/>
        <w:rPr>
          <w:sz w:val="20"/>
          <w:szCs w:val="20"/>
          <w:color w:val="auto"/>
        </w:rPr>
      </w:pPr>
      <w:r>
        <w:rPr>
          <w:rFonts w:ascii="Arial" w:cs="Arial" w:eastAsia="Arial" w:hAnsi="Arial"/>
          <w:sz w:val="16"/>
          <w:szCs w:val="16"/>
          <w:b w:val="1"/>
          <w:bCs w:val="1"/>
          <w:color w:val="auto"/>
        </w:rPr>
        <w:t>FREQUENCY ELECTRONICS, INC. and SUBSIDIARIES</w:t>
      </w:r>
    </w:p>
    <w:p>
      <w:pPr>
        <w:spacing w:after="0" w:line="207"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Notes to Condensed Consolidated Financial Statements</w:t>
      </w:r>
    </w:p>
    <w:p>
      <w:pPr>
        <w:spacing w:after="0" w:line="22"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(Unaudited)</w:t>
      </w:r>
    </w:p>
    <w:p>
      <w:pPr>
        <w:spacing w:after="0" w:line="215" w:lineRule="exact"/>
        <w:rPr>
          <w:sz w:val="20"/>
          <w:szCs w:val="20"/>
          <w:color w:val="auto"/>
        </w:rPr>
      </w:pPr>
    </w:p>
    <w:p>
      <w:pPr>
        <w:jc w:val="both"/>
        <w:ind w:firstLine="435"/>
        <w:spacing w:after="0" w:line="273" w:lineRule="auto"/>
        <w:rPr>
          <w:sz w:val="20"/>
          <w:szCs w:val="20"/>
          <w:color w:val="auto"/>
        </w:rPr>
      </w:pPr>
      <w:r>
        <w:rPr>
          <w:rFonts w:ascii="Arial" w:cs="Arial" w:eastAsia="Arial" w:hAnsi="Arial"/>
          <w:sz w:val="15"/>
          <w:szCs w:val="15"/>
          <w:color w:val="auto"/>
        </w:rPr>
        <w:t>On October 22, 2012, the Company entered into an agreement with respect to its licensing of rubidium oscillator production technology to Morion. The agreement requires the Company to supply production equipment and parts and to provide training to Morion employees to enable Morion to achieve certain levels of volume production of rubidium oscillators. Morion will pay the Company approximately $2.7 million for the license, the equipment, parts and training, plus 5% royalties on third party sales. For a 5-year period following an initial production run, the Company commits to purchase from Morion a minimum of approximately $400,000 worth of rubidium oscillators per year although Morion is not obligated to sell that amount to the Company. In November 2012, Morion paid the Company a $925,000 deposit under the agreement which amount had been recorded on the Company’s balance sheet as deferred revenue. In October 2013, after amending the original document to clarify certain billing events, the Company invoiced Morion for the equipment, certain component parts for the production of rubidium oscillators, training of certain Morion employees and transfer of the production technology and license to Morion. Accordingly, during the nine-month period ended January 31, 2014, the Company recorded revenues of $400,000 for the technology transfer, training and sale of parts and recognized a gain of approximately $736,000 upon the sale of fully-depreciated equipment. The $925,000 deposit previously recorded as deferred revenue is included in these revenues and gain. Additional revenues under the agreement will be recorded after the Company provides further on-site training for Morion personnel, delivers more component parts and obtains relief from certain U.S. Government limitations relating to the sales of items to be manufactured under the license. The United States Department of State has approved the technology transfer called for under the agreement.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H - FAIR VALUE OF FINANCIAL INSTRUMENTS</w:t>
      </w:r>
    </w:p>
    <w:p>
      <w:pPr>
        <w:spacing w:after="0" w:line="207" w:lineRule="exact"/>
        <w:rPr>
          <w:sz w:val="20"/>
          <w:szCs w:val="20"/>
          <w:color w:val="auto"/>
        </w:rPr>
      </w:pPr>
    </w:p>
    <w:p>
      <w:pPr>
        <w:jc w:val="both"/>
        <w:ind w:firstLine="435"/>
        <w:spacing w:after="0" w:line="280" w:lineRule="auto"/>
        <w:rPr>
          <w:sz w:val="20"/>
          <w:szCs w:val="20"/>
          <w:color w:val="auto"/>
        </w:rPr>
      </w:pPr>
      <w:r>
        <w:rPr>
          <w:rFonts w:ascii="Arial" w:cs="Arial" w:eastAsia="Arial" w:hAnsi="Arial"/>
          <w:sz w:val="16"/>
          <w:szCs w:val="16"/>
          <w:color w:val="auto"/>
        </w:rPr>
        <w:t>The cost, gross unrealized gains, gross unrealized losses and fair market value of available-for-sale securities at January 31, 2014 and April 30, 2013 are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right"/>
              <w:ind w:right="960"/>
              <w:spacing w:after="0"/>
              <w:rPr>
                <w:sz w:val="20"/>
                <w:szCs w:val="20"/>
                <w:color w:val="auto"/>
              </w:rPr>
            </w:pPr>
            <w:r>
              <w:rPr>
                <w:rFonts w:ascii="Arial" w:cs="Arial" w:eastAsia="Arial" w:hAnsi="Arial"/>
                <w:sz w:val="16"/>
                <w:szCs w:val="16"/>
                <w:b w:val="1"/>
                <w:bCs w:val="1"/>
                <w:color w:val="auto"/>
              </w:rPr>
              <w:t>January 31, 2014</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77"/>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300"/>
              <w:spacing w:after="0" w:line="177" w:lineRule="exact"/>
              <w:rPr>
                <w:sz w:val="20"/>
                <w:szCs w:val="20"/>
                <w:color w:val="auto"/>
              </w:rPr>
            </w:pPr>
            <w:r>
              <w:rPr>
                <w:rFonts w:ascii="Arial" w:cs="Arial" w:eastAsia="Arial" w:hAnsi="Arial"/>
                <w:sz w:val="16"/>
                <w:szCs w:val="16"/>
                <w:b w:val="1"/>
                <w:bCs w:val="1"/>
                <w:color w:val="auto"/>
                <w:w w:val="86"/>
              </w:rPr>
              <w:t>Gross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300"/>
              <w:spacing w:after="0" w:line="177" w:lineRule="exact"/>
              <w:rPr>
                <w:sz w:val="20"/>
                <w:szCs w:val="20"/>
                <w:color w:val="auto"/>
              </w:rPr>
            </w:pPr>
            <w:r>
              <w:rPr>
                <w:rFonts w:ascii="Arial" w:cs="Arial" w:eastAsia="Arial" w:hAnsi="Arial"/>
                <w:sz w:val="16"/>
                <w:szCs w:val="16"/>
                <w:b w:val="1"/>
                <w:bCs w:val="1"/>
                <w:color w:val="auto"/>
                <w:w w:val="86"/>
              </w:rPr>
              <w:t>Gross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center"/>
              <w:ind w:right="159"/>
              <w:spacing w:after="0" w:line="177" w:lineRule="exact"/>
              <w:rPr>
                <w:sz w:val="20"/>
                <w:szCs w:val="20"/>
                <w:color w:val="auto"/>
              </w:rPr>
            </w:pPr>
            <w:r>
              <w:rPr>
                <w:rFonts w:ascii="Arial" w:cs="Arial" w:eastAsia="Arial" w:hAnsi="Arial"/>
                <w:sz w:val="16"/>
                <w:szCs w:val="16"/>
                <w:b w:val="1"/>
                <w:bCs w:val="1"/>
                <w:color w:val="auto"/>
              </w:rPr>
              <w:t>Fair</w:t>
            </w:r>
          </w:p>
        </w:tc>
        <w:tc>
          <w:tcPr>
            <w:tcW w:w="100" w:type="dxa"/>
            <w:vAlign w:val="bottom"/>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Unrealized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Unrealized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Market</w:t>
            </w:r>
          </w:p>
        </w:tc>
      </w:tr>
      <w:tr>
        <w:trPr>
          <w:trHeight w:val="214"/>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Cost</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9"/>
              </w:rPr>
              <w:t>Gains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3"/>
              </w:rPr>
              <w:t>Losses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88"/>
              </w:rPr>
              <w:t>Value</w:t>
            </w:r>
          </w:p>
        </w:tc>
        <w:tc>
          <w:tcPr>
            <w:tcW w:w="100" w:type="dxa"/>
            <w:vAlign w:val="bottom"/>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Fixed income securities</w:t>
            </w:r>
          </w:p>
        </w:tc>
        <w:tc>
          <w:tcPr>
            <w:tcW w:w="2520" w:type="dxa"/>
            <w:vAlign w:val="bottom"/>
            <w:gridSpan w:val="2"/>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7,917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8,013</w:t>
            </w:r>
          </w:p>
        </w:tc>
        <w:tc>
          <w:tcPr>
            <w:tcW w:w="100" w:type="dxa"/>
            <w:vAlign w:val="bottom"/>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3180" w:type="dxa"/>
            <w:vAlign w:val="bottom"/>
          </w:tcPr>
          <w:p>
            <w:pPr>
              <w:spacing w:after="0"/>
              <w:rPr>
                <w:sz w:val="20"/>
                <w:szCs w:val="20"/>
                <w:color w:val="auto"/>
              </w:rPr>
            </w:pPr>
            <w:r>
              <w:rPr>
                <w:rFonts w:ascii="Arial" w:cs="Arial" w:eastAsia="Arial" w:hAnsi="Arial"/>
                <w:sz w:val="16"/>
                <w:szCs w:val="16"/>
                <w:color w:val="auto"/>
              </w:rPr>
              <w:t>Equity securities</w:t>
            </w:r>
          </w:p>
        </w:tc>
        <w:tc>
          <w:tcPr>
            <w:tcW w:w="1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5,763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604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(309)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6,058</w:t>
            </w:r>
          </w:p>
        </w:tc>
        <w:tc>
          <w:tcPr>
            <w:tcW w:w="10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3"/>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3"/>
              </w:rPr>
              <w:t>13,680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739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14,071</w:t>
            </w: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03"/>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1080"/>
              <w:spacing w:after="0"/>
              <w:rPr>
                <w:sz w:val="20"/>
                <w:szCs w:val="20"/>
                <w:color w:val="auto"/>
              </w:rPr>
            </w:pPr>
            <w:r>
              <w:rPr>
                <w:rFonts w:ascii="Arial" w:cs="Arial" w:eastAsia="Arial" w:hAnsi="Arial"/>
                <w:sz w:val="16"/>
                <w:szCs w:val="16"/>
                <w:b w:val="1"/>
                <w:bCs w:val="1"/>
                <w:color w:val="auto"/>
              </w:rPr>
              <w:t>April 30, 2013</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300"/>
              <w:spacing w:after="0" w:line="177" w:lineRule="exact"/>
              <w:rPr>
                <w:sz w:val="20"/>
                <w:szCs w:val="20"/>
                <w:color w:val="auto"/>
              </w:rPr>
            </w:pPr>
            <w:r>
              <w:rPr>
                <w:rFonts w:ascii="Arial" w:cs="Arial" w:eastAsia="Arial" w:hAnsi="Arial"/>
                <w:sz w:val="16"/>
                <w:szCs w:val="16"/>
                <w:b w:val="1"/>
                <w:bCs w:val="1"/>
                <w:color w:val="auto"/>
                <w:w w:val="86"/>
              </w:rPr>
              <w:t>Gross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300"/>
              <w:spacing w:after="0" w:line="177" w:lineRule="exact"/>
              <w:rPr>
                <w:sz w:val="20"/>
                <w:szCs w:val="20"/>
                <w:color w:val="auto"/>
              </w:rPr>
            </w:pPr>
            <w:r>
              <w:rPr>
                <w:rFonts w:ascii="Arial" w:cs="Arial" w:eastAsia="Arial" w:hAnsi="Arial"/>
                <w:sz w:val="16"/>
                <w:szCs w:val="16"/>
                <w:b w:val="1"/>
                <w:bCs w:val="1"/>
                <w:color w:val="auto"/>
                <w:w w:val="86"/>
              </w:rPr>
              <w:t>Gross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center"/>
              <w:ind w:right="159"/>
              <w:spacing w:after="0" w:line="177" w:lineRule="exact"/>
              <w:rPr>
                <w:sz w:val="20"/>
                <w:szCs w:val="20"/>
                <w:color w:val="auto"/>
              </w:rPr>
            </w:pPr>
            <w:r>
              <w:rPr>
                <w:rFonts w:ascii="Arial" w:cs="Arial" w:eastAsia="Arial" w:hAnsi="Arial"/>
                <w:sz w:val="16"/>
                <w:szCs w:val="16"/>
                <w:b w:val="1"/>
                <w:bCs w:val="1"/>
                <w:color w:val="auto"/>
              </w:rPr>
              <w:t>Fair</w:t>
            </w:r>
          </w:p>
        </w:tc>
        <w:tc>
          <w:tcPr>
            <w:tcW w:w="100" w:type="dxa"/>
            <w:vAlign w:val="bottom"/>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Unrealized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Unrealized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Market</w:t>
            </w:r>
          </w:p>
        </w:tc>
      </w:tr>
      <w:tr>
        <w:trPr>
          <w:trHeight w:val="214"/>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Cost</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9"/>
              </w:rPr>
              <w:t>Gains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3"/>
              </w:rPr>
              <w:t>Losses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88"/>
              </w:rPr>
              <w:t>Value</w:t>
            </w:r>
          </w:p>
        </w:tc>
        <w:tc>
          <w:tcPr>
            <w:tcW w:w="100" w:type="dxa"/>
            <w:vAlign w:val="bottom"/>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Fixed income securities</w:t>
            </w:r>
          </w:p>
        </w:tc>
        <w:tc>
          <w:tcPr>
            <w:tcW w:w="2520" w:type="dxa"/>
            <w:vAlign w:val="bottom"/>
            <w:gridSpan w:val="2"/>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3"/>
              </w:rPr>
              <w:t>10,285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10,582</w:t>
            </w:r>
          </w:p>
        </w:tc>
      </w:tr>
      <w:tr>
        <w:trPr>
          <w:trHeight w:val="193"/>
        </w:trPr>
        <w:tc>
          <w:tcPr>
            <w:tcW w:w="20" w:type="dxa"/>
            <w:vAlign w:val="bottom"/>
          </w:tcPr>
          <w:p>
            <w:pPr>
              <w:spacing w:after="0"/>
              <w:rPr>
                <w:sz w:val="16"/>
                <w:szCs w:val="16"/>
                <w:color w:val="auto"/>
              </w:rPr>
            </w:pPr>
          </w:p>
        </w:tc>
        <w:tc>
          <w:tcPr>
            <w:tcW w:w="3180" w:type="dxa"/>
            <w:vAlign w:val="bottom"/>
          </w:tcPr>
          <w:p>
            <w:pPr>
              <w:spacing w:after="0"/>
              <w:rPr>
                <w:sz w:val="20"/>
                <w:szCs w:val="20"/>
                <w:color w:val="auto"/>
              </w:rPr>
            </w:pPr>
            <w:r>
              <w:rPr>
                <w:rFonts w:ascii="Arial" w:cs="Arial" w:eastAsia="Arial" w:hAnsi="Arial"/>
                <w:sz w:val="16"/>
                <w:szCs w:val="16"/>
                <w:color w:val="auto"/>
              </w:rPr>
              <w:t>Equity securities</w:t>
            </w:r>
          </w:p>
        </w:tc>
        <w:tc>
          <w:tcPr>
            <w:tcW w:w="1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6,490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1,266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7,688</w:t>
            </w:r>
          </w:p>
        </w:tc>
        <w:tc>
          <w:tcPr>
            <w:tcW w:w="10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3"/>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3"/>
              </w:rPr>
              <w:t>16,775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1,563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18,270</w:t>
            </w: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5" w:lineRule="exact"/>
        <w:rPr>
          <w:sz w:val="20"/>
          <w:szCs w:val="20"/>
          <w:color w:val="auto"/>
        </w:rPr>
      </w:pPr>
    </w:p>
    <w:p>
      <w:pPr>
        <w:jc w:val="both"/>
        <w:ind w:firstLine="435"/>
        <w:spacing w:after="0" w:line="280" w:lineRule="auto"/>
        <w:rPr>
          <w:sz w:val="20"/>
          <w:szCs w:val="20"/>
          <w:color w:val="auto"/>
        </w:rPr>
      </w:pPr>
      <w:r>
        <w:rPr>
          <w:rFonts w:ascii="Arial" w:cs="Arial" w:eastAsia="Arial" w:hAnsi="Arial"/>
          <w:sz w:val="16"/>
          <w:szCs w:val="16"/>
          <w:color w:val="auto"/>
        </w:rPr>
        <w:t>The following table presents the fair value and unrealized losses, aggregated by investment type and length of time that individual securities have been in a continuous unrealized loss position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7"/>
          </w:tcPr>
          <w:p>
            <w:pPr>
              <w:jc w:val="right"/>
              <w:ind w:right="860"/>
              <w:spacing w:after="0"/>
              <w:rPr>
                <w:sz w:val="20"/>
                <w:szCs w:val="20"/>
                <w:color w:val="auto"/>
              </w:rPr>
            </w:pPr>
            <w:r>
              <w:rPr>
                <w:rFonts w:ascii="Arial" w:cs="Arial" w:eastAsia="Arial" w:hAnsi="Arial"/>
                <w:sz w:val="16"/>
                <w:szCs w:val="16"/>
                <w:b w:val="1"/>
                <w:bCs w:val="1"/>
                <w:color w:val="auto"/>
              </w:rPr>
              <w:t>Less than 12 months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00" w:type="dxa"/>
            <w:vAlign w:val="bottom"/>
            <w:gridSpan w:val="6"/>
          </w:tcPr>
          <w:p>
            <w:pPr>
              <w:jc w:val="right"/>
              <w:ind w:right="900"/>
              <w:spacing w:after="0"/>
              <w:rPr>
                <w:sz w:val="20"/>
                <w:szCs w:val="20"/>
                <w:color w:val="auto"/>
              </w:rPr>
            </w:pPr>
            <w:r>
              <w:rPr>
                <w:rFonts w:ascii="Arial" w:cs="Arial" w:eastAsia="Arial" w:hAnsi="Arial"/>
                <w:sz w:val="16"/>
                <w:szCs w:val="16"/>
                <w:b w:val="1"/>
                <w:bCs w:val="1"/>
                <w:color w:val="auto"/>
              </w:rPr>
              <w:t>12 Months or more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Total</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7"/>
        </w:trPr>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top w:val="single" w:sz="8" w:color="auto"/>
            </w:tcBorders>
          </w:tcPr>
          <w:p>
            <w:pPr>
              <w:jc w:val="right"/>
              <w:ind w:right="21"/>
              <w:spacing w:after="0" w:line="177" w:lineRule="exact"/>
              <w:rPr>
                <w:sz w:val="20"/>
                <w:szCs w:val="20"/>
                <w:color w:val="auto"/>
              </w:rPr>
            </w:pPr>
            <w:r>
              <w:rPr>
                <w:rFonts w:ascii="Arial" w:cs="Arial" w:eastAsia="Arial" w:hAnsi="Arial"/>
                <w:sz w:val="16"/>
                <w:szCs w:val="16"/>
                <w:b w:val="1"/>
                <w:bCs w:val="1"/>
                <w:color w:val="auto"/>
              </w:rPr>
              <w:t>Fair</w:t>
            </w:r>
          </w:p>
        </w:tc>
        <w:tc>
          <w:tcPr>
            <w:tcW w:w="4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99"/>
              <w:spacing w:after="0" w:line="177" w:lineRule="exact"/>
              <w:rPr>
                <w:sz w:val="20"/>
                <w:szCs w:val="20"/>
                <w:color w:val="auto"/>
              </w:rPr>
            </w:pPr>
            <w:r>
              <w:rPr>
                <w:rFonts w:ascii="Arial" w:cs="Arial" w:eastAsia="Arial" w:hAnsi="Arial"/>
                <w:sz w:val="16"/>
                <w:szCs w:val="16"/>
                <w:b w:val="1"/>
                <w:bCs w:val="1"/>
                <w:color w:val="auto"/>
              </w:rPr>
              <w:t>Unrealized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jc w:val="center"/>
              <w:ind w:right="360"/>
              <w:spacing w:after="0" w:line="177" w:lineRule="exact"/>
              <w:rPr>
                <w:sz w:val="20"/>
                <w:szCs w:val="20"/>
                <w:color w:val="auto"/>
              </w:rPr>
            </w:pPr>
            <w:r>
              <w:rPr>
                <w:rFonts w:ascii="Arial" w:cs="Arial" w:eastAsia="Arial" w:hAnsi="Arial"/>
                <w:sz w:val="16"/>
                <w:szCs w:val="16"/>
                <w:b w:val="1"/>
                <w:bCs w:val="1"/>
                <w:color w:val="auto"/>
              </w:rPr>
              <w:t>Fair</w:t>
            </w: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199"/>
              <w:spacing w:after="0" w:line="177" w:lineRule="exact"/>
              <w:rPr>
                <w:sz w:val="20"/>
                <w:szCs w:val="20"/>
                <w:color w:val="auto"/>
              </w:rPr>
            </w:pPr>
            <w:r>
              <w:rPr>
                <w:rFonts w:ascii="Arial" w:cs="Arial" w:eastAsia="Arial" w:hAnsi="Arial"/>
                <w:sz w:val="16"/>
                <w:szCs w:val="16"/>
                <w:b w:val="1"/>
                <w:bCs w:val="1"/>
                <w:color w:val="auto"/>
              </w:rPr>
              <w:t>Unrealized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right"/>
              <w:ind w:right="620"/>
              <w:spacing w:after="0" w:line="177" w:lineRule="exact"/>
              <w:rPr>
                <w:sz w:val="20"/>
                <w:szCs w:val="20"/>
                <w:color w:val="auto"/>
              </w:rPr>
            </w:pPr>
            <w:r>
              <w:rPr>
                <w:rFonts w:ascii="Arial" w:cs="Arial" w:eastAsia="Arial" w:hAnsi="Arial"/>
                <w:sz w:val="16"/>
                <w:szCs w:val="16"/>
                <w:b w:val="1"/>
                <w:bCs w:val="1"/>
                <w:color w:val="auto"/>
              </w:rPr>
              <w:t>Fair</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199"/>
              <w:spacing w:after="0" w:line="177" w:lineRule="exact"/>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5"/>
                <w:szCs w:val="15"/>
                <w:color w:val="auto"/>
              </w:rPr>
            </w:pPr>
          </w:p>
        </w:tc>
      </w:tr>
      <w:tr>
        <w:trPr>
          <w:trHeight w:val="214"/>
        </w:trPr>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Value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Losses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Value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Losses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Losses</w:t>
            </w:r>
          </w:p>
        </w:tc>
      </w:tr>
      <w:tr>
        <w:trPr>
          <w:trHeight w:val="157"/>
        </w:trPr>
        <w:tc>
          <w:tcPr>
            <w:tcW w:w="1700" w:type="dxa"/>
            <w:vAlign w:val="bottom"/>
            <w:gridSpan w:val="5"/>
          </w:tcPr>
          <w:p>
            <w:pPr>
              <w:jc w:val="center"/>
              <w:spacing w:after="0" w:line="157" w:lineRule="exact"/>
              <w:rPr>
                <w:sz w:val="20"/>
                <w:szCs w:val="20"/>
                <w:color w:val="auto"/>
              </w:rPr>
            </w:pPr>
            <w:r>
              <w:rPr>
                <w:rFonts w:ascii="Arial" w:cs="Arial" w:eastAsia="Arial" w:hAnsi="Arial"/>
                <w:sz w:val="16"/>
                <w:szCs w:val="16"/>
                <w:b w:val="1"/>
                <w:bCs w:val="1"/>
                <w:color w:val="auto"/>
                <w:w w:val="92"/>
              </w:rPr>
              <w:t>January 31, 2014</w:t>
            </w:r>
          </w:p>
        </w:tc>
        <w:tc>
          <w:tcPr>
            <w:tcW w:w="14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700" w:type="dxa"/>
            <w:vAlign w:val="bottom"/>
            <w:gridSpan w:val="5"/>
            <w:shd w:val="clear" w:color="auto" w:fill="CCEEFF"/>
          </w:tcPr>
          <w:p>
            <w:pPr>
              <w:spacing w:after="0"/>
              <w:rPr>
                <w:sz w:val="20"/>
                <w:szCs w:val="20"/>
                <w:color w:val="auto"/>
              </w:rPr>
            </w:pPr>
            <w:r>
              <w:rPr>
                <w:rFonts w:ascii="Arial" w:cs="Arial" w:eastAsia="Arial" w:hAnsi="Arial"/>
                <w:sz w:val="16"/>
                <w:szCs w:val="16"/>
                <w:color w:val="auto"/>
                <w:w w:val="98"/>
              </w:rPr>
              <w:t>Fixed Income Securities</w:t>
            </w:r>
          </w:p>
        </w:tc>
        <w:tc>
          <w:tcPr>
            <w:tcW w:w="1040" w:type="dxa"/>
            <w:vAlign w:val="bottom"/>
            <w:gridSpan w:val="2"/>
            <w:shd w:val="clear" w:color="auto" w:fill="CCEEFF"/>
          </w:tcPr>
          <w:p>
            <w:pPr>
              <w:jc w:val="right"/>
              <w:ind w:right="741"/>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442</w:t>
            </w:r>
          </w:p>
        </w:tc>
        <w:tc>
          <w:tcPr>
            <w:tcW w:w="28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w:t>
            </w:r>
          </w:p>
        </w:tc>
      </w:tr>
      <w:tr>
        <w:trPr>
          <w:trHeight w:val="193"/>
        </w:trPr>
        <w:tc>
          <w:tcPr>
            <w:tcW w:w="1700" w:type="dxa"/>
            <w:vAlign w:val="bottom"/>
            <w:gridSpan w:val="5"/>
          </w:tcPr>
          <w:p>
            <w:pPr>
              <w:spacing w:after="0"/>
              <w:rPr>
                <w:sz w:val="20"/>
                <w:szCs w:val="20"/>
                <w:color w:val="auto"/>
              </w:rPr>
            </w:pPr>
            <w:r>
              <w:rPr>
                <w:rFonts w:ascii="Arial" w:cs="Arial" w:eastAsia="Arial" w:hAnsi="Arial"/>
                <w:sz w:val="16"/>
                <w:szCs w:val="16"/>
                <w:color w:val="auto"/>
              </w:rPr>
              <w:t>Equity Securities</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1,725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(90)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(219)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2,086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(309)</w:t>
            </w:r>
          </w:p>
        </w:tc>
      </w:tr>
      <w:tr>
        <w:trPr>
          <w:trHeight w:val="24"/>
        </w:trPr>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3"/>
        </w:trPr>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41"/>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2,167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(129)</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(219)</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2,528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(348)</w:t>
            </w:r>
          </w:p>
        </w:tc>
      </w:tr>
      <w:tr>
        <w:trPr>
          <w:trHeight w:val="145"/>
        </w:trPr>
        <w:tc>
          <w:tcPr>
            <w:tcW w:w="2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980" w:type="dxa"/>
            <w:vAlign w:val="bottom"/>
            <w:tcBorders>
              <w:top w:val="single" w:sz="8" w:color="CCEEFF"/>
              <w:bottom w:val="single" w:sz="8" w:color="auto"/>
            </w:tcBorders>
          </w:tcPr>
          <w:p>
            <w:pPr>
              <w:jc w:val="center"/>
              <w:spacing w:after="0" w:line="145" w:lineRule="exact"/>
              <w:rPr>
                <w:sz w:val="20"/>
                <w:szCs w:val="20"/>
                <w:color w:val="auto"/>
              </w:rPr>
            </w:pPr>
            <w:r>
              <w:rPr>
                <w:rFonts w:ascii="Arial" w:cs="Arial" w:eastAsia="Arial" w:hAnsi="Arial"/>
                <w:sz w:val="16"/>
                <w:szCs w:val="16"/>
                <w:b w:val="1"/>
                <w:bCs w:val="1"/>
                <w:color w:val="auto"/>
                <w:w w:val="94"/>
              </w:rPr>
              <w:t>April 30, 2013</w:t>
            </w:r>
          </w:p>
        </w:tc>
        <w:tc>
          <w:tcPr>
            <w:tcW w:w="340" w:type="dxa"/>
            <w:vAlign w:val="bottom"/>
            <w:tcBorders>
              <w:top w:val="single" w:sz="8" w:color="CCEEFF"/>
            </w:tcBorders>
            <w:gridSpan w:val="2"/>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210"/>
        </w:trPr>
        <w:tc>
          <w:tcPr>
            <w:tcW w:w="1700" w:type="dxa"/>
            <w:vAlign w:val="bottom"/>
            <w:gridSpan w:val="5"/>
            <w:shd w:val="clear" w:color="auto" w:fill="CCEEFF"/>
          </w:tcPr>
          <w:p>
            <w:pPr>
              <w:spacing w:after="0"/>
              <w:rPr>
                <w:sz w:val="20"/>
                <w:szCs w:val="20"/>
                <w:color w:val="auto"/>
              </w:rPr>
            </w:pPr>
            <w:r>
              <w:rPr>
                <w:rFonts w:ascii="Arial" w:cs="Arial" w:eastAsia="Arial" w:hAnsi="Arial"/>
                <w:sz w:val="16"/>
                <w:szCs w:val="16"/>
                <w:color w:val="auto"/>
                <w:w w:val="98"/>
              </w:rPr>
              <w:t>Fixed Income Securities</w:t>
            </w:r>
          </w:p>
        </w:tc>
        <w:tc>
          <w:tcPr>
            <w:tcW w:w="1040" w:type="dxa"/>
            <w:vAlign w:val="bottom"/>
            <w:gridSpan w:val="2"/>
            <w:shd w:val="clear" w:color="auto" w:fill="CCEEFF"/>
          </w:tcPr>
          <w:p>
            <w:pPr>
              <w:jc w:val="right"/>
              <w:ind w:right="741"/>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r>
      <w:tr>
        <w:trPr>
          <w:trHeight w:val="193"/>
        </w:trPr>
        <w:tc>
          <w:tcPr>
            <w:tcW w:w="1700" w:type="dxa"/>
            <w:vAlign w:val="bottom"/>
            <w:gridSpan w:val="5"/>
          </w:tcPr>
          <w:p>
            <w:pPr>
              <w:spacing w:after="0"/>
              <w:rPr>
                <w:sz w:val="20"/>
                <w:szCs w:val="20"/>
                <w:color w:val="auto"/>
              </w:rPr>
            </w:pPr>
            <w:r>
              <w:rPr>
                <w:rFonts w:ascii="Arial" w:cs="Arial" w:eastAsia="Arial" w:hAnsi="Arial"/>
                <w:sz w:val="16"/>
                <w:szCs w:val="16"/>
                <w:color w:val="auto"/>
              </w:rPr>
              <w:t>Equity Securities</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(68)</w:t>
            </w:r>
          </w:p>
        </w:tc>
      </w:tr>
      <w:tr>
        <w:trPr>
          <w:trHeight w:val="24"/>
        </w:trPr>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3"/>
        </w:trPr>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1"/>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(68)</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(68)</w:t>
            </w:r>
          </w:p>
        </w:tc>
      </w:tr>
      <w:tr>
        <w:trPr>
          <w:trHeight w:val="20"/>
        </w:trPr>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5" w:lineRule="exact"/>
        <w:rPr>
          <w:sz w:val="20"/>
          <w:szCs w:val="20"/>
          <w:color w:val="auto"/>
        </w:rPr>
      </w:pPr>
    </w:p>
    <w:p>
      <w:pPr>
        <w:jc w:val="both"/>
        <w:ind w:firstLine="435"/>
        <w:spacing w:after="0" w:line="292" w:lineRule="auto"/>
        <w:rPr>
          <w:sz w:val="20"/>
          <w:szCs w:val="20"/>
          <w:color w:val="auto"/>
        </w:rPr>
      </w:pPr>
      <w:r>
        <w:rPr>
          <w:rFonts w:ascii="Arial" w:cs="Arial" w:eastAsia="Arial" w:hAnsi="Arial"/>
          <w:sz w:val="15"/>
          <w:szCs w:val="15"/>
          <w:color w:val="auto"/>
        </w:rPr>
        <w:t>The Company regularly reviews its investment portfolio to identify and evaluate investments that have indications of possible impairment. The Company does not believe that its investments in marketable securities with unrealized losses at January 31, 2014 are other-than-temporary due to market volatility of the security’s fair value, analysts’ expectations and the Company’s ability to hold the securities for a period of time sufficient to allow for any anticipated recoveries in market value.</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66305"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0" w:name="page11"/>
    <w:bookmarkEnd w:id="1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1" w:lineRule="exact"/>
        <w:rPr>
          <w:sz w:val="20"/>
          <w:szCs w:val="20"/>
          <w:color w:val="auto"/>
        </w:rPr>
      </w:pPr>
    </w:p>
    <w:p>
      <w:pPr>
        <w:jc w:val="center"/>
        <w:ind w:right="580"/>
        <w:spacing w:after="0"/>
        <w:rPr>
          <w:sz w:val="20"/>
          <w:szCs w:val="20"/>
          <w:color w:val="auto"/>
        </w:rPr>
      </w:pPr>
      <w:r>
        <w:rPr>
          <w:rFonts w:ascii="Arial" w:cs="Arial" w:eastAsia="Arial" w:hAnsi="Arial"/>
          <w:sz w:val="16"/>
          <w:szCs w:val="16"/>
          <w:b w:val="1"/>
          <w:bCs w:val="1"/>
          <w:color w:val="auto"/>
        </w:rPr>
        <w:t>FREQUENCY ELECTRONICS, INC. and SUBSIDIARIES</w:t>
      </w:r>
    </w:p>
    <w:p>
      <w:pPr>
        <w:spacing w:after="0" w:line="207"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Notes to Condensed Consolidated Financial Statements</w:t>
      </w:r>
    </w:p>
    <w:p>
      <w:pPr>
        <w:spacing w:after="0" w:line="22"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(Unaudited)</w:t>
      </w:r>
    </w:p>
    <w:p>
      <w:pPr>
        <w:spacing w:after="0" w:line="215" w:lineRule="exact"/>
        <w:rPr>
          <w:sz w:val="20"/>
          <w:szCs w:val="20"/>
          <w:color w:val="auto"/>
        </w:rPr>
      </w:pPr>
    </w:p>
    <w:p>
      <w:pPr>
        <w:jc w:val="both"/>
        <w:ind w:right="20" w:firstLine="435"/>
        <w:spacing w:after="0" w:line="280" w:lineRule="auto"/>
        <w:rPr>
          <w:sz w:val="20"/>
          <w:szCs w:val="20"/>
          <w:color w:val="auto"/>
        </w:rPr>
      </w:pPr>
      <w:r>
        <w:rPr>
          <w:rFonts w:ascii="Arial" w:cs="Arial" w:eastAsia="Arial" w:hAnsi="Arial"/>
          <w:sz w:val="16"/>
          <w:szCs w:val="16"/>
          <w:color w:val="auto"/>
        </w:rPr>
        <w:t>During the nine months ended January 31, 2014 and 2013, the Company sold or redeemed available-for-sale securities in the amounts of $5.0 million and $2.5 million, respectively, realizing gains of approximately $367,000 and $40,000, respectively.</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Maturities of fixed income securities classified as available-for-sale at January 31, 2014 are as follows, at cost (in thousands):</w:t>
      </w:r>
    </w:p>
    <w:p>
      <w:pPr>
        <w:spacing w:after="0" w:line="239" w:lineRule="exact"/>
        <w:rPr>
          <w:sz w:val="20"/>
          <w:szCs w:val="20"/>
          <w:color w:val="auto"/>
        </w:rPr>
      </w:pPr>
    </w:p>
    <w:tbl>
      <w:tblPr>
        <w:tblLayout w:type="fixed"/>
        <w:tblInd w:w="1360" w:type="dxa"/>
        <w:tblCellMar>
          <w:top w:w="0" w:type="dxa"/>
          <w:left w:w="0" w:type="dxa"/>
          <w:bottom w:w="0" w:type="dxa"/>
          <w:right w:w="0" w:type="dxa"/>
        </w:tblCellMar>
      </w:tblPr>
      <w:tr>
        <w:trPr>
          <w:trHeight w:val="193"/>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Current</w:t>
            </w:r>
          </w:p>
        </w:tc>
        <w:tc>
          <w:tcPr>
            <w:tcW w:w="8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4,021</w:t>
            </w:r>
          </w:p>
        </w:tc>
        <w:tc>
          <w:tcPr>
            <w:tcW w:w="500" w:type="dxa"/>
            <w:vAlign w:val="bottom"/>
            <w:shd w:val="clear" w:color="auto" w:fill="CCEEFF"/>
          </w:tcPr>
          <w:p>
            <w:pPr>
              <w:spacing w:after="0"/>
              <w:rPr>
                <w:sz w:val="16"/>
                <w:szCs w:val="16"/>
                <w:color w:val="auto"/>
              </w:rPr>
            </w:pPr>
          </w:p>
        </w:tc>
      </w:tr>
      <w:tr>
        <w:trPr>
          <w:trHeight w:val="193"/>
        </w:trPr>
        <w:tc>
          <w:tcPr>
            <w:tcW w:w="6080" w:type="dxa"/>
            <w:vAlign w:val="bottom"/>
          </w:tcPr>
          <w:p>
            <w:pPr>
              <w:spacing w:after="0"/>
              <w:rPr>
                <w:sz w:val="20"/>
                <w:szCs w:val="20"/>
                <w:color w:val="auto"/>
              </w:rPr>
            </w:pPr>
            <w:r>
              <w:rPr>
                <w:rFonts w:ascii="Arial" w:cs="Arial" w:eastAsia="Arial" w:hAnsi="Arial"/>
                <w:sz w:val="16"/>
                <w:szCs w:val="16"/>
                <w:color w:val="auto"/>
              </w:rPr>
              <w:t>Due after one year through five years</w:t>
            </w:r>
          </w:p>
        </w:tc>
        <w:tc>
          <w:tcPr>
            <w:tcW w:w="8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3,095</w:t>
            </w:r>
          </w:p>
        </w:tc>
        <w:tc>
          <w:tcPr>
            <w:tcW w:w="500" w:type="dxa"/>
            <w:vAlign w:val="bottom"/>
          </w:tcPr>
          <w:p>
            <w:pPr>
              <w:spacing w:after="0"/>
              <w:rPr>
                <w:sz w:val="16"/>
                <w:szCs w:val="16"/>
                <w:color w:val="auto"/>
              </w:rPr>
            </w:pPr>
          </w:p>
        </w:tc>
      </w:tr>
      <w:tr>
        <w:trPr>
          <w:trHeight w:val="198"/>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after five years through ten years</w:t>
            </w:r>
          </w:p>
        </w:tc>
        <w:tc>
          <w:tcPr>
            <w:tcW w:w="8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500" w:type="dxa"/>
            <w:vAlign w:val="bottom"/>
            <w:tcBorders>
              <w:bottom w:val="single" w:sz="8" w:color="CCEEFF"/>
            </w:tcBorders>
            <w:shd w:val="clear" w:color="auto" w:fill="CCEEFF"/>
          </w:tcPr>
          <w:p>
            <w:pPr>
              <w:spacing w:after="0"/>
              <w:rPr>
                <w:sz w:val="17"/>
                <w:szCs w:val="17"/>
                <w:color w:val="auto"/>
              </w:rPr>
            </w:pPr>
          </w:p>
        </w:tc>
      </w:tr>
      <w:tr>
        <w:trPr>
          <w:trHeight w:val="193"/>
        </w:trPr>
        <w:tc>
          <w:tcPr>
            <w:tcW w:w="6080" w:type="dxa"/>
            <w:vAlign w:val="bottom"/>
          </w:tcPr>
          <w:p>
            <w:pPr>
              <w:spacing w:after="0"/>
              <w:rPr>
                <w:sz w:val="16"/>
                <w:szCs w:val="16"/>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7,917</w:t>
            </w:r>
          </w:p>
        </w:tc>
        <w:tc>
          <w:tcPr>
            <w:tcW w:w="500" w:type="dxa"/>
            <w:vAlign w:val="bottom"/>
          </w:tcPr>
          <w:p>
            <w:pPr>
              <w:spacing w:after="0"/>
              <w:rPr>
                <w:sz w:val="16"/>
                <w:szCs w:val="16"/>
                <w:color w:val="auto"/>
              </w:rPr>
            </w:pPr>
          </w:p>
        </w:tc>
      </w:tr>
      <w:tr>
        <w:trPr>
          <w:trHeight w:val="20"/>
        </w:trPr>
        <w:tc>
          <w:tcPr>
            <w:tcW w:w="6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right="20" w:firstLine="435"/>
        <w:spacing w:after="0" w:line="266" w:lineRule="auto"/>
        <w:rPr>
          <w:sz w:val="20"/>
          <w:szCs w:val="20"/>
          <w:color w:val="auto"/>
        </w:rPr>
      </w:pPr>
      <w:r>
        <w:rPr>
          <w:rFonts w:ascii="Arial" w:cs="Arial" w:eastAsia="Arial" w:hAnsi="Arial"/>
          <w:sz w:val="16"/>
          <w:szCs w:val="16"/>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86" w:lineRule="exact"/>
        <w:rPr>
          <w:sz w:val="20"/>
          <w:szCs w:val="20"/>
          <w:color w:val="auto"/>
        </w:rPr>
      </w:pPr>
    </w:p>
    <w:p>
      <w:pPr>
        <w:ind w:left="360"/>
        <w:spacing w:after="0"/>
        <w:tabs>
          <w:tab w:leader="none" w:pos="1200" w:val="left"/>
        </w:tabs>
        <w:rPr>
          <w:sz w:val="20"/>
          <w:szCs w:val="20"/>
          <w:color w:val="auto"/>
        </w:rPr>
      </w:pPr>
      <w:r>
        <w:rPr>
          <w:rFonts w:ascii="Arial" w:cs="Arial" w:eastAsia="Arial" w:hAnsi="Arial"/>
          <w:sz w:val="16"/>
          <w:szCs w:val="16"/>
          <w:color w:val="auto"/>
        </w:rPr>
        <w:t>Level 1</w:t>
      </w:r>
      <w:r>
        <w:rPr>
          <w:sz w:val="20"/>
          <w:szCs w:val="20"/>
          <w:color w:val="auto"/>
        </w:rPr>
        <w:tab/>
      </w:r>
      <w:r>
        <w:rPr>
          <w:rFonts w:ascii="Arial" w:cs="Arial" w:eastAsia="Arial" w:hAnsi="Arial"/>
          <w:sz w:val="14"/>
          <w:szCs w:val="14"/>
          <w:color w:val="auto"/>
        </w:rPr>
        <w:t>Inputs to the valuation methodology are unadjusted quoted prices for identical assets or liabilities in active markets that the Company has the ability to access.</w:t>
      </w:r>
    </w:p>
    <w:p>
      <w:pPr>
        <w:spacing w:after="0" w:line="227" w:lineRule="exact"/>
        <w:rPr>
          <w:sz w:val="20"/>
          <w:szCs w:val="20"/>
          <w:color w:val="auto"/>
        </w:rPr>
      </w:pPr>
    </w:p>
    <w:p>
      <w:pPr>
        <w:ind w:left="360"/>
        <w:spacing w:after="0"/>
        <w:tabs>
          <w:tab w:leader="none" w:pos="1200" w:val="left"/>
        </w:tabs>
        <w:rPr>
          <w:sz w:val="20"/>
          <w:szCs w:val="20"/>
          <w:color w:val="auto"/>
        </w:rPr>
      </w:pPr>
      <w:r>
        <w:rPr>
          <w:rFonts w:ascii="Arial" w:cs="Arial" w:eastAsia="Arial" w:hAnsi="Arial"/>
          <w:sz w:val="16"/>
          <w:szCs w:val="16"/>
          <w:color w:val="auto"/>
        </w:rPr>
        <w:t>Level 2</w:t>
      </w:r>
      <w:r>
        <w:rPr>
          <w:sz w:val="20"/>
          <w:szCs w:val="20"/>
          <w:color w:val="auto"/>
        </w:rPr>
        <w:tab/>
      </w:r>
      <w:r>
        <w:rPr>
          <w:rFonts w:ascii="Arial" w:cs="Arial" w:eastAsia="Arial" w:hAnsi="Arial"/>
          <w:sz w:val="14"/>
          <w:szCs w:val="14"/>
          <w:color w:val="auto"/>
        </w:rPr>
        <w:t>Inputs to the valuation methodology include:</w:t>
      </w:r>
    </w:p>
    <w:p>
      <w:pPr>
        <w:spacing w:after="0" w:line="22" w:lineRule="exact"/>
        <w:rPr>
          <w:sz w:val="20"/>
          <w:szCs w:val="20"/>
          <w:color w:val="auto"/>
        </w:rPr>
      </w:pPr>
    </w:p>
    <w:p>
      <w:pPr>
        <w:ind w:left="1540" w:hanging="93"/>
        <w:spacing w:after="0"/>
        <w:tabs>
          <w:tab w:leader="none" w:pos="1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Quoted prices for similar assets or liabilities in active markets;</w:t>
      </w:r>
    </w:p>
    <w:p>
      <w:pPr>
        <w:spacing w:after="0" w:line="9" w:lineRule="exact"/>
        <w:rPr>
          <w:rFonts w:ascii="Arial" w:cs="Arial" w:eastAsia="Arial" w:hAnsi="Arial"/>
          <w:sz w:val="16"/>
          <w:szCs w:val="16"/>
          <w:color w:val="auto"/>
        </w:rPr>
      </w:pPr>
    </w:p>
    <w:p>
      <w:pPr>
        <w:ind w:left="1540" w:hanging="93"/>
        <w:spacing w:after="0"/>
        <w:tabs>
          <w:tab w:leader="none" w:pos="1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Quoted prices for identical or similar assets or liabilities in inactive markets</w:t>
      </w:r>
    </w:p>
    <w:p>
      <w:pPr>
        <w:spacing w:after="0" w:line="9" w:lineRule="exact"/>
        <w:rPr>
          <w:rFonts w:ascii="Arial" w:cs="Arial" w:eastAsia="Arial" w:hAnsi="Arial"/>
          <w:sz w:val="16"/>
          <w:szCs w:val="16"/>
          <w:color w:val="auto"/>
        </w:rPr>
      </w:pPr>
    </w:p>
    <w:p>
      <w:pPr>
        <w:ind w:left="1540" w:hanging="93"/>
        <w:spacing w:after="0"/>
        <w:tabs>
          <w:tab w:leader="none" w:pos="1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Inputs other than quoted prices that are observable for the asset or liability;</w:t>
      </w:r>
    </w:p>
    <w:p>
      <w:pPr>
        <w:spacing w:after="0" w:line="9" w:lineRule="exact"/>
        <w:rPr>
          <w:rFonts w:ascii="Arial" w:cs="Arial" w:eastAsia="Arial" w:hAnsi="Arial"/>
          <w:sz w:val="16"/>
          <w:szCs w:val="16"/>
          <w:color w:val="auto"/>
        </w:rPr>
      </w:pPr>
    </w:p>
    <w:p>
      <w:pPr>
        <w:ind w:left="1540" w:hanging="93"/>
        <w:spacing w:after="0"/>
        <w:tabs>
          <w:tab w:leader="none" w:pos="1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Inputs that are derived principally from or corroborated by observable market data by correlation or other means.</w:t>
      </w:r>
    </w:p>
    <w:p>
      <w:pPr>
        <w:spacing w:after="0" w:line="215" w:lineRule="exact"/>
        <w:rPr>
          <w:sz w:val="20"/>
          <w:szCs w:val="20"/>
          <w:color w:val="auto"/>
        </w:rPr>
      </w:pPr>
    </w:p>
    <w:p>
      <w:pPr>
        <w:ind w:left="360"/>
        <w:spacing w:after="0"/>
        <w:tabs>
          <w:tab w:leader="none" w:pos="1200" w:val="left"/>
        </w:tabs>
        <w:rPr>
          <w:sz w:val="20"/>
          <w:szCs w:val="20"/>
          <w:color w:val="auto"/>
        </w:rPr>
      </w:pPr>
      <w:r>
        <w:rPr>
          <w:rFonts w:ascii="Arial" w:cs="Arial" w:eastAsia="Arial" w:hAnsi="Arial"/>
          <w:sz w:val="16"/>
          <w:szCs w:val="16"/>
          <w:color w:val="auto"/>
        </w:rPr>
        <w:t>Level 3</w:t>
      </w:r>
      <w:r>
        <w:rPr>
          <w:sz w:val="20"/>
          <w:szCs w:val="20"/>
          <w:color w:val="auto"/>
        </w:rPr>
        <w:tab/>
      </w:r>
      <w:r>
        <w:rPr>
          <w:rFonts w:ascii="Arial" w:cs="Arial" w:eastAsia="Arial" w:hAnsi="Arial"/>
          <w:sz w:val="14"/>
          <w:szCs w:val="14"/>
          <w:color w:val="auto"/>
        </w:rPr>
        <w:t>Inputs to the valuation methodology are unobservable and significant to the fair value measurement.</w:t>
      </w:r>
    </w:p>
    <w:p>
      <w:pPr>
        <w:spacing w:after="0" w:line="227" w:lineRule="exact"/>
        <w:rPr>
          <w:sz w:val="20"/>
          <w:szCs w:val="20"/>
          <w:color w:val="auto"/>
        </w:rPr>
      </w:pPr>
    </w:p>
    <w:p>
      <w:pPr>
        <w:jc w:val="both"/>
        <w:ind w:firstLine="435"/>
        <w:spacing w:after="0" w:line="266" w:lineRule="auto"/>
        <w:rPr>
          <w:sz w:val="20"/>
          <w:szCs w:val="20"/>
          <w:color w:val="auto"/>
        </w:rPr>
      </w:pPr>
      <w:r>
        <w:rPr>
          <w:rFonts w:ascii="Arial" w:cs="Arial" w:eastAsia="Arial" w:hAnsi="Arial"/>
          <w:sz w:val="16"/>
          <w:szCs w:val="16"/>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valued on a Level 1 basis.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I - RECENTLY ISSUED ACCOUNTING PRONOUNCEMENTS</w:t>
      </w:r>
    </w:p>
    <w:p>
      <w:pPr>
        <w:spacing w:after="0" w:line="231" w:lineRule="exact"/>
        <w:rPr>
          <w:sz w:val="20"/>
          <w:szCs w:val="20"/>
          <w:color w:val="auto"/>
        </w:rPr>
      </w:pPr>
    </w:p>
    <w:p>
      <w:pPr>
        <w:jc w:val="both"/>
        <w:ind w:firstLine="435"/>
        <w:spacing w:after="0" w:line="255" w:lineRule="auto"/>
        <w:rPr>
          <w:sz w:val="20"/>
          <w:szCs w:val="20"/>
          <w:color w:val="auto"/>
        </w:rPr>
      </w:pPr>
      <w:r>
        <w:rPr>
          <w:rFonts w:ascii="Arial" w:cs="Arial" w:eastAsia="Arial" w:hAnsi="Arial"/>
          <w:sz w:val="16"/>
          <w:szCs w:val="16"/>
          <w:color w:val="auto"/>
        </w:rPr>
        <w:t xml:space="preserve">In July 2012, the FASB issued ASU No. 2012-02, </w:t>
      </w:r>
      <w:r>
        <w:rPr>
          <w:rFonts w:ascii="Arial" w:cs="Arial" w:eastAsia="Arial" w:hAnsi="Arial"/>
          <w:sz w:val="16"/>
          <w:szCs w:val="16"/>
          <w:i w:val="1"/>
          <w:iCs w:val="1"/>
          <w:color w:val="auto"/>
        </w:rPr>
        <w:t>Intangibles – Goodwill and Other (Topic 350): Test Indefinite-Lived Intangible Assets for Impairment</w:t>
      </w:r>
      <w:r>
        <w:rPr>
          <w:rFonts w:ascii="Arial" w:cs="Arial" w:eastAsia="Arial" w:hAnsi="Arial"/>
          <w:sz w:val="16"/>
          <w:szCs w:val="16"/>
          <w:color w:val="auto"/>
        </w:rPr>
        <w:t xml:space="preserve">. Under the requirements of ASU 2012-02 an entity has the option to assess qualitative factors when testing indefinite-lived intangible assets annually to determine whether it is more likely than not that the asset is not impaired. An entity also has the option to bypass the qualitative assessment for any indefinite-lived intangible asset in any period and proceed directly to performing the quantitative impairment test or resume performing the qualitative assessment in any subsequent period. If, after assessing the totality of events and circumstances, an entity concludes that it is more likely than not that the indefinite-lived intangible asset is impaired, then it is required to determine the fair value of the indefinite-lived intangible asset and perform the quantitative impairment test by comparing the fair value with the carrying amount in accordance with </w:t>
      </w:r>
      <w:r>
        <w:rPr>
          <w:rFonts w:ascii="Arial" w:cs="Arial" w:eastAsia="Arial" w:hAnsi="Arial"/>
          <w:sz w:val="16"/>
          <w:szCs w:val="16"/>
          <w:i w:val="1"/>
          <w:iCs w:val="1"/>
          <w:color w:val="auto"/>
        </w:rPr>
        <w:t>Subtopic 350-30</w:t>
      </w:r>
      <w:r>
        <w:rPr>
          <w:rFonts w:ascii="Arial" w:cs="Arial" w:eastAsia="Arial" w:hAnsi="Arial"/>
          <w:sz w:val="16"/>
          <w:szCs w:val="16"/>
          <w:color w:val="auto"/>
        </w:rPr>
        <w:t>. ASU 2012-02 is effective for annual and interim impairment tests performed for fiscal years beginning after September 15, 2012. The Company will adopt ASU 2012-02 for its fiscal year 2014 which began on May 1, 2013. The Company is unable to determine the impact of such adoption until it performs the annual test for impairment in the fourth quarter of the current fiscal year.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66305"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1" w:name="page12"/>
    <w:bookmarkEnd w:id="1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1" w:lineRule="exact"/>
        <w:rPr>
          <w:sz w:val="20"/>
          <w:szCs w:val="20"/>
          <w:color w:val="auto"/>
        </w:rPr>
      </w:pPr>
    </w:p>
    <w:p>
      <w:pPr>
        <w:jc w:val="center"/>
        <w:ind w:right="580"/>
        <w:spacing w:after="0"/>
        <w:rPr>
          <w:sz w:val="20"/>
          <w:szCs w:val="20"/>
          <w:color w:val="auto"/>
        </w:rPr>
      </w:pPr>
      <w:r>
        <w:rPr>
          <w:rFonts w:ascii="Arial" w:cs="Arial" w:eastAsia="Arial" w:hAnsi="Arial"/>
          <w:sz w:val="16"/>
          <w:szCs w:val="16"/>
          <w:b w:val="1"/>
          <w:bCs w:val="1"/>
          <w:color w:val="auto"/>
        </w:rPr>
        <w:t>FREQUENCY ELECTRONICS, INC. and SUBSIDIARIES</w:t>
      </w:r>
    </w:p>
    <w:p>
      <w:pPr>
        <w:spacing w:after="0" w:line="207"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Notes to Condensed Consolidated Financial Statements</w:t>
      </w:r>
    </w:p>
    <w:p>
      <w:pPr>
        <w:spacing w:after="0" w:line="22"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(Unaudited)</w:t>
      </w:r>
    </w:p>
    <w:p>
      <w:pPr>
        <w:spacing w:after="0" w:line="191" w:lineRule="exact"/>
        <w:rPr>
          <w:sz w:val="20"/>
          <w:szCs w:val="20"/>
          <w:color w:val="auto"/>
        </w:rPr>
      </w:pPr>
    </w:p>
    <w:p>
      <w:pPr>
        <w:jc w:val="both"/>
        <w:ind w:firstLine="435"/>
        <w:spacing w:after="0" w:line="256" w:lineRule="auto"/>
        <w:rPr>
          <w:sz w:val="20"/>
          <w:szCs w:val="20"/>
          <w:color w:val="auto"/>
        </w:rPr>
      </w:pPr>
      <w:r>
        <w:rPr>
          <w:rFonts w:ascii="Arial" w:cs="Arial" w:eastAsia="Arial" w:hAnsi="Arial"/>
          <w:sz w:val="16"/>
          <w:szCs w:val="16"/>
          <w:color w:val="auto"/>
        </w:rPr>
        <w:t>In February 2013, the FASB issued Accounting Standard Update No. 2013-02</w:t>
      </w:r>
      <w:r>
        <w:rPr>
          <w:rFonts w:ascii="Arial" w:cs="Arial" w:eastAsia="Arial" w:hAnsi="Arial"/>
          <w:sz w:val="16"/>
          <w:szCs w:val="16"/>
          <w:i w:val="1"/>
          <w:iCs w:val="1"/>
          <w:color w:val="auto"/>
        </w:rPr>
        <w:t>, Other Comprehensive Income</w:t>
      </w:r>
      <w:r>
        <w:rPr>
          <w:rFonts w:ascii="Arial" w:cs="Arial" w:eastAsia="Arial" w:hAnsi="Arial"/>
          <w:sz w:val="16"/>
          <w:szCs w:val="16"/>
          <w:color w:val="auto"/>
        </w:rPr>
        <w:t>. The amendment requires an entity to provide information about the amounts reclassified out of accumulated other comprehensive income by component. In addition, an entity is required to present, either on the face of the statement where net income is presented or in the notes, significant amounts reclassified out of accumulated other comprehensive income by the respective line items of net income but only if the amount reclassified is required under U.S. GAAP to be reclassified to net income in its entirety in the same reporting period. For other amounts that are not required under U.S. GAAP to be reclassified in their entirety to net income, an entity is required to cross-reference to other disclosures required under U.S. GAAP that provide additional detail about those amounts. This ASU is effective for periods beginning after December 15, 2012. The Company has adopted ASU 2013-02 but does not expect it to have a material effect on its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J - CREDIT FACILITY</w:t>
      </w:r>
    </w:p>
    <w:p>
      <w:pPr>
        <w:spacing w:after="0" w:line="231" w:lineRule="exact"/>
        <w:rPr>
          <w:sz w:val="20"/>
          <w:szCs w:val="20"/>
          <w:color w:val="auto"/>
        </w:rPr>
      </w:pPr>
    </w:p>
    <w:p>
      <w:pPr>
        <w:jc w:val="both"/>
        <w:ind w:firstLine="435"/>
        <w:spacing w:after="0" w:line="256" w:lineRule="auto"/>
        <w:rPr>
          <w:sz w:val="20"/>
          <w:szCs w:val="20"/>
          <w:color w:val="auto"/>
        </w:rPr>
      </w:pPr>
      <w:r>
        <w:rPr>
          <w:rFonts w:ascii="Arial" w:cs="Arial" w:eastAsia="Arial" w:hAnsi="Arial"/>
          <w:sz w:val="16"/>
          <w:szCs w:val="16"/>
          <w:color w:val="auto"/>
        </w:rPr>
        <w:t>On June 6, 2013, the Company obtained a credit facility (the “Facility”) from JPMorgan Chase Bank, N.A. (“JPMorgan”) pursuant to a credit agreement (the “Credit Agreement”) between the Company and JPMorgan. The maximum aggregate amount of the Facility is $25.0 million, of which the Company immediately borrowed $7.2 million, using the proceeds to repay the outstanding balance under the $9.3 million line of credit with another financial institution which formerly managed a substantial portion of the Company’s investment portfolio. As a result of this refinancing of short-term credit with a long-term obligation, as of April 30, 2013, the Company reclassified the $6.0 million balance payable under the replaced line of credit to long-term debt. Proceeds from the Facility will be used for working capital and to finance acquisitions. During the nine-month period ended January 31, 2014, the Company borrowed an additional $2.9 million under the Facility. The additional borrowings were used for working capital and to finance the acquisition of certain fixed assets.</w:t>
      </w:r>
    </w:p>
    <w:p>
      <w:pPr>
        <w:spacing w:after="0" w:line="198" w:lineRule="exact"/>
        <w:rPr>
          <w:sz w:val="20"/>
          <w:szCs w:val="20"/>
          <w:color w:val="auto"/>
        </w:rPr>
      </w:pPr>
    </w:p>
    <w:p>
      <w:pPr>
        <w:jc w:val="both"/>
        <w:ind w:firstLine="435"/>
        <w:spacing w:after="0" w:line="259" w:lineRule="auto"/>
        <w:rPr>
          <w:sz w:val="20"/>
          <w:szCs w:val="20"/>
          <w:color w:val="auto"/>
        </w:rPr>
      </w:pPr>
      <w:r>
        <w:rPr>
          <w:rFonts w:ascii="Arial" w:cs="Arial" w:eastAsia="Arial" w:hAnsi="Arial"/>
          <w:sz w:val="16"/>
          <w:szCs w:val="16"/>
          <w:color w:val="auto"/>
        </w:rPr>
        <w:t>The Company may make borrowings under the Facility from either Tranche A or Tranche B or a combination of both, not to exceed $25.0 million. Pursuant to the Credit Agreement, the amount of Tranche A borrowings may not exceed the value of the Pledged Investments (as defined in the Credit Agreement). The amount of Tranche B borrowings may not exceed the lesser of (i) $15.0 million and (ii) the Borrowing Base (as defined in the Credit Agreement). Current outstanding borrowings under the Facility are all under Tranche A. The Facility is fully guaranteed by certain of the Company’s subsidiaries and is secured by, among other things, a pledge of substantially all personal property of the Company and certain of the Company’s subsidiaries.</w:t>
      </w:r>
    </w:p>
    <w:p>
      <w:pPr>
        <w:spacing w:after="0" w:line="192" w:lineRule="exact"/>
        <w:rPr>
          <w:sz w:val="20"/>
          <w:szCs w:val="20"/>
          <w:color w:val="auto"/>
        </w:rPr>
      </w:pPr>
    </w:p>
    <w:p>
      <w:pPr>
        <w:jc w:val="both"/>
        <w:ind w:right="20" w:firstLine="435"/>
        <w:spacing w:after="0" w:line="261" w:lineRule="auto"/>
        <w:rPr>
          <w:sz w:val="20"/>
          <w:szCs w:val="20"/>
          <w:color w:val="auto"/>
        </w:rPr>
      </w:pPr>
      <w:r>
        <w:rPr>
          <w:rFonts w:ascii="Arial" w:cs="Arial" w:eastAsia="Arial" w:hAnsi="Arial"/>
          <w:sz w:val="16"/>
          <w:szCs w:val="16"/>
          <w:color w:val="auto"/>
        </w:rPr>
        <w:t>Borrowings under the Facility are evidenced by a line of credit note (the “Note”) and bear interest, payable monthly, at a rate equal to the LIBOR Rate, as determined from time to time by JPMorgan pursuant to the terms of the Note, plus a margin of 0.75% for Tranche A borrowings and 1.75% for Tranche B borrowings. The principal balance on the Note, along with any accrued and unpaid interest, is due and payable no later than June 5, 2018, which is the maturity date of the Facility. In addition, the Company is required to pay JPMorgan fees equal to 0.1% per annum on any unused portion of the Facility.</w:t>
      </w:r>
    </w:p>
    <w:p>
      <w:pPr>
        <w:spacing w:after="0" w:line="191" w:lineRule="exact"/>
        <w:rPr>
          <w:sz w:val="20"/>
          <w:szCs w:val="20"/>
          <w:color w:val="auto"/>
        </w:rPr>
      </w:pPr>
    </w:p>
    <w:p>
      <w:pPr>
        <w:jc w:val="both"/>
        <w:ind w:right="20" w:firstLine="435"/>
        <w:spacing w:after="0" w:line="256" w:lineRule="auto"/>
        <w:rPr>
          <w:sz w:val="20"/>
          <w:szCs w:val="20"/>
          <w:color w:val="auto"/>
        </w:rPr>
      </w:pPr>
      <w:r>
        <w:rPr>
          <w:rFonts w:ascii="Arial" w:cs="Arial" w:eastAsia="Arial" w:hAnsi="Arial"/>
          <w:sz w:val="16"/>
          <w:szCs w:val="16"/>
          <w:color w:val="auto"/>
        </w:rPr>
        <w:t>The Credit Agreement contains a number of affirmative and negative covenants, including limitations on the incurrence of additional debt, liens on property, acquisitions, loans and guarantees, mergers, consolidations, liquidations and dissolutions, asset sales, and distributions and other payments in respect of the Company’s capital stock. The Credit Agreement also contains certain events of default customary for credit facilities of this type, including nonpayment of principal or interest when due, material incorrectness of representations and warranties when made, breach of covenants, bankruptcy and insolvency, unstayed material judgment beyond specified periods, and acceleration or payment default of other material indebtedness. The Credit Agreement requires the Company to maintain, as of the end of each fiscal quarter, a funded debt to EBITDA (Earnings Before Interest, Taxes, Depreciation and Amortization) ratio and, if there are any borrowings under Tranche B, an interest charge coverage ratio. The calculation of both ratios is defined in the Credit Agreement. For the period ended January 31, 2014, the Company met the required covenants for its borrowings under Tranche A.</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K - INCOME TAXES</w:t>
      </w:r>
    </w:p>
    <w:p>
      <w:pPr>
        <w:spacing w:after="0" w:line="231" w:lineRule="exact"/>
        <w:rPr>
          <w:sz w:val="20"/>
          <w:szCs w:val="20"/>
          <w:color w:val="auto"/>
        </w:rPr>
      </w:pPr>
    </w:p>
    <w:p>
      <w:pPr>
        <w:jc w:val="both"/>
        <w:ind w:firstLine="435"/>
        <w:spacing w:after="0" w:line="261" w:lineRule="auto"/>
        <w:rPr>
          <w:sz w:val="20"/>
          <w:szCs w:val="20"/>
          <w:color w:val="auto"/>
        </w:rPr>
      </w:pPr>
      <w:r>
        <w:rPr>
          <w:rFonts w:ascii="Arial" w:cs="Arial" w:eastAsia="Arial" w:hAnsi="Arial"/>
          <w:sz w:val="16"/>
          <w:szCs w:val="16"/>
          <w:color w:val="auto"/>
        </w:rPr>
        <w:t>In prior fiscal years, the Company reduced the valuation allowance on the deferred tax assets of its U.S. subsidiaries. Consequently, for the nine and three months ended January 31, 2014 and 2013, the Company recorded provisions for income taxes based on both current taxes due in the United States as well as the tax provision or benefit to be realized from temporary tax differences. As of January 31, 2014 and April 30, 2013, the remaining deferred tax asset valuation allowance is approximately $1.9 million and is primarily related to deferred tax assets of the Company’s non-U.S.-based subsidiaries.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66305"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2" w:name="page13"/>
    <w:bookmarkEnd w:id="1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5"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FREQUENCY ELECTRONICS, INC. and SUBSIDIARIES</w:t>
      </w:r>
    </w:p>
    <w:p>
      <w:pPr>
        <w:spacing w:after="0" w:line="22"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(Continued)</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4"/>
          <w:szCs w:val="14"/>
          <w:b w:val="1"/>
          <w:bCs w:val="1"/>
          <w:u w:val="single" w:color="auto"/>
          <w:color w:val="auto"/>
        </w:rPr>
        <w:t>Management’s Discussion and Analysis of Financial Condition and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“Safe Harbor” Statement under the Private Securities Litigation Reform Act of 1995</w:t>
      </w:r>
      <w:r>
        <w:rPr>
          <w:rFonts w:ascii="Arial" w:cs="Arial" w:eastAsia="Arial" w:hAnsi="Arial"/>
          <w:sz w:val="16"/>
          <w:szCs w:val="16"/>
          <w:color w:val="auto"/>
        </w:rPr>
        <w:t>:</w:t>
      </w:r>
    </w:p>
    <w:p>
      <w:pPr>
        <w:spacing w:after="0" w:line="227" w:lineRule="exact"/>
        <w:rPr>
          <w:sz w:val="20"/>
          <w:szCs w:val="20"/>
          <w:color w:val="auto"/>
        </w:rPr>
      </w:pPr>
    </w:p>
    <w:p>
      <w:pPr>
        <w:jc w:val="both"/>
        <w:ind w:firstLine="435"/>
        <w:spacing w:after="0" w:line="294" w:lineRule="auto"/>
        <w:rPr>
          <w:sz w:val="20"/>
          <w:szCs w:val="20"/>
          <w:color w:val="auto"/>
        </w:rPr>
      </w:pPr>
      <w:r>
        <w:rPr>
          <w:rFonts w:ascii="Arial" w:cs="Arial" w:eastAsia="Arial" w:hAnsi="Arial"/>
          <w:sz w:val="14"/>
          <w:szCs w:val="14"/>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The words "believe," "may," "will," "could," "should," "would," "anticipate," "estimate," "expect," "project," "intend," "objective," "seek," "strive," "might," "likely result," "build," "grow," "plan," "goal," "expand," "position," or similar words, or the negatives of these words, or similar terminology, identify forward-looking statements. These statements are based on assumptions that the Company believes are reasonable, but are subject to a wide range of risks and uncertainties, and a number of factors could cause the Company's actual results to differ materially from those expressed in the forward-looking statements referred to above.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Readers are cautioned not to place undue reliance on these forward-looking statements, which relate only to events as of the date on which the statements are made and which reflect management's analysis, judgments, belief, or expectation only as of such date. By making these forward-looking statements, the Company undertakes no obligation to update these statements for revisions or changes after the date of this report.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31" w:lineRule="exact"/>
        <w:rPr>
          <w:sz w:val="20"/>
          <w:szCs w:val="20"/>
          <w:color w:val="auto"/>
        </w:rPr>
      </w:pPr>
    </w:p>
    <w:p>
      <w:pPr>
        <w:jc w:val="both"/>
        <w:ind w:firstLine="435"/>
        <w:spacing w:after="0" w:line="284" w:lineRule="auto"/>
        <w:rPr>
          <w:sz w:val="20"/>
          <w:szCs w:val="20"/>
          <w:color w:val="auto"/>
        </w:rPr>
      </w:pPr>
      <w:r>
        <w:rPr>
          <w:rFonts w:ascii="Arial" w:cs="Arial" w:eastAsia="Arial" w:hAnsi="Arial"/>
          <w:sz w:val="15"/>
          <w:szCs w:val="15"/>
          <w:color w:val="auto"/>
        </w:rPr>
        <w:t>The Company’s significant accounting policies are described in Note 1 to the consolidated financial statements included in the Company’s Annual Report on Form 10-K for the year ended April 30, 2013.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u w:val="single" w:color="auto"/>
          <w:color w:val="auto"/>
        </w:rPr>
        <w:t>Revenue Recognition</w:t>
      </w:r>
    </w:p>
    <w:p>
      <w:pPr>
        <w:spacing w:after="0" w:line="227" w:lineRule="exact"/>
        <w:rPr>
          <w:sz w:val="20"/>
          <w:szCs w:val="20"/>
          <w:color w:val="auto"/>
        </w:rPr>
      </w:pPr>
    </w:p>
    <w:p>
      <w:pPr>
        <w:jc w:val="both"/>
        <w:ind w:firstLine="435"/>
        <w:spacing w:after="0" w:line="276" w:lineRule="auto"/>
        <w:rPr>
          <w:sz w:val="20"/>
          <w:szCs w:val="20"/>
          <w:color w:val="auto"/>
        </w:rPr>
      </w:pPr>
      <w:r>
        <w:rPr>
          <w:rFonts w:ascii="Arial" w:cs="Arial" w:eastAsia="Arial" w:hAnsi="Arial"/>
          <w:sz w:val="15"/>
          <w:szCs w:val="15"/>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183" w:lineRule="exact"/>
        <w:rPr>
          <w:sz w:val="20"/>
          <w:szCs w:val="20"/>
          <w:color w:val="auto"/>
        </w:rPr>
      </w:pPr>
    </w:p>
    <w:p>
      <w:pPr>
        <w:jc w:val="both"/>
        <w:ind w:right="20" w:firstLine="435"/>
        <w:spacing w:after="0" w:line="280" w:lineRule="auto"/>
        <w:rPr>
          <w:sz w:val="20"/>
          <w:szCs w:val="20"/>
          <w:color w:val="auto"/>
        </w:rPr>
      </w:pPr>
      <w:r>
        <w:rPr>
          <w:rFonts w:ascii="Arial" w:cs="Arial" w:eastAsia="Arial" w:hAnsi="Arial"/>
          <w:sz w:val="16"/>
          <w:szCs w:val="16"/>
          <w:color w:val="auto"/>
        </w:rPr>
        <w:t>On production-type orders, revenue is recorded as units are delivered with the related cost of sales recognized on each shipment based upon a percentage of estimated final program costs.</w:t>
      </w:r>
    </w:p>
    <w:p>
      <w:pPr>
        <w:spacing w:after="0" w:line="175" w:lineRule="exact"/>
        <w:rPr>
          <w:sz w:val="20"/>
          <w:szCs w:val="20"/>
          <w:color w:val="auto"/>
        </w:rPr>
      </w:pPr>
    </w:p>
    <w:p>
      <w:pPr>
        <w:jc w:val="both"/>
        <w:ind w:right="20" w:firstLine="435"/>
        <w:spacing w:after="0" w:line="315" w:lineRule="auto"/>
        <w:rPr>
          <w:sz w:val="20"/>
          <w:szCs w:val="20"/>
          <w:color w:val="auto"/>
        </w:rPr>
      </w:pPr>
      <w:r>
        <w:rPr>
          <w:rFonts w:ascii="Arial" w:cs="Arial" w:eastAsia="Arial" w:hAnsi="Arial"/>
          <w:sz w:val="15"/>
          <w:szCs w:val="15"/>
          <w:color w:val="auto"/>
        </w:rPr>
        <w:t>Changes in job performance on long-term contracts and production-type orders may result in revisions to costs and income and are recognized in the period in which revisions are determined to be required. Provisions for anticipated losses on customer orders are made in the period in which they become determinable.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66305"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3" w:name="page14"/>
    <w:bookmarkEnd w:id="1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5"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FREQUENCY ELECTRONICS, INC. and SUBSIDIARIES</w:t>
      </w:r>
    </w:p>
    <w:p>
      <w:pPr>
        <w:spacing w:after="0" w:line="22"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(Continued)</w:t>
      </w:r>
    </w:p>
    <w:p>
      <w:pPr>
        <w:spacing w:after="0" w:line="215" w:lineRule="exact"/>
        <w:rPr>
          <w:sz w:val="20"/>
          <w:szCs w:val="20"/>
          <w:color w:val="auto"/>
        </w:rPr>
      </w:pPr>
    </w:p>
    <w:p>
      <w:pPr>
        <w:jc w:val="both"/>
        <w:ind w:firstLine="435"/>
        <w:spacing w:after="0" w:line="292" w:lineRule="auto"/>
        <w:rPr>
          <w:sz w:val="20"/>
          <w:szCs w:val="20"/>
          <w:color w:val="auto"/>
        </w:rPr>
      </w:pPr>
      <w:r>
        <w:rPr>
          <w:rFonts w:ascii="Arial" w:cs="Arial" w:eastAsia="Arial" w:hAnsi="Arial"/>
          <w:sz w:val="15"/>
          <w:szCs w:val="15"/>
          <w:color w:val="auto"/>
        </w:rPr>
        <w:t>For customer orders in the Company’s Gillam-FEI and FEI-Zyfer segments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6"/>
          <w:szCs w:val="16"/>
          <w:u w:val="single" w:color="auto"/>
          <w:color w:val="auto"/>
        </w:rPr>
        <w:t>Costs and Expenses</w:t>
      </w:r>
    </w:p>
    <w:p>
      <w:pPr>
        <w:spacing w:after="0" w:line="227" w:lineRule="exact"/>
        <w:rPr>
          <w:sz w:val="20"/>
          <w:szCs w:val="20"/>
          <w:color w:val="auto"/>
        </w:rPr>
      </w:pPr>
    </w:p>
    <w:p>
      <w:pPr>
        <w:jc w:val="both"/>
        <w:ind w:firstLine="435"/>
        <w:spacing w:after="0" w:line="280" w:lineRule="auto"/>
        <w:rPr>
          <w:sz w:val="20"/>
          <w:szCs w:val="20"/>
          <w:color w:val="auto"/>
        </w:rPr>
      </w:pPr>
      <w:r>
        <w:rPr>
          <w:rFonts w:ascii="Arial" w:cs="Arial" w:eastAsia="Arial" w:hAnsi="Arial"/>
          <w:sz w:val="16"/>
          <w:szCs w:val="16"/>
          <w:color w:val="auto"/>
        </w:rPr>
        <w:t>Contract costs include all direct material, direct labor costs, manufacturing overhead and other direct costs related to contract performance. Selling, general and administrative costs are charged to expense as incurred.</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u w:val="single" w:color="auto"/>
          <w:color w:val="auto"/>
        </w:rPr>
        <w:t>Inventory</w:t>
      </w:r>
    </w:p>
    <w:p>
      <w:pPr>
        <w:spacing w:after="0" w:line="227" w:lineRule="exact"/>
        <w:rPr>
          <w:sz w:val="20"/>
          <w:szCs w:val="20"/>
          <w:color w:val="auto"/>
        </w:rPr>
      </w:pPr>
    </w:p>
    <w:p>
      <w:pPr>
        <w:jc w:val="both"/>
        <w:ind w:firstLine="435"/>
        <w:spacing w:after="0" w:line="261" w:lineRule="auto"/>
        <w:rPr>
          <w:sz w:val="20"/>
          <w:szCs w:val="20"/>
          <w:color w:val="auto"/>
        </w:rPr>
      </w:pPr>
      <w:r>
        <w:rPr>
          <w:rFonts w:ascii="Arial" w:cs="Arial" w:eastAsia="Arial" w:hAnsi="Arial"/>
          <w:sz w:val="16"/>
          <w:szCs w:val="16"/>
          <w:color w:val="auto"/>
        </w:rPr>
        <w:t>In accordance with industry practice, inventoried costs contain amounts relating to contracts and programs with long production cycles, a portion of which will not be realized within one year. Inventory write downs are established for slow-moving, obsolete items and costs incurred on programs for which production-level orders cannot be determined as probable. Such write downs are based upon management’s experience and expectations for future business. Any changes arising from revised expectations are reflected in cost of sales in the period the revision is made.</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6"/>
          <w:szCs w:val="16"/>
          <w:u w:val="single" w:color="auto"/>
          <w:color w:val="auto"/>
        </w:rPr>
        <w:t>Marketable Securities</w:t>
      </w:r>
    </w:p>
    <w:p>
      <w:pPr>
        <w:spacing w:after="0" w:line="227" w:lineRule="exact"/>
        <w:rPr>
          <w:sz w:val="20"/>
          <w:szCs w:val="20"/>
          <w:color w:val="auto"/>
        </w:rPr>
      </w:pPr>
    </w:p>
    <w:p>
      <w:pPr>
        <w:jc w:val="both"/>
        <w:ind w:firstLine="435"/>
        <w:spacing w:after="0" w:line="261" w:lineRule="auto"/>
        <w:rPr>
          <w:sz w:val="20"/>
          <w:szCs w:val="20"/>
          <w:color w:val="auto"/>
        </w:rPr>
      </w:pPr>
      <w:r>
        <w:rPr>
          <w:rFonts w:ascii="Arial" w:cs="Arial" w:eastAsia="Arial" w:hAnsi="Arial"/>
          <w:sz w:val="16"/>
          <w:szCs w:val="16"/>
          <w:color w:val="auto"/>
        </w:rPr>
        <w:t>All of the Company’s investments in marketable securities are Level 1 securities which trade on public markets and have current prices that are readily available. In general, investments in fixed price securities are only in the commercial paper of financially sound corporations or the bonds of U.S. Government agencies. Although the value of such investments may fluctuate significantly based on economic factors, the Company’s own financial strength enables it to wait for the securities to either recover their value or to mature such that any interim unrealized gains or losses are deemed to be temporary.</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6"/>
          <w:szCs w:val="16"/>
          <w:u w:val="single" w:color="auto"/>
          <w:color w:val="auto"/>
        </w:rPr>
        <w:t>Foreign Operations and Foreign Currency Adjustments</w:t>
      </w:r>
    </w:p>
    <w:p>
      <w:pPr>
        <w:spacing w:after="0" w:line="227" w:lineRule="exact"/>
        <w:rPr>
          <w:sz w:val="20"/>
          <w:szCs w:val="20"/>
          <w:color w:val="auto"/>
        </w:rPr>
      </w:pPr>
    </w:p>
    <w:p>
      <w:pPr>
        <w:jc w:val="both"/>
        <w:ind w:firstLine="435"/>
        <w:spacing w:after="0" w:line="257" w:lineRule="auto"/>
        <w:rPr>
          <w:sz w:val="20"/>
          <w:szCs w:val="20"/>
          <w:color w:val="auto"/>
        </w:rPr>
      </w:pPr>
      <w:r>
        <w:rPr>
          <w:rFonts w:ascii="Arial" w:cs="Arial" w:eastAsia="Arial" w:hAnsi="Arial"/>
          <w:sz w:val="16"/>
          <w:szCs w:val="16"/>
          <w:color w:val="auto"/>
        </w:rPr>
        <w:t>The Company maintains manufacturing operations in Belgium and the People’s Republic of China. The Company is vulnerable to currency risks in these countries. The local currency is the functional currency of each of the Company’s non-U.S. subsidiaries. No foreign currency gains or losses are recorded on intercompany transactions since they are effected at current rates of exchange. The results of operations of foreign subsidiaries, when translated into U.S. dollars, reflect the average rates of exchange for the periods presented. The balance sheets of foreign subsidiaries, except for equity accounts which are translated at historical rates, are translated into U.S. dollars at the rates of exchange in effect on the date of the balance sheet. As a result, similar results in local currency can vary upon translation into U.S. dollars if exchange rates fluctuate significantly from one period to the next.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66305"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4" w:name="page15"/>
    <w:bookmarkEnd w:id="1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5"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FREQUENCY ELECTRONICS, INC. and SUBSIDIARIES</w:t>
      </w:r>
    </w:p>
    <w:p>
      <w:pPr>
        <w:spacing w:after="0" w:line="22"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(Continued)</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RESULTS OF OPERATIONS</w:t>
      </w:r>
    </w:p>
    <w:p>
      <w:pPr>
        <w:spacing w:after="0" w:line="223" w:lineRule="exact"/>
        <w:rPr>
          <w:sz w:val="20"/>
          <w:szCs w:val="20"/>
          <w:color w:val="auto"/>
        </w:rPr>
      </w:pPr>
    </w:p>
    <w:p>
      <w:pPr>
        <w:jc w:val="both"/>
        <w:ind w:right="20" w:firstLine="435"/>
        <w:spacing w:after="0" w:line="297" w:lineRule="auto"/>
        <w:rPr>
          <w:sz w:val="20"/>
          <w:szCs w:val="20"/>
          <w:color w:val="auto"/>
        </w:rPr>
      </w:pPr>
      <w:r>
        <w:rPr>
          <w:rFonts w:ascii="Arial" w:cs="Arial" w:eastAsia="Arial" w:hAnsi="Arial"/>
          <w:sz w:val="18"/>
          <w:szCs w:val="18"/>
          <w:color w:val="auto"/>
        </w:rPr>
        <w:t>The table below sets forth for the respective periods of fiscal years 2014 and 2013 (which end on April 30, 2014 and 2013, respectively) the percentage of consolidated revenues represented by certain items in the Company’s consolidated statements of operations: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5"/>
          </w:tcPr>
          <w:p>
            <w:pPr>
              <w:jc w:val="right"/>
              <w:ind w:right="459"/>
              <w:spacing w:after="0"/>
              <w:rPr>
                <w:sz w:val="20"/>
                <w:szCs w:val="20"/>
                <w:color w:val="auto"/>
              </w:rPr>
            </w:pPr>
            <w:r>
              <w:rPr>
                <w:rFonts w:ascii="Arial" w:cs="Arial" w:eastAsia="Arial" w:hAnsi="Arial"/>
                <w:sz w:val="16"/>
                <w:szCs w:val="16"/>
                <w:b w:val="1"/>
                <w:bCs w:val="1"/>
                <w:color w:val="auto"/>
              </w:rPr>
              <w:t>Nine months</w:t>
            </w: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6"/>
                <w:szCs w:val="16"/>
                <w:b w:val="1"/>
                <w:bCs w:val="1"/>
                <w:color w:val="auto"/>
                <w:w w:val="92"/>
              </w:rPr>
              <w:t>Three months</w:t>
            </w:r>
          </w:p>
        </w:tc>
        <w:tc>
          <w:tcPr>
            <w:tcW w:w="4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gridSpan w:val="7"/>
          </w:tcPr>
          <w:p>
            <w:pPr>
              <w:ind w:left="420"/>
              <w:spacing w:after="0" w:line="177" w:lineRule="exact"/>
              <w:rPr>
                <w:sz w:val="20"/>
                <w:szCs w:val="20"/>
                <w:color w:val="auto"/>
              </w:rPr>
            </w:pPr>
            <w:r>
              <w:rPr>
                <w:rFonts w:ascii="Arial" w:cs="Arial" w:eastAsia="Arial" w:hAnsi="Arial"/>
                <w:sz w:val="16"/>
                <w:szCs w:val="16"/>
                <w:b w:val="1"/>
                <w:bCs w:val="1"/>
                <w:color w:val="auto"/>
                <w:w w:val="89"/>
              </w:rPr>
              <w:t>Periods ended January 31,</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2014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440"/>
              <w:spacing w:after="0"/>
              <w:rPr>
                <w:sz w:val="20"/>
                <w:szCs w:val="20"/>
                <w:color w:val="auto"/>
              </w:rPr>
            </w:pPr>
            <w:r>
              <w:rPr>
                <w:rFonts w:ascii="Arial" w:cs="Arial" w:eastAsia="Arial" w:hAnsi="Arial"/>
                <w:sz w:val="16"/>
                <w:szCs w:val="16"/>
                <w:b w:val="1"/>
                <w:bCs w:val="1"/>
                <w:color w:val="auto"/>
              </w:rPr>
              <w:t>2013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2014</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2013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320" w:type="dxa"/>
            <w:vAlign w:val="bottom"/>
            <w:gridSpan w:val="4"/>
          </w:tcPr>
          <w:p>
            <w:pPr>
              <w:spacing w:after="0"/>
              <w:rPr>
                <w:sz w:val="20"/>
                <w:szCs w:val="20"/>
                <w:color w:val="auto"/>
              </w:rPr>
            </w:pPr>
            <w:r>
              <w:rPr>
                <w:rFonts w:ascii="Arial" w:cs="Arial" w:eastAsia="Arial" w:hAnsi="Arial"/>
                <w:sz w:val="16"/>
                <w:szCs w:val="16"/>
                <w:color w:val="auto"/>
              </w:rPr>
              <w:t>Revenues</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FEI-NY</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4"/>
              <w:spacing w:after="0"/>
              <w:rPr>
                <w:sz w:val="20"/>
                <w:szCs w:val="20"/>
                <w:color w:val="auto"/>
              </w:rPr>
            </w:pPr>
            <w:r>
              <w:rPr>
                <w:rFonts w:ascii="Arial" w:cs="Arial" w:eastAsia="Arial" w:hAnsi="Arial"/>
                <w:sz w:val="16"/>
                <w:szCs w:val="16"/>
                <w:color w:val="auto"/>
              </w:rPr>
              <w:t>77.4%</w:t>
            </w:r>
          </w:p>
        </w:tc>
        <w:tc>
          <w:tcPr>
            <w:tcW w:w="860" w:type="dxa"/>
            <w:vAlign w:val="bottom"/>
            <w:shd w:val="clear" w:color="auto" w:fill="CCEEFF"/>
          </w:tcPr>
          <w:p>
            <w:pPr>
              <w:spacing w:after="0"/>
              <w:rPr>
                <w:sz w:val="16"/>
                <w:szCs w:val="16"/>
                <w:color w:val="auto"/>
              </w:rPr>
            </w:pPr>
          </w:p>
        </w:tc>
        <w:tc>
          <w:tcPr>
            <w:tcW w:w="52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74.4%</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78.3%</w:t>
            </w: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82.1%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00" w:type="dxa"/>
            <w:vAlign w:val="bottom"/>
            <w:gridSpan w:val="3"/>
          </w:tcPr>
          <w:p>
            <w:pPr>
              <w:ind w:left="120"/>
              <w:spacing w:after="0"/>
              <w:rPr>
                <w:sz w:val="20"/>
                <w:szCs w:val="20"/>
                <w:color w:val="auto"/>
              </w:rPr>
            </w:pPr>
            <w:r>
              <w:rPr>
                <w:rFonts w:ascii="Arial" w:cs="Arial" w:eastAsia="Arial" w:hAnsi="Arial"/>
                <w:sz w:val="16"/>
                <w:szCs w:val="16"/>
                <w:color w:val="auto"/>
              </w:rPr>
              <w:t>Gillam-FEI</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6"/>
                <w:szCs w:val="16"/>
                <w:color w:val="auto"/>
              </w:rPr>
              <w:t>13.4</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6"/>
                <w:szCs w:val="16"/>
                <w:color w:val="auto"/>
              </w:rPr>
              <w:t>12.5</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13.3</w:t>
            </w: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11.2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FEI-Zyfer</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11.5</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20" w:type="dxa"/>
            <w:vAlign w:val="bottom"/>
            <w:tcBorders>
              <w:lef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17.0</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8.9</w:t>
            </w: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40" w:type="dxa"/>
            <w:vAlign w:val="bottom"/>
            <w:gridSpan w:val="6"/>
          </w:tcPr>
          <w:p>
            <w:pPr>
              <w:ind w:left="120"/>
              <w:spacing w:after="0"/>
              <w:rPr>
                <w:sz w:val="20"/>
                <w:szCs w:val="20"/>
                <w:color w:val="auto"/>
              </w:rPr>
            </w:pPr>
            <w:r>
              <w:rPr>
                <w:rFonts w:ascii="Arial" w:cs="Arial" w:eastAsia="Arial" w:hAnsi="Arial"/>
                <w:sz w:val="16"/>
                <w:szCs w:val="16"/>
                <w:color w:val="auto"/>
              </w:rPr>
              <w:t>Less intersegment revenues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(0.5)</w:t>
            </w: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100.0</w:t>
            </w:r>
          </w:p>
        </w:tc>
        <w:tc>
          <w:tcPr>
            <w:tcW w:w="16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4"/>
              </w:rPr>
              <w:t>100.0</w:t>
            </w: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4"/>
              </w:rPr>
              <w:t>100.0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00" w:type="dxa"/>
            <w:vAlign w:val="bottom"/>
            <w:gridSpan w:val="3"/>
          </w:tcPr>
          <w:p>
            <w:pPr>
              <w:spacing w:after="0"/>
              <w:rPr>
                <w:sz w:val="20"/>
                <w:szCs w:val="20"/>
                <w:color w:val="auto"/>
              </w:rPr>
            </w:pPr>
            <w:r>
              <w:rPr>
                <w:rFonts w:ascii="Arial" w:cs="Arial" w:eastAsia="Arial" w:hAnsi="Arial"/>
                <w:sz w:val="16"/>
                <w:szCs w:val="16"/>
                <w:color w:val="auto"/>
              </w:rPr>
              <w:t>Cost of revenues</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6"/>
                <w:szCs w:val="16"/>
                <w:color w:val="auto"/>
              </w:rPr>
              <w:t>64.2</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6"/>
                <w:szCs w:val="16"/>
                <w:color w:val="auto"/>
              </w:rPr>
              <w:t>62.1</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66.5</w:t>
            </w: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1620" w:type="dxa"/>
            <w:vAlign w:val="bottom"/>
            <w:gridSpan w:val="4"/>
            <w:shd w:val="clear" w:color="auto" w:fill="CCEEFF"/>
          </w:tcPr>
          <w:p>
            <w:pPr>
              <w:ind w:left="560"/>
              <w:spacing w:after="0"/>
              <w:rPr>
                <w:sz w:val="20"/>
                <w:szCs w:val="20"/>
                <w:color w:val="auto"/>
              </w:rPr>
            </w:pPr>
            <w:r>
              <w:rPr>
                <w:rFonts w:ascii="Arial" w:cs="Arial" w:eastAsia="Arial" w:hAnsi="Arial"/>
                <w:sz w:val="16"/>
                <w:szCs w:val="16"/>
                <w:color w:val="auto"/>
              </w:rPr>
              <w:t>Gross margin</w:t>
            </w: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35.8</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20" w:type="dxa"/>
            <w:vAlign w:val="bottom"/>
            <w:tcBorders>
              <w:lef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37.9</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33.5</w:t>
            </w: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40" w:type="dxa"/>
            <w:vAlign w:val="bottom"/>
            <w:gridSpan w:val="6"/>
          </w:tcPr>
          <w:p>
            <w:pPr>
              <w:spacing w:after="0"/>
              <w:rPr>
                <w:sz w:val="20"/>
                <w:szCs w:val="20"/>
                <w:color w:val="auto"/>
              </w:rPr>
            </w:pPr>
            <w:r>
              <w:rPr>
                <w:rFonts w:ascii="Arial" w:cs="Arial" w:eastAsia="Arial" w:hAnsi="Arial"/>
                <w:sz w:val="16"/>
                <w:szCs w:val="16"/>
                <w:color w:val="auto"/>
                <w:w w:val="94"/>
              </w:rPr>
              <w:t>Selling and administrative expenses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6"/>
                <w:szCs w:val="16"/>
                <w:color w:val="auto"/>
              </w:rPr>
              <w:t>20.2</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6"/>
                <w:szCs w:val="16"/>
                <w:color w:val="auto"/>
              </w:rPr>
              <w:t>21.2</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19.1</w:t>
            </w: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40" w:type="dxa"/>
            <w:vAlign w:val="bottom"/>
            <w:gridSpan w:val="6"/>
            <w:shd w:val="clear" w:color="auto" w:fill="CCEEFF"/>
          </w:tcPr>
          <w:p>
            <w:pPr>
              <w:spacing w:after="0"/>
              <w:rPr>
                <w:sz w:val="20"/>
                <w:szCs w:val="20"/>
                <w:color w:val="auto"/>
              </w:rPr>
            </w:pPr>
            <w:r>
              <w:rPr>
                <w:rFonts w:ascii="Arial" w:cs="Arial" w:eastAsia="Arial" w:hAnsi="Arial"/>
                <w:sz w:val="16"/>
                <w:szCs w:val="16"/>
                <w:color w:val="auto"/>
                <w:w w:val="90"/>
              </w:rPr>
              <w:t>Research and development expenses</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8.8</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7.5</w:t>
            </w: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1620" w:type="dxa"/>
            <w:vAlign w:val="bottom"/>
            <w:gridSpan w:val="4"/>
          </w:tcPr>
          <w:p>
            <w:pPr>
              <w:ind w:left="560"/>
              <w:spacing w:after="0"/>
              <w:rPr>
                <w:sz w:val="20"/>
                <w:szCs w:val="20"/>
                <w:color w:val="auto"/>
              </w:rPr>
            </w:pPr>
            <w:r>
              <w:rPr>
                <w:rFonts w:ascii="Arial" w:cs="Arial" w:eastAsia="Arial" w:hAnsi="Arial"/>
                <w:sz w:val="16"/>
                <w:szCs w:val="16"/>
                <w:color w:val="auto"/>
                <w:w w:val="94"/>
              </w:rPr>
              <w:t>Operating profit</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6"/>
                <w:szCs w:val="16"/>
                <w:color w:val="auto"/>
              </w:rPr>
              <w:t>6.8</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9.4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6.9</w:t>
            </w: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income, net</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2.5</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w:t>
            </w: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1300" w:type="dxa"/>
            <w:vAlign w:val="bottom"/>
            <w:gridSpan w:val="3"/>
          </w:tcPr>
          <w:p>
            <w:pPr>
              <w:spacing w:after="0"/>
              <w:rPr>
                <w:sz w:val="20"/>
                <w:szCs w:val="20"/>
                <w:color w:val="auto"/>
              </w:rPr>
            </w:pPr>
            <w:r>
              <w:rPr>
                <w:rFonts w:ascii="Arial" w:cs="Arial" w:eastAsia="Arial" w:hAnsi="Arial"/>
                <w:sz w:val="16"/>
                <w:szCs w:val="16"/>
                <w:color w:val="auto"/>
              </w:rPr>
              <w:t>Pretax income</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6"/>
                <w:szCs w:val="16"/>
                <w:color w:val="auto"/>
              </w:rPr>
              <w:t>9.3</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9.0</w:t>
            </w: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4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3.0</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w:t>
            </w: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1300" w:type="dxa"/>
            <w:vAlign w:val="bottom"/>
            <w:gridSpan w:val="3"/>
          </w:tcPr>
          <w:p>
            <w:pPr>
              <w:ind w:left="560"/>
              <w:spacing w:after="0"/>
              <w:rPr>
                <w:sz w:val="20"/>
                <w:szCs w:val="20"/>
                <w:color w:val="auto"/>
              </w:rPr>
            </w:pPr>
            <w:r>
              <w:rPr>
                <w:rFonts w:ascii="Arial" w:cs="Arial" w:eastAsia="Arial" w:hAnsi="Arial"/>
                <w:sz w:val="16"/>
                <w:szCs w:val="16"/>
                <w:color w:val="auto"/>
                <w:w w:val="88"/>
              </w:rPr>
              <w:t>Net income</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4"/>
          </w:tcPr>
          <w:p>
            <w:pPr>
              <w:jc w:val="right"/>
              <w:ind w:right="24"/>
              <w:spacing w:after="0"/>
              <w:rPr>
                <w:sz w:val="20"/>
                <w:szCs w:val="20"/>
                <w:color w:val="auto"/>
              </w:rPr>
            </w:pPr>
            <w:r>
              <w:rPr>
                <w:rFonts w:ascii="Arial" w:cs="Arial" w:eastAsia="Arial" w:hAnsi="Arial"/>
                <w:sz w:val="16"/>
                <w:szCs w:val="16"/>
                <w:color w:val="auto"/>
              </w:rPr>
              <w:t>6.3%</w:t>
            </w:r>
          </w:p>
        </w:tc>
        <w:tc>
          <w:tcPr>
            <w:tcW w:w="860" w:type="dxa"/>
            <w:vAlign w:val="bottom"/>
          </w:tcPr>
          <w:p>
            <w:pPr>
              <w:spacing w:after="0"/>
              <w:rPr>
                <w:sz w:val="16"/>
                <w:szCs w:val="16"/>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6"/>
                <w:szCs w:val="16"/>
                <w:color w:val="auto"/>
              </w:rPr>
              <w:t>7.3%</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6.7%</w:t>
            </w: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
        </w:trPr>
        <w:tc>
          <w:tcPr>
            <w:tcW w:w="132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Revenues</w:t>
            </w: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32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vMerge w:val="restart"/>
          </w:tcPr>
          <w:p>
            <w:pPr>
              <w:jc w:val="right"/>
              <w:ind w:right="164"/>
              <w:spacing w:after="0"/>
              <w:rPr>
                <w:sz w:val="20"/>
                <w:szCs w:val="20"/>
                <w:color w:val="auto"/>
              </w:rPr>
            </w:pPr>
            <w:r>
              <w:rPr>
                <w:rFonts w:ascii="Arial" w:cs="Arial" w:eastAsia="Arial" w:hAnsi="Arial"/>
                <w:sz w:val="16"/>
                <w:szCs w:val="16"/>
                <w:b w:val="1"/>
                <w:bCs w:val="1"/>
                <w:color w:val="auto"/>
              </w:rPr>
              <w:t>Nine months</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4"/>
            <w:vMerge w:val="restart"/>
          </w:tcPr>
          <w:p>
            <w:pPr>
              <w:jc w:val="right"/>
              <w:ind w:right="460"/>
              <w:spacing w:after="0"/>
              <w:rPr>
                <w:sz w:val="20"/>
                <w:szCs w:val="20"/>
                <w:color w:val="auto"/>
              </w:rPr>
            </w:pPr>
            <w:r>
              <w:rPr>
                <w:rFonts w:ascii="Arial" w:cs="Arial" w:eastAsia="Arial" w:hAnsi="Arial"/>
                <w:sz w:val="16"/>
                <w:szCs w:val="16"/>
                <w:b w:val="1"/>
                <w:bCs w:val="1"/>
                <w:color w:val="auto"/>
                <w:w w:val="90"/>
              </w:rPr>
              <w:t>Three months</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6"/>
          </w:tcPr>
          <w:p>
            <w:pPr>
              <w:jc w:val="right"/>
              <w:ind w:right="159"/>
              <w:spacing w:after="0" w:line="177" w:lineRule="exact"/>
              <w:rPr>
                <w:sz w:val="20"/>
                <w:szCs w:val="20"/>
                <w:color w:val="auto"/>
              </w:rPr>
            </w:pPr>
            <w:r>
              <w:rPr>
                <w:rFonts w:ascii="Arial" w:cs="Arial" w:eastAsia="Arial" w:hAnsi="Arial"/>
                <w:sz w:val="16"/>
                <w:szCs w:val="16"/>
                <w:b w:val="1"/>
                <w:bCs w:val="1"/>
                <w:color w:val="auto"/>
                <w:w w:val="90"/>
              </w:rPr>
              <w:t>Periods ended January 31,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00" w:type="dxa"/>
            <w:vAlign w:val="bottom"/>
            <w:gridSpan w:val="3"/>
          </w:tcPr>
          <w:p>
            <w:pPr>
              <w:spacing w:after="0" w:line="174" w:lineRule="exact"/>
              <w:rPr>
                <w:sz w:val="20"/>
                <w:szCs w:val="20"/>
                <w:color w:val="auto"/>
              </w:rPr>
            </w:pPr>
            <w:r>
              <w:rPr>
                <w:rFonts w:ascii="Arial" w:cs="Arial" w:eastAsia="Arial" w:hAnsi="Arial"/>
                <w:sz w:val="16"/>
                <w:szCs w:val="16"/>
                <w:b w:val="1"/>
                <w:bCs w:val="1"/>
                <w:color w:val="auto"/>
              </w:rPr>
              <w:t>Segment</w:t>
            </w:r>
          </w:p>
        </w:tc>
        <w:tc>
          <w:tcPr>
            <w:tcW w:w="320" w:type="dxa"/>
            <w:vAlign w:val="bottom"/>
          </w:tcPr>
          <w:p>
            <w:pPr>
              <w:spacing w:after="0"/>
              <w:rPr>
                <w:sz w:val="15"/>
                <w:szCs w:val="15"/>
                <w:color w:val="auto"/>
              </w:rPr>
            </w:pPr>
          </w:p>
        </w:tc>
        <w:tc>
          <w:tcPr>
            <w:tcW w:w="700" w:type="dxa"/>
            <w:vAlign w:val="bottom"/>
          </w:tcPr>
          <w:p>
            <w:pPr>
              <w:jc w:val="right"/>
              <w:ind w:right="259"/>
              <w:spacing w:after="0" w:line="174" w:lineRule="exact"/>
              <w:rPr>
                <w:sz w:val="20"/>
                <w:szCs w:val="20"/>
                <w:color w:val="auto"/>
              </w:rPr>
            </w:pPr>
            <w:r>
              <w:rPr>
                <w:rFonts w:ascii="Arial" w:cs="Arial" w:eastAsia="Arial" w:hAnsi="Arial"/>
                <w:sz w:val="16"/>
                <w:szCs w:val="16"/>
                <w:b w:val="1"/>
                <w:bCs w:val="1"/>
                <w:color w:val="auto"/>
                <w:w w:val="95"/>
              </w:rPr>
              <w:t>2014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79"/>
              <w:spacing w:after="0" w:line="174" w:lineRule="exact"/>
              <w:rPr>
                <w:sz w:val="20"/>
                <w:szCs w:val="20"/>
                <w:color w:val="auto"/>
              </w:rPr>
            </w:pPr>
            <w:r>
              <w:rPr>
                <w:rFonts w:ascii="Arial" w:cs="Arial" w:eastAsia="Arial" w:hAnsi="Arial"/>
                <w:sz w:val="16"/>
                <w:szCs w:val="16"/>
                <w:b w:val="1"/>
                <w:bCs w:val="1"/>
                <w:color w:val="auto"/>
              </w:rPr>
              <w:t>2013</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gridSpan w:val="3"/>
          </w:tcPr>
          <w:p>
            <w:pPr>
              <w:jc w:val="right"/>
              <w:spacing w:after="0" w:line="174" w:lineRule="exact"/>
              <w:rPr>
                <w:sz w:val="20"/>
                <w:szCs w:val="20"/>
                <w:color w:val="auto"/>
              </w:rPr>
            </w:pPr>
            <w:r>
              <w:rPr>
                <w:rFonts w:ascii="Arial" w:cs="Arial" w:eastAsia="Arial" w:hAnsi="Arial"/>
                <w:sz w:val="16"/>
                <w:szCs w:val="16"/>
                <w:b w:val="1"/>
                <w:bCs w:val="1"/>
                <w:color w:val="auto"/>
              </w:rPr>
              <w:t>Change</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259"/>
              <w:spacing w:after="0" w:line="174" w:lineRule="exact"/>
              <w:rPr>
                <w:sz w:val="20"/>
                <w:szCs w:val="20"/>
                <w:color w:val="auto"/>
              </w:rPr>
            </w:pPr>
            <w:r>
              <w:rPr>
                <w:rFonts w:ascii="Arial" w:cs="Arial" w:eastAsia="Arial" w:hAnsi="Arial"/>
                <w:sz w:val="16"/>
                <w:szCs w:val="16"/>
                <w:b w:val="1"/>
                <w:bCs w:val="1"/>
                <w:color w:val="auto"/>
              </w:rPr>
              <w:t>2014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279"/>
              <w:spacing w:after="0" w:line="174" w:lineRule="exact"/>
              <w:rPr>
                <w:sz w:val="20"/>
                <w:szCs w:val="20"/>
                <w:color w:val="auto"/>
              </w:rPr>
            </w:pPr>
            <w:r>
              <w:rPr>
                <w:rFonts w:ascii="Arial" w:cs="Arial" w:eastAsia="Arial" w:hAnsi="Arial"/>
                <w:sz w:val="16"/>
                <w:szCs w:val="16"/>
                <w:b w:val="1"/>
                <w:bCs w:val="1"/>
                <w:color w:val="auto"/>
                <w:w w:val="89"/>
              </w:rPr>
              <w:t>2013</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gridSpan w:val="2"/>
          </w:tcPr>
          <w:p>
            <w:pPr>
              <w:jc w:val="right"/>
              <w:ind w:right="280"/>
              <w:spacing w:after="0" w:line="174" w:lineRule="exact"/>
              <w:rPr>
                <w:sz w:val="20"/>
                <w:szCs w:val="20"/>
                <w:color w:val="auto"/>
              </w:rPr>
            </w:pPr>
            <w:r>
              <w:rPr>
                <w:rFonts w:ascii="Arial" w:cs="Arial" w:eastAsia="Arial" w:hAnsi="Arial"/>
                <w:sz w:val="16"/>
                <w:szCs w:val="16"/>
                <w:b w:val="1"/>
                <w:bCs w:val="1"/>
                <w:color w:val="auto"/>
                <w:w w:val="88"/>
              </w:rPr>
              <w:t>Change</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FEI-NY</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40,309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38,211</w:t>
            </w: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2,098</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14,270</w:t>
            </w:r>
          </w:p>
        </w:tc>
        <w:tc>
          <w:tcPr>
            <w:tcW w:w="36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14,076</w:t>
            </w:r>
          </w:p>
        </w:tc>
        <w:tc>
          <w:tcPr>
            <w:tcW w:w="400" w:type="dxa"/>
            <w:vAlign w:val="bottom"/>
            <w:shd w:val="clear" w:color="auto" w:fill="CCEEFF"/>
          </w:tcPr>
          <w:p>
            <w:pPr>
              <w:jc w:val="right"/>
              <w:ind w:right="240"/>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194</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00" w:type="dxa"/>
            <w:vAlign w:val="bottom"/>
            <w:gridSpan w:val="3"/>
          </w:tcPr>
          <w:p>
            <w:pPr>
              <w:spacing w:after="0"/>
              <w:rPr>
                <w:sz w:val="20"/>
                <w:szCs w:val="20"/>
                <w:color w:val="auto"/>
              </w:rPr>
            </w:pPr>
            <w:r>
              <w:rPr>
                <w:rFonts w:ascii="Arial" w:cs="Arial" w:eastAsia="Arial" w:hAnsi="Arial"/>
                <w:sz w:val="16"/>
                <w:szCs w:val="16"/>
                <w:color w:val="auto"/>
              </w:rPr>
              <w:t>Gillam-FEI</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6,990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6,431</w:t>
            </w:r>
          </w:p>
        </w:tc>
        <w:tc>
          <w:tcPr>
            <w:tcW w:w="380" w:type="dxa"/>
            <w:vAlign w:val="bottom"/>
          </w:tcPr>
          <w:p>
            <w:pPr>
              <w:spacing w:after="0"/>
              <w:rPr>
                <w:sz w:val="16"/>
                <w:szCs w:val="16"/>
                <w:color w:val="auto"/>
              </w:rPr>
            </w:pPr>
          </w:p>
        </w:tc>
        <w:tc>
          <w:tcPr>
            <w:tcW w:w="840" w:type="dxa"/>
            <w:vAlign w:val="bottom"/>
            <w:gridSpan w:val="3"/>
          </w:tcPr>
          <w:p>
            <w:pPr>
              <w:jc w:val="right"/>
              <w:ind w:right="119"/>
              <w:spacing w:after="0"/>
              <w:rPr>
                <w:sz w:val="20"/>
                <w:szCs w:val="20"/>
                <w:color w:val="auto"/>
              </w:rPr>
            </w:pPr>
            <w:r>
              <w:rPr>
                <w:rFonts w:ascii="Arial" w:cs="Arial" w:eastAsia="Arial" w:hAnsi="Arial"/>
                <w:sz w:val="16"/>
                <w:szCs w:val="16"/>
                <w:color w:val="auto"/>
              </w:rPr>
              <w:t>559</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2,422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1,913</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6"/>
                <w:szCs w:val="16"/>
                <w:color w:val="auto"/>
              </w:rPr>
              <w:t>509</w:t>
            </w: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FEI-Zyfer</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8,742</w:t>
            </w:r>
          </w:p>
        </w:tc>
        <w:tc>
          <w:tcPr>
            <w:tcW w:w="3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(2,766)</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1,624</w:t>
            </w:r>
          </w:p>
        </w:tc>
        <w:tc>
          <w:tcPr>
            <w:tcW w:w="20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2,054</w:t>
            </w: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(430)</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300" w:type="dxa"/>
            <w:vAlign w:val="bottom"/>
            <w:gridSpan w:val="3"/>
          </w:tcPr>
          <w:p>
            <w:pPr>
              <w:spacing w:after="0" w:line="181" w:lineRule="exact"/>
              <w:rPr>
                <w:sz w:val="20"/>
                <w:szCs w:val="20"/>
                <w:color w:val="auto"/>
              </w:rPr>
            </w:pPr>
            <w:r>
              <w:rPr>
                <w:rFonts w:ascii="Arial" w:cs="Arial" w:eastAsia="Arial" w:hAnsi="Arial"/>
                <w:sz w:val="16"/>
                <w:szCs w:val="16"/>
                <w:color w:val="auto"/>
              </w:rPr>
              <w:t>Intersegment</w:t>
            </w: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320" w:type="dxa"/>
            <w:vAlign w:val="bottom"/>
            <w:gridSpan w:val="4"/>
          </w:tcPr>
          <w:p>
            <w:pPr>
              <w:spacing w:after="0"/>
              <w:rPr>
                <w:sz w:val="20"/>
                <w:szCs w:val="20"/>
                <w:color w:val="auto"/>
              </w:rPr>
            </w:pPr>
            <w:r>
              <w:rPr>
                <w:rFonts w:ascii="Arial" w:cs="Arial" w:eastAsia="Arial" w:hAnsi="Arial"/>
                <w:sz w:val="16"/>
                <w:szCs w:val="16"/>
                <w:color w:val="auto"/>
              </w:rPr>
              <w:t>revenues</w:t>
            </w:r>
          </w:p>
        </w:tc>
        <w:tc>
          <w:tcPr>
            <w:tcW w:w="32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(1,223)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(1,993)</w:t>
            </w:r>
          </w:p>
        </w:tc>
        <w:tc>
          <w:tcPr>
            <w:tcW w:w="380" w:type="dxa"/>
            <w:vAlign w:val="bottom"/>
          </w:tcPr>
          <w:p>
            <w:pPr>
              <w:spacing w:after="0"/>
              <w:rPr>
                <w:sz w:val="17"/>
                <w:szCs w:val="17"/>
                <w:color w:val="auto"/>
              </w:rPr>
            </w:pPr>
          </w:p>
        </w:tc>
        <w:tc>
          <w:tcPr>
            <w:tcW w:w="840" w:type="dxa"/>
            <w:vAlign w:val="bottom"/>
            <w:gridSpan w:val="3"/>
          </w:tcPr>
          <w:p>
            <w:pPr>
              <w:jc w:val="right"/>
              <w:ind w:right="119"/>
              <w:spacing w:after="0"/>
              <w:rPr>
                <w:sz w:val="20"/>
                <w:szCs w:val="20"/>
                <w:color w:val="auto"/>
              </w:rPr>
            </w:pPr>
            <w:r>
              <w:rPr>
                <w:rFonts w:ascii="Arial" w:cs="Arial" w:eastAsia="Arial" w:hAnsi="Arial"/>
                <w:sz w:val="16"/>
                <w:szCs w:val="16"/>
                <w:color w:val="auto"/>
              </w:rPr>
              <w:t>770</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6"/>
                <w:szCs w:val="16"/>
                <w:color w:val="auto"/>
              </w:rPr>
              <w:t>(906)</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6"/>
                <w:szCs w:val="16"/>
                <w:color w:val="auto"/>
              </w:rPr>
              <w:t>808</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52,052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51,391</w:t>
            </w: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661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18,218</w:t>
            </w:r>
          </w:p>
        </w:tc>
        <w:tc>
          <w:tcPr>
            <w:tcW w:w="36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17,137</w:t>
            </w:r>
          </w:p>
        </w:tc>
        <w:tc>
          <w:tcPr>
            <w:tcW w:w="400" w:type="dxa"/>
            <w:vAlign w:val="bottom"/>
            <w:shd w:val="clear" w:color="auto" w:fill="CCEEFF"/>
          </w:tcPr>
          <w:p>
            <w:pPr>
              <w:jc w:val="right"/>
              <w:ind w:right="240"/>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w w:val="89"/>
              </w:rPr>
              <w:t>1,081</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35"/>
        <w:spacing w:after="0" w:line="274" w:lineRule="auto"/>
        <w:rPr>
          <w:sz w:val="20"/>
          <w:szCs w:val="20"/>
          <w:color w:val="auto"/>
        </w:rPr>
      </w:pPr>
      <w:r>
        <w:rPr>
          <w:rFonts w:ascii="Arial" w:cs="Arial" w:eastAsia="Arial" w:hAnsi="Arial"/>
          <w:sz w:val="15"/>
          <w:szCs w:val="15"/>
          <w:color w:val="auto"/>
        </w:rPr>
        <w:t>For the nine and three months ended January 31, 2014, revenues from commercial and U.S. Government satellite programs accounted for approximately 60% of consolidated revenues and increased by approximately 20% and 25%, respectively, over the same periods of fiscal year 2013. Revenues on these contracts, which are recorded in the FEI-NY segment, are recognized primarily under the percentage of completion method. Revenues from non-space U.S. Government/DOD customers, which are recorded in both the FEI-NY and FEI-Zyfer segments, accounted for approximately 20% of fiscal year 2014 consolidated revenues. Such revenues decreased by approximately 20% and 30%, respectively, from the same periods of fiscal year 2013. Total revenues from U.S. Government satellite contracts and non-space programs were approximately 55% of consolidated revenues for both the nine and three months ended January 31, 2014. Network infrastructure revenues in the fiscal year 2014 periods accounted for less than 15% of consolidated revenues and declined by approximately 25% and 5%, respectively, from the same periods of fiscal year 2013. Network infrastructure revenues are recorded in all three segments although the largest network infrastructure sales volume is recorded in the Gillam-FEI and FEI-Zyfer segments and accounted for most of the year-over-year decline in FEI-Zyfer’s revenues. For the nine and three-month periods ended January 31, 2014, Gillam-FEI revenues increased over the prior year primarily due to higher sales in its market for remote terminal units which are sold to other industrial customers.</w:t>
      </w:r>
    </w:p>
    <w:p>
      <w:pPr>
        <w:spacing w:after="0" w:line="158" w:lineRule="exact"/>
        <w:rPr>
          <w:sz w:val="20"/>
          <w:szCs w:val="20"/>
          <w:color w:val="auto"/>
        </w:rPr>
      </w:pPr>
    </w:p>
    <w:p>
      <w:pPr>
        <w:jc w:val="both"/>
        <w:ind w:right="20" w:firstLine="435"/>
        <w:spacing w:after="0" w:line="266" w:lineRule="auto"/>
        <w:rPr>
          <w:sz w:val="20"/>
          <w:szCs w:val="20"/>
          <w:color w:val="auto"/>
        </w:rPr>
      </w:pPr>
      <w:r>
        <w:rPr>
          <w:rFonts w:ascii="Arial" w:cs="Arial" w:eastAsia="Arial" w:hAnsi="Arial"/>
          <w:sz w:val="16"/>
          <w:szCs w:val="16"/>
          <w:color w:val="auto"/>
        </w:rPr>
        <w:t>For the nine and three months ended January 31, 2013, FEI-NY revenues from commercial and U.S. Government satellite programs increased 10% over the same periods in the prior year. Revenues from these programs for the nine-month period ended January 31, 2013 accounted for approximately 50% of consolidated sales, approximately the same ratio as the same nine-month period of fiscal year 2012.</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66305"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5" w:name="page16"/>
    <w:bookmarkEnd w:id="1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80"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FREQUENCY ELECTRONICS, INC. and SUBSIDIARIES</w:t>
      </w:r>
    </w:p>
    <w:p>
      <w:pPr>
        <w:spacing w:after="0" w:line="22"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(Continued)</w:t>
      </w:r>
    </w:p>
    <w:p>
      <w:pPr>
        <w:spacing w:after="0" w:line="191" w:lineRule="exact"/>
        <w:rPr>
          <w:sz w:val="20"/>
          <w:szCs w:val="20"/>
          <w:color w:val="auto"/>
        </w:rPr>
      </w:pPr>
    </w:p>
    <w:p>
      <w:pPr>
        <w:jc w:val="both"/>
        <w:ind w:firstLine="435"/>
        <w:spacing w:after="0" w:line="275" w:lineRule="auto"/>
        <w:rPr>
          <w:sz w:val="20"/>
          <w:szCs w:val="20"/>
          <w:color w:val="auto"/>
        </w:rPr>
      </w:pPr>
      <w:r>
        <w:rPr>
          <w:rFonts w:ascii="Arial" w:cs="Arial" w:eastAsia="Arial" w:hAnsi="Arial"/>
          <w:sz w:val="15"/>
          <w:szCs w:val="15"/>
          <w:color w:val="auto"/>
        </w:rPr>
        <w:t>Revenues on these long-term contracts are recognized primarily under the percentage of completion method. For the nine-month period ended January 31, 2013, sales from the U.S. Government/DOD business area, which accounted for more than 25% of consolidated revenues, increased by 40% over revenues for the same period of fiscal year 2012 due primarily to the FEI-Elcom acquisition. For the nine and three months ended January 31, 2013, total revenues from both satellite and non-space programs for which the U.S. Government is the end-user accounted for approximately 60% and 70%, respectively, of consolidated revenues. Such revenues are recorded in the FEI-NY (including FEI-Elcom) and FEI-Zyfer segments. For the nine-months ended January 31, 2013, network infrastructure sales, which are recorded in all three segments, grew approximately 10% year over year and accounted for approximately 20% of consolidated revenues, similar to revenues from this market during the same period of the prior fiscal year. For the first nine months of fiscal year 2013, sales to other industrial and commercial customers not included in the Company’s major market areas, as discussed above, declined by approximately 35% from the same nine-month period of fiscal year 2012.</w:t>
      </w:r>
    </w:p>
    <w:p>
      <w:pPr>
        <w:sectPr>
          <w:pgSz w:w="11900" w:h="16838" w:orient="portrait"/>
          <w:cols w:equalWidth="0" w:num="1">
            <w:col w:w="11440"/>
          </w:cols>
          <w:pgMar w:left="240" w:top="124" w:right="219" w:bottom="1440" w:gutter="0" w:footer="0" w:header="0"/>
        </w:sectPr>
      </w:pPr>
    </w:p>
    <w:p>
      <w:pPr>
        <w:spacing w:after="0" w:line="159" w:lineRule="exact"/>
        <w:rPr>
          <w:sz w:val="20"/>
          <w:szCs w:val="20"/>
          <w:color w:val="auto"/>
        </w:rPr>
      </w:pPr>
    </w:p>
    <w:p>
      <w:pPr>
        <w:jc w:val="both"/>
        <w:ind w:firstLine="435"/>
        <w:spacing w:after="0" w:line="292" w:lineRule="auto"/>
        <w:rPr>
          <w:sz w:val="20"/>
          <w:szCs w:val="20"/>
          <w:color w:val="auto"/>
        </w:rPr>
      </w:pPr>
      <w:r>
        <w:rPr>
          <w:rFonts w:ascii="Arial" w:cs="Arial" w:eastAsia="Arial" w:hAnsi="Arial"/>
          <w:sz w:val="15"/>
          <w:szCs w:val="15"/>
          <w:color w:val="auto"/>
        </w:rPr>
        <w:t>Based on the Company’s current backlog, over three-fourths of which represent year 2014 are expected to remain at approximately the same level as the prior year. business and represents the Company’s best growth opportunity.</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right"/>
        <w:spacing w:after="0" w:line="354" w:lineRule="auto"/>
        <w:rPr>
          <w:sz w:val="20"/>
          <w:szCs w:val="20"/>
          <w:color w:val="auto"/>
        </w:rPr>
      </w:pPr>
      <w:r>
        <w:rPr>
          <w:rFonts w:ascii="Arial" w:cs="Arial" w:eastAsia="Arial" w:hAnsi="Arial"/>
          <w:sz w:val="14"/>
          <w:szCs w:val="14"/>
          <w:color w:val="auto"/>
        </w:rPr>
        <w:t>satellite payload business, and the potential for additional new orders, revenues for fiscal Satellite payload revenues will continue to be the dominant portion of the Company’s</w:t>
      </w:r>
    </w:p>
    <w:p>
      <w:pPr>
        <w:spacing w:after="0" w:line="284" w:lineRule="exact"/>
        <w:rPr>
          <w:sz w:val="20"/>
          <w:szCs w:val="20"/>
          <w:color w:val="auto"/>
        </w:rPr>
      </w:pPr>
    </w:p>
    <w:p>
      <w:pPr>
        <w:sectPr>
          <w:pgSz w:w="11900" w:h="16838" w:orient="portrait"/>
          <w:cols w:equalWidth="0" w:num="2">
            <w:col w:w="5600" w:space="40"/>
            <w:col w:w="5800"/>
          </w:cols>
          <w:pgMar w:left="240" w:top="124" w:right="21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2680" w:type="dxa"/>
            <w:vAlign w:val="bottom"/>
            <w:gridSpan w:val="4"/>
          </w:tcPr>
          <w:p>
            <w:pPr>
              <w:spacing w:after="0"/>
              <w:rPr>
                <w:sz w:val="20"/>
                <w:szCs w:val="20"/>
                <w:color w:val="auto"/>
              </w:rPr>
            </w:pPr>
            <w:r>
              <w:rPr>
                <w:rFonts w:ascii="Arial" w:cs="Arial" w:eastAsia="Arial" w:hAnsi="Arial"/>
                <w:sz w:val="16"/>
                <w:szCs w:val="16"/>
                <w:b w:val="1"/>
                <w:bCs w:val="1"/>
                <w:color w:val="auto"/>
              </w:rPr>
              <w:t>Gross margin</w:t>
            </w: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407"/>
        </w:trPr>
        <w:tc>
          <w:tcPr>
            <w:tcW w:w="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w w:val="96"/>
              </w:rPr>
              <w:t>Nine months</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w w:val="94"/>
              </w:rPr>
              <w:t>Three months</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40" w:type="dxa"/>
            <w:vAlign w:val="bottom"/>
            <w:gridSpan w:val="6"/>
          </w:tcPr>
          <w:p>
            <w:pPr>
              <w:jc w:val="right"/>
              <w:ind w:right="540"/>
              <w:spacing w:after="0" w:line="177" w:lineRule="exact"/>
              <w:rPr>
                <w:sz w:val="20"/>
                <w:szCs w:val="20"/>
                <w:color w:val="auto"/>
              </w:rPr>
            </w:pPr>
            <w:r>
              <w:rPr>
                <w:rFonts w:ascii="Arial" w:cs="Arial" w:eastAsia="Arial" w:hAnsi="Arial"/>
                <w:sz w:val="16"/>
                <w:szCs w:val="16"/>
                <w:b w:val="1"/>
                <w:bCs w:val="1"/>
                <w:color w:val="auto"/>
              </w:rPr>
              <w:t>Periods ended January 31,</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4"/>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2013</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2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2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26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18,609</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19,463</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(854)</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(4%) $</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6,111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6,750</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(639)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r>
      <w:tr>
        <w:trPr>
          <w:trHeight w:val="206"/>
        </w:trPr>
        <w:tc>
          <w:tcPr>
            <w:tcW w:w="20" w:type="dxa"/>
            <w:vAlign w:val="bottom"/>
          </w:tcPr>
          <w:p>
            <w:pPr>
              <w:spacing w:after="0"/>
              <w:rPr>
                <w:sz w:val="17"/>
                <w:szCs w:val="17"/>
                <w:color w:val="auto"/>
              </w:rPr>
            </w:pPr>
          </w:p>
        </w:tc>
        <w:tc>
          <w:tcPr>
            <w:tcW w:w="2660" w:type="dxa"/>
            <w:vAlign w:val="bottom"/>
            <w:gridSpan w:val="3"/>
          </w:tcPr>
          <w:p>
            <w:pPr>
              <w:spacing w:after="0"/>
              <w:rPr>
                <w:sz w:val="20"/>
                <w:szCs w:val="20"/>
                <w:color w:val="auto"/>
              </w:rPr>
            </w:pPr>
            <w:r>
              <w:rPr>
                <w:rFonts w:ascii="Arial" w:cs="Arial" w:eastAsia="Arial" w:hAnsi="Arial"/>
                <w:sz w:val="16"/>
                <w:szCs w:val="16"/>
                <w:color w:val="auto"/>
              </w:rPr>
              <w:t>GM Rate</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35.8%</w:t>
            </w:r>
          </w:p>
        </w:tc>
        <w:tc>
          <w:tcPr>
            <w:tcW w:w="16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37.9%</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39.4%</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r>
    </w:tbl>
    <w:p>
      <w:pPr>
        <w:spacing w:after="0" w:line="169" w:lineRule="exact"/>
        <w:rPr>
          <w:sz w:val="20"/>
          <w:szCs w:val="20"/>
          <w:color w:val="auto"/>
        </w:rPr>
      </w:pPr>
    </w:p>
    <w:p>
      <w:pPr>
        <w:jc w:val="both"/>
        <w:ind w:right="20" w:firstLine="435"/>
        <w:spacing w:after="0" w:line="261" w:lineRule="auto"/>
        <w:rPr>
          <w:sz w:val="20"/>
          <w:szCs w:val="20"/>
          <w:color w:val="auto"/>
        </w:rPr>
      </w:pPr>
      <w:r>
        <w:rPr>
          <w:rFonts w:ascii="Arial" w:cs="Arial" w:eastAsia="Arial" w:hAnsi="Arial"/>
          <w:sz w:val="16"/>
          <w:szCs w:val="16"/>
          <w:color w:val="auto"/>
        </w:rPr>
        <w:t>Gross margin for the nine and three month periods ended January 31, 2014, decreased due to several factors: increased costs related to snow storms impacted the FEI-NY segment; higher than anticipated engineering design and production costs were incurred at the Gillam-FEI segment and lower sales volume at the FEI-Zyfer segment increased unabsorbed overhead costs. These factors reduced aggregate gross margin rates by approximately 1.5% and 4%, respectively, for the nine and three month periods of fiscal year 2014. In addition, product mix impacts gross margin rates.</w:t>
      </w:r>
    </w:p>
    <w:p>
      <w:pPr>
        <w:spacing w:after="0" w:line="167" w:lineRule="exact"/>
        <w:rPr>
          <w:sz w:val="20"/>
          <w:szCs w:val="20"/>
          <w:color w:val="auto"/>
        </w:rPr>
      </w:pPr>
    </w:p>
    <w:p>
      <w:pPr>
        <w:jc w:val="both"/>
        <w:ind w:right="20" w:firstLine="435"/>
        <w:spacing w:after="0" w:line="266" w:lineRule="auto"/>
        <w:rPr>
          <w:sz w:val="20"/>
          <w:szCs w:val="20"/>
          <w:color w:val="auto"/>
        </w:rPr>
      </w:pPr>
      <w:r>
        <w:rPr>
          <w:rFonts w:ascii="Arial" w:cs="Arial" w:eastAsia="Arial" w:hAnsi="Arial"/>
          <w:sz w:val="16"/>
          <w:szCs w:val="16"/>
          <w:color w:val="auto"/>
        </w:rPr>
        <w:t>Fiscal year 2013 gross margin increased over the prior fiscal year due to higher consolidated revenues. The fiscal year 2013 gross margin rates were reduced from the fiscal year 2012 rates due to the effect of low sales volume and higher costs incurred on certain customer-funded nonrecurring engineering projects at FEI-Elcom whose results of operations are included in the FEI-NY segment.</w:t>
      </w:r>
    </w:p>
    <w:p>
      <w:pPr>
        <w:spacing w:after="0" w:line="162" w:lineRule="exact"/>
        <w:rPr>
          <w:sz w:val="20"/>
          <w:szCs w:val="20"/>
          <w:color w:val="auto"/>
        </w:rPr>
      </w:pPr>
    </w:p>
    <w:p>
      <w:pPr>
        <w:jc w:val="both"/>
        <w:ind w:right="20" w:firstLine="435"/>
        <w:spacing w:after="0" w:line="354" w:lineRule="auto"/>
        <w:rPr>
          <w:sz w:val="20"/>
          <w:szCs w:val="20"/>
          <w:color w:val="auto"/>
        </w:rPr>
      </w:pPr>
      <w:r>
        <w:rPr>
          <w:rFonts w:ascii="Arial" w:cs="Arial" w:eastAsia="Arial" w:hAnsi="Arial"/>
          <w:sz w:val="14"/>
          <w:szCs w:val="14"/>
          <w:color w:val="auto"/>
        </w:rPr>
        <w:t>The gross margin rates recorded in the fiscal year 2014 and 2013 periods were less than the Company’s targeted rate of 40%. As satellite payload sales volume increases and as the product mix changes, the Company anticipates that its gross margin rates for the last quarter of fiscal year 2014 will improve but will fall short of its target rate.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Selling and administrative expenses</w:t>
      </w:r>
    </w:p>
    <w:p>
      <w:pPr>
        <w:spacing w:after="0" w:line="203" w:lineRule="exact"/>
        <w:rPr>
          <w:sz w:val="20"/>
          <w:szCs w:val="20"/>
          <w:color w:val="auto"/>
        </w:rPr>
      </w:pPr>
    </w:p>
    <w:tbl>
      <w:tblPr>
        <w:tblLayout w:type="fixed"/>
        <w:tblInd w:w="136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w w:val="92"/>
              </w:rPr>
              <w:t>Nine months</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4"/>
              </w:rPr>
              <w:t>Three months</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77"/>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00" w:type="dxa"/>
            <w:vAlign w:val="bottom"/>
            <w:gridSpan w:val="5"/>
          </w:tcPr>
          <w:p>
            <w:pPr>
              <w:jc w:val="right"/>
              <w:ind w:right="219"/>
              <w:spacing w:after="0" w:line="177" w:lineRule="exact"/>
              <w:rPr>
                <w:sz w:val="20"/>
                <w:szCs w:val="20"/>
                <w:color w:val="auto"/>
              </w:rPr>
            </w:pPr>
            <w:r>
              <w:rPr>
                <w:rFonts w:ascii="Arial" w:cs="Arial" w:eastAsia="Arial" w:hAnsi="Arial"/>
                <w:sz w:val="16"/>
                <w:szCs w:val="16"/>
                <w:b w:val="1"/>
                <w:bCs w:val="1"/>
                <w:color w:val="auto"/>
              </w:rPr>
              <w:t>Periods ended January 31,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4"/>
        </w:trPr>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2014</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2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3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10,534</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10,883</w:t>
            </w:r>
          </w:p>
        </w:tc>
        <w:tc>
          <w:tcPr>
            <w:tcW w:w="1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(349)</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  $</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3,887</w:t>
            </w:r>
          </w:p>
        </w:tc>
        <w:tc>
          <w:tcPr>
            <w:tcW w:w="1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(399)</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r>
    </w:tbl>
    <w:p>
      <w:pPr>
        <w:spacing w:after="0" w:line="181" w:lineRule="exact"/>
        <w:rPr>
          <w:sz w:val="20"/>
          <w:szCs w:val="20"/>
          <w:color w:val="auto"/>
        </w:rPr>
      </w:pPr>
    </w:p>
    <w:p>
      <w:pPr>
        <w:jc w:val="both"/>
        <w:ind w:firstLine="435"/>
        <w:spacing w:after="0" w:line="261" w:lineRule="auto"/>
        <w:rPr>
          <w:sz w:val="20"/>
          <w:szCs w:val="20"/>
          <w:color w:val="auto"/>
        </w:rPr>
      </w:pPr>
      <w:r>
        <w:rPr>
          <w:rFonts w:ascii="Arial" w:cs="Arial" w:eastAsia="Arial" w:hAnsi="Arial"/>
          <w:sz w:val="16"/>
          <w:szCs w:val="16"/>
          <w:color w:val="auto"/>
        </w:rPr>
        <w:t>For the nine and three-month periods ended January 31, 2014 and 2013, selling and administrative expenses varied from 19% to 23% of consolidated revenues which approximates the Company’s target for such expenditures. The reduced expenses in the fiscal year 2014 periods compared to the same periods of fiscal year 2013 are due to reduced accruals for incentive compensation plans and lower marketing costs related to lower sales volume at the FEI-Zyfer segment. For the remainder of fiscal year 2014, the Company expects selling and administrative expenses to be incurred at approximately the same rate.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66305"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type w:val="continuous"/>
        </w:sectPr>
      </w:pPr>
    </w:p>
    <w:bookmarkStart w:id="16" w:name="page17"/>
    <w:bookmarkEnd w:id="1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5"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FREQUENCY ELECTRONICS, INC. and SUBSIDIARIES</w:t>
      </w:r>
    </w:p>
    <w:p>
      <w:pPr>
        <w:spacing w:after="0" w:line="22"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Research and development expense</w:t>
      </w:r>
    </w:p>
    <w:p>
      <w:pPr>
        <w:spacing w:after="0" w:line="227" w:lineRule="exact"/>
        <w:rPr>
          <w:sz w:val="20"/>
          <w:szCs w:val="20"/>
          <w:color w:val="auto"/>
        </w:rPr>
      </w:pPr>
    </w:p>
    <w:tbl>
      <w:tblPr>
        <w:tblLayout w:type="fixed"/>
        <w:tblInd w:w="136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6"/>
              </w:rPr>
              <w:t>Nine months</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2"/>
              </w:rPr>
              <w:t>Three months</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77"/>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40" w:type="dxa"/>
            <w:vAlign w:val="bottom"/>
            <w:gridSpan w:val="5"/>
          </w:tcPr>
          <w:p>
            <w:pPr>
              <w:ind w:left="340"/>
              <w:spacing w:after="0" w:line="177" w:lineRule="exact"/>
              <w:rPr>
                <w:sz w:val="20"/>
                <w:szCs w:val="20"/>
                <w:color w:val="auto"/>
              </w:rPr>
            </w:pPr>
            <w:r>
              <w:rPr>
                <w:rFonts w:ascii="Arial" w:cs="Arial" w:eastAsia="Arial" w:hAnsi="Arial"/>
                <w:sz w:val="16"/>
                <w:szCs w:val="16"/>
                <w:b w:val="1"/>
                <w:bCs w:val="1"/>
                <w:color w:val="auto"/>
              </w:rPr>
              <w:t>Periods ended January 31,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14"/>
        </w:trPr>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Change</w:t>
            </w:r>
          </w:p>
        </w:tc>
        <w:tc>
          <w:tcPr>
            <w:tcW w:w="2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Change</w:t>
            </w:r>
          </w:p>
        </w:tc>
        <w:tc>
          <w:tcPr>
            <w:tcW w:w="3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4,589</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3,731</w:t>
            </w:r>
          </w:p>
        </w:tc>
        <w:tc>
          <w:tcPr>
            <w:tcW w:w="1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858</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23%  $</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w:t>
            </w:r>
          </w:p>
        </w:tc>
        <w:tc>
          <w:tcPr>
            <w:tcW w:w="1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250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w:t>
            </w:r>
          </w:p>
        </w:tc>
      </w:tr>
    </w:tbl>
    <w:p>
      <w:pPr>
        <w:spacing w:after="0" w:line="205" w:lineRule="exact"/>
        <w:rPr>
          <w:sz w:val="20"/>
          <w:szCs w:val="20"/>
          <w:color w:val="auto"/>
        </w:rPr>
      </w:pPr>
    </w:p>
    <w:p>
      <w:pPr>
        <w:jc w:val="both"/>
        <w:ind w:right="20" w:firstLine="435"/>
        <w:spacing w:after="0" w:line="257" w:lineRule="auto"/>
        <w:rPr>
          <w:sz w:val="20"/>
          <w:szCs w:val="20"/>
          <w:color w:val="auto"/>
        </w:rPr>
      </w:pPr>
      <w:r>
        <w:rPr>
          <w:rFonts w:ascii="Arial" w:cs="Arial" w:eastAsia="Arial" w:hAnsi="Arial"/>
          <w:sz w:val="16"/>
          <w:szCs w:val="16"/>
          <w:color w:val="auto"/>
        </w:rPr>
        <w:t>Research and development (“R&amp;D”) expenditures represent investments intended to keep the Company’s products at the leading edge of time and frequency technology and enhance competitiveness for future revenues. R&amp;D spending for the nine and three-month periods ended January 31, 2014, was approximately 9% and 7% of consolidated revenues, respectively, compared to 7% and 6% for the same periods of the prior fiscal year. In the fiscal year 2014 periods, the Company increased its development of new products including a new line of satellite payload microwave receivers/converters from DC to Ka band. The satellite payload products are anticipated to be ready for customer evaluation and new contract awards by the end of fiscal year 2014. In the fiscal year 2013 periods, increased R&amp;D spending is due primarily to product development expenditures at FEI-Elcom to improve its own product line.</w:t>
      </w:r>
    </w:p>
    <w:p>
      <w:pPr>
        <w:spacing w:after="0" w:line="196" w:lineRule="exact"/>
        <w:rPr>
          <w:sz w:val="20"/>
          <w:szCs w:val="20"/>
          <w:color w:val="auto"/>
        </w:rPr>
      </w:pPr>
    </w:p>
    <w:p>
      <w:pPr>
        <w:jc w:val="both"/>
        <w:ind w:right="20" w:firstLine="435"/>
        <w:spacing w:after="0" w:line="257" w:lineRule="auto"/>
        <w:rPr>
          <w:sz w:val="20"/>
          <w:szCs w:val="20"/>
          <w:color w:val="auto"/>
        </w:rPr>
      </w:pPr>
      <w:r>
        <w:rPr>
          <w:rFonts w:ascii="Arial" w:cs="Arial" w:eastAsia="Arial" w:hAnsi="Arial"/>
          <w:sz w:val="16"/>
          <w:szCs w:val="16"/>
          <w:color w:val="auto"/>
        </w:rPr>
        <w:t>R&amp;D spending in fiscal year 2014, in addition to the development of new satellite payload products, also includes development and improvement of miniaturized rubidium atomic clocks, development of new GPS-based synchronization products and further enhancement of the capabilities of the Company’s line of low g-sensitivity and ruggedized rubidium oscillators. Included in these efforts are product redesign and process improvements to enhance product manufacturability and reduce production costs. The Company will continue to devote significant resources to develop new products, enhance existing products and implement efficient manufacturing processes. For fiscal year 2014, the Company is targeting to spend under 10% of revenues on internal R&amp;D projects. Internally generated cash and cash reserves are adequate to fund these development efforts.</w:t>
      </w:r>
    </w:p>
    <w:p>
      <w:pPr>
        <w:spacing w:after="0" w:line="196" w:lineRule="exact"/>
        <w:rPr>
          <w:sz w:val="20"/>
          <w:szCs w:val="20"/>
          <w:color w:val="auto"/>
        </w:rPr>
      </w:pPr>
    </w:p>
    <w:p>
      <w:pPr>
        <w:jc w:val="both"/>
        <w:ind w:right="20" w:firstLine="435"/>
        <w:spacing w:after="0" w:line="280" w:lineRule="auto"/>
        <w:rPr>
          <w:sz w:val="20"/>
          <w:szCs w:val="20"/>
          <w:color w:val="auto"/>
        </w:rPr>
      </w:pPr>
      <w:r>
        <w:rPr>
          <w:rFonts w:ascii="Arial" w:cs="Arial" w:eastAsia="Arial" w:hAnsi="Arial"/>
          <w:sz w:val="16"/>
          <w:szCs w:val="16"/>
          <w:color w:val="auto"/>
        </w:rPr>
        <w:t>In addition to internal R&amp;D efforts, the Company continues to conduct development activities on customer-funded programs the cost of which appears in cost of revenues.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Operating profit</w:t>
      </w:r>
    </w:p>
    <w:p>
      <w:pPr>
        <w:spacing w:after="0" w:line="227" w:lineRule="exact"/>
        <w:rPr>
          <w:sz w:val="20"/>
          <w:szCs w:val="20"/>
          <w:color w:val="auto"/>
        </w:rPr>
      </w:pPr>
    </w:p>
    <w:tbl>
      <w:tblPr>
        <w:tblLayout w:type="fixed"/>
        <w:tblInd w:w="142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w w:val="94"/>
              </w:rPr>
              <w:t>Nine months</w:t>
            </w: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4"/>
              </w:rPr>
              <w:t>Three months</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77"/>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6"/>
          </w:tcPr>
          <w:p>
            <w:pPr>
              <w:jc w:val="right"/>
              <w:ind w:right="239"/>
              <w:spacing w:after="0" w:line="177" w:lineRule="exact"/>
              <w:rPr>
                <w:sz w:val="20"/>
                <w:szCs w:val="20"/>
                <w:color w:val="auto"/>
              </w:rPr>
            </w:pPr>
            <w:r>
              <w:rPr>
                <w:rFonts w:ascii="Arial" w:cs="Arial" w:eastAsia="Arial" w:hAnsi="Arial"/>
                <w:sz w:val="16"/>
                <w:szCs w:val="16"/>
                <w:b w:val="1"/>
                <w:bCs w:val="1"/>
                <w:color w:val="auto"/>
              </w:rPr>
              <w:t>Periods ended January 31,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4"/>
        </w:trPr>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3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3,486</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4,849</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  (1,363)</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16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(490)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r>
    </w:tbl>
    <w:p>
      <w:pPr>
        <w:spacing w:after="0" w:line="205" w:lineRule="exact"/>
        <w:rPr>
          <w:sz w:val="20"/>
          <w:szCs w:val="20"/>
          <w:color w:val="auto"/>
        </w:rPr>
      </w:pPr>
    </w:p>
    <w:p>
      <w:pPr>
        <w:jc w:val="both"/>
        <w:ind w:right="20" w:firstLine="435"/>
        <w:spacing w:after="0" w:line="266" w:lineRule="auto"/>
        <w:rPr>
          <w:sz w:val="20"/>
          <w:szCs w:val="20"/>
          <w:color w:val="auto"/>
        </w:rPr>
      </w:pPr>
      <w:r>
        <w:rPr>
          <w:rFonts w:ascii="Arial" w:cs="Arial" w:eastAsia="Arial" w:hAnsi="Arial"/>
          <w:sz w:val="16"/>
          <w:szCs w:val="16"/>
          <w:color w:val="auto"/>
        </w:rPr>
        <w:t>Increased R&amp;D spending in the fiscal year 2014 periods combined with decreased gross margin rates as compared to the same periods of fiscal year 2013 resulted in reduced operating profit for the nine and three months ended January 31, 2014. Fiscal year 2014’s nine- and three-month operating profit was 6.8% and 6.9%, respectively, of consolidated revenues compared to 9.4% and 10.2%, respectively, of consolidated revenues in the same periods of the prior year.</w:t>
      </w:r>
    </w:p>
    <w:p>
      <w:pPr>
        <w:spacing w:after="0" w:line="186" w:lineRule="exact"/>
        <w:rPr>
          <w:sz w:val="20"/>
          <w:szCs w:val="20"/>
          <w:color w:val="auto"/>
        </w:rPr>
      </w:pPr>
    </w:p>
    <w:p>
      <w:pPr>
        <w:jc w:val="both"/>
        <w:ind w:right="20" w:firstLine="435"/>
        <w:spacing w:after="0" w:line="280" w:lineRule="auto"/>
        <w:rPr>
          <w:sz w:val="20"/>
          <w:szCs w:val="20"/>
          <w:color w:val="auto"/>
        </w:rPr>
      </w:pPr>
      <w:r>
        <w:rPr>
          <w:rFonts w:ascii="Arial" w:cs="Arial" w:eastAsia="Arial" w:hAnsi="Arial"/>
          <w:sz w:val="16"/>
          <w:szCs w:val="16"/>
          <w:color w:val="auto"/>
        </w:rPr>
        <w:t>The late fiscal year 2012 addition of FEI-Elcom reduced consolidated operating results for the first half of fiscal year 2013. Revenues increased but were offset by higher operating expenses resulting in lower consolidated operating profit in fiscal year 2013 than in fiscal year 2012.</w:t>
      </w:r>
    </w:p>
    <w:p>
      <w:pPr>
        <w:spacing w:after="0" w:line="175" w:lineRule="exact"/>
        <w:rPr>
          <w:sz w:val="20"/>
          <w:szCs w:val="20"/>
          <w:color w:val="auto"/>
        </w:rPr>
      </w:pPr>
    </w:p>
    <w:p>
      <w:pPr>
        <w:jc w:val="both"/>
        <w:ind w:right="20" w:firstLine="435"/>
        <w:spacing w:after="0" w:line="280" w:lineRule="auto"/>
        <w:rPr>
          <w:sz w:val="20"/>
          <w:szCs w:val="20"/>
          <w:color w:val="auto"/>
        </w:rPr>
      </w:pPr>
      <w:r>
        <w:rPr>
          <w:rFonts w:ascii="Arial" w:cs="Arial" w:eastAsia="Arial" w:hAnsi="Arial"/>
          <w:sz w:val="16"/>
          <w:szCs w:val="16"/>
          <w:color w:val="auto"/>
        </w:rPr>
        <w:t>In the fourth quarter of the prior fiscal year, the Company recorded an operating loss due to an asset write down at its Gillam-FEI segment. Consequently, for the full fiscal year 2014, the Company anticipates that it will generate an operating profit that exceeds that of fiscal year 2013.</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20" w:type="dxa"/>
            <w:vAlign w:val="bottom"/>
            <w:gridSpan w:val="3"/>
          </w:tcPr>
          <w:p>
            <w:pPr>
              <w:spacing w:after="0"/>
              <w:rPr>
                <w:sz w:val="20"/>
                <w:szCs w:val="20"/>
                <w:color w:val="auto"/>
              </w:rPr>
            </w:pPr>
            <w:r>
              <w:rPr>
                <w:rFonts w:ascii="Arial" w:cs="Arial" w:eastAsia="Arial" w:hAnsi="Arial"/>
                <w:sz w:val="16"/>
                <w:szCs w:val="16"/>
                <w:b w:val="1"/>
                <w:bCs w:val="1"/>
                <w:color w:val="auto"/>
              </w:rPr>
              <w:t>Other income (expense)</w:t>
            </w: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431"/>
        </w:trPr>
        <w:tc>
          <w:tcPr>
            <w:tcW w:w="2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w w:val="94"/>
              </w:rPr>
              <w:t>Nine months</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w w:val="92"/>
              </w:rPr>
              <w:t>Three months</w:t>
            </w: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5"/>
          </w:tcPr>
          <w:p>
            <w:pPr>
              <w:jc w:val="right"/>
              <w:spacing w:after="0" w:line="177" w:lineRule="exact"/>
              <w:rPr>
                <w:sz w:val="20"/>
                <w:szCs w:val="20"/>
                <w:color w:val="auto"/>
              </w:rPr>
            </w:pPr>
            <w:r>
              <w:rPr>
                <w:rFonts w:ascii="Arial" w:cs="Arial" w:eastAsia="Arial" w:hAnsi="Arial"/>
                <w:sz w:val="16"/>
                <w:szCs w:val="16"/>
                <w:b w:val="1"/>
                <w:bCs w:val="1"/>
                <w:color w:val="auto"/>
              </w:rPr>
              <w:t>Periods ended January 31,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14"/>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3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Change</w:t>
            </w:r>
          </w:p>
        </w:tc>
        <w:tc>
          <w:tcPr>
            <w:tcW w:w="3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2013</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Change</w:t>
            </w:r>
          </w:p>
        </w:tc>
        <w:tc>
          <w:tcPr>
            <w:tcW w:w="3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 income</w:t>
            </w:r>
          </w:p>
        </w:tc>
        <w:tc>
          <w:tcPr>
            <w:tcW w:w="720" w:type="dxa"/>
            <w:vAlign w:val="bottom"/>
            <w:shd w:val="clear" w:color="auto" w:fill="CCEEFF"/>
          </w:tcPr>
          <w:p>
            <w:pPr>
              <w:jc w:val="right"/>
              <w:ind w:right="563"/>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775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266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52%</w:t>
            </w: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190</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235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124%</w:t>
            </w:r>
          </w:p>
        </w:tc>
        <w:tc>
          <w:tcPr>
            <w:tcW w:w="58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270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72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(120)</w:t>
            </w:r>
          </w:p>
        </w:tc>
        <w:tc>
          <w:tcPr>
            <w:tcW w:w="14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(156)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6"/>
                <w:szCs w:val="16"/>
                <w:color w:val="auto"/>
              </w:rPr>
              <w:t>36</w:t>
            </w: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(23%)</w:t>
            </w:r>
          </w:p>
        </w:tc>
        <w:tc>
          <w:tcPr>
            <w:tcW w:w="760" w:type="dxa"/>
            <w:vAlign w:val="bottom"/>
          </w:tcPr>
          <w:p>
            <w:pPr>
              <w:spacing w:after="0"/>
              <w:rPr>
                <w:sz w:val="16"/>
                <w:szCs w:val="16"/>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28</w:t>
            </w:r>
          </w:p>
        </w:tc>
        <w:tc>
          <w:tcPr>
            <w:tcW w:w="320" w:type="dxa"/>
            <w:vAlign w:val="bottom"/>
          </w:tcPr>
          <w:p>
            <w:pPr>
              <w:spacing w:after="0"/>
              <w:rPr>
                <w:sz w:val="16"/>
                <w:szCs w:val="16"/>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(53%)</w:t>
            </w:r>
          </w:p>
        </w:tc>
        <w:tc>
          <w:tcPr>
            <w:tcW w:w="58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7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714</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787</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NM</w:t>
            </w:r>
          </w:p>
        </w:tc>
        <w:tc>
          <w:tcPr>
            <w:tcW w:w="7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(67)</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3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(67%)</w:t>
            </w:r>
          </w:p>
        </w:tc>
        <w:tc>
          <w:tcPr>
            <w:tcW w:w="58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80" w:type="dxa"/>
            <w:vAlign w:val="bottom"/>
          </w:tcPr>
          <w:p>
            <w:pPr>
              <w:spacing w:after="0"/>
              <w:rPr>
                <w:sz w:val="2"/>
                <w:szCs w:val="2"/>
                <w:color w:val="auto"/>
              </w:rPr>
            </w:pPr>
          </w:p>
        </w:tc>
      </w:tr>
      <w:tr>
        <w:trPr>
          <w:trHeight w:val="206"/>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jc w:val="right"/>
              <w:ind w:right="563"/>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1,369</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280</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6"/>
                <w:szCs w:val="16"/>
                <w:color w:val="auto"/>
              </w:rPr>
              <w:t>1,089</w:t>
            </w: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389%</w:t>
            </w:r>
          </w:p>
        </w:tc>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378</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70</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308</w:t>
            </w: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440%</w:t>
            </w:r>
          </w:p>
        </w:tc>
        <w:tc>
          <w:tcPr>
            <w:tcW w:w="580" w:type="dxa"/>
            <w:vAlign w:val="bottom"/>
          </w:tcPr>
          <w:p>
            <w:pPr>
              <w:spacing w:after="0"/>
              <w:rPr>
                <w:sz w:val="17"/>
                <w:szCs w:val="17"/>
                <w:color w:val="auto"/>
              </w:rPr>
            </w:pPr>
          </w:p>
        </w:tc>
      </w:tr>
      <w:tr>
        <w:trPr>
          <w:trHeight w:val="531"/>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6"/>
                <w:szCs w:val="16"/>
                <w:color w:val="auto"/>
                <w:w w:val="93"/>
              </w:rPr>
              <w:t>17 of 22</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05"/>
        </w:trPr>
        <w:tc>
          <w:tcPr>
            <w:tcW w:w="2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-13335</wp:posOffset>
            </wp:positionV>
            <wp:extent cx="1270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7" w:name="page18"/>
    <w:bookmarkEnd w:id="1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5"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FREQUENCY ELECTRONICS, INC. and SUBSIDIARIES</w:t>
      </w:r>
    </w:p>
    <w:p>
      <w:pPr>
        <w:spacing w:after="0" w:line="22"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(Continued)</w:t>
      </w:r>
    </w:p>
    <w:p>
      <w:pPr>
        <w:spacing w:after="0" w:line="215" w:lineRule="exact"/>
        <w:rPr>
          <w:sz w:val="20"/>
          <w:szCs w:val="20"/>
          <w:color w:val="auto"/>
        </w:rPr>
      </w:pPr>
    </w:p>
    <w:p>
      <w:pPr>
        <w:jc w:val="both"/>
        <w:ind w:firstLine="435"/>
        <w:spacing w:after="0" w:line="278" w:lineRule="auto"/>
        <w:rPr>
          <w:sz w:val="20"/>
          <w:szCs w:val="20"/>
          <w:color w:val="auto"/>
        </w:rPr>
      </w:pPr>
      <w:r>
        <w:rPr>
          <w:rFonts w:ascii="Arial" w:cs="Arial" w:eastAsia="Arial" w:hAnsi="Arial"/>
          <w:sz w:val="15"/>
          <w:szCs w:val="15"/>
          <w:color w:val="auto"/>
        </w:rPr>
        <w:t>Investment income is derived primarily from the Company’s holdings of marketable securities. Earnings on these securities may vary based on fluctuating interest rates and dividend payout levels and the timing of purchases or sales of securities. During the fiscal periods ended January 31, 2014, the Company recorded gains of approximately $367,000 and $293,000, respectively, on the sale of certain marketable securities. During the same periods of fiscal year 2013, the Company recorded an investment gain of approximately $40,000. During the nine and three months ended January 31, 2014, as a result of certain bond redemptions over the preceding quarters, the Company held more low earning cash equivalents than investments earning a higher return in the year-ago period. During the nine and three months ended January 31, 2013, investments were held in higher yielding marketable securities than those held during the same periods ended January 31, 2012.</w:t>
      </w:r>
    </w:p>
    <w:p>
      <w:pPr>
        <w:spacing w:after="0" w:line="155" w:lineRule="exact"/>
        <w:rPr>
          <w:sz w:val="20"/>
          <w:szCs w:val="20"/>
          <w:color w:val="auto"/>
        </w:rPr>
      </w:pPr>
    </w:p>
    <w:p>
      <w:pPr>
        <w:jc w:val="both"/>
        <w:ind w:right="20" w:firstLine="435"/>
        <w:spacing w:after="0" w:line="266" w:lineRule="auto"/>
        <w:rPr>
          <w:sz w:val="20"/>
          <w:szCs w:val="20"/>
          <w:color w:val="auto"/>
        </w:rPr>
      </w:pPr>
      <w:r>
        <w:rPr>
          <w:rFonts w:ascii="Arial" w:cs="Arial" w:eastAsia="Arial" w:hAnsi="Arial"/>
          <w:sz w:val="16"/>
          <w:szCs w:val="16"/>
          <w:color w:val="auto"/>
        </w:rPr>
        <w:t>The decrease in interest expense for the nine and three months ended January 31, 2014 compared to the same periods of fiscal year 2013 is due to the lower interest rate under the Company’s new credit facility from a bank. During the fiscal year 2014 periods, the Company refinanced the $6 million used to acquire FEI-Elcom during fiscal year 2012 and increased its borrowings by an additional $4.1 million for working capital and capital equipment acquisitions.</w:t>
      </w:r>
    </w:p>
    <w:p>
      <w:pPr>
        <w:spacing w:after="0" w:line="162" w:lineRule="exact"/>
        <w:rPr>
          <w:sz w:val="20"/>
          <w:szCs w:val="20"/>
          <w:color w:val="auto"/>
        </w:rPr>
      </w:pPr>
    </w:p>
    <w:p>
      <w:pPr>
        <w:jc w:val="both"/>
        <w:ind w:right="20" w:firstLine="435"/>
        <w:spacing w:after="0" w:line="266" w:lineRule="auto"/>
        <w:rPr>
          <w:sz w:val="20"/>
          <w:szCs w:val="20"/>
          <w:color w:val="auto"/>
        </w:rPr>
      </w:pPr>
      <w:r>
        <w:rPr>
          <w:rFonts w:ascii="Arial" w:cs="Arial" w:eastAsia="Arial" w:hAnsi="Arial"/>
          <w:sz w:val="16"/>
          <w:szCs w:val="16"/>
          <w:color w:val="auto"/>
        </w:rPr>
        <w:t>Other income in the fiscal year 2014 nine-month period includes a $736,000 gain recognized upon the sale of certain manufacturing equipment to Morion, Inc. under the terms of a license agreement related to the Company’s rubidium oscillator production technology. (See Note G to the accompanying condensed financial statements.) During the fiscal year 2013 periods, other income consisted of insignificant non-operating expenses.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20" w:type="dxa"/>
            <w:vAlign w:val="bottom"/>
            <w:gridSpan w:val="3"/>
          </w:tcPr>
          <w:p>
            <w:pPr>
              <w:spacing w:after="0"/>
              <w:rPr>
                <w:sz w:val="20"/>
                <w:szCs w:val="20"/>
                <w:color w:val="auto"/>
              </w:rPr>
            </w:pPr>
            <w:r>
              <w:rPr>
                <w:rFonts w:ascii="Arial" w:cs="Arial" w:eastAsia="Arial" w:hAnsi="Arial"/>
                <w:sz w:val="16"/>
                <w:szCs w:val="16"/>
                <w:b w:val="1"/>
                <w:bCs w:val="1"/>
                <w:color w:val="auto"/>
                <w:w w:val="93"/>
              </w:rPr>
              <w:t>Income tax provision</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431"/>
        </w:trPr>
        <w:tc>
          <w:tcPr>
            <w:tcW w:w="1300" w:type="dxa"/>
            <w:vAlign w:val="bottom"/>
            <w:tcBorders>
              <w:top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w w:val="92"/>
              </w:rPr>
              <w:t>Nine months</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w w:val="94"/>
              </w:rPr>
              <w:t>Three months</w:t>
            </w: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77"/>
        </w:trPr>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gridSpan w:val="6"/>
          </w:tcPr>
          <w:p>
            <w:pPr>
              <w:jc w:val="right"/>
              <w:ind w:right="280"/>
              <w:spacing w:after="0" w:line="177" w:lineRule="exact"/>
              <w:rPr>
                <w:sz w:val="20"/>
                <w:szCs w:val="20"/>
                <w:color w:val="auto"/>
              </w:rPr>
            </w:pPr>
            <w:r>
              <w:rPr>
                <w:rFonts w:ascii="Arial" w:cs="Arial" w:eastAsia="Arial" w:hAnsi="Arial"/>
                <w:sz w:val="16"/>
                <w:szCs w:val="16"/>
                <w:b w:val="1"/>
                <w:bCs w:val="1"/>
                <w:color w:val="auto"/>
              </w:rPr>
              <w:t>Periods ended January 31,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4"/>
        </w:trPr>
        <w:tc>
          <w:tcPr>
            <w:tcW w:w="1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w w:val="98"/>
              </w:rPr>
              <w:t>Change</w:t>
            </w:r>
          </w:p>
        </w:tc>
        <w:tc>
          <w:tcPr>
            <w:tcW w:w="2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Change</w:t>
            </w:r>
          </w:p>
        </w:tc>
        <w:tc>
          <w:tcPr>
            <w:tcW w:w="2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3"/>
        </w:trPr>
        <w:tc>
          <w:tcPr>
            <w:tcW w:w="1300" w:type="dxa"/>
            <w:vAlign w:val="bottom"/>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w:t>
            </w:r>
          </w:p>
        </w:tc>
        <w:tc>
          <w:tcPr>
            <w:tcW w:w="18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2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170</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12%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8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2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120</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r>
      <w:tr>
        <w:trPr>
          <w:trHeight w:val="387"/>
        </w:trPr>
        <w:tc>
          <w:tcPr>
            <w:tcW w:w="4600" w:type="dxa"/>
            <w:vAlign w:val="bottom"/>
            <w:gridSpan w:val="12"/>
          </w:tcPr>
          <w:p>
            <w:pPr>
              <w:ind w:left="1280"/>
              <w:spacing w:after="0"/>
              <w:rPr>
                <w:sz w:val="20"/>
                <w:szCs w:val="20"/>
                <w:color w:val="auto"/>
              </w:rPr>
            </w:pPr>
            <w:r>
              <w:rPr>
                <w:rFonts w:ascii="Arial" w:cs="Arial" w:eastAsia="Arial" w:hAnsi="Arial"/>
                <w:sz w:val="16"/>
                <w:szCs w:val="16"/>
                <w:color w:val="auto"/>
              </w:rPr>
              <w:t>Effective tax rate on pre-tax book income:</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130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27.3%</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25.6%</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16.5%</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bl>
    <w:p>
      <w:pPr>
        <w:spacing w:after="0" w:line="205" w:lineRule="exact"/>
        <w:rPr>
          <w:sz w:val="20"/>
          <w:szCs w:val="20"/>
          <w:color w:val="auto"/>
        </w:rPr>
      </w:pPr>
    </w:p>
    <w:p>
      <w:pPr>
        <w:jc w:val="both"/>
        <w:ind w:right="20" w:firstLine="435"/>
        <w:spacing w:after="0" w:line="261" w:lineRule="auto"/>
        <w:rPr>
          <w:sz w:val="20"/>
          <w:szCs w:val="20"/>
          <w:color w:val="auto"/>
        </w:rPr>
      </w:pPr>
      <w:r>
        <w:rPr>
          <w:rFonts w:ascii="Arial" w:cs="Arial" w:eastAsia="Arial" w:hAnsi="Arial"/>
          <w:sz w:val="16"/>
          <w:szCs w:val="16"/>
          <w:color w:val="auto"/>
        </w:rPr>
        <w:t>The provision for income taxes for the nine and three months ended January 31, 2014 increased over the same periods of fiscal year 2013 due to the estimated increased effective tax rates. For the full year, the effective tax rate in fiscal year 2014 is expected to be in the range of 30% to 35% depending on the level of pretax income or loss recorded at the Company’s foreign subsidiaries for which no net tax provision or benefit is recognized. As of January 31, 2014 and April 30, 2013, the remaining deferred tax asset valuation allowance is approximately $1.9 million.</w:t>
      </w:r>
    </w:p>
    <w:p>
      <w:pPr>
        <w:spacing w:after="0" w:line="191" w:lineRule="exact"/>
        <w:rPr>
          <w:sz w:val="20"/>
          <w:szCs w:val="20"/>
          <w:color w:val="auto"/>
        </w:rPr>
      </w:pPr>
    </w:p>
    <w:p>
      <w:pPr>
        <w:jc w:val="both"/>
        <w:ind w:right="20" w:firstLine="435"/>
        <w:spacing w:after="0" w:line="266" w:lineRule="auto"/>
        <w:rPr>
          <w:sz w:val="20"/>
          <w:szCs w:val="20"/>
          <w:color w:val="auto"/>
        </w:rPr>
      </w:pPr>
      <w:r>
        <w:rPr>
          <w:rFonts w:ascii="Arial" w:cs="Arial" w:eastAsia="Arial" w:hAnsi="Arial"/>
          <w:sz w:val="16"/>
          <w:szCs w:val="16"/>
          <w:color w:val="auto"/>
        </w:rPr>
        <w:t>The provision for income taxes for the three months ended January 31, 2014 and 2013 were reduced due to the impact of tax law changes that were enacted during the respective fiscal quarters. The lower effective rates and lower tax provisions correct the higher estimated tax rates employed by the Company in the first half of each fiscal year prior to the enactment of the new tax laws.</w:t>
      </w:r>
    </w:p>
    <w:p>
      <w:pPr>
        <w:spacing w:after="0" w:line="186" w:lineRule="exact"/>
        <w:rPr>
          <w:sz w:val="20"/>
          <w:szCs w:val="20"/>
          <w:color w:val="auto"/>
        </w:rPr>
      </w:pPr>
    </w:p>
    <w:p>
      <w:pPr>
        <w:jc w:val="both"/>
        <w:ind w:firstLine="435"/>
        <w:spacing w:after="0" w:line="257" w:lineRule="auto"/>
        <w:rPr>
          <w:sz w:val="20"/>
          <w:szCs w:val="20"/>
          <w:color w:val="auto"/>
        </w:rPr>
      </w:pPr>
      <w:r>
        <w:rPr>
          <w:rFonts w:ascii="Arial" w:cs="Arial" w:eastAsia="Arial" w:hAnsi="Arial"/>
          <w:sz w:val="16"/>
          <w:szCs w:val="16"/>
          <w:color w:val="auto"/>
        </w:rPr>
        <w:t>The Company is subject to taxation in several countries as well as the states of New York, New Jersey and California. The statutory federal rates are 34% in the United States and Belgium. The consolidated effective tax rate is impacted by the income or loss of certain of the Company’s European and Asian subsidiaries that are currently not taxed. In addition, the Company utilizes the availability of research and development tax credits and the Domestic Production Activity credit in the United States to lower its tax rate. As of April 30, 2013, the Company’s European subsidiaries had available net operating loss carryforwards of approximately $2.7 million, which will offset future taxable income. As a result of the FEI-Elcom acquisition, the Company has a federal net operating loss carryforward of $6.6 million that may be applied in annually limited amounts to offset future U.S.-sourced taxable income over the next 19 years.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Net income</w:t>
      </w:r>
    </w:p>
    <w:p>
      <w:pPr>
        <w:spacing w:after="0" w:line="227" w:lineRule="exact"/>
        <w:rPr>
          <w:sz w:val="20"/>
          <w:szCs w:val="20"/>
          <w:color w:val="auto"/>
        </w:rPr>
      </w:pPr>
    </w:p>
    <w:tbl>
      <w:tblPr>
        <w:tblLayout w:type="fixed"/>
        <w:tblInd w:w="136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w w:val="92"/>
              </w:rPr>
              <w:t>Nine months</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4"/>
              </w:rPr>
              <w:t>Three months</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77"/>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00" w:type="dxa"/>
            <w:vAlign w:val="bottom"/>
            <w:gridSpan w:val="5"/>
          </w:tcPr>
          <w:p>
            <w:pPr>
              <w:jc w:val="right"/>
              <w:ind w:right="219"/>
              <w:spacing w:after="0" w:line="177" w:lineRule="exact"/>
              <w:rPr>
                <w:sz w:val="20"/>
                <w:szCs w:val="20"/>
                <w:color w:val="auto"/>
              </w:rPr>
            </w:pPr>
            <w:r>
              <w:rPr>
                <w:rFonts w:ascii="Arial" w:cs="Arial" w:eastAsia="Arial" w:hAnsi="Arial"/>
                <w:sz w:val="16"/>
                <w:szCs w:val="16"/>
                <w:b w:val="1"/>
                <w:bCs w:val="1"/>
                <w:color w:val="auto"/>
              </w:rPr>
              <w:t>Periods ended January 31,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4"/>
        </w:trPr>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2014</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3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3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3,285</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3,729</w:t>
            </w:r>
          </w:p>
        </w:tc>
        <w:tc>
          <w:tcPr>
            <w:tcW w:w="1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(444)</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(12%)  $</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w:t>
            </w:r>
          </w:p>
        </w:tc>
        <w:tc>
          <w:tcPr>
            <w:tcW w:w="1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(302)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r>
    </w:tbl>
    <w:p>
      <w:pPr>
        <w:spacing w:after="0" w:line="205" w:lineRule="exact"/>
        <w:rPr>
          <w:sz w:val="20"/>
          <w:szCs w:val="20"/>
          <w:color w:val="auto"/>
        </w:rPr>
      </w:pPr>
    </w:p>
    <w:p>
      <w:pPr>
        <w:jc w:val="both"/>
        <w:ind w:right="20" w:firstLine="435"/>
        <w:spacing w:after="0" w:line="266" w:lineRule="auto"/>
        <w:rPr>
          <w:sz w:val="20"/>
          <w:szCs w:val="20"/>
          <w:color w:val="auto"/>
        </w:rPr>
      </w:pPr>
      <w:r>
        <w:rPr>
          <w:rFonts w:ascii="Arial" w:cs="Arial" w:eastAsia="Arial" w:hAnsi="Arial"/>
          <w:sz w:val="16"/>
          <w:szCs w:val="16"/>
          <w:color w:val="auto"/>
        </w:rPr>
        <w:t>As discussed above, increased research and development expenses and reduced gross margins based on flat sales and higher costs, reduced net income for the nine and three months ended January 31, 2014 as compared to the same periods of the prior year. Based on recent bookings and its backlog, the Company expects continued growth in satellite revenues and increased profitability over that of the prior fiscal year.</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66305"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8" w:name="page19"/>
    <w:bookmarkEnd w:id="1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5"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FREQUENCY ELECTRONICS, INC. and SUBSIDIARIES</w:t>
      </w:r>
    </w:p>
    <w:p>
      <w:pPr>
        <w:spacing w:after="0" w:line="22"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31" w:lineRule="exact"/>
        <w:rPr>
          <w:sz w:val="20"/>
          <w:szCs w:val="20"/>
          <w:color w:val="auto"/>
        </w:rPr>
      </w:pPr>
    </w:p>
    <w:p>
      <w:pPr>
        <w:jc w:val="both"/>
        <w:ind w:right="20" w:firstLine="435"/>
        <w:spacing w:after="0" w:line="266" w:lineRule="auto"/>
        <w:rPr>
          <w:sz w:val="20"/>
          <w:szCs w:val="20"/>
          <w:color w:val="auto"/>
        </w:rPr>
      </w:pPr>
      <w:r>
        <w:rPr>
          <w:rFonts w:ascii="Arial" w:cs="Arial" w:eastAsia="Arial" w:hAnsi="Arial"/>
          <w:sz w:val="16"/>
          <w:szCs w:val="16"/>
          <w:color w:val="auto"/>
        </w:rPr>
        <w:t>The Company’s balance sheet continues to reflect a strong working capital position of $78.5 million at January 31, 2014, compared to working capital of $71.7 million at April 30, 2013. Included in working capital at January 31, 2014 is $22.6 million consisting of cash, cash equivalents and marketable securities. The Company’s current ratio at January 31, 2014 is 11.4 to 1.</w:t>
      </w:r>
    </w:p>
    <w:p>
      <w:pPr>
        <w:spacing w:after="0" w:line="186" w:lineRule="exact"/>
        <w:rPr>
          <w:sz w:val="20"/>
          <w:szCs w:val="20"/>
          <w:color w:val="auto"/>
        </w:rPr>
      </w:pPr>
    </w:p>
    <w:p>
      <w:pPr>
        <w:jc w:val="both"/>
        <w:ind w:firstLine="435"/>
        <w:spacing w:after="0" w:line="278" w:lineRule="auto"/>
        <w:rPr>
          <w:sz w:val="20"/>
          <w:szCs w:val="20"/>
          <w:color w:val="auto"/>
        </w:rPr>
      </w:pPr>
      <w:r>
        <w:rPr>
          <w:rFonts w:ascii="Arial" w:cs="Arial" w:eastAsia="Arial" w:hAnsi="Arial"/>
          <w:sz w:val="15"/>
          <w:szCs w:val="15"/>
          <w:color w:val="auto"/>
        </w:rPr>
        <w:t>For the nine months ended January 31, 2014, the Company had positive cash from operations in the amount of approximately $700,000 compared to cash from operating activities of $3.2 million in the comparable fiscal year 2013 period. The reduced level of positive cash flow in the fiscal year 2014 period resulted primarily from increased inventory purchases in preparation for the production phase of certain long-term contracts. For both nine-month periods ended January 31, 2014 and 2013, the Company incurred approximately $3.8 million of non-cash operating expenses, such as depreciation and amortization and accruals for employee benefit programs. Net income in fiscal year 2014 also included a $736,000 gain on the sale of equipment and such gain is excluded from operating cash flow. For the balance of fiscal year 2014, as receivables are billed and collected and the pace of inventory purchases slows, the Company expects to generate positive cash flow from operating activities.</w:t>
      </w:r>
    </w:p>
    <w:p>
      <w:pPr>
        <w:spacing w:after="0" w:line="179" w:lineRule="exact"/>
        <w:rPr>
          <w:sz w:val="20"/>
          <w:szCs w:val="20"/>
          <w:color w:val="auto"/>
        </w:rPr>
      </w:pPr>
    </w:p>
    <w:p>
      <w:pPr>
        <w:jc w:val="both"/>
        <w:ind w:right="20" w:firstLine="435"/>
        <w:spacing w:after="0" w:line="256" w:lineRule="auto"/>
        <w:rPr>
          <w:sz w:val="20"/>
          <w:szCs w:val="20"/>
          <w:color w:val="auto"/>
        </w:rPr>
      </w:pPr>
      <w:r>
        <w:rPr>
          <w:rFonts w:ascii="Arial" w:cs="Arial" w:eastAsia="Arial" w:hAnsi="Arial"/>
          <w:sz w:val="16"/>
          <w:szCs w:val="16"/>
          <w:color w:val="auto"/>
        </w:rPr>
        <w:t>Net cash used in investing activities for the nine months ended January 31, 2014 and 2013 was $169,000 and $103,000, respectively. During the fiscal year 2014 period, marketable securities were sold or redeemed in the amount of $5.0 million compared to $2.5 million of such redemptions during the fiscal year 2013 period. Some of these proceeds were reinvested in additional marketable securities for the periods ended January 31, 2014 and 2013 in the amount of $1.6 million and $1.0 million, respectively. In the fiscal periods ended January 31, 2014 and 2013, the Company acquired property, plant and equipment in the amount of approximately $3.6 million and $1.6 million, respectively. The Company may continue to invest cash equivalents in longer-term securities or to convert short-term investments to cash equivalents as dictated by its investment and acquisition strategies. The Company will continue to acquire more efficient equipment to automate its production process. The Company expects to spend between $4.0 million and $4.5 million on capital equipment during fiscal year 2014. Internally generated cash or additional borrowings under the Company’s credit facility will be used to acquire this level of capital equipment.</w:t>
      </w:r>
    </w:p>
    <w:p>
      <w:pPr>
        <w:spacing w:after="0" w:line="195" w:lineRule="exact"/>
        <w:rPr>
          <w:sz w:val="20"/>
          <w:szCs w:val="20"/>
          <w:color w:val="auto"/>
        </w:rPr>
      </w:pPr>
    </w:p>
    <w:p>
      <w:pPr>
        <w:jc w:val="both"/>
        <w:ind w:right="20" w:firstLine="435"/>
        <w:spacing w:after="0" w:line="278" w:lineRule="auto"/>
        <w:rPr>
          <w:sz w:val="20"/>
          <w:szCs w:val="20"/>
          <w:color w:val="auto"/>
        </w:rPr>
      </w:pPr>
      <w:r>
        <w:rPr>
          <w:rFonts w:ascii="Arial" w:cs="Arial" w:eastAsia="Arial" w:hAnsi="Arial"/>
          <w:sz w:val="15"/>
          <w:szCs w:val="15"/>
          <w:color w:val="auto"/>
        </w:rPr>
        <w:t>Net cash provided by financing activities for the nine months ended January 31, 2014 was $4.3 million compared to approximately $3.0 million used in financing activities during the comparable fiscal year 2013 period. During the fiscal year 2014 period, the Company borrowed $4.1 million under its new credit facility with a bank. Such funds were used for working capital and to finance the acquisition of certain fixed assets. In the fiscal year 2013 period, the Company borrowed $4.0 million under a previous line of credit with a financial institution and also repaid $5.0 million of such borrowings. In addition, during the fiscal year 2014 and 2013 periods, the Company made payments of $15,000 and $311,000, respectively, against capital lease obligations. In the nine months of the prior fiscal year 2013, the Company declared and paid a special cash dividend of $0.20 per share which aggregated $1.7 million and received cash inflows of $20,000 upon the exercise of employee stock options.</w:t>
      </w:r>
    </w:p>
    <w:p>
      <w:pPr>
        <w:spacing w:after="0" w:line="179" w:lineRule="exact"/>
        <w:rPr>
          <w:sz w:val="20"/>
          <w:szCs w:val="20"/>
          <w:color w:val="auto"/>
        </w:rPr>
      </w:pPr>
    </w:p>
    <w:p>
      <w:pPr>
        <w:jc w:val="both"/>
        <w:ind w:right="20" w:firstLine="435"/>
        <w:spacing w:after="0" w:line="266" w:lineRule="auto"/>
        <w:rPr>
          <w:sz w:val="20"/>
          <w:szCs w:val="20"/>
          <w:color w:val="auto"/>
        </w:rPr>
      </w:pPr>
      <w:r>
        <w:rPr>
          <w:rFonts w:ascii="Arial" w:cs="Arial" w:eastAsia="Arial" w:hAnsi="Arial"/>
          <w:sz w:val="16"/>
          <w:szCs w:val="16"/>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As of January 31, 2014, the Company has repurchased approximately $4 million of its common stock out of the $5 million authorization.</w:t>
      </w:r>
    </w:p>
    <w:p>
      <w:pPr>
        <w:spacing w:after="0" w:line="186" w:lineRule="exact"/>
        <w:rPr>
          <w:sz w:val="20"/>
          <w:szCs w:val="20"/>
          <w:color w:val="auto"/>
        </w:rPr>
      </w:pPr>
    </w:p>
    <w:p>
      <w:pPr>
        <w:jc w:val="both"/>
        <w:ind w:firstLine="435"/>
        <w:spacing w:after="0" w:line="256" w:lineRule="auto"/>
        <w:rPr>
          <w:sz w:val="20"/>
          <w:szCs w:val="20"/>
          <w:color w:val="auto"/>
        </w:rPr>
      </w:pPr>
      <w:r>
        <w:rPr>
          <w:rFonts w:ascii="Arial" w:cs="Arial" w:eastAsia="Arial" w:hAnsi="Arial"/>
          <w:sz w:val="16"/>
          <w:szCs w:val="16"/>
          <w:color w:val="auto"/>
        </w:rPr>
        <w:t>The Company will continue to expend resources to develop, improve and acquire products for space applications, guidance and targeting systems, and communication systems which management believes will result in future growth and continued profitability. During fiscal year 2014, the Company intends to make a substantial investment of capital and technical resources to develop and acquire new products to meet the needs of the U.S. Government, commercial space and network infrastructure marketplaces and to invest in more efficient product designs and manufacturing procedures. Where possible, the Company will secure partial customer funding for such development efforts but is targeting to spend its own funds at a rate of less than 10% of revenues to achieve its development goals. Internally generated cash will be adequate to fund these development efforts. The Company may also pursue acquisitions to expand its range of products and may use internally generated cash and external funding in connection with such acquisitions.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66305"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9" w:name="page20"/>
    <w:bookmarkEnd w:id="1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5"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FREQUENCY ELECTRONICS, INC. and SUBSIDIARIES</w:t>
      </w:r>
    </w:p>
    <w:p>
      <w:pPr>
        <w:spacing w:after="0" w:line="22"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(Continued)</w:t>
      </w:r>
    </w:p>
    <w:p>
      <w:pPr>
        <w:spacing w:after="0" w:line="215" w:lineRule="exact"/>
        <w:rPr>
          <w:sz w:val="20"/>
          <w:szCs w:val="20"/>
          <w:color w:val="auto"/>
        </w:rPr>
      </w:pPr>
    </w:p>
    <w:p>
      <w:pPr>
        <w:jc w:val="both"/>
        <w:ind w:right="20" w:firstLine="435"/>
        <w:spacing w:after="0" w:line="257" w:lineRule="auto"/>
        <w:rPr>
          <w:sz w:val="20"/>
          <w:szCs w:val="20"/>
          <w:color w:val="auto"/>
        </w:rPr>
      </w:pPr>
      <w:r>
        <w:rPr>
          <w:rFonts w:ascii="Arial" w:cs="Arial" w:eastAsia="Arial" w:hAnsi="Arial"/>
          <w:sz w:val="16"/>
          <w:szCs w:val="16"/>
          <w:color w:val="auto"/>
        </w:rPr>
        <w:t>As of January 31, 2014, the Company's consolidated backlog is approximately $55 million compared to $51 million at April 30, 2013, the end of fiscal year 2013. Approximately 70% of this backlog is expected to be realized in the next twelve months. Included in the backlog at January 31, 2014 is approximately $3 million under cost-plus-fee contracts which the Company believes represent firm commitments from its customers for which the Company has not received full funding to-date. The Company excludes from backlog any contracts or awards for which it has not received authorization to proceed. On fixed price contracts, the Company excludes any unfunded portion which, at January 31, 2014, was approximately $12 million. The Company expects these contracts to become fully funded over time and will add to its backlog at that time.</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believes that its liquidity is adequate to meet its operating and investment needs through at least January 31, 2015.</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Off-Balance Sheet Arrangements</w:t>
      </w:r>
    </w:p>
    <w:p>
      <w:pPr>
        <w:spacing w:after="0" w:line="231" w:lineRule="exact"/>
        <w:rPr>
          <w:sz w:val="20"/>
          <w:szCs w:val="20"/>
          <w:color w:val="auto"/>
        </w:rPr>
      </w:pPr>
    </w:p>
    <w:p>
      <w:pPr>
        <w:jc w:val="both"/>
        <w:ind w:right="20" w:firstLine="435"/>
        <w:spacing w:after="0" w:line="266" w:lineRule="auto"/>
        <w:rPr>
          <w:sz w:val="20"/>
          <w:szCs w:val="20"/>
          <w:color w:val="auto"/>
        </w:rPr>
      </w:pPr>
      <w:r>
        <w:rPr>
          <w:rFonts w:ascii="Arial" w:cs="Arial" w:eastAsia="Arial" w:hAnsi="Arial"/>
          <w:sz w:val="16"/>
          <w:szCs w:val="16"/>
          <w:color w:val="auto"/>
        </w:rPr>
        <w:t>The Company does not have any off-balance sheet arrangements, other than operating leases,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182"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u w:val="single" w:color="auto"/>
          <w:color w:val="auto"/>
        </w:rPr>
        <w:t>Quantitative and Qualitative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23"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4"/>
          <w:szCs w:val="14"/>
          <w:b w:val="1"/>
          <w:bCs w:val="1"/>
          <w:u w:val="single" w:color="auto"/>
          <w:color w:val="auto"/>
        </w:rPr>
        <w:t>Controls and Procedures</w:t>
      </w:r>
    </w:p>
    <w:p>
      <w:pPr>
        <w:spacing w:after="0" w:line="231" w:lineRule="exact"/>
        <w:rPr>
          <w:sz w:val="20"/>
          <w:szCs w:val="20"/>
          <w:color w:val="auto"/>
        </w:rPr>
      </w:pPr>
    </w:p>
    <w:p>
      <w:pPr>
        <w:jc w:val="both"/>
        <w:ind w:firstLine="435"/>
        <w:spacing w:after="0" w:line="275" w:lineRule="auto"/>
        <w:rPr>
          <w:sz w:val="20"/>
          <w:szCs w:val="20"/>
          <w:color w:val="auto"/>
        </w:rPr>
      </w:pPr>
      <w:r>
        <w:rPr>
          <w:rFonts w:ascii="Arial" w:cs="Arial" w:eastAsia="Arial" w:hAnsi="Arial"/>
          <w:sz w:val="15"/>
          <w:szCs w:val="15"/>
          <w:u w:val="single" w:color="auto"/>
          <w:color w:val="auto"/>
        </w:rPr>
        <w:t>Disclosure Controls and Procedures</w:t>
      </w:r>
      <w:r>
        <w:rPr>
          <w:rFonts w:ascii="Arial" w:cs="Arial" w:eastAsia="Arial" w:hAnsi="Arial"/>
          <w:sz w:val="15"/>
          <w:szCs w:val="15"/>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as of January 31, 2014, the Company’s disclosure controls and procedures were effective to ensure that information relating to the Company, including its consolidated subsidiaries, required to be included in its reports that it filed or submitted under the Exchange Act are recorded, processed, summarized and reported within the time periods specified in Securities and Exchange Commission rules and forms.</w:t>
      </w:r>
    </w:p>
    <w:p>
      <w:pPr>
        <w:spacing w:after="0" w:line="184" w:lineRule="exact"/>
        <w:rPr>
          <w:sz w:val="20"/>
          <w:szCs w:val="20"/>
          <w:color w:val="auto"/>
        </w:rPr>
      </w:pPr>
    </w:p>
    <w:p>
      <w:pPr>
        <w:jc w:val="both"/>
        <w:ind w:right="20" w:firstLine="435"/>
        <w:spacing w:after="0" w:line="266" w:lineRule="auto"/>
        <w:rPr>
          <w:sz w:val="20"/>
          <w:szCs w:val="20"/>
          <w:color w:val="auto"/>
        </w:rPr>
      </w:pPr>
      <w:r>
        <w:rPr>
          <w:rFonts w:ascii="Arial" w:cs="Arial" w:eastAsia="Arial" w:hAnsi="Arial"/>
          <w:sz w:val="16"/>
          <w:szCs w:val="16"/>
          <w:u w:val="single" w:color="auto"/>
          <w:color w:val="auto"/>
        </w:rPr>
        <w:t>Changes in Internal Control Over Financial Reporting</w:t>
      </w:r>
      <w:r>
        <w:rPr>
          <w:rFonts w:ascii="Arial" w:cs="Arial" w:eastAsia="Arial" w:hAnsi="Arial"/>
          <w:sz w:val="16"/>
          <w:szCs w:val="16"/>
          <w:color w:val="auto"/>
        </w:rPr>
        <w:t>. There were no changes in the Company’s internal control over financial reporting (as such term is defined in Rules 13a-15(f) and 15d-15(f) under the Exchange Act) during the nine months ended January 31, 2014 to which this report relates that have materially affected, or are reasonably likely to materially affect, the Company’s internal control over financial reporting.</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66305"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0" w:name="page21"/>
    <w:bookmarkEnd w:id="20"/>
    <w:p>
      <w:pPr>
        <w:ind w:left="3"/>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1" w:lineRule="exact"/>
        <w:rPr>
          <w:sz w:val="20"/>
          <w:szCs w:val="20"/>
          <w:color w:val="auto"/>
        </w:rPr>
      </w:pPr>
    </w:p>
    <w:p>
      <w:pPr>
        <w:ind w:left="4183"/>
        <w:spacing w:after="0"/>
        <w:rPr>
          <w:sz w:val="20"/>
          <w:szCs w:val="20"/>
          <w:color w:val="auto"/>
        </w:rPr>
      </w:pPr>
      <w:r>
        <w:rPr>
          <w:rFonts w:ascii="Arial" w:cs="Arial" w:eastAsia="Arial" w:hAnsi="Arial"/>
          <w:sz w:val="16"/>
          <w:szCs w:val="16"/>
          <w:b w:val="1"/>
          <w:bCs w:val="1"/>
          <w:color w:val="auto"/>
        </w:rPr>
        <w:t>PART II. OTHER INFORMATION</w:t>
      </w:r>
    </w:p>
    <w:p>
      <w:pPr>
        <w:spacing w:after="0" w:line="227" w:lineRule="exact"/>
        <w:rPr>
          <w:sz w:val="20"/>
          <w:szCs w:val="20"/>
          <w:color w:val="auto"/>
        </w:rPr>
      </w:pPr>
    </w:p>
    <w:p>
      <w:pPr>
        <w:ind w:left="3"/>
        <w:spacing w:after="0"/>
        <w:tabs>
          <w:tab w:leader="none" w:pos="623"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4"/>
          <w:szCs w:val="14"/>
          <w:b w:val="1"/>
          <w:bCs w:val="1"/>
          <w:u w:val="single" w:color="auto"/>
          <w:color w:val="auto"/>
        </w:rPr>
        <w:t>Exhibits</w:t>
      </w:r>
    </w:p>
    <w:p>
      <w:pPr>
        <w:spacing w:after="0" w:line="231" w:lineRule="exact"/>
        <w:rPr>
          <w:sz w:val="20"/>
          <w:szCs w:val="20"/>
          <w:color w:val="auto"/>
        </w:rPr>
      </w:pPr>
    </w:p>
    <w:p>
      <w:pPr>
        <w:ind w:left="563" w:right="80" w:hanging="567"/>
        <w:spacing w:after="0" w:line="280" w:lineRule="auto"/>
        <w:tabs>
          <w:tab w:leader="none" w:pos="543"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u w:val="single" w:color="auto"/>
          <w:color w:val="0000EE"/>
        </w:rPr>
        <w:t>Certification by the Chief Executive Officer pursuant to Rule 13a-14(a) or 15d-14(a) under the Securities Exchange Act of 1934, as adopted pursuant to Section 302 of the Sarbanes-Oxley Act of 2002.</w:t>
      </w:r>
    </w:p>
    <w:p>
      <w:pPr>
        <w:spacing w:after="0" w:line="175" w:lineRule="exact"/>
        <w:rPr>
          <w:sz w:val="20"/>
          <w:szCs w:val="20"/>
          <w:color w:val="auto"/>
        </w:rPr>
      </w:pPr>
    </w:p>
    <w:p>
      <w:pPr>
        <w:ind w:left="563" w:right="120" w:hanging="567"/>
        <w:spacing w:after="0" w:line="280" w:lineRule="auto"/>
        <w:tabs>
          <w:tab w:leader="none" w:pos="543"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6"/>
          <w:szCs w:val="16"/>
          <w:u w:val="single" w:color="auto"/>
          <w:color w:val="0000EE"/>
        </w:rPr>
        <w:t>Certification by the Chief Financial Officer pursuant to Rule 13a-14(a) or 15d-14(a) under the Securities Exchange Act of 1934, as adopted pursuant to Section 302 of the Sarbanes-Oxley Act of 2002.</w:t>
      </w:r>
    </w:p>
    <w:p>
      <w:pPr>
        <w:spacing w:after="0" w:line="175" w:lineRule="exact"/>
        <w:rPr>
          <w:sz w:val="20"/>
          <w:szCs w:val="20"/>
          <w:color w:val="auto"/>
        </w:rPr>
      </w:pPr>
    </w:p>
    <w:p>
      <w:pPr>
        <w:ind w:left="563" w:hanging="563"/>
        <w:spacing w:after="0" w:line="280" w:lineRule="auto"/>
        <w:tabs>
          <w:tab w:leader="none" w:pos="563"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0000EE"/>
        </w:rPr>
        <w:t>Certifications by the Chief Executive Officer and Chief Financial Officer pursuant to 18 U.S.C. Section 1350, as adopted pursuant to Section 906 of the Sarbanes-Oxley Act of 2002.</w:t>
      </w:r>
    </w:p>
    <w:p>
      <w:pPr>
        <w:spacing w:after="0" w:line="175" w:lineRule="exact"/>
        <w:rPr>
          <w:sz w:val="20"/>
          <w:szCs w:val="20"/>
          <w:color w:val="auto"/>
        </w:rPr>
      </w:pPr>
    </w:p>
    <w:p>
      <w:pPr>
        <w:ind w:left="563" w:right="100" w:hanging="563"/>
        <w:spacing w:after="0" w:line="266" w:lineRule="auto"/>
        <w:tabs>
          <w:tab w:leader="none" w:pos="563"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following materials from the Frequency Electronics, Inc. Quarterly Report on Form 10-Q for the quarter ended January 31, 2014 formatted in eXtensible Business Reporting Language (XBRL): (i) Condensed Consolidated Balance Sheets, (ii) Condensed Consolidated Statements of Income and Comprehensive Income, (iii) Condensed Consolidated Statements of Cash Flows and (iv) Notes to Condensed Consolidated Financial Statements.</w:t>
      </w:r>
    </w:p>
    <w:p>
      <w:pPr>
        <w:spacing w:after="0" w:line="319"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21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266305"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3"/>
          </w:cols>
          <w:pgMar w:left="237" w:top="124" w:right="239" w:bottom="1440" w:gutter="0" w:footer="0" w:header="0"/>
        </w:sectPr>
      </w:pPr>
    </w:p>
    <w:bookmarkStart w:id="21" w:name="page22"/>
    <w:bookmarkEnd w:id="2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SIGNATURES</w:t>
      </w:r>
    </w:p>
    <w:p>
      <w:pPr>
        <w:spacing w:after="0" w:line="231"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89" w:lineRule="exact"/>
        <w:rPr>
          <w:sz w:val="20"/>
          <w:szCs w:val="20"/>
          <w:color w:val="auto"/>
        </w:rPr>
      </w:pPr>
    </w:p>
    <w:p>
      <w:pPr>
        <w:ind w:left="5440"/>
        <w:spacing w:after="0"/>
        <w:rPr>
          <w:sz w:val="20"/>
          <w:szCs w:val="20"/>
          <w:color w:val="auto"/>
        </w:rPr>
      </w:pPr>
      <w:r>
        <w:rPr>
          <w:rFonts w:ascii="Arial" w:cs="Arial" w:eastAsia="Arial" w:hAnsi="Arial"/>
          <w:sz w:val="16"/>
          <w:szCs w:val="16"/>
          <w:b w:val="1"/>
          <w:bCs w:val="1"/>
          <w:color w:val="auto"/>
        </w:rPr>
        <w:t>FREQUENCY ELECTRONICS, INC.</w:t>
      </w:r>
    </w:p>
    <w:p>
      <w:pPr>
        <w:spacing w:after="0" w:line="26"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(Registrant)</w:t>
      </w:r>
    </w:p>
    <w:p>
      <w:pPr>
        <w:spacing w:after="0" w:line="191" w:lineRule="exact"/>
        <w:rPr>
          <w:sz w:val="20"/>
          <w:szCs w:val="20"/>
          <w:color w:val="auto"/>
        </w:rPr>
      </w:pPr>
    </w:p>
    <w:p>
      <w:pPr>
        <w:spacing w:after="0"/>
        <w:tabs>
          <w:tab w:leader="none" w:pos="5420" w:val="left"/>
        </w:tabs>
        <w:rPr>
          <w:sz w:val="20"/>
          <w:szCs w:val="20"/>
          <w:color w:val="auto"/>
        </w:rPr>
      </w:pPr>
      <w:r>
        <w:rPr>
          <w:rFonts w:ascii="Arial" w:cs="Arial" w:eastAsia="Arial" w:hAnsi="Arial"/>
          <w:sz w:val="16"/>
          <w:szCs w:val="16"/>
          <w:color w:val="auto"/>
        </w:rPr>
        <w:t>Date: March 17, 2014</w:t>
      </w:r>
      <w:r>
        <w:rPr>
          <w:sz w:val="20"/>
          <w:szCs w:val="20"/>
          <w:color w:val="auto"/>
        </w:rPr>
        <w:tab/>
      </w:r>
      <w:r>
        <w:rPr>
          <w:rFonts w:ascii="Arial" w:cs="Arial" w:eastAsia="Arial" w:hAnsi="Arial"/>
          <w:sz w:val="16"/>
          <w:szCs w:val="16"/>
          <w:color w:val="auto"/>
        </w:rPr>
        <w:t>By: /s/ Alan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21590</wp:posOffset>
            </wp:positionV>
            <wp:extent cx="240982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09825" cy="15240"/>
                    </a:xfrm>
                    <a:prstGeom prst="rect">
                      <a:avLst/>
                    </a:prstGeom>
                    <a:noFill/>
                  </pic:spPr>
                </pic:pic>
              </a:graphicData>
            </a:graphic>
          </wp:anchor>
        </w:drawing>
      </w:r>
    </w:p>
    <w:p>
      <w:pPr>
        <w:spacing w:after="0" w:line="26"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Alan Miller</w:t>
      </w:r>
    </w:p>
    <w:p>
      <w:pPr>
        <w:spacing w:after="0" w:line="22"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Chief Financial Officer and Treasurer</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Signing on behalf of the registrant and as principal</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financial officer</w:t>
      </w:r>
    </w:p>
    <w:p>
      <w:pPr>
        <w:spacing w:after="0" w:line="348"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22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66305"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0720"/>
          </w:cols>
          <w:pgMar w:left="240" w:top="124" w:right="939" w:bottom="1440" w:gutter="0" w:footer="0" w:header="0"/>
        </w:sectPr>
      </w:pPr>
    </w:p>
    <w:bookmarkStart w:id="22" w:name="page23"/>
    <w:bookmarkEnd w:id="2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rFonts w:ascii="Arial" w:cs="Arial" w:eastAsia="Arial" w:hAnsi="Arial"/>
          <w:sz w:val="16"/>
          <w:szCs w:val="16"/>
          <w:color w:val="auto"/>
        </w:rPr>
        <w:t>Exhibit 31.1</w:t>
      </w:r>
    </w:p>
    <w:p>
      <w:pPr>
        <w:spacing w:after="0" w:line="223" w:lineRule="exact"/>
        <w:rPr>
          <w:sz w:val="20"/>
          <w:szCs w:val="20"/>
          <w:color w:val="auto"/>
        </w:rPr>
      </w:pPr>
    </w:p>
    <w:p>
      <w:pPr>
        <w:jc w:val="center"/>
        <w:ind w:right="577"/>
        <w:spacing w:after="0"/>
        <w:rPr>
          <w:sz w:val="20"/>
          <w:szCs w:val="20"/>
          <w:color w:val="auto"/>
        </w:rPr>
      </w:pPr>
      <w:r>
        <w:rPr>
          <w:rFonts w:ascii="Arial" w:cs="Arial" w:eastAsia="Arial" w:hAnsi="Arial"/>
          <w:sz w:val="16"/>
          <w:szCs w:val="16"/>
          <w:b w:val="1"/>
          <w:bCs w:val="1"/>
          <w:color w:val="auto"/>
        </w:rPr>
        <w:t>CERTIFICATION PURSUANT TO</w:t>
      </w:r>
    </w:p>
    <w:p>
      <w:pPr>
        <w:spacing w:after="0" w:line="26" w:lineRule="exact"/>
        <w:rPr>
          <w:sz w:val="20"/>
          <w:szCs w:val="20"/>
          <w:color w:val="auto"/>
        </w:rPr>
      </w:pPr>
    </w:p>
    <w:p>
      <w:pPr>
        <w:jc w:val="center"/>
        <w:ind w:right="577"/>
        <w:spacing w:after="0"/>
        <w:rPr>
          <w:sz w:val="20"/>
          <w:szCs w:val="20"/>
          <w:color w:val="auto"/>
        </w:rPr>
      </w:pPr>
      <w:r>
        <w:rPr>
          <w:rFonts w:ascii="Arial" w:cs="Arial" w:eastAsia="Arial" w:hAnsi="Arial"/>
          <w:sz w:val="16"/>
          <w:szCs w:val="16"/>
          <w:b w:val="1"/>
          <w:bCs w:val="1"/>
          <w:color w:val="auto"/>
        </w:rPr>
        <w:t>SECTION 302 OF</w:t>
      </w:r>
    </w:p>
    <w:p>
      <w:pPr>
        <w:spacing w:after="0" w:line="9" w:lineRule="exact"/>
        <w:rPr>
          <w:sz w:val="20"/>
          <w:szCs w:val="20"/>
          <w:color w:val="auto"/>
        </w:rPr>
      </w:pPr>
    </w:p>
    <w:p>
      <w:pPr>
        <w:jc w:val="center"/>
        <w:ind w:right="577"/>
        <w:spacing w:after="0"/>
        <w:rPr>
          <w:sz w:val="20"/>
          <w:szCs w:val="20"/>
          <w:color w:val="auto"/>
        </w:rPr>
      </w:pPr>
      <w:r>
        <w:rPr>
          <w:rFonts w:ascii="Arial" w:cs="Arial" w:eastAsia="Arial" w:hAnsi="Arial"/>
          <w:sz w:val="16"/>
          <w:szCs w:val="16"/>
          <w:b w:val="1"/>
          <w:bCs w:val="1"/>
          <w:color w:val="auto"/>
        </w:rPr>
        <w:t>THE SARBANES-OXLEY ACT OF 2002</w:t>
      </w:r>
    </w:p>
    <w:p>
      <w:pPr>
        <w:spacing w:after="0" w:line="215" w:lineRule="exact"/>
        <w:rPr>
          <w:sz w:val="20"/>
          <w:szCs w:val="20"/>
          <w:color w:val="auto"/>
        </w:rPr>
      </w:pPr>
    </w:p>
    <w:p>
      <w:pPr>
        <w:ind w:left="3"/>
        <w:spacing w:after="0"/>
        <w:rPr>
          <w:sz w:val="20"/>
          <w:szCs w:val="20"/>
          <w:color w:val="auto"/>
        </w:rPr>
      </w:pPr>
      <w:r>
        <w:rPr>
          <w:rFonts w:ascii="Arial" w:cs="Arial" w:eastAsia="Arial" w:hAnsi="Arial"/>
          <w:sz w:val="16"/>
          <w:szCs w:val="16"/>
          <w:color w:val="auto"/>
        </w:rPr>
        <w:t>I, Martin Bloch, certify that:</w:t>
      </w:r>
    </w:p>
    <w:p>
      <w:pPr>
        <w:spacing w:after="0" w:line="227" w:lineRule="exact"/>
        <w:rPr>
          <w:sz w:val="20"/>
          <w:szCs w:val="20"/>
          <w:color w:val="auto"/>
        </w:rPr>
      </w:pPr>
    </w:p>
    <w:p>
      <w:pPr>
        <w:ind w:left="203" w:hanging="203"/>
        <w:spacing w:after="0"/>
        <w:tabs>
          <w:tab w:leader="none" w:pos="203" w:val="left"/>
        </w:tabs>
        <w:numPr>
          <w:ilvl w:val="0"/>
          <w:numId w:val="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Frequency Electronics, Inc.;</w:t>
      </w:r>
    </w:p>
    <w:p>
      <w:pPr>
        <w:spacing w:after="0" w:line="226" w:lineRule="exact"/>
        <w:rPr>
          <w:rFonts w:ascii="Arial" w:cs="Arial" w:eastAsia="Arial" w:hAnsi="Arial"/>
          <w:sz w:val="16"/>
          <w:szCs w:val="16"/>
          <w:color w:val="auto"/>
        </w:rPr>
      </w:pPr>
    </w:p>
    <w:p>
      <w:pPr>
        <w:ind w:left="3" w:right="40" w:hanging="3"/>
        <w:spacing w:after="0" w:line="280" w:lineRule="auto"/>
        <w:tabs>
          <w:tab w:leader="none" w:pos="205"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6"/>
          <w:szCs w:val="16"/>
          <w:color w:val="auto"/>
        </w:rPr>
      </w:pPr>
    </w:p>
    <w:p>
      <w:pPr>
        <w:ind w:left="3" w:right="80" w:hanging="3"/>
        <w:spacing w:after="0" w:line="280" w:lineRule="auto"/>
        <w:tabs>
          <w:tab w:leader="none" w:pos="205"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6"/>
          <w:szCs w:val="16"/>
          <w:color w:val="auto"/>
        </w:rPr>
      </w:pPr>
    </w:p>
    <w:p>
      <w:pPr>
        <w:ind w:left="3" w:right="20" w:hanging="3"/>
        <w:spacing w:after="0" w:line="315" w:lineRule="auto"/>
        <w:tabs>
          <w:tab w:leader="none" w:pos="202"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1" w:lineRule="exact"/>
        <w:rPr>
          <w:rFonts w:ascii="Arial" w:cs="Arial" w:eastAsia="Arial" w:hAnsi="Arial"/>
          <w:sz w:val="15"/>
          <w:szCs w:val="15"/>
          <w:color w:val="auto"/>
        </w:rPr>
      </w:pPr>
    </w:p>
    <w:p>
      <w:pPr>
        <w:ind w:left="583" w:right="40" w:hanging="3"/>
        <w:spacing w:after="0" w:line="266" w:lineRule="auto"/>
        <w:tabs>
          <w:tab w:leader="none" w:pos="843"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6"/>
          <w:szCs w:val="16"/>
          <w:color w:val="auto"/>
        </w:rPr>
      </w:pPr>
    </w:p>
    <w:p>
      <w:pPr>
        <w:ind w:left="583" w:right="280" w:hanging="3"/>
        <w:spacing w:after="0" w:line="266" w:lineRule="auto"/>
        <w:tabs>
          <w:tab w:leader="none" w:pos="852"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6"/>
          <w:szCs w:val="16"/>
          <w:color w:val="auto"/>
        </w:rPr>
      </w:pPr>
    </w:p>
    <w:p>
      <w:pPr>
        <w:ind w:left="583" w:right="620" w:hanging="3"/>
        <w:spacing w:after="0" w:line="280" w:lineRule="auto"/>
        <w:tabs>
          <w:tab w:leader="none" w:pos="843"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6"/>
          <w:szCs w:val="16"/>
          <w:color w:val="auto"/>
        </w:rPr>
      </w:pPr>
    </w:p>
    <w:p>
      <w:pPr>
        <w:ind w:left="583" w:right="180" w:hanging="3"/>
        <w:spacing w:after="0" w:line="266" w:lineRule="auto"/>
        <w:tabs>
          <w:tab w:leader="none" w:pos="852" w:val="left"/>
        </w:tabs>
        <w:numPr>
          <w:ilvl w:val="1"/>
          <w:numId w:val="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6"/>
          <w:szCs w:val="16"/>
          <w:color w:val="auto"/>
        </w:rPr>
      </w:pPr>
    </w:p>
    <w:p>
      <w:pPr>
        <w:ind w:left="3" w:right="20" w:hanging="3"/>
        <w:spacing w:after="0" w:line="280" w:lineRule="auto"/>
        <w:tabs>
          <w:tab w:leader="none" w:pos="202"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6"/>
          <w:szCs w:val="16"/>
          <w:color w:val="auto"/>
        </w:rPr>
      </w:pPr>
    </w:p>
    <w:p>
      <w:pPr>
        <w:ind w:left="583" w:right="160" w:hanging="3"/>
        <w:spacing w:after="0" w:line="280" w:lineRule="auto"/>
        <w:tabs>
          <w:tab w:leader="none" w:pos="834"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6"/>
          <w:szCs w:val="16"/>
          <w:color w:val="auto"/>
        </w:rPr>
      </w:pPr>
    </w:p>
    <w:p>
      <w:pPr>
        <w:ind w:left="583" w:right="400" w:hanging="3"/>
        <w:spacing w:after="0" w:line="280" w:lineRule="auto"/>
        <w:tabs>
          <w:tab w:leader="none" w:pos="843" w:val="left"/>
        </w:tabs>
        <w:numPr>
          <w:ilvl w:val="1"/>
          <w:numId w:val="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3" w:type="dxa"/>
        <w:tblCellMar>
          <w:top w:w="0" w:type="dxa"/>
          <w:left w:w="0" w:type="dxa"/>
          <w:bottom w:w="0" w:type="dxa"/>
          <w:right w:w="0" w:type="dxa"/>
        </w:tblCellMar>
      </w:tblPr>
      <w:tr>
        <w:trPr>
          <w:trHeight w:val="184"/>
        </w:trPr>
        <w:tc>
          <w:tcPr>
            <w:tcW w:w="31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/s/  Martin Bloch</w:t>
            </w:r>
          </w:p>
        </w:tc>
        <w:tc>
          <w:tcPr>
            <w:tcW w:w="2800" w:type="dxa"/>
            <w:vAlign w:val="bottom"/>
          </w:tcPr>
          <w:p>
            <w:pPr>
              <w:ind w:left="1780"/>
              <w:spacing w:after="0"/>
              <w:rPr>
                <w:sz w:val="20"/>
                <w:szCs w:val="20"/>
                <w:color w:val="auto"/>
              </w:rPr>
            </w:pPr>
            <w:r>
              <w:rPr>
                <w:rFonts w:ascii="Arial" w:cs="Arial" w:eastAsia="Arial" w:hAnsi="Arial"/>
                <w:sz w:val="16"/>
                <w:szCs w:val="16"/>
                <w:color w:val="auto"/>
                <w:w w:val="89"/>
              </w:rPr>
              <w:t>March 17, 2014</w:t>
            </w:r>
          </w:p>
        </w:tc>
      </w:tr>
      <w:tr>
        <w:trPr>
          <w:trHeight w:val="197"/>
        </w:trPr>
        <w:tc>
          <w:tcPr>
            <w:tcW w:w="3180" w:type="dxa"/>
            <w:vAlign w:val="bottom"/>
          </w:tcPr>
          <w:p>
            <w:pPr>
              <w:ind w:left="360"/>
              <w:spacing w:after="0"/>
              <w:rPr>
                <w:sz w:val="20"/>
                <w:szCs w:val="20"/>
                <w:color w:val="auto"/>
              </w:rPr>
            </w:pPr>
            <w:r>
              <w:rPr>
                <w:rFonts w:ascii="Arial" w:cs="Arial" w:eastAsia="Arial" w:hAnsi="Arial"/>
                <w:sz w:val="16"/>
                <w:szCs w:val="16"/>
                <w:color w:val="auto"/>
              </w:rPr>
              <w:t>Martin Bloch</w:t>
            </w:r>
          </w:p>
        </w:tc>
        <w:tc>
          <w:tcPr>
            <w:tcW w:w="2800" w:type="dxa"/>
            <w:vAlign w:val="bottom"/>
          </w:tcPr>
          <w:p>
            <w:pPr>
              <w:spacing w:after="0"/>
              <w:rPr>
                <w:sz w:val="17"/>
                <w:szCs w:val="17"/>
                <w:color w:val="auto"/>
              </w:rPr>
            </w:pPr>
          </w:p>
        </w:tc>
      </w:tr>
      <w:tr>
        <w:trPr>
          <w:trHeight w:val="206"/>
        </w:trPr>
        <w:tc>
          <w:tcPr>
            <w:tcW w:w="3180" w:type="dxa"/>
            <w:vAlign w:val="bottom"/>
          </w:tcPr>
          <w:p>
            <w:pPr>
              <w:ind w:left="360"/>
              <w:spacing w:after="0"/>
              <w:rPr>
                <w:sz w:val="20"/>
                <w:szCs w:val="20"/>
                <w:color w:val="auto"/>
              </w:rPr>
            </w:pPr>
            <w:r>
              <w:rPr>
                <w:rFonts w:ascii="Arial" w:cs="Arial" w:eastAsia="Arial" w:hAnsi="Arial"/>
                <w:sz w:val="16"/>
                <w:szCs w:val="16"/>
                <w:color w:val="auto"/>
              </w:rPr>
              <w:t>Chief Executive Officer</w:t>
            </w:r>
          </w:p>
        </w:tc>
        <w:tc>
          <w:tcPr>
            <w:tcW w:w="2800" w:type="dxa"/>
            <w:vAlign w:val="bottom"/>
          </w:tcPr>
          <w:p>
            <w:pPr>
              <w:spacing w:after="0"/>
              <w:rPr>
                <w:sz w:val="17"/>
                <w:szCs w:val="17"/>
                <w:color w:val="auto"/>
              </w:rPr>
            </w:pPr>
          </w:p>
        </w:tc>
      </w:tr>
    </w:tbl>
    <w:p>
      <w:pPr>
        <w:sectPr>
          <w:pgSz w:w="11900" w:h="16838" w:orient="portrait"/>
          <w:cols w:equalWidth="0" w:num="1">
            <w:col w:w="11443"/>
          </w:cols>
          <w:pgMar w:left="237" w:top="127" w:right="219" w:bottom="1440" w:gutter="0" w:footer="0" w:header="0"/>
        </w:sectPr>
      </w:pPr>
    </w:p>
    <w:bookmarkStart w:id="24" w:name="page25"/>
    <w:bookmarkEnd w:id="24"/>
    <w:p>
      <w:pPr>
        <w:jc w:val="right"/>
        <w:spacing w:after="0"/>
        <w:rPr>
          <w:sz w:val="20"/>
          <w:szCs w:val="20"/>
          <w:color w:val="auto"/>
        </w:rPr>
      </w:pPr>
      <w:r>
        <w:rPr>
          <w:rFonts w:ascii="Arial" w:cs="Arial" w:eastAsia="Arial" w:hAnsi="Arial"/>
          <w:sz w:val="16"/>
          <w:szCs w:val="16"/>
          <w:color w:val="auto"/>
        </w:rPr>
        <w:t>Exhibit 31.2</w:t>
      </w:r>
    </w:p>
    <w:p>
      <w:pPr>
        <w:spacing w:after="0" w:line="223" w:lineRule="exact"/>
        <w:rPr>
          <w:sz w:val="20"/>
          <w:szCs w:val="20"/>
          <w:color w:val="auto"/>
        </w:rPr>
      </w:pPr>
    </w:p>
    <w:p>
      <w:pPr>
        <w:jc w:val="center"/>
        <w:ind w:right="577"/>
        <w:spacing w:after="0"/>
        <w:rPr>
          <w:sz w:val="20"/>
          <w:szCs w:val="20"/>
          <w:color w:val="auto"/>
        </w:rPr>
      </w:pPr>
      <w:r>
        <w:rPr>
          <w:rFonts w:ascii="Arial" w:cs="Arial" w:eastAsia="Arial" w:hAnsi="Arial"/>
          <w:sz w:val="16"/>
          <w:szCs w:val="16"/>
          <w:b w:val="1"/>
          <w:bCs w:val="1"/>
          <w:color w:val="auto"/>
        </w:rPr>
        <w:t>CERTIFICATION PURSUANT TO</w:t>
      </w:r>
    </w:p>
    <w:p>
      <w:pPr>
        <w:spacing w:after="0" w:line="26" w:lineRule="exact"/>
        <w:rPr>
          <w:sz w:val="20"/>
          <w:szCs w:val="20"/>
          <w:color w:val="auto"/>
        </w:rPr>
      </w:pPr>
    </w:p>
    <w:p>
      <w:pPr>
        <w:jc w:val="center"/>
        <w:ind w:right="577"/>
        <w:spacing w:after="0"/>
        <w:rPr>
          <w:sz w:val="20"/>
          <w:szCs w:val="20"/>
          <w:color w:val="auto"/>
        </w:rPr>
      </w:pPr>
      <w:r>
        <w:rPr>
          <w:rFonts w:ascii="Arial" w:cs="Arial" w:eastAsia="Arial" w:hAnsi="Arial"/>
          <w:sz w:val="16"/>
          <w:szCs w:val="16"/>
          <w:b w:val="1"/>
          <w:bCs w:val="1"/>
          <w:color w:val="auto"/>
        </w:rPr>
        <w:t>SECTION 302 OF</w:t>
      </w:r>
    </w:p>
    <w:p>
      <w:pPr>
        <w:spacing w:after="0" w:line="9" w:lineRule="exact"/>
        <w:rPr>
          <w:sz w:val="20"/>
          <w:szCs w:val="20"/>
          <w:color w:val="auto"/>
        </w:rPr>
      </w:pPr>
    </w:p>
    <w:p>
      <w:pPr>
        <w:jc w:val="center"/>
        <w:ind w:right="577"/>
        <w:spacing w:after="0"/>
        <w:rPr>
          <w:sz w:val="20"/>
          <w:szCs w:val="20"/>
          <w:color w:val="auto"/>
        </w:rPr>
      </w:pPr>
      <w:r>
        <w:rPr>
          <w:rFonts w:ascii="Arial" w:cs="Arial" w:eastAsia="Arial" w:hAnsi="Arial"/>
          <w:sz w:val="16"/>
          <w:szCs w:val="16"/>
          <w:b w:val="1"/>
          <w:bCs w:val="1"/>
          <w:color w:val="auto"/>
        </w:rPr>
        <w:t>THE SARBANES-OXLEY ACT OF 2002</w:t>
      </w:r>
    </w:p>
    <w:p>
      <w:pPr>
        <w:spacing w:after="0" w:line="215" w:lineRule="exact"/>
        <w:rPr>
          <w:sz w:val="20"/>
          <w:szCs w:val="20"/>
          <w:color w:val="auto"/>
        </w:rPr>
      </w:pPr>
    </w:p>
    <w:p>
      <w:pPr>
        <w:ind w:left="3"/>
        <w:spacing w:after="0"/>
        <w:rPr>
          <w:sz w:val="20"/>
          <w:szCs w:val="20"/>
          <w:color w:val="auto"/>
        </w:rPr>
      </w:pPr>
      <w:r>
        <w:rPr>
          <w:rFonts w:ascii="Arial" w:cs="Arial" w:eastAsia="Arial" w:hAnsi="Arial"/>
          <w:sz w:val="16"/>
          <w:szCs w:val="16"/>
          <w:color w:val="auto"/>
        </w:rPr>
        <w:t>I, Alan Miller, certify that</w:t>
      </w:r>
    </w:p>
    <w:p>
      <w:pPr>
        <w:spacing w:after="0" w:line="227" w:lineRule="exact"/>
        <w:rPr>
          <w:sz w:val="20"/>
          <w:szCs w:val="20"/>
          <w:color w:val="auto"/>
        </w:rPr>
      </w:pPr>
    </w:p>
    <w:p>
      <w:pPr>
        <w:ind w:left="203" w:hanging="203"/>
        <w:spacing w:after="0"/>
        <w:tabs>
          <w:tab w:leader="none" w:pos="203" w:val="left"/>
        </w:tabs>
        <w:numPr>
          <w:ilvl w:val="0"/>
          <w:numId w:val="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Frequency Electronics, Inc.;</w:t>
      </w:r>
    </w:p>
    <w:p>
      <w:pPr>
        <w:spacing w:after="0" w:line="226" w:lineRule="exact"/>
        <w:rPr>
          <w:rFonts w:ascii="Arial" w:cs="Arial" w:eastAsia="Arial" w:hAnsi="Arial"/>
          <w:sz w:val="16"/>
          <w:szCs w:val="16"/>
          <w:color w:val="auto"/>
        </w:rPr>
      </w:pPr>
    </w:p>
    <w:p>
      <w:pPr>
        <w:ind w:left="3" w:right="40" w:hanging="3"/>
        <w:spacing w:after="0" w:line="280" w:lineRule="auto"/>
        <w:tabs>
          <w:tab w:leader="none" w:pos="205"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6"/>
          <w:szCs w:val="16"/>
          <w:color w:val="auto"/>
        </w:rPr>
      </w:pPr>
    </w:p>
    <w:p>
      <w:pPr>
        <w:ind w:left="3" w:right="80" w:hanging="3"/>
        <w:spacing w:after="0" w:line="280" w:lineRule="auto"/>
        <w:tabs>
          <w:tab w:leader="none" w:pos="205"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6"/>
          <w:szCs w:val="16"/>
          <w:color w:val="auto"/>
        </w:rPr>
      </w:pPr>
    </w:p>
    <w:p>
      <w:pPr>
        <w:ind w:left="3" w:right="20" w:hanging="3"/>
        <w:spacing w:after="0" w:line="315" w:lineRule="auto"/>
        <w:tabs>
          <w:tab w:leader="none" w:pos="202"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1" w:lineRule="exact"/>
        <w:rPr>
          <w:rFonts w:ascii="Arial" w:cs="Arial" w:eastAsia="Arial" w:hAnsi="Arial"/>
          <w:sz w:val="15"/>
          <w:szCs w:val="15"/>
          <w:color w:val="auto"/>
        </w:rPr>
      </w:pPr>
    </w:p>
    <w:p>
      <w:pPr>
        <w:ind w:left="583" w:right="40" w:hanging="3"/>
        <w:spacing w:after="0" w:line="266" w:lineRule="auto"/>
        <w:tabs>
          <w:tab w:leader="none" w:pos="843"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6"/>
          <w:szCs w:val="16"/>
          <w:color w:val="auto"/>
        </w:rPr>
      </w:pPr>
    </w:p>
    <w:p>
      <w:pPr>
        <w:ind w:left="583" w:right="280" w:hanging="3"/>
        <w:spacing w:after="0" w:line="266" w:lineRule="auto"/>
        <w:tabs>
          <w:tab w:leader="none" w:pos="852"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6"/>
          <w:szCs w:val="16"/>
          <w:color w:val="auto"/>
        </w:rPr>
      </w:pPr>
    </w:p>
    <w:p>
      <w:pPr>
        <w:ind w:left="583" w:right="620" w:hanging="3"/>
        <w:spacing w:after="0" w:line="280" w:lineRule="auto"/>
        <w:tabs>
          <w:tab w:leader="none" w:pos="843"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6"/>
          <w:szCs w:val="16"/>
          <w:color w:val="auto"/>
        </w:rPr>
      </w:pPr>
    </w:p>
    <w:p>
      <w:pPr>
        <w:ind w:left="583" w:right="180" w:hanging="3"/>
        <w:spacing w:after="0" w:line="266" w:lineRule="auto"/>
        <w:tabs>
          <w:tab w:leader="none" w:pos="852" w:val="left"/>
        </w:tabs>
        <w:numPr>
          <w:ilvl w:val="1"/>
          <w:numId w:val="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6"/>
          <w:szCs w:val="16"/>
          <w:color w:val="auto"/>
        </w:rPr>
      </w:pPr>
    </w:p>
    <w:p>
      <w:pPr>
        <w:ind w:left="3" w:right="20" w:hanging="3"/>
        <w:spacing w:after="0" w:line="280" w:lineRule="auto"/>
        <w:tabs>
          <w:tab w:leader="none" w:pos="20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6"/>
          <w:szCs w:val="16"/>
          <w:color w:val="auto"/>
        </w:rPr>
      </w:pPr>
    </w:p>
    <w:p>
      <w:pPr>
        <w:ind w:left="583" w:right="160" w:hanging="3"/>
        <w:spacing w:after="0" w:line="280" w:lineRule="auto"/>
        <w:tabs>
          <w:tab w:leader="none" w:pos="834"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6"/>
          <w:szCs w:val="16"/>
          <w:color w:val="auto"/>
        </w:rPr>
      </w:pPr>
    </w:p>
    <w:p>
      <w:pPr>
        <w:ind w:left="583" w:right="400" w:hanging="3"/>
        <w:spacing w:after="0" w:line="280" w:lineRule="auto"/>
        <w:tabs>
          <w:tab w:leader="none" w:pos="843" w:val="left"/>
        </w:tabs>
        <w:numPr>
          <w:ilvl w:val="1"/>
          <w:numId w:val="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1" w:lineRule="exact"/>
        <w:rPr>
          <w:sz w:val="20"/>
          <w:szCs w:val="20"/>
          <w:color w:val="auto"/>
        </w:rPr>
      </w:pPr>
    </w:p>
    <w:tbl>
      <w:tblPr>
        <w:tblLayout w:type="fixed"/>
        <w:tblInd w:w="3" w:type="dxa"/>
        <w:tblCellMar>
          <w:top w:w="0" w:type="dxa"/>
          <w:left w:w="0" w:type="dxa"/>
          <w:bottom w:w="0" w:type="dxa"/>
          <w:right w:w="0" w:type="dxa"/>
        </w:tblCellMar>
      </w:tblPr>
      <w:tr>
        <w:trPr>
          <w:trHeight w:val="184"/>
        </w:trPr>
        <w:tc>
          <w:tcPr>
            <w:tcW w:w="32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/s/ Alan Miller</w:t>
            </w:r>
          </w:p>
        </w:tc>
        <w:tc>
          <w:tcPr>
            <w:tcW w:w="2800" w:type="dxa"/>
            <w:vAlign w:val="bottom"/>
          </w:tcPr>
          <w:p>
            <w:pPr>
              <w:ind w:left="1780"/>
              <w:spacing w:after="0"/>
              <w:rPr>
                <w:sz w:val="20"/>
                <w:szCs w:val="20"/>
                <w:color w:val="auto"/>
              </w:rPr>
            </w:pPr>
            <w:r>
              <w:rPr>
                <w:rFonts w:ascii="Arial" w:cs="Arial" w:eastAsia="Arial" w:hAnsi="Arial"/>
                <w:sz w:val="16"/>
                <w:szCs w:val="16"/>
                <w:color w:val="auto"/>
                <w:w w:val="89"/>
              </w:rPr>
              <w:t>March 17, 2014</w:t>
            </w:r>
          </w:p>
        </w:tc>
      </w:tr>
      <w:tr>
        <w:trPr>
          <w:trHeight w:val="197"/>
        </w:trPr>
        <w:tc>
          <w:tcPr>
            <w:tcW w:w="3200" w:type="dxa"/>
            <w:vAlign w:val="bottom"/>
          </w:tcPr>
          <w:p>
            <w:pPr>
              <w:ind w:left="280"/>
              <w:spacing w:after="0"/>
              <w:rPr>
                <w:sz w:val="20"/>
                <w:szCs w:val="20"/>
                <w:color w:val="auto"/>
              </w:rPr>
            </w:pPr>
            <w:r>
              <w:rPr>
                <w:rFonts w:ascii="Arial" w:cs="Arial" w:eastAsia="Arial" w:hAnsi="Arial"/>
                <w:sz w:val="16"/>
                <w:szCs w:val="16"/>
                <w:color w:val="auto"/>
              </w:rPr>
              <w:t>Alan Miller</w:t>
            </w:r>
          </w:p>
        </w:tc>
        <w:tc>
          <w:tcPr>
            <w:tcW w:w="2800" w:type="dxa"/>
            <w:vAlign w:val="bottom"/>
          </w:tcPr>
          <w:p>
            <w:pPr>
              <w:spacing w:after="0"/>
              <w:rPr>
                <w:sz w:val="17"/>
                <w:szCs w:val="17"/>
                <w:color w:val="auto"/>
              </w:rPr>
            </w:pPr>
          </w:p>
        </w:tc>
      </w:tr>
      <w:tr>
        <w:trPr>
          <w:trHeight w:val="206"/>
        </w:trPr>
        <w:tc>
          <w:tcPr>
            <w:tcW w:w="3200" w:type="dxa"/>
            <w:vAlign w:val="bottom"/>
          </w:tcPr>
          <w:p>
            <w:pPr>
              <w:ind w:left="280"/>
              <w:spacing w:after="0"/>
              <w:rPr>
                <w:sz w:val="20"/>
                <w:szCs w:val="20"/>
                <w:color w:val="auto"/>
              </w:rPr>
            </w:pPr>
            <w:r>
              <w:rPr>
                <w:rFonts w:ascii="Arial" w:cs="Arial" w:eastAsia="Arial" w:hAnsi="Arial"/>
                <w:sz w:val="16"/>
                <w:szCs w:val="16"/>
                <w:color w:val="auto"/>
              </w:rPr>
              <w:t>Chief Financial Officer</w:t>
            </w:r>
          </w:p>
        </w:tc>
        <w:tc>
          <w:tcPr>
            <w:tcW w:w="2800" w:type="dxa"/>
            <w:vAlign w:val="bottom"/>
          </w:tcPr>
          <w:p>
            <w:pPr>
              <w:spacing w:after="0"/>
              <w:rPr>
                <w:sz w:val="17"/>
                <w:szCs w:val="17"/>
                <w:color w:val="auto"/>
              </w:rPr>
            </w:pPr>
          </w:p>
        </w:tc>
      </w:tr>
    </w:tbl>
    <w:p>
      <w:pPr>
        <w:sectPr>
          <w:pgSz w:w="11900" w:h="16838" w:orient="portrait"/>
          <w:cols w:equalWidth="0" w:num="1">
            <w:col w:w="11443"/>
          </w:cols>
          <w:pgMar w:left="237" w:top="127" w:right="219" w:bottom="1440" w:gutter="0" w:footer="0" w:header="0"/>
        </w:sectPr>
      </w:pPr>
    </w:p>
    <w:bookmarkStart w:id="25" w:name="page26"/>
    <w:bookmarkEnd w:id="25"/>
    <w:p>
      <w:pPr>
        <w:jc w:val="right"/>
        <w:spacing w:after="0"/>
        <w:rPr>
          <w:sz w:val="20"/>
          <w:szCs w:val="20"/>
          <w:color w:val="auto"/>
        </w:rPr>
      </w:pPr>
      <w:r>
        <w:rPr>
          <w:rFonts w:ascii="Arial" w:cs="Arial" w:eastAsia="Arial" w:hAnsi="Arial"/>
          <w:sz w:val="16"/>
          <w:szCs w:val="16"/>
          <w:color w:val="auto"/>
        </w:rPr>
        <w:t>Exhibit 32</w:t>
      </w:r>
    </w:p>
    <w:p>
      <w:pPr>
        <w:spacing w:after="0" w:line="22" w:lineRule="exact"/>
        <w:rPr>
          <w:sz w:val="20"/>
          <w:szCs w:val="20"/>
          <w:color w:val="auto"/>
        </w:rPr>
      </w:pPr>
    </w:p>
    <w:p>
      <w:pPr>
        <w:jc w:val="center"/>
        <w:ind w:right="580"/>
        <w:spacing w:after="0"/>
        <w:rPr>
          <w:sz w:val="20"/>
          <w:szCs w:val="20"/>
          <w:color w:val="auto"/>
        </w:rPr>
      </w:pPr>
      <w:r>
        <w:rPr>
          <w:rFonts w:ascii="Arial" w:cs="Arial" w:eastAsia="Arial" w:hAnsi="Arial"/>
          <w:sz w:val="16"/>
          <w:szCs w:val="16"/>
          <w:b w:val="1"/>
          <w:bCs w:val="1"/>
          <w:color w:val="auto"/>
        </w:rPr>
        <w:t>CERTIFICATION PURSUANT TO</w:t>
      </w:r>
    </w:p>
    <w:p>
      <w:pPr>
        <w:spacing w:after="0" w:line="9" w:lineRule="exact"/>
        <w:rPr>
          <w:sz w:val="20"/>
          <w:szCs w:val="20"/>
          <w:color w:val="auto"/>
        </w:rPr>
      </w:pPr>
    </w:p>
    <w:p>
      <w:pPr>
        <w:jc w:val="center"/>
        <w:ind w:right="580"/>
        <w:spacing w:after="0"/>
        <w:rPr>
          <w:sz w:val="20"/>
          <w:szCs w:val="20"/>
          <w:color w:val="auto"/>
        </w:rPr>
      </w:pPr>
      <w:r>
        <w:rPr>
          <w:rFonts w:ascii="Arial" w:cs="Arial" w:eastAsia="Arial" w:hAnsi="Arial"/>
          <w:sz w:val="16"/>
          <w:szCs w:val="16"/>
          <w:b w:val="1"/>
          <w:bCs w:val="1"/>
          <w:color w:val="auto"/>
        </w:rPr>
        <w:t>18 U.S.C. SECTION 1350</w:t>
      </w:r>
    </w:p>
    <w:p>
      <w:pPr>
        <w:spacing w:after="0" w:line="9" w:lineRule="exact"/>
        <w:rPr>
          <w:sz w:val="20"/>
          <w:szCs w:val="20"/>
          <w:color w:val="auto"/>
        </w:rPr>
      </w:pPr>
    </w:p>
    <w:p>
      <w:pPr>
        <w:jc w:val="center"/>
        <w:ind w:right="580"/>
        <w:spacing w:after="0"/>
        <w:rPr>
          <w:sz w:val="20"/>
          <w:szCs w:val="20"/>
          <w:color w:val="auto"/>
        </w:rPr>
      </w:pPr>
      <w:r>
        <w:rPr>
          <w:rFonts w:ascii="Arial" w:cs="Arial" w:eastAsia="Arial" w:hAnsi="Arial"/>
          <w:sz w:val="16"/>
          <w:szCs w:val="16"/>
          <w:b w:val="1"/>
          <w:bCs w:val="1"/>
          <w:color w:val="auto"/>
        </w:rPr>
        <w:t>ADOPTED PURSUANT TO</w:t>
      </w:r>
    </w:p>
    <w:p>
      <w:pPr>
        <w:spacing w:after="0" w:line="9" w:lineRule="exact"/>
        <w:rPr>
          <w:sz w:val="20"/>
          <w:szCs w:val="20"/>
          <w:color w:val="auto"/>
        </w:rPr>
      </w:pPr>
    </w:p>
    <w:p>
      <w:pPr>
        <w:jc w:val="center"/>
        <w:ind w:right="5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Certification of CEO</w:t>
      </w:r>
    </w:p>
    <w:p>
      <w:pPr>
        <w:spacing w:after="0" w:line="23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In connection with the Quarterly Report of Frequency Electronics, Inc. (the “Company”) on Form 10-Q for the period ended January 31, 2014 as filed with the Securities and Exchange Commission on the date hereof (the “Report”), I, Martin Bloch, Chief Executive Officer of the Company, certify, pursuant to 18 U.S.C. Section 1350, as adopted pursuant to Section 906 of the Sarbanes-Oxley Act of 2002, that to my knowledge:</w:t>
      </w:r>
    </w:p>
    <w:p>
      <w:pPr>
        <w:spacing w:after="0" w:line="186" w:lineRule="exact"/>
        <w:rPr>
          <w:sz w:val="20"/>
          <w:szCs w:val="20"/>
          <w:color w:val="auto"/>
        </w:rPr>
      </w:pPr>
    </w:p>
    <w:p>
      <w:pPr>
        <w:ind w:left="720" w:hanging="266"/>
        <w:spacing w:after="0"/>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6" w:lineRule="exact"/>
        <w:rPr>
          <w:rFonts w:ascii="Arial" w:cs="Arial" w:eastAsia="Arial" w:hAnsi="Arial"/>
          <w:sz w:val="16"/>
          <w:szCs w:val="16"/>
          <w:color w:val="auto"/>
        </w:rPr>
      </w:pPr>
    </w:p>
    <w:p>
      <w:pPr>
        <w:ind w:left="720" w:hanging="266"/>
        <w:spacing w:after="0"/>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/s/  Martin Bloch</w:t>
            </w:r>
          </w:p>
        </w:tc>
        <w:tc>
          <w:tcPr>
            <w:tcW w:w="2960" w:type="dxa"/>
            <w:vAlign w:val="bottom"/>
          </w:tcPr>
          <w:p>
            <w:pPr>
              <w:jc w:val="right"/>
              <w:ind w:right="79"/>
              <w:spacing w:after="0"/>
              <w:rPr>
                <w:sz w:val="20"/>
                <w:szCs w:val="20"/>
                <w:color w:val="auto"/>
              </w:rPr>
            </w:pPr>
            <w:r>
              <w:rPr>
                <w:rFonts w:ascii="Arial" w:cs="Arial" w:eastAsia="Arial" w:hAnsi="Arial"/>
                <w:sz w:val="16"/>
                <w:szCs w:val="16"/>
                <w:color w:val="auto"/>
              </w:rPr>
              <w:t>March 17, 2014</w:t>
            </w:r>
          </w:p>
        </w:tc>
      </w:tr>
      <w:tr>
        <w:trPr>
          <w:trHeight w:val="197"/>
        </w:trPr>
        <w:tc>
          <w:tcPr>
            <w:tcW w:w="3180" w:type="dxa"/>
            <w:vAlign w:val="bottom"/>
          </w:tcPr>
          <w:p>
            <w:pPr>
              <w:ind w:left="360"/>
              <w:spacing w:after="0"/>
              <w:rPr>
                <w:sz w:val="20"/>
                <w:szCs w:val="20"/>
                <w:color w:val="auto"/>
              </w:rPr>
            </w:pPr>
            <w:r>
              <w:rPr>
                <w:rFonts w:ascii="Arial" w:cs="Arial" w:eastAsia="Arial" w:hAnsi="Arial"/>
                <w:sz w:val="16"/>
                <w:szCs w:val="16"/>
                <w:color w:val="auto"/>
              </w:rPr>
              <w:t>Martin Bloch</w:t>
            </w:r>
          </w:p>
        </w:tc>
        <w:tc>
          <w:tcPr>
            <w:tcW w:w="2960" w:type="dxa"/>
            <w:vAlign w:val="bottom"/>
          </w:tcPr>
          <w:p>
            <w:pPr>
              <w:spacing w:after="0"/>
              <w:rPr>
                <w:sz w:val="17"/>
                <w:szCs w:val="17"/>
                <w:color w:val="auto"/>
              </w:rPr>
            </w:pPr>
          </w:p>
        </w:tc>
      </w:tr>
      <w:tr>
        <w:trPr>
          <w:trHeight w:val="206"/>
        </w:trPr>
        <w:tc>
          <w:tcPr>
            <w:tcW w:w="3180" w:type="dxa"/>
            <w:vAlign w:val="bottom"/>
          </w:tcPr>
          <w:p>
            <w:pPr>
              <w:ind w:left="360"/>
              <w:spacing w:after="0"/>
              <w:rPr>
                <w:sz w:val="20"/>
                <w:szCs w:val="20"/>
                <w:color w:val="auto"/>
              </w:rPr>
            </w:pPr>
            <w:r>
              <w:rPr>
                <w:rFonts w:ascii="Arial" w:cs="Arial" w:eastAsia="Arial" w:hAnsi="Arial"/>
                <w:sz w:val="16"/>
                <w:szCs w:val="16"/>
                <w:color w:val="auto"/>
              </w:rPr>
              <w:t>Chief Executive Officer</w:t>
            </w:r>
          </w:p>
        </w:tc>
        <w:tc>
          <w:tcPr>
            <w:tcW w:w="2960" w:type="dxa"/>
            <w:vAlign w:val="bottom"/>
          </w:tcPr>
          <w:p>
            <w:pPr>
              <w:spacing w:after="0"/>
              <w:rPr>
                <w:sz w:val="17"/>
                <w:szCs w:val="17"/>
                <w:color w:val="auto"/>
              </w:rPr>
            </w:pPr>
          </w:p>
        </w:tc>
      </w:tr>
      <w:tr>
        <w:trPr>
          <w:trHeight w:val="411"/>
        </w:trPr>
        <w:tc>
          <w:tcPr>
            <w:tcW w:w="3180" w:type="dxa"/>
            <w:vAlign w:val="bottom"/>
          </w:tcPr>
          <w:p>
            <w:pPr>
              <w:spacing w:after="0"/>
              <w:rPr>
                <w:sz w:val="24"/>
                <w:szCs w:val="24"/>
                <w:color w:val="auto"/>
              </w:rPr>
            </w:pPr>
          </w:p>
        </w:tc>
        <w:tc>
          <w:tcPr>
            <w:tcW w:w="296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Certification of CFO</w:t>
      </w:r>
    </w:p>
    <w:p>
      <w:pPr>
        <w:spacing w:after="0" w:line="23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In connection with the Quarterly Report of Frequency Electronics, Inc. (the “Company”) on Form 10-Q for the period ended January 31, 2014 as filed with the Securities and Exchange Commission on the date hereof (the “Report”), I, Alan Miller, Chief Financial Officer of the Company, certify, pursuant to 18 U.S.C. Section 1350, as adopted pursuant to Section 906 of the Sarbanes-Oxley Act of 2002, that to my knowledge:</w:t>
      </w:r>
    </w:p>
    <w:p>
      <w:pPr>
        <w:spacing w:after="0" w:line="186" w:lineRule="exact"/>
        <w:rPr>
          <w:sz w:val="20"/>
          <w:szCs w:val="20"/>
          <w:color w:val="auto"/>
        </w:rPr>
      </w:pPr>
    </w:p>
    <w:p>
      <w:pPr>
        <w:ind w:left="720" w:hanging="266"/>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6" w:lineRule="exact"/>
        <w:rPr>
          <w:rFonts w:ascii="Arial" w:cs="Arial" w:eastAsia="Arial" w:hAnsi="Arial"/>
          <w:sz w:val="16"/>
          <w:szCs w:val="16"/>
          <w:color w:val="auto"/>
        </w:rPr>
      </w:pPr>
    </w:p>
    <w:p>
      <w:pPr>
        <w:ind w:left="720" w:hanging="266"/>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/s/ Alan Miller</w:t>
            </w:r>
          </w:p>
        </w:tc>
        <w:tc>
          <w:tcPr>
            <w:tcW w:w="2800" w:type="dxa"/>
            <w:vAlign w:val="bottom"/>
          </w:tcPr>
          <w:p>
            <w:pPr>
              <w:ind w:left="1780"/>
              <w:spacing w:after="0"/>
              <w:rPr>
                <w:sz w:val="20"/>
                <w:szCs w:val="20"/>
                <w:color w:val="auto"/>
              </w:rPr>
            </w:pPr>
            <w:r>
              <w:rPr>
                <w:rFonts w:ascii="Arial" w:cs="Arial" w:eastAsia="Arial" w:hAnsi="Arial"/>
                <w:sz w:val="16"/>
                <w:szCs w:val="16"/>
                <w:color w:val="auto"/>
                <w:w w:val="89"/>
              </w:rPr>
              <w:t>March 17, 2014</w:t>
            </w:r>
          </w:p>
        </w:tc>
      </w:tr>
      <w:tr>
        <w:trPr>
          <w:trHeight w:val="197"/>
        </w:trPr>
        <w:tc>
          <w:tcPr>
            <w:tcW w:w="3200" w:type="dxa"/>
            <w:vAlign w:val="bottom"/>
          </w:tcPr>
          <w:p>
            <w:pPr>
              <w:ind w:left="280"/>
              <w:spacing w:after="0"/>
              <w:rPr>
                <w:sz w:val="20"/>
                <w:szCs w:val="20"/>
                <w:color w:val="auto"/>
              </w:rPr>
            </w:pPr>
            <w:r>
              <w:rPr>
                <w:rFonts w:ascii="Arial" w:cs="Arial" w:eastAsia="Arial" w:hAnsi="Arial"/>
                <w:sz w:val="16"/>
                <w:szCs w:val="16"/>
                <w:color w:val="auto"/>
              </w:rPr>
              <w:t>Alan Miller</w:t>
            </w:r>
          </w:p>
        </w:tc>
        <w:tc>
          <w:tcPr>
            <w:tcW w:w="2800" w:type="dxa"/>
            <w:vAlign w:val="bottom"/>
          </w:tcPr>
          <w:p>
            <w:pPr>
              <w:spacing w:after="0"/>
              <w:rPr>
                <w:sz w:val="17"/>
                <w:szCs w:val="17"/>
                <w:color w:val="auto"/>
              </w:rPr>
            </w:pPr>
          </w:p>
        </w:tc>
      </w:tr>
      <w:tr>
        <w:trPr>
          <w:trHeight w:val="206"/>
        </w:trPr>
        <w:tc>
          <w:tcPr>
            <w:tcW w:w="3200" w:type="dxa"/>
            <w:vAlign w:val="bottom"/>
          </w:tcPr>
          <w:p>
            <w:pPr>
              <w:ind w:left="280"/>
              <w:spacing w:after="0"/>
              <w:rPr>
                <w:sz w:val="20"/>
                <w:szCs w:val="20"/>
                <w:color w:val="auto"/>
              </w:rPr>
            </w:pPr>
            <w:r>
              <w:rPr>
                <w:rFonts w:ascii="Arial" w:cs="Arial" w:eastAsia="Arial" w:hAnsi="Arial"/>
                <w:sz w:val="16"/>
                <w:szCs w:val="16"/>
                <w:color w:val="auto"/>
              </w:rPr>
              <w:t>Chief Financial Officer</w:t>
            </w:r>
          </w:p>
        </w:tc>
        <w:tc>
          <w:tcPr>
            <w:tcW w:w="2800" w:type="dxa"/>
            <w:vAlign w:val="bottom"/>
          </w:tcPr>
          <w:p>
            <w:pPr>
              <w:spacing w:after="0"/>
              <w:rPr>
                <w:sz w:val="17"/>
                <w:szCs w:val="17"/>
                <w:color w:val="auto"/>
              </w:rPr>
            </w:pPr>
          </w:p>
        </w:tc>
      </w:tr>
    </w:tbl>
    <w:p>
      <w:pPr>
        <w:spacing w:after="0" w:line="20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6"/>
          <w:szCs w:val="16"/>
          <w:b w:val="1"/>
          <w:bCs w:val="1"/>
          <w:color w:val="auto"/>
        </w:rPr>
        <w:t>.</w:t>
      </w:r>
    </w:p>
    <w:p>
      <w:pPr>
        <w:spacing w:after="0" w:line="186"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440"/>
      </w:cols>
      <w:pgMar w:left="24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32"/>
    </w:lvl>
  </w:abstractNum>
  <w:abstractNum w:abstractNumId="5">
    <w:nsid w:val="7545E146"/>
    <w:multiLevelType w:val="hybridMultilevel"/>
    <w:lvl w:ilvl="0">
      <w:lvlJc w:val="left"/>
      <w:lvlText w:val="%1"/>
      <w:numFmt w:val="decimal"/>
      <w:start w:val="10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2019-12-05T09:45:07Z</dcterms:created>
  <dcterms:modified xsi:type="dcterms:W3CDTF">2019-12-05T09:45:07Z</dcterms:modified>
</cp:coreProperties>
</file>