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jc w:val="center"/>
        <w:ind w:left="4080" w:right="1500" w:hanging="3262"/>
        <w:spacing w:after="0" w:line="53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2009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jc w:val="center"/>
        <w:ind w:left="3600" w:right="1480" w:hanging="2782"/>
        <w:spacing w:after="0" w:line="527" w:lineRule="auto"/>
        <w:tabs>
          <w:tab w:leader="none" w:pos="129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8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8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3620" w:type="dxa"/>
            <w:vAlign w:val="bottom"/>
          </w:tcPr>
          <w:p>
            <w:pPr>
              <w:jc w:val="center"/>
              <w:ind w:left="9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68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spacing w:after="0"/>
              <w:rPr>
                <w:sz w:val="20"/>
                <w:szCs w:val="20"/>
                <w:color w:val="auto"/>
              </w:rPr>
            </w:pPr>
          </w:p>
        </w:tc>
      </w:tr>
      <w:tr>
        <w:trPr>
          <w:trHeight w:val="418"/>
        </w:trPr>
        <w:tc>
          <w:tcPr>
            <w:tcW w:w="6820" w:type="dxa"/>
            <w:vAlign w:val="bottom"/>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36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8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left="930"/>
              <w:spacing w:after="0"/>
              <w:rPr>
                <w:sz w:val="20"/>
                <w:szCs w:val="20"/>
                <w:color w:val="auto"/>
              </w:rPr>
            </w:pPr>
            <w:r>
              <w:rPr>
                <w:rFonts w:ascii="Arial" w:cs="Arial" w:eastAsia="Arial" w:hAnsi="Arial"/>
                <w:sz w:val="18"/>
                <w:szCs w:val="18"/>
                <w:color w:val="auto"/>
                <w:w w:val="94"/>
              </w:rPr>
              <w:t>(Zip Code)</w:t>
            </w:r>
          </w:p>
        </w:tc>
      </w:tr>
      <w:tr>
        <w:trPr>
          <w:trHeight w:val="459"/>
        </w:trPr>
        <w:tc>
          <w:tcPr>
            <w:tcW w:w="682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2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is not yet required to submit Interactive Data)</w:t>
      </w:r>
    </w:p>
    <w:p>
      <w:pPr>
        <w:spacing w:after="0" w:line="21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ind w:left="1340" w:right="2840" w:hanging="1169"/>
        <w:spacing w:after="0" w:line="23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x (do not check if a smaller reporting company)</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11, 2009 – 8,175,550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20" w:type="dxa"/>
            <w:vAlign w:val="bottom"/>
          </w:tcPr>
          <w:p>
            <w:pPr>
              <w:ind w:left="3180"/>
              <w:spacing w:after="0"/>
              <w:rPr>
                <w:sz w:val="20"/>
                <w:szCs w:val="20"/>
                <w:color w:val="auto"/>
              </w:rPr>
            </w:pPr>
            <w:r>
              <w:rPr>
                <w:rFonts w:ascii="Arial" w:cs="Arial" w:eastAsia="Arial" w:hAnsi="Arial"/>
                <w:sz w:val="18"/>
                <w:szCs w:val="18"/>
                <w:color w:val="auto"/>
              </w:rPr>
              <w:t>FREQUENCY ELECTRONICS, INC. and SUBSIDIARIES</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20" w:type="dxa"/>
            <w:vAlign w:val="bottom"/>
          </w:tcPr>
          <w:p>
            <w:pPr>
              <w:ind w:left="5080"/>
              <w:spacing w:after="0"/>
              <w:rPr>
                <w:sz w:val="20"/>
                <w:szCs w:val="20"/>
                <w:color w:val="auto"/>
              </w:rPr>
            </w:pPr>
            <w:r>
              <w:rPr>
                <w:rFonts w:ascii="Arial" w:cs="Arial" w:eastAsia="Arial" w:hAnsi="Arial"/>
                <w:sz w:val="18"/>
                <w:szCs w:val="18"/>
                <w:color w:val="auto"/>
              </w:rPr>
              <w:t>INDEX</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380" w:type="dxa"/>
            <w:vAlign w:val="bottom"/>
          </w:tcPr>
          <w:p>
            <w:pPr>
              <w:ind w:left="14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Item 1 - Financial Statements:</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Condensed Consolidated Balance Sheets -</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460"/>
              <w:spacing w:after="0"/>
              <w:rPr>
                <w:sz w:val="20"/>
                <w:szCs w:val="20"/>
                <w:color w:val="auto"/>
              </w:rPr>
            </w:pPr>
            <w:r>
              <w:rPr>
                <w:rFonts w:ascii="Arial" w:cs="Arial" w:eastAsia="Arial" w:hAnsi="Arial"/>
                <w:sz w:val="18"/>
                <w:szCs w:val="18"/>
                <w:color w:val="auto"/>
              </w:rPr>
              <w:t>July 31, 2009 and April 30, 2009</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Condensed Consolidated Statements of Operations</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460"/>
              <w:spacing w:after="0"/>
              <w:rPr>
                <w:sz w:val="20"/>
                <w:szCs w:val="20"/>
                <w:color w:val="auto"/>
              </w:rPr>
            </w:pPr>
            <w:r>
              <w:rPr>
                <w:rFonts w:ascii="Arial" w:cs="Arial" w:eastAsia="Arial" w:hAnsi="Arial"/>
                <w:sz w:val="18"/>
                <w:szCs w:val="18"/>
                <w:color w:val="auto"/>
              </w:rPr>
              <w:t>Three Months Ended July 31, 2009 and 2008</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Condensed Consolidated Statements of Cash Flows</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460"/>
              <w:spacing w:after="0"/>
              <w:rPr>
                <w:sz w:val="20"/>
                <w:szCs w:val="20"/>
                <w:color w:val="auto"/>
              </w:rPr>
            </w:pPr>
            <w:r>
              <w:rPr>
                <w:rFonts w:ascii="Arial" w:cs="Arial" w:eastAsia="Arial" w:hAnsi="Arial"/>
                <w:sz w:val="18"/>
                <w:szCs w:val="18"/>
                <w:color w:val="auto"/>
              </w:rPr>
              <w:t>Three Months Ended July 31, 2009 and 2008</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Notes to Condensed Consolidated Financial Statements</w:t>
            </w:r>
          </w:p>
        </w:tc>
        <w:tc>
          <w:tcPr>
            <w:tcW w:w="2380" w:type="dxa"/>
            <w:vAlign w:val="bottom"/>
            <w:shd w:val="clear" w:color="auto" w:fill="CCFFCC"/>
          </w:tcPr>
          <w:p>
            <w:pPr>
              <w:jc w:val="center"/>
              <w:ind w:left="1170"/>
              <w:spacing w:after="0"/>
              <w:rPr>
                <w:sz w:val="20"/>
                <w:szCs w:val="20"/>
                <w:color w:val="auto"/>
              </w:rPr>
            </w:pPr>
            <w:r>
              <w:rPr>
                <w:rFonts w:ascii="Arial" w:cs="Arial" w:eastAsia="Arial" w:hAnsi="Arial"/>
                <w:sz w:val="18"/>
                <w:szCs w:val="18"/>
                <w:color w:val="auto"/>
                <w:w w:val="88"/>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Item 2 - Management's Discussion and Analysis of</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Financial Condition and Results of Operations</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91"/>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Item 4T- Controls and Procedures</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91"/>
              </w:rPr>
              <w:t>17-18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Items 1, 1A, 2, 3, 4 and 5 are omitted because they are not applicable</w:t>
            </w:r>
          </w:p>
        </w:tc>
        <w:tc>
          <w:tcPr>
            <w:tcW w:w="2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Item 6 - Exhibits</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Signatures</w:t>
            </w:r>
          </w:p>
        </w:tc>
        <w:tc>
          <w:tcPr>
            <w:tcW w:w="2380" w:type="dxa"/>
            <w:vAlign w:val="bottom"/>
            <w:shd w:val="clear" w:color="auto" w:fill="CCFFCC"/>
          </w:tcPr>
          <w:p>
            <w:pPr>
              <w:jc w:val="center"/>
              <w:ind w:left="11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Exhibits</w:t>
            </w:r>
          </w:p>
        </w:tc>
        <w:tc>
          <w:tcPr>
            <w:tcW w:w="23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9020" w:type="dxa"/>
            <w:vAlign w:val="bottom"/>
          </w:tcPr>
          <w:p>
            <w:pPr>
              <w:ind w:left="5440"/>
              <w:spacing w:after="0"/>
              <w:rPr>
                <w:sz w:val="20"/>
                <w:szCs w:val="20"/>
                <w:color w:val="auto"/>
              </w:rPr>
            </w:pPr>
            <w:r>
              <w:rPr>
                <w:rFonts w:ascii="Arial" w:cs="Arial" w:eastAsia="Arial" w:hAnsi="Arial"/>
                <w:sz w:val="18"/>
                <w:szCs w:val="18"/>
                <w:color w:val="auto"/>
              </w:rPr>
              <w:t>2 of 19</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02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July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(NOTE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40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5,662</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for doubtful accounts of $285 at July 31 and April 30, 2009</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10,778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26,589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Income taxes refundable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7,693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8,543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Investments in and loans receivable from affiliates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79,870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Short-term credit obligations</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1,336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3,167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Accrued liabilities and 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8,371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Lease obligation – noncurrent</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19,105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Preferred stock - $1.00 par value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 $1.00 par value</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3,176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61,473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Common stock reacquired and held in treasury -at cost, 988,389 shares at July 31, 2009</w:t>
            </w: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and 1,021,159 shares at April 30, 2009</w:t>
            </w:r>
          </w:p>
        </w:tc>
        <w:tc>
          <w:tcPr>
            <w:tcW w:w="7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(4,858)</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stockholders' equity</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60,765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79,870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20" w:type="dxa"/>
            <w:vAlign w:val="bottom"/>
            <w:gridSpan w:val="2"/>
          </w:tcPr>
          <w:p>
            <w:pPr>
              <w:jc w:val="center"/>
              <w:ind w:right="990"/>
              <w:spacing w:after="0"/>
              <w:rPr>
                <w:sz w:val="20"/>
                <w:szCs w:val="20"/>
                <w:color w:val="auto"/>
              </w:rPr>
            </w:pPr>
            <w:r>
              <w:rPr>
                <w:rFonts w:ascii="Arial" w:cs="Arial" w:eastAsia="Arial" w:hAnsi="Arial"/>
                <w:sz w:val="18"/>
                <w:szCs w:val="18"/>
                <w:color w:val="auto"/>
                <w:w w:val="94"/>
              </w:rPr>
              <w:t>FREQUENCY ELECTRONICS, INC. and SUBSIDIARIES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20" w:type="dxa"/>
            <w:vAlign w:val="bottom"/>
            <w:gridSpan w:val="2"/>
          </w:tcPr>
          <w:p>
            <w:pPr>
              <w:jc w:val="center"/>
              <w:ind w:right="990"/>
              <w:spacing w:after="0"/>
              <w:rPr>
                <w:sz w:val="20"/>
                <w:szCs w:val="20"/>
                <w:color w:val="auto"/>
              </w:rPr>
            </w:pPr>
            <w:r>
              <w:rPr>
                <w:rFonts w:ascii="Arial" w:cs="Arial" w:eastAsia="Arial" w:hAnsi="Arial"/>
                <w:sz w:val="18"/>
                <w:szCs w:val="18"/>
                <w:color w:val="auto"/>
                <w:w w:val="88"/>
              </w:rPr>
              <w:t>Condensed Consolidated Statements of Operations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20" w:type="dxa"/>
            <w:vAlign w:val="bottom"/>
            <w:gridSpan w:val="2"/>
          </w:tcPr>
          <w:p>
            <w:pPr>
              <w:jc w:val="center"/>
              <w:ind w:right="990"/>
              <w:spacing w:after="0"/>
              <w:rPr>
                <w:sz w:val="20"/>
                <w:szCs w:val="20"/>
                <w:color w:val="auto"/>
              </w:rPr>
            </w:pPr>
            <w:r>
              <w:rPr>
                <w:rFonts w:ascii="Arial" w:cs="Arial" w:eastAsia="Arial" w:hAnsi="Arial"/>
                <w:sz w:val="18"/>
                <w:szCs w:val="18"/>
                <w:color w:val="auto"/>
                <w:w w:val="90"/>
              </w:rPr>
              <w:t>Three Months Ended July 31,</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20" w:type="dxa"/>
            <w:vAlign w:val="bottom"/>
            <w:gridSpan w:val="2"/>
          </w:tcPr>
          <w:p>
            <w:pPr>
              <w:jc w:val="center"/>
              <w:ind w:right="990"/>
              <w:spacing w:after="0"/>
              <w:rPr>
                <w:sz w:val="20"/>
                <w:szCs w:val="20"/>
                <w:color w:val="auto"/>
              </w:rPr>
            </w:pPr>
            <w:r>
              <w:rPr>
                <w:rFonts w:ascii="Arial" w:cs="Arial" w:eastAsia="Arial" w:hAnsi="Arial"/>
                <w:sz w:val="18"/>
                <w:szCs w:val="18"/>
                <w:color w:val="auto"/>
                <w:w w:val="91"/>
              </w:rPr>
              <w:t>(Unaudited)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Arial" w:cs="Arial" w:eastAsia="Arial" w:hAnsi="Arial"/>
                <w:sz w:val="18"/>
                <w:szCs w:val="18"/>
                <w:color w:val="auto"/>
                <w:w w:val="98"/>
              </w:rPr>
              <w:t>(In thousands except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5620" w:type="dxa"/>
            <w:vAlign w:val="bottom"/>
            <w:gridSpan w:val="2"/>
            <w:shd w:val="clear" w:color="auto" w:fill="CCFFCC"/>
          </w:tcPr>
          <w:p>
            <w:pPr>
              <w:ind w:left="5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12,442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revenues</w:t>
            </w:r>
          </w:p>
        </w:tc>
        <w:tc>
          <w:tcPr>
            <w:tcW w:w="5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4,301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 (loss)</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 income</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 income, net</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CCFFCC"/>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Income (Loss) before benefit for income taxes</w:t>
            </w: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CCFFCC"/>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5620" w:type="dxa"/>
            <w:vAlign w:val="bottom"/>
            <w:gridSpan w:val="2"/>
          </w:tcPr>
          <w:p>
            <w:pPr>
              <w:ind w:left="5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5620" w:type="dxa"/>
            <w:vAlign w:val="bottom"/>
            <w:gridSpan w:val="2"/>
            <w:shd w:val="clear" w:color="auto" w:fill="CCFFCC"/>
          </w:tcPr>
          <w:p>
            <w:pPr>
              <w:ind w:left="5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FFCC"/>
            </w:tcBorders>
            <w:shd w:val="clear" w:color="auto" w:fill="CCFFCC"/>
          </w:tcPr>
          <w:p>
            <w:pPr>
              <w:spacing w:after="0" w:line="20" w:lineRule="exact"/>
              <w:rPr>
                <w:sz w:val="1"/>
                <w:szCs w:val="1"/>
                <w:color w:val="auto"/>
              </w:rPr>
            </w:pPr>
          </w:p>
        </w:tc>
        <w:tc>
          <w:tcPr>
            <w:tcW w:w="53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Diluted</w:t>
            </w:r>
          </w:p>
        </w:tc>
        <w:tc>
          <w:tcPr>
            <w:tcW w:w="5620" w:type="dxa"/>
            <w:vAlign w:val="bottom"/>
            <w:gridSpan w:val="2"/>
          </w:tcPr>
          <w:p>
            <w:pPr>
              <w:ind w:left="5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5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Average shares outstanding:</w:t>
            </w: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53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8,164,627</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8,742,086</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Diluted</w:t>
            </w: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8,172,080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8,742,086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4"/>
              </w:rPr>
              <w:t>FREQUENCY ELECTRONICS, INC. and SUBSIDIARIES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89"/>
              </w:rPr>
              <w:t>Condensed Consolidated Statements of Cash Flows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0"/>
              </w:rPr>
              <w:t>Three Months Ended July 31,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1"/>
              </w:rPr>
              <w:t>(Unaudited)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654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charges to earnings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changes in other assets and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FFCC"/>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short-term credit obligations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 transactions, net</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FFCC"/>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4,911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5,662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Interest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55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ind w:right="660"/>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right="660"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2009 and the results of its operations and cash flows for the three months ended July 31, 2009 and 2008. The April 30, 2009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2009 Annual Report to Stockholders. The results of operations for such interim periods are not necessarily indicative of the operating results for the full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540" w:type="dxa"/>
            <w:vAlign w:val="bottom"/>
            <w:gridSpan w:val="4"/>
          </w:tcPr>
          <w:p>
            <w:pPr>
              <w:ind w:left="180"/>
              <w:spacing w:after="0"/>
              <w:rPr>
                <w:sz w:val="20"/>
                <w:szCs w:val="20"/>
                <w:color w:val="auto"/>
              </w:rPr>
            </w:pPr>
            <w:r>
              <w:rPr>
                <w:rFonts w:ascii="Arial" w:cs="Arial" w:eastAsia="Arial" w:hAnsi="Arial"/>
                <w:sz w:val="18"/>
                <w:szCs w:val="18"/>
                <w:color w:val="auto"/>
              </w:rPr>
              <w:t>Three months ended July 31,</w:t>
            </w: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8,164,627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8,742,086</w:t>
            </w:r>
          </w:p>
        </w:tc>
        <w:tc>
          <w:tcPr>
            <w:tcW w:w="8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1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8,172,080</w:t>
            </w:r>
          </w:p>
        </w:tc>
        <w:tc>
          <w:tcPr>
            <w:tcW w:w="18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8,742,086</w:t>
            </w:r>
          </w:p>
        </w:tc>
        <w:tc>
          <w:tcPr>
            <w:tcW w:w="8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Dilutive securities are excluded for the three-month period ended July 31, 2008 since the inclusion of such shares would be antidilutive due to the net loss for the period then ended.</w:t>
      </w:r>
    </w:p>
    <w:p>
      <w:pPr>
        <w:spacing w:after="0" w:line="197" w:lineRule="exact"/>
        <w:rPr>
          <w:sz w:val="20"/>
          <w:szCs w:val="20"/>
          <w:color w:val="auto"/>
        </w:rPr>
      </w:pPr>
    </w:p>
    <w:p>
      <w:pPr>
        <w:jc w:val="both"/>
        <w:ind w:right="660" w:firstLine="648"/>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with an exercise price in excess of the average market price of the Company’s common shares during the periods presented. The inclusion of such options in the computation of earnings per share would have been antidilutive. The number of excluded options for the three months ended July 31, 2009 and 2008 were 1,325,525 and 1,408,675,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w:t>
      </w:r>
    </w:p>
    <w:p>
      <w:pPr>
        <w:spacing w:after="0" w:line="252" w:lineRule="exact"/>
        <w:rPr>
          <w:sz w:val="20"/>
          <w:szCs w:val="20"/>
          <w:color w:val="auto"/>
        </w:rPr>
      </w:pPr>
    </w:p>
    <w:p>
      <w:pPr>
        <w:jc w:val="both"/>
        <w:ind w:right="660" w:firstLine="648"/>
        <w:spacing w:after="0" w:line="286" w:lineRule="auto"/>
        <w:rPr>
          <w:sz w:val="20"/>
          <w:szCs w:val="20"/>
          <w:color w:val="auto"/>
        </w:rPr>
      </w:pPr>
      <w:r>
        <w:rPr>
          <w:rFonts w:ascii="Arial" w:cs="Arial" w:eastAsia="Arial" w:hAnsi="Arial"/>
          <w:sz w:val="17"/>
          <w:szCs w:val="17"/>
          <w:color w:val="auto"/>
        </w:rPr>
        <w:t>At July 31, 2009 and April 30, 2009 costs and estimated earnings in excess of billings on uncompleted contracts accounted for on the percentage of completion basis were approximately $3,083,000 and $2,193,000, respectively. Such amounts represent revenue recognized on long-term contracts that had not been billed at the balance sheet dates. Such amounts are billed pursuant to contract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52" w:lineRule="exact"/>
        <w:rPr>
          <w:sz w:val="20"/>
          <w:szCs w:val="20"/>
          <w:color w:val="auto"/>
        </w:rPr>
      </w:pPr>
    </w:p>
    <w:p>
      <w:pPr>
        <w:jc w:val="both"/>
        <w:ind w:right="640" w:firstLine="648"/>
        <w:spacing w:after="0" w:line="277" w:lineRule="auto"/>
        <w:rPr>
          <w:sz w:val="20"/>
          <w:szCs w:val="20"/>
          <w:color w:val="auto"/>
        </w:rPr>
      </w:pPr>
      <w:r>
        <w:rPr>
          <w:rFonts w:ascii="Arial" w:cs="Arial" w:eastAsia="Arial" w:hAnsi="Arial"/>
          <w:sz w:val="18"/>
          <w:szCs w:val="18"/>
          <w:color w:val="auto"/>
        </w:rPr>
        <w:t>Inventories, which are reported net of reserves of $4,701,000 and $4,596,000 at July 31, 2009 and April 30, 2009, respectively, consist of the following:</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July 31, 2009</w:t>
            </w:r>
          </w:p>
        </w:tc>
        <w:tc>
          <w:tcPr>
            <w:tcW w:w="16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April 30, 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740" w:type="dxa"/>
            <w:vAlign w:val="bottom"/>
            <w:gridSpan w:val="2"/>
          </w:tcPr>
          <w:p>
            <w:pPr>
              <w:jc w:val="right"/>
              <w:ind w:right="70"/>
              <w:spacing w:after="0"/>
              <w:rPr>
                <w:sz w:val="20"/>
                <w:szCs w:val="20"/>
                <w:color w:val="auto"/>
              </w:rPr>
            </w:pPr>
            <w:r>
              <w:rPr>
                <w:rFonts w:ascii="Arial" w:cs="Arial" w:eastAsia="Arial" w:hAnsi="Arial"/>
                <w:sz w:val="16"/>
                <w:szCs w:val="16"/>
                <w:color w:val="auto"/>
                <w:w w:val="70"/>
              </w:rPr>
              <w:t>thousands)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12,879</w:t>
            </w: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2,270</w:t>
            </w:r>
          </w:p>
        </w:tc>
        <w:tc>
          <w:tcPr>
            <w:tcW w:w="160" w:type="dxa"/>
            <w:vAlign w:val="bottom"/>
            <w:tcBorders>
              <w:bottom w:val="single" w:sz="8" w:color="CCFFCC"/>
            </w:tcBorders>
            <w:shd w:val="clear" w:color="auto" w:fill="CCFFCC"/>
          </w:tcPr>
          <w:p>
            <w:pPr>
              <w:spacing w:after="0"/>
              <w:rPr>
                <w:sz w:val="19"/>
                <w:szCs w:val="19"/>
                <w:color w:val="auto"/>
              </w:rPr>
            </w:pPr>
          </w:p>
        </w:tc>
        <w:tc>
          <w:tcPr>
            <w:tcW w:w="58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26,589</w:t>
            </w:r>
          </w:p>
        </w:tc>
        <w:tc>
          <w:tcPr>
            <w:tcW w:w="1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660" w:firstLine="648"/>
        <w:spacing w:after="0" w:line="323" w:lineRule="auto"/>
        <w:rPr>
          <w:sz w:val="20"/>
          <w:szCs w:val="20"/>
          <w:color w:val="auto"/>
        </w:rPr>
      </w:pPr>
      <w:r>
        <w:rPr>
          <w:rFonts w:ascii="Arial" w:cs="Arial" w:eastAsia="Arial" w:hAnsi="Arial"/>
          <w:sz w:val="16"/>
          <w:szCs w:val="16"/>
          <w:color w:val="auto"/>
        </w:rPr>
        <w:t>As of July 31, 2009 and April 30, 2009, approximately $18.1 million and $18.0 million, respectively, of total inventory is located in the United States, approximately $7.4 million and $6.8 million, respectively, is in Belgium and $1.1 million and $1.2 million, respectively, is in China.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July 31, 2009 and 2008, comprehensive income (loss) is composed of:</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Three months ended July 31,</w:t>
            </w: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rPr>
              <w:t>(in thousands)</w:t>
            </w: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2008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3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w:t>
            </w:r>
          </w:p>
        </w:tc>
        <w:tc>
          <w:tcPr>
            <w:tcW w:w="6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( 773)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w w:val="90"/>
              </w:rPr>
              <w:t>Change in market value of marketable securities</w:t>
            </w:r>
          </w:p>
        </w:tc>
        <w:tc>
          <w:tcPr>
            <w:tcW w:w="34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r>
      <w:tr>
        <w:trPr>
          <w:trHeight w:val="202"/>
        </w:trPr>
        <w:tc>
          <w:tcPr>
            <w:tcW w:w="2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1"/>
              </w:rPr>
              <w:t>Deferred tax effect of change in market value of</w:t>
            </w:r>
          </w:p>
        </w:tc>
        <w:tc>
          <w:tcPr>
            <w:tcW w:w="3580" w:type="dxa"/>
            <w:vAlign w:val="bottom"/>
            <w:gridSpan w:val="2"/>
          </w:tcPr>
          <w:p>
            <w:pPr>
              <w:jc w:val="right"/>
              <w:ind w:right="780"/>
              <w:spacing w:after="0" w:line="201" w:lineRule="exact"/>
              <w:rPr>
                <w:sz w:val="20"/>
                <w:szCs w:val="20"/>
                <w:color w:val="auto"/>
              </w:rPr>
            </w:pPr>
            <w:r>
              <w:rPr>
                <w:rFonts w:ascii="Arial" w:cs="Arial" w:eastAsia="Arial" w:hAnsi="Arial"/>
                <w:sz w:val="18"/>
                <w:szCs w:val="18"/>
                <w:color w:val="auto"/>
                <w:w w:val="91"/>
              </w:rPr>
              <w:t>marketable securities (net of valuation</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allowance on deferred tax assets)</w:t>
            </w: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Comprehensive income (loss)</w:t>
            </w:r>
          </w:p>
        </w:tc>
        <w:tc>
          <w:tcPr>
            <w:tcW w:w="3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1,349</w:t>
            </w:r>
          </w:p>
        </w:tc>
        <w:tc>
          <w:tcPr>
            <w:tcW w:w="6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( 780)</w:t>
            </w: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34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3" w:lineRule="exact"/>
        <w:rPr>
          <w:sz w:val="20"/>
          <w:szCs w:val="20"/>
          <w:color w:val="auto"/>
        </w:rPr>
      </w:pPr>
    </w:p>
    <w:p>
      <w:pPr>
        <w:jc w:val="both"/>
        <w:ind w:left="660" w:hanging="304"/>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660" w:hanging="30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9" w:lineRule="exact"/>
        <w:rPr>
          <w:rFonts w:ascii="Arial" w:cs="Arial" w:eastAsia="Arial" w:hAnsi="Arial"/>
          <w:sz w:val="18"/>
          <w:szCs w:val="18"/>
          <w:color w:val="auto"/>
        </w:rPr>
      </w:pPr>
    </w:p>
    <w:p>
      <w:pPr>
        <w:jc w:val="both"/>
        <w:ind w:left="660" w:hanging="304"/>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FEI-Zyfer - the products of the Company’s subsidiary incorporate Global Positioning System (GPS) technologies into systems and subsystems for secure communications, both government and commercial, and other locator applications. Beginning in fiscal year 2009, this segment assumed responsibility for marketing, sales and support of the Company’s wireline synchronization products for the U.S. telecommunications market.</w:t>
      </w:r>
    </w:p>
    <w:p>
      <w:pPr>
        <w:spacing w:after="0" w:line="18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which functions primarily as a manufacturing facility for the FEI-NY segment.</w:t>
      </w:r>
    </w:p>
    <w:p>
      <w:pPr>
        <w:spacing w:after="0" w:line="19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197" w:lineRule="exact"/>
        <w:rPr>
          <w:sz w:val="20"/>
          <w:szCs w:val="20"/>
          <w:color w:val="auto"/>
        </w:rPr>
      </w:pPr>
    </w:p>
    <w:p>
      <w:pPr>
        <w:ind w:right="660" w:firstLine="648"/>
        <w:spacing w:after="0" w:line="258"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360" w:type="dxa"/>
            <w:vAlign w:val="bottom"/>
            <w:gridSpan w:val="6"/>
          </w:tcPr>
          <w:p>
            <w:pPr>
              <w:jc w:val="right"/>
              <w:ind w:right="180"/>
              <w:spacing w:after="0" w:line="203" w:lineRule="exact"/>
              <w:rPr>
                <w:sz w:val="20"/>
                <w:szCs w:val="20"/>
                <w:color w:val="auto"/>
              </w:rPr>
            </w:pPr>
            <w:r>
              <w:rPr>
                <w:rFonts w:ascii="Arial" w:cs="Arial" w:eastAsia="Arial" w:hAnsi="Arial"/>
                <w:sz w:val="18"/>
                <w:szCs w:val="18"/>
                <w:color w:val="auto"/>
                <w:w w:val="92"/>
              </w:rPr>
              <w:t>Three months ended July 31,</w:t>
            </w:r>
          </w:p>
        </w:tc>
        <w:tc>
          <w:tcPr>
            <w:tcW w:w="11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3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FEI-NY</w:t>
            </w:r>
          </w:p>
        </w:tc>
        <w:tc>
          <w:tcPr>
            <w:tcW w:w="3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7,065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8,844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3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2,474</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intercompany revenues</w:t>
            </w:r>
          </w:p>
        </w:tc>
        <w:tc>
          <w:tcPr>
            <w:tcW w:w="3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(1,346)</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(703)</w:t>
            </w:r>
          </w:p>
        </w:tc>
        <w:tc>
          <w:tcPr>
            <w:tcW w:w="1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368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Consolidated Revenues</w:t>
            </w:r>
          </w:p>
        </w:tc>
        <w:tc>
          <w:tcPr>
            <w:tcW w:w="3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12,442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13,063</w:t>
            </w:r>
          </w:p>
        </w:tc>
        <w:tc>
          <w:tcPr>
            <w:tcW w:w="1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Operating profit (loss):</w:t>
            </w:r>
          </w:p>
        </w:tc>
        <w:tc>
          <w:tcPr>
            <w:tcW w:w="3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FEI-NY</w:t>
            </w:r>
          </w:p>
        </w:tc>
        <w:tc>
          <w:tcPr>
            <w:tcW w:w="3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3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36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w:t>
            </w:r>
          </w:p>
        </w:tc>
        <w:tc>
          <w:tcPr>
            <w:tcW w:w="1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368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Consolidated Operating Profit (Loss)</w:t>
            </w:r>
          </w:p>
        </w:tc>
        <w:tc>
          <w:tcPr>
            <w:tcW w:w="3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(1,290)</w:t>
            </w:r>
          </w:p>
        </w:tc>
        <w:tc>
          <w:tcPr>
            <w:tcW w:w="1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00" w:type="dxa"/>
            <w:vAlign w:val="bottom"/>
            <w:gridSpan w:val="2"/>
          </w:tcPr>
          <w:p>
            <w:pPr>
              <w:jc w:val="right"/>
              <w:ind w:right="2090"/>
              <w:spacing w:after="0"/>
              <w:rPr>
                <w:sz w:val="20"/>
                <w:szCs w:val="20"/>
                <w:color w:val="auto"/>
              </w:rPr>
            </w:pPr>
            <w:r>
              <w:rPr>
                <w:rFonts w:ascii="Arial" w:cs="Arial" w:eastAsia="Arial" w:hAnsi="Arial"/>
                <w:sz w:val="18"/>
                <w:szCs w:val="18"/>
                <w:color w:val="auto"/>
              </w:rPr>
              <w:t>7 of 19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July 31, 2009</w:t>
            </w:r>
          </w:p>
        </w:tc>
        <w:tc>
          <w:tcPr>
            <w:tcW w:w="1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2009</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2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FEI-NY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40,469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39,658</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19,379</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17,615</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8,931</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8,672</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intercompany balances</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(18,955)</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(17,853)</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30,046</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29,828</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79,870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77,920</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52" w:lineRule="exact"/>
        <w:rPr>
          <w:sz w:val="20"/>
          <w:szCs w:val="20"/>
          <w:color w:val="auto"/>
        </w:rPr>
      </w:pPr>
    </w:p>
    <w:p>
      <w:pPr>
        <w:jc w:val="both"/>
        <w:ind w:right="660" w:firstLine="648"/>
        <w:spacing w:after="0" w:line="259" w:lineRule="auto"/>
        <w:rPr>
          <w:sz w:val="20"/>
          <w:szCs w:val="20"/>
          <w:color w:val="auto"/>
        </w:rPr>
      </w:pPr>
      <w:r>
        <w:rPr>
          <w:rFonts w:ascii="Arial" w:cs="Arial" w:eastAsia="Arial" w:hAnsi="Arial"/>
          <w:sz w:val="18"/>
          <w:szCs w:val="18"/>
          <w:color w:val="auto"/>
        </w:rPr>
        <w:t>The Company has an equity interest in two strategically important companies: Elcom Technologies, Inc. (“Elcom”) and Morion Inc. (“Morion”). During the three month periods ended July 31, 2009 and 2008, the Company acquired technical services from Elcom, purchased crystal oscillator products from Morion and sold certain of its products to both companies. The Company also receives interest from Elcom under a convertible note receivable. The table below summarizes these transactions: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ind w:left="80"/>
              <w:spacing w:after="0"/>
              <w:rPr>
                <w:sz w:val="20"/>
                <w:szCs w:val="20"/>
                <w:color w:val="auto"/>
              </w:rPr>
            </w:pPr>
            <w:r>
              <w:rPr>
                <w:rFonts w:ascii="Arial" w:cs="Arial" w:eastAsia="Arial" w:hAnsi="Arial"/>
                <w:sz w:val="18"/>
                <w:szCs w:val="18"/>
                <w:color w:val="auto"/>
              </w:rPr>
              <w:t>Three months ended July 31,</w:t>
            </w:r>
          </w:p>
        </w:tc>
      </w:tr>
      <w:tr>
        <w:trPr>
          <w:trHeight w:val="237"/>
        </w:trPr>
        <w:tc>
          <w:tcPr>
            <w:tcW w:w="4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6"/>
        </w:trPr>
        <w:tc>
          <w:tcPr>
            <w:tcW w:w="4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820" w:type="dxa"/>
            <w:vAlign w:val="bottom"/>
            <w:gridSpan w:val="2"/>
          </w:tcPr>
          <w:p>
            <w:pPr>
              <w:jc w:val="right"/>
              <w:ind w:right="110"/>
              <w:spacing w:after="0"/>
              <w:rPr>
                <w:sz w:val="20"/>
                <w:szCs w:val="20"/>
                <w:color w:val="auto"/>
              </w:rPr>
            </w:pPr>
            <w:r>
              <w:rPr>
                <w:rFonts w:ascii="Arial" w:cs="Arial" w:eastAsia="Arial" w:hAnsi="Arial"/>
                <w:sz w:val="17"/>
                <w:szCs w:val="17"/>
                <w:color w:val="auto"/>
                <w:w w:val="71"/>
              </w:rPr>
              <w:t>thousands)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2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40" w:type="dxa"/>
            <w:vAlign w:val="bottom"/>
          </w:tcPr>
          <w:p>
            <w:pPr>
              <w:ind w:left="320"/>
              <w:spacing w:after="0"/>
              <w:rPr>
                <w:sz w:val="20"/>
                <w:szCs w:val="20"/>
                <w:color w:val="auto"/>
              </w:rPr>
            </w:pPr>
            <w:r>
              <w:rPr>
                <w:rFonts w:ascii="Arial" w:cs="Arial" w:eastAsia="Arial" w:hAnsi="Arial"/>
                <w:sz w:val="18"/>
                <w:szCs w:val="18"/>
                <w:color w:val="auto"/>
              </w:rPr>
              <w:t>Elcom</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5"/>
              <w:spacing w:after="0"/>
              <w:rPr>
                <w:sz w:val="20"/>
                <w:szCs w:val="20"/>
                <w:color w:val="auto"/>
              </w:rPr>
            </w:pPr>
            <w:r>
              <w:rPr>
                <w:rFonts w:ascii="Arial" w:cs="Arial" w:eastAsia="Arial" w:hAnsi="Arial"/>
                <w:sz w:val="18"/>
                <w:szCs w:val="18"/>
                <w:color w:val="auto"/>
              </w:rPr>
              <w:t>6</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r>
      <w:tr>
        <w:trPr>
          <w:trHeight w:val="216"/>
        </w:trPr>
        <w:tc>
          <w:tcPr>
            <w:tcW w:w="4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Morion</w:t>
            </w:r>
          </w:p>
        </w:tc>
        <w:tc>
          <w:tcPr>
            <w:tcW w:w="2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75"/>
              <w:spacing w:after="0"/>
              <w:rPr>
                <w:sz w:val="20"/>
                <w:szCs w:val="20"/>
                <w:color w:val="auto"/>
              </w:rPr>
            </w:pPr>
            <w:r>
              <w:rPr>
                <w:rFonts w:ascii="Arial" w:cs="Arial" w:eastAsia="Arial" w:hAnsi="Arial"/>
                <w:sz w:val="18"/>
                <w:szCs w:val="18"/>
                <w:color w:val="auto"/>
              </w:rPr>
              <w:t>166</w:t>
            </w:r>
          </w:p>
        </w:tc>
        <w:tc>
          <w:tcPr>
            <w:tcW w:w="66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Sales to:</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Elcom</w:t>
            </w:r>
          </w:p>
        </w:tc>
        <w:tc>
          <w:tcPr>
            <w:tcW w:w="2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4440" w:type="dxa"/>
            <w:vAlign w:val="bottom"/>
          </w:tcPr>
          <w:p>
            <w:pPr>
              <w:ind w:left="320"/>
              <w:spacing w:after="0"/>
              <w:rPr>
                <w:sz w:val="20"/>
                <w:szCs w:val="20"/>
                <w:color w:val="auto"/>
              </w:rPr>
            </w:pPr>
            <w:r>
              <w:rPr>
                <w:rFonts w:ascii="Arial" w:cs="Arial" w:eastAsia="Arial" w:hAnsi="Arial"/>
                <w:sz w:val="18"/>
                <w:szCs w:val="18"/>
                <w:color w:val="auto"/>
              </w:rPr>
              <w:t>Morion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5"/>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 receivable</w:t>
            </w:r>
          </w:p>
        </w:tc>
        <w:tc>
          <w:tcPr>
            <w:tcW w:w="2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2009 and April 30, 2009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July 31,</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2009</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7"/>
                <w:szCs w:val="17"/>
                <w:color w:val="auto"/>
              </w:rPr>
            </w:pPr>
          </w:p>
        </w:tc>
        <w:tc>
          <w:tcPr>
            <w:tcW w:w="12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7"/>
                <w:szCs w:val="17"/>
                <w:color w:val="auto"/>
              </w:rPr>
            </w:pPr>
          </w:p>
        </w:tc>
        <w:tc>
          <w:tcPr>
            <w:tcW w:w="10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164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10,165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10,008</w:t>
            </w:r>
          </w:p>
        </w:tc>
        <w:tc>
          <w:tcPr>
            <w:tcW w:w="1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64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3800" w:type="dxa"/>
            <w:vAlign w:val="bottom"/>
            <w:shd w:val="clear" w:color="auto" w:fill="CCFFCC"/>
          </w:tcPr>
          <w:p>
            <w:pPr>
              <w:spacing w:after="0"/>
              <w:rPr>
                <w:sz w:val="20"/>
                <w:szCs w:val="20"/>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10,615</w:t>
            </w: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10,321</w:t>
            </w:r>
          </w:p>
        </w:tc>
        <w:tc>
          <w:tcPr>
            <w:tcW w:w="164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3"/>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8"/>
                <w:szCs w:val="18"/>
                <w:color w:val="auto"/>
              </w:rPr>
              <w:t>April 30, 2009</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7"/>
                <w:szCs w:val="17"/>
                <w:color w:val="auto"/>
              </w:rPr>
            </w:pPr>
          </w:p>
        </w:tc>
        <w:tc>
          <w:tcPr>
            <w:tcW w:w="12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7"/>
                <w:szCs w:val="17"/>
                <w:color w:val="auto"/>
              </w:rPr>
            </w:pPr>
          </w:p>
        </w:tc>
        <w:tc>
          <w:tcPr>
            <w:tcW w:w="10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164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10,165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9,640</w:t>
            </w:r>
          </w:p>
        </w:tc>
        <w:tc>
          <w:tcPr>
            <w:tcW w:w="1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164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3800" w:type="dxa"/>
            <w:vAlign w:val="bottom"/>
            <w:shd w:val="clear" w:color="auto" w:fill="CCFFCC"/>
          </w:tcPr>
          <w:p>
            <w:pPr>
              <w:spacing w:after="0"/>
              <w:rPr>
                <w:sz w:val="20"/>
                <w:szCs w:val="20"/>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10,615</w:t>
            </w: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9,998</w:t>
            </w:r>
          </w:p>
        </w:tc>
        <w:tc>
          <w:tcPr>
            <w:tcW w:w="164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8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601"/>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right"/>
              <w:ind w:right="1160"/>
              <w:spacing w:after="0"/>
              <w:rPr>
                <w:sz w:val="20"/>
                <w:szCs w:val="20"/>
                <w:color w:val="auto"/>
              </w:rPr>
            </w:pPr>
            <w:r>
              <w:rPr>
                <w:rFonts w:ascii="Arial" w:cs="Arial" w:eastAsia="Arial" w:hAnsi="Arial"/>
                <w:sz w:val="18"/>
                <w:szCs w:val="18"/>
                <w:color w:val="auto"/>
              </w:rPr>
              <w:t>8 of 19</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640"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8"/>
                <w:szCs w:val="18"/>
                <w:color w:val="auto"/>
              </w:rPr>
              <w:t>12 Months or more</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Borders>
              <w:top w:val="single" w:sz="8" w:color="auto"/>
            </w:tcBorders>
          </w:tcPr>
          <w:p>
            <w:pPr>
              <w:jc w:val="right"/>
              <w:ind w:right="99"/>
              <w:spacing w:after="0" w:line="201" w:lineRule="exact"/>
              <w:rPr>
                <w:sz w:val="20"/>
                <w:szCs w:val="20"/>
                <w:color w:val="auto"/>
              </w:rPr>
            </w:pPr>
            <w:r>
              <w:rPr>
                <w:rFonts w:ascii="Arial" w:cs="Arial" w:eastAsia="Arial" w:hAnsi="Arial"/>
                <w:sz w:val="18"/>
                <w:szCs w:val="18"/>
                <w:color w:val="auto"/>
              </w:rPr>
              <w:t>Fair</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Unrealized</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88"/>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rPr>
              <w:t>Fair</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Losses</w:t>
            </w:r>
          </w:p>
        </w:tc>
      </w:tr>
      <w:tr>
        <w:trPr>
          <w:trHeight w:val="196"/>
        </w:trPr>
        <w:tc>
          <w:tcPr>
            <w:tcW w:w="88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auto"/>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1"/>
              </w:rPr>
              <w:t>July 31, 2009</w:t>
            </w:r>
          </w:p>
        </w:tc>
        <w:tc>
          <w:tcPr>
            <w:tcW w:w="1040" w:type="dxa"/>
            <w:vAlign w:val="bottom"/>
            <w:tcBorders>
              <w:bottom w:val="single" w:sz="8" w:color="CCFFCC"/>
            </w:tcBorders>
            <w:gridSpan w:val="2"/>
            <w:shd w:val="clear" w:color="auto" w:fill="CCFFCC"/>
          </w:tcPr>
          <w:p>
            <w:pPr>
              <w:spacing w:after="0"/>
              <w:rPr>
                <w:sz w:val="17"/>
                <w:szCs w:val="17"/>
                <w:color w:val="auto"/>
              </w:rPr>
            </w:pPr>
          </w:p>
        </w:tc>
        <w:tc>
          <w:tcPr>
            <w:tcW w:w="840" w:type="dxa"/>
            <w:vAlign w:val="bottom"/>
            <w:tcBorders>
              <w:top w:val="single" w:sz="8" w:color="auto"/>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20" w:type="dxa"/>
            <w:vAlign w:val="bottom"/>
            <w:tcBorders>
              <w:top w:val="single" w:sz="8" w:color="auto"/>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CCFFCC"/>
            </w:tcBorders>
            <w:shd w:val="clear" w:color="auto" w:fill="CCFFCC"/>
          </w:tcPr>
          <w:p>
            <w:pPr>
              <w:spacing w:after="0"/>
              <w:rPr>
                <w:sz w:val="17"/>
                <w:szCs w:val="17"/>
                <w:color w:val="auto"/>
              </w:rPr>
            </w:pPr>
          </w:p>
        </w:tc>
        <w:tc>
          <w:tcPr>
            <w:tcW w:w="900" w:type="dxa"/>
            <w:vAlign w:val="bottom"/>
            <w:tcBorders>
              <w:top w:val="single" w:sz="8" w:color="auto"/>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80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r>
      <w:tr>
        <w:trPr>
          <w:trHeight w:val="216"/>
        </w:trPr>
        <w:tc>
          <w:tcPr>
            <w:tcW w:w="2940" w:type="dxa"/>
            <w:vAlign w:val="bottom"/>
            <w:gridSpan w:val="5"/>
          </w:tcPr>
          <w:p>
            <w:pPr>
              <w:spacing w:after="0"/>
              <w:rPr>
                <w:sz w:val="20"/>
                <w:szCs w:val="20"/>
                <w:color w:val="auto"/>
              </w:rPr>
            </w:pPr>
            <w:r>
              <w:rPr>
                <w:rFonts w:ascii="Arial" w:cs="Arial" w:eastAsia="Arial" w:hAnsi="Arial"/>
                <w:sz w:val="18"/>
                <w:szCs w:val="18"/>
                <w:color w:val="auto"/>
              </w:rPr>
              <w:t>Fixed Income Securities</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r>
      <w:tr>
        <w:trPr>
          <w:trHeight w:val="216"/>
        </w:trPr>
        <w:tc>
          <w:tcPr>
            <w:tcW w:w="2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w:t>
            </w:r>
          </w:p>
        </w:tc>
      </w:tr>
      <w:tr>
        <w:trPr>
          <w:trHeight w:val="27"/>
        </w:trPr>
        <w:tc>
          <w:tcPr>
            <w:tcW w:w="88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r>
      <w:tr>
        <w:trPr>
          <w:trHeight w:val="21"/>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880" w:type="dxa"/>
            <w:vAlign w:val="bottom"/>
            <w:tcBorders>
              <w:bottom w:val="single" w:sz="8" w:color="CCFFCC"/>
            </w:tcBorders>
            <w:shd w:val="clear" w:color="auto" w:fill="CCFFCC"/>
          </w:tcPr>
          <w:p>
            <w:pPr>
              <w:spacing w:after="0"/>
              <w:rPr>
                <w:sz w:val="16"/>
                <w:szCs w:val="16"/>
                <w:color w:val="auto"/>
              </w:rPr>
            </w:pPr>
          </w:p>
        </w:tc>
        <w:tc>
          <w:tcPr>
            <w:tcW w:w="1060" w:type="dxa"/>
            <w:vAlign w:val="bottom"/>
            <w:tcBorders>
              <w:bottom w:val="single" w:sz="8" w:color="auto"/>
            </w:tcBorders>
            <w:gridSpan w:val="3"/>
            <w:shd w:val="clear" w:color="auto" w:fill="CCFFCC"/>
          </w:tcPr>
          <w:p>
            <w:pPr>
              <w:jc w:val="center"/>
              <w:spacing w:after="0" w:line="170" w:lineRule="exact"/>
              <w:rPr>
                <w:sz w:val="20"/>
                <w:szCs w:val="20"/>
                <w:color w:val="auto"/>
              </w:rPr>
            </w:pPr>
            <w:r>
              <w:rPr>
                <w:rFonts w:ascii="Arial" w:cs="Arial" w:eastAsia="Arial" w:hAnsi="Arial"/>
                <w:sz w:val="18"/>
                <w:szCs w:val="18"/>
                <w:color w:val="auto"/>
                <w:w w:val="95"/>
              </w:rPr>
              <w:t>April 30, 2009</w:t>
            </w:r>
          </w:p>
        </w:tc>
        <w:tc>
          <w:tcPr>
            <w:tcW w:w="1000" w:type="dxa"/>
            <w:vAlign w:val="bottom"/>
            <w:tcBorders>
              <w:bottom w:val="single" w:sz="8" w:color="CCFFCC"/>
            </w:tcBorders>
            <w:shd w:val="clear" w:color="auto" w:fill="CCFFCC"/>
          </w:tcPr>
          <w:p>
            <w:pPr>
              <w:spacing w:after="0"/>
              <w:rPr>
                <w:sz w:val="16"/>
                <w:szCs w:val="16"/>
                <w:color w:val="auto"/>
              </w:rPr>
            </w:pPr>
          </w:p>
        </w:tc>
        <w:tc>
          <w:tcPr>
            <w:tcW w:w="84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94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90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800" w:type="dxa"/>
            <w:vAlign w:val="bottom"/>
            <w:tcBorders>
              <w:bottom w:val="single" w:sz="8" w:color="CCFFCC"/>
            </w:tcBorders>
            <w:shd w:val="clear" w:color="auto" w:fill="CCFFCC"/>
          </w:tcPr>
          <w:p>
            <w:pPr>
              <w:spacing w:after="0"/>
              <w:rPr>
                <w:sz w:val="16"/>
                <w:szCs w:val="16"/>
                <w:color w:val="auto"/>
              </w:rPr>
            </w:pPr>
          </w:p>
        </w:tc>
        <w:tc>
          <w:tcPr>
            <w:tcW w:w="20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92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r>
      <w:tr>
        <w:trPr>
          <w:trHeight w:val="216"/>
        </w:trPr>
        <w:tc>
          <w:tcPr>
            <w:tcW w:w="2940" w:type="dxa"/>
            <w:vAlign w:val="bottom"/>
            <w:gridSpan w:val="5"/>
          </w:tcPr>
          <w:p>
            <w:pPr>
              <w:spacing w:after="0"/>
              <w:rPr>
                <w:sz w:val="20"/>
                <w:szCs w:val="20"/>
                <w:color w:val="auto"/>
              </w:rPr>
            </w:pPr>
            <w:r>
              <w:rPr>
                <w:rFonts w:ascii="Arial" w:cs="Arial" w:eastAsia="Arial" w:hAnsi="Arial"/>
                <w:sz w:val="18"/>
                <w:szCs w:val="18"/>
                <w:color w:val="auto"/>
              </w:rPr>
              <w:t>Fixed Income Securities</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r>
      <w:tr>
        <w:trPr>
          <w:trHeight w:val="216"/>
        </w:trPr>
        <w:tc>
          <w:tcPr>
            <w:tcW w:w="2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w:t>
            </w:r>
          </w:p>
        </w:tc>
      </w:tr>
      <w:tr>
        <w:trPr>
          <w:trHeight w:val="27"/>
        </w:trPr>
        <w:tc>
          <w:tcPr>
            <w:tcW w:w="88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r>
      <w:tr>
        <w:trPr>
          <w:trHeight w:val="21"/>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20"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2009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each of the three month periods ended July 31, 2009 and 2008, the Company did not sell or redeem any available-for-sale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there were no realized gains or losses included in the determination of net income (loss) for those periods.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July 31, 2009 are as follows, at cost (in thousands):</w:t>
      </w:r>
    </w:p>
    <w:p>
      <w:pPr>
        <w:spacing w:after="0" w:line="33"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586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8,136</w:t>
            </w:r>
          </w:p>
        </w:tc>
        <w:tc>
          <w:tcPr>
            <w:tcW w:w="60" w:type="dxa"/>
            <w:vAlign w:val="bottom"/>
          </w:tcPr>
          <w:p>
            <w:pPr>
              <w:spacing w:after="0"/>
              <w:rPr>
                <w:sz w:val="18"/>
                <w:szCs w:val="18"/>
                <w:color w:val="auto"/>
              </w:rPr>
            </w:pPr>
          </w:p>
        </w:tc>
      </w:tr>
      <w:tr>
        <w:trPr>
          <w:trHeight w:val="223"/>
        </w:trPr>
        <w:tc>
          <w:tcPr>
            <w:tcW w:w="5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6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2,029</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60" w:type="dxa"/>
            <w:vAlign w:val="bottom"/>
          </w:tcPr>
          <w:p>
            <w:pPr>
              <w:spacing w:after="0"/>
              <w:rPr>
                <w:sz w:val="18"/>
                <w:szCs w:val="18"/>
                <w:color w:val="auto"/>
              </w:rPr>
            </w:pPr>
          </w:p>
        </w:tc>
      </w:tr>
      <w:tr>
        <w:trPr>
          <w:trHeight w:val="21"/>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jc w:val="both"/>
        <w:ind w:right="640" w:firstLine="486"/>
        <w:spacing w:after="0" w:line="254" w:lineRule="auto"/>
        <w:rPr>
          <w:sz w:val="20"/>
          <w:szCs w:val="20"/>
          <w:color w:val="auto"/>
        </w:rPr>
      </w:pPr>
      <w:r>
        <w:rPr>
          <w:rFonts w:ascii="Arial" w:cs="Arial" w:eastAsia="Arial" w:hAnsi="Arial"/>
          <w:sz w:val="18"/>
          <w:szCs w:val="18"/>
          <w:color w:val="auto"/>
        </w:rPr>
        <w:t>FAS 157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 157 are described below:</w:t>
      </w:r>
    </w:p>
    <w:p>
      <w:pPr>
        <w:spacing w:after="0" w:line="217" w:lineRule="exact"/>
        <w:rPr>
          <w:sz w:val="20"/>
          <w:szCs w:val="20"/>
          <w:color w:val="auto"/>
        </w:rPr>
      </w:pPr>
    </w:p>
    <w:p>
      <w:pPr>
        <w:ind w:left="138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right="640"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In August 2009, the FASB issued the Codification update No. 2009-05 “Fair Value Measurements and Disclosures” (“ASU 2009-05”). The amendment is to subtopic 820-10, Fair Value Measurements and Disclosures-Overall, for the fair value measurement of liabilities. The purpose of this amendment is to reduce ambiguity in financial reporting when measuring fair value of liabilities. The guidance in the update is effective for the Company during the interim period ending October 31, 2009. The Company is currently evaluating the impact to its financial reporting process of complying with this amendment.</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2009, the FASB approved the “FASB Accounting Standards Codification” (“Codification”) as the single source of authoritative nongovernmental U.S. GAAP to be launched on July 1, 2009. The Codification does not change current U.S. GAAP, but is intended to simplify user access to all authoritative U.S. GAAP by providing all the authoritative literature related to a particular topic in one place. All existing accounting standard documents will be superseded and all other accounting literature not included in the Codification will be considered nonauthoritative. The Codification is effective for interim and annual periods ending after September 15, 2009. The Codification is effective for the Company during the interim period ending October 31, 2009 and will not have an impact on the financial condition or results of operations. The Company is currently evaluating the impact to its financial reporting process of providing Codification references in its public filings.</w:t>
      </w:r>
    </w:p>
    <w:p>
      <w:pPr>
        <w:spacing w:after="0" w:line="205" w:lineRule="exact"/>
        <w:rPr>
          <w:sz w:val="20"/>
          <w:szCs w:val="20"/>
          <w:color w:val="auto"/>
        </w:rPr>
      </w:pPr>
    </w:p>
    <w:p>
      <w:pPr>
        <w:jc w:val="both"/>
        <w:ind w:right="20" w:firstLine="486"/>
        <w:spacing w:after="0" w:line="290" w:lineRule="auto"/>
        <w:rPr>
          <w:sz w:val="20"/>
          <w:szCs w:val="20"/>
          <w:color w:val="auto"/>
        </w:rPr>
      </w:pPr>
      <w:r>
        <w:rPr>
          <w:rFonts w:ascii="Arial" w:cs="Arial" w:eastAsia="Arial" w:hAnsi="Arial"/>
          <w:sz w:val="16"/>
          <w:szCs w:val="16"/>
          <w:color w:val="auto"/>
        </w:rPr>
        <w:t>In June 2009, the FASB issued FAS No. 167, “Amendments to FASB Interpretation No. 46(R)” (“FAS 167”), which modifies how a company determines when an entity that is insufficiently capitalized or is not controlled through voting (or similar rights) should be consolidated. FAS 167 clarifies that the determination of whether a company is required to consolidate an entity is based on, among other things, an entity’s purpose and design and a company’s ability to direct the activities of the entity that most significantly impact the entity’s economic performance. FAS 167 requires an ongoing reassessment of whether a company is the primary beneficiary of a variable interest entity. FAS 167 also requires additional disclosures about a company’s involvement in variable interest entities and any significant changes in risk exposure due to that involvement. FAS 167 is effective for fiscal years beginning after November 15, 2009 and is effective for the Company on May 1, 2010. The Company is currently evaluating the impact that the adoption of FAS 167 will have on the financial condition, results of operations, and disclosures.</w:t>
      </w:r>
    </w:p>
    <w:p>
      <w:pPr>
        <w:spacing w:after="0" w:line="193" w:lineRule="exact"/>
        <w:rPr>
          <w:sz w:val="20"/>
          <w:szCs w:val="20"/>
          <w:color w:val="auto"/>
        </w:rPr>
      </w:pPr>
    </w:p>
    <w:p>
      <w:pPr>
        <w:jc w:val="both"/>
        <w:ind w:right="20" w:firstLine="486"/>
        <w:spacing w:after="0" w:line="273" w:lineRule="auto"/>
        <w:rPr>
          <w:sz w:val="20"/>
          <w:szCs w:val="20"/>
          <w:color w:val="auto"/>
        </w:rPr>
      </w:pPr>
      <w:r>
        <w:rPr>
          <w:rFonts w:ascii="Arial" w:cs="Arial" w:eastAsia="Arial" w:hAnsi="Arial"/>
          <w:sz w:val="17"/>
          <w:szCs w:val="17"/>
          <w:color w:val="auto"/>
        </w:rPr>
        <w:t>In June 2009, the FASB issued FAS No. 166, “Accounting for Transfers of Financial Assets — an amendment of FASB Statement No. 140” (“FAS 166”), which requires additional information regarding transfers of financial assets, including securitization transactions, and where companies have continuing exposure to the risks related to transferred financial assets. FAS 166 eliminates the concept of a “qualifying special-purpose entity,” changes the requirements for derecognizing financial assets, and requires additional disclosures. FAS 166 is effective for fiscal years beginning after November 15, 2009. FAS 166 is effective for the Company on May 1, 2010. The Company does not expect the adoption of FAS 166 will have a material impact on its financial condition, results of operations, and disclosures.</w:t>
      </w:r>
    </w:p>
    <w:p>
      <w:pPr>
        <w:spacing w:after="0" w:line="205"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In May 2009, the FASB issued FAS No. 165, “Subsequent Events” (“FAS 165”), which provides guidance to establish general standards of accounting for and disclosures of events that occur after the balance sheet date but before financial statements are issued or are available to be issued. FAS 165 also requires entities to disclose the date through which subsequent events were evaluated as well as the rationale for why that date was selected. FAS 165 is effective for interim and annual periods ending after June 15, 2009, and accordingly, the Company adopted this standard during the three months ended July 31, 2009. The adoption of FAS 165 did not have a material impact on the financial condition, results of operations, and disclosures of the Company.</w:t>
      </w:r>
    </w:p>
    <w:p>
      <w:pPr>
        <w:spacing w:after="0" w:line="22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April 2009, the FASB issued FASB Staff Position FAS 157-4, </w:t>
      </w:r>
      <w:r>
        <w:rPr>
          <w:rFonts w:ascii="Arial" w:cs="Arial" w:eastAsia="Arial" w:hAnsi="Arial"/>
          <w:sz w:val="18"/>
          <w:szCs w:val="18"/>
          <w:i w:val="1"/>
          <w:iCs w:val="1"/>
          <w:color w:val="auto"/>
        </w:rPr>
        <w:t>Determining Whether a Market Is Not Active and a Transaction Is Not</w:t>
      </w:r>
      <w:r>
        <w:rPr>
          <w:rFonts w:ascii="Arial" w:cs="Arial" w:eastAsia="Arial" w:hAnsi="Arial"/>
          <w:sz w:val="18"/>
          <w:szCs w:val="18"/>
          <w:color w:val="auto"/>
        </w:rPr>
        <w:t xml:space="preserve"> </w:t>
      </w:r>
      <w:r>
        <w:rPr>
          <w:rFonts w:ascii="Arial" w:cs="Arial" w:eastAsia="Arial" w:hAnsi="Arial"/>
          <w:sz w:val="18"/>
          <w:szCs w:val="18"/>
          <w:i w:val="1"/>
          <w:iCs w:val="1"/>
          <w:color w:val="auto"/>
        </w:rPr>
        <w:t>Distressed, (“</w:t>
      </w:r>
      <w:r>
        <w:rPr>
          <w:rFonts w:ascii="Arial" w:cs="Arial" w:eastAsia="Arial" w:hAnsi="Arial"/>
          <w:sz w:val="18"/>
          <w:szCs w:val="18"/>
          <w:color w:val="auto"/>
        </w:rPr>
        <w:t>FSP FAS 157-4”) FSP FAS 157-4 provides guidelines for making fair value measurements more consistent with the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FAS 157. FSP FAS 157-4 provides additional authoritative guidance in determining whether a market is active or inactive, and whether a transaction is distressed, is applicable to all assets and liabilities (i.e. financial and nonfinancial) and will require enhanced disclosures. This FASB Staff Position is effective for periods ending after June 15, 2009. The Company’s adoption of this FASB Staff Position did not impact its financial position, results of operation, or cash flows.</w:t>
      </w:r>
    </w:p>
    <w:p>
      <w:pPr>
        <w:spacing w:after="0" w:line="3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17" w:right="8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In April 2009, the FASB issued FASB Staff Position FAS 115-2, and FAS 124-2, </w:t>
      </w:r>
      <w:r>
        <w:rPr>
          <w:rFonts w:ascii="Arial" w:cs="Arial" w:eastAsia="Arial" w:hAnsi="Arial"/>
          <w:sz w:val="17"/>
          <w:szCs w:val="17"/>
          <w:i w:val="1"/>
          <w:iCs w:val="1"/>
          <w:color w:val="auto"/>
        </w:rPr>
        <w:t>Recognition and Presentation of Other-Than-Temporary</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Impairments</w:t>
      </w:r>
      <w:r>
        <w:rPr>
          <w:rFonts w:ascii="Arial" w:cs="Arial" w:eastAsia="Arial" w:hAnsi="Arial"/>
          <w:sz w:val="17"/>
          <w:szCs w:val="17"/>
          <w:color w:val="auto"/>
        </w:rPr>
        <w:t>, (“FSP FAS 115-2 and FAS 124-2”). FSP FAS 115-2 and FAS 124-2 provide additional guidance to provide greater clarity about the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and noncredit component of an other-than-temporary impairment event and to more effectively communicate when an other-than-temporary impairment event has occurred. This FSP applies to debt securities. The Company adopted this FASB Staff Position during the quarter ended July 31, 2009. Such adoption did not have a material effect on its financial position, results of operation, or cash flows.</w:t>
      </w:r>
    </w:p>
    <w:p>
      <w:pPr>
        <w:spacing w:after="0" w:line="200"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7"/>
          <w:szCs w:val="17"/>
          <w:color w:val="auto"/>
        </w:rPr>
        <w:t xml:space="preserve">In April 2009, the FASB issued FASB Staff Position FAS 107-1 and APB 28-1, </w:t>
      </w:r>
      <w:r>
        <w:rPr>
          <w:rFonts w:ascii="Arial" w:cs="Arial" w:eastAsia="Arial" w:hAnsi="Arial"/>
          <w:sz w:val="17"/>
          <w:szCs w:val="17"/>
          <w:i w:val="1"/>
          <w:iCs w:val="1"/>
          <w:color w:val="auto"/>
        </w:rPr>
        <w:t>Interim Disclosures about Fair Value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(“FSP FAS 107-1 and APB 28-1”). FSP FAS 107-1 and APB 28-1, amends FASB Statement No. 107,</w:t>
      </w:r>
      <w:r>
        <w:rPr>
          <w:rFonts w:ascii="Arial" w:cs="Arial" w:eastAsia="Arial" w:hAnsi="Arial"/>
          <w:sz w:val="17"/>
          <w:szCs w:val="17"/>
          <w:i w:val="1"/>
          <w:iCs w:val="1"/>
          <w:color w:val="auto"/>
        </w:rPr>
        <w:t xml:space="preserve"> Disclosures about Fair Value of Financial Instruments</w:t>
      </w:r>
      <w:r>
        <w:rPr>
          <w:rFonts w:ascii="Arial" w:cs="Arial" w:eastAsia="Arial" w:hAnsi="Arial"/>
          <w:sz w:val="17"/>
          <w:szCs w:val="17"/>
          <w:color w:val="auto"/>
        </w:rPr>
        <w:t>, to require disclosures about fair value of financial instruments in interim as well as in annual financial statements. This FSP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also amends APB Opinion No.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to require those disclosures in all interim financial statements. The effective date for this FASB Staff Position is for interim reporting periods ending after June 15, 2009 thus, the Company adopted the FASB Staff Position in the quarter ended July 31, 2009. Such adoption did not have a material effect on the Company’s financial position, results of operation, or cash flows but does require additional disclosures in the notes to its interim financial statements.</w:t>
      </w:r>
    </w:p>
    <w:p>
      <w:pPr>
        <w:spacing w:after="0" w:line="205"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During calendar year 2008, the FASB issued FASB Staff Positions (“FSP FAS”) 157-1, 157-2, and 157-3. FSP FAS 157-1 amends FAS 157 to exclude FAS No. 13, “Accounting for Leases”, and its related interpretive accounting pronouncements that address leasing transactions, FSP FAS 157-2 delays the effective date of the application of FAS 157 to fiscal years beginning after November 15, 2008 for all nonfinancial assets and nonfinancial liabilities that are recognized or disclosed at fair value in the financial statements on a nonrecurring basis, and FSP FAS 157-3 clarifies how the fair value of a financial asset is determined when the market for that financial asset is inactive.</w:t>
      </w:r>
    </w:p>
    <w:p>
      <w:pPr>
        <w:spacing w:after="0" w:line="20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May 2008, the FASB issued Statement of Financial Accounting Standards No. 162 (“FAS 162”), “The Hierarchy of Generally Accepted Accounting Principles.” FAS 162 identifies the sources of accounting principles and the framework for selecting the principles to be used in the preparation of financial statements of nongovernmental entities that are presented in conformity with U.S. GAAP. FAS 162 will become effective 60 days following the SEC’s approval of the Public Company Accounting Oversight Board amendments to AU Section 411, “The Meaning of Present Fairly in Conformity With Generally Accepted Accounting Principles.” This statement is not expected to change the Company’s current accounting practice.</w:t>
      </w:r>
    </w:p>
    <w:p>
      <w:pPr>
        <w:spacing w:after="0" w:line="220" w:lineRule="exact"/>
        <w:rPr>
          <w:sz w:val="20"/>
          <w:szCs w:val="20"/>
          <w:color w:val="auto"/>
        </w:rPr>
      </w:pPr>
    </w:p>
    <w:p>
      <w:pPr>
        <w:jc w:val="both"/>
        <w:ind w:right="20" w:firstLine="486"/>
        <w:spacing w:after="0" w:line="273" w:lineRule="auto"/>
        <w:rPr>
          <w:sz w:val="20"/>
          <w:szCs w:val="20"/>
          <w:color w:val="auto"/>
        </w:rPr>
      </w:pPr>
      <w:r>
        <w:rPr>
          <w:rFonts w:ascii="Arial" w:cs="Arial" w:eastAsia="Arial" w:hAnsi="Arial"/>
          <w:sz w:val="17"/>
          <w:szCs w:val="17"/>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Company’s adoption of FAS 161 did not have a material impact on its consolidated financial statements since the Company does not engage in hedging activities or acquire derivative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J – SUBSEQUENT EVENTS</w:t>
      </w:r>
    </w:p>
    <w:p>
      <w:pPr>
        <w:spacing w:after="0" w:line="25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 accordance with current accounting standards, subsequent events to the filing date of this Form 10-Q, September 14, 2009, have been evaluated for disclosure or recognition and the Company concluded that no subsequent events have occurred that would require recognition or disclosure in the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three month period ended July 31, 2009, the Company made a contribution of 32,770 shares of its common stock held in treasury to the Company’s profit sharing plan and trust under section 401(k) of the Internal Revenue Code. Such contribution is in accordance with the Company’s discretionary match of employee voluntary contributions to this plan.</w:t>
      </w:r>
    </w:p>
    <w:p>
      <w:pPr>
        <w:spacing w:after="0" w:line="3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17" w:right="8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FREQUENCY ELECTRONICS, INC. and SUBSIDIARIES</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right="20" w:firstLine="486"/>
        <w:spacing w:after="0" w:line="290"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2009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4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17" w:right="8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increases for such estimated reserves are reflected in cost of sales in the period the revision is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The table below sets forth for the respective periods of fiscal years 2010 and 2009 the percentage of consolidated net revenues represented by certain items in the Company’s consolidated statements of operations:</w:t>
      </w:r>
    </w:p>
    <w:tbl>
      <w:tblPr>
        <w:tblLayout w:type="fixed"/>
        <w:tblInd w:w="34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2920" w:type="dxa"/>
            <w:vAlign w:val="bottom"/>
            <w:gridSpan w:val="4"/>
          </w:tcPr>
          <w:p>
            <w:pPr>
              <w:jc w:val="right"/>
              <w:ind w:right="540"/>
              <w:spacing w:after="0" w:line="203" w:lineRule="exact"/>
              <w:rPr>
                <w:sz w:val="20"/>
                <w:szCs w:val="20"/>
                <w:color w:val="auto"/>
              </w:rPr>
            </w:pPr>
            <w:r>
              <w:rPr>
                <w:rFonts w:ascii="Arial" w:cs="Arial" w:eastAsia="Arial" w:hAnsi="Arial"/>
                <w:sz w:val="18"/>
                <w:szCs w:val="18"/>
                <w:color w:val="auto"/>
              </w:rPr>
              <w:t>Three months ended July 31,</w:t>
            </w:r>
          </w:p>
        </w:tc>
      </w:tr>
      <w:tr>
        <w:trPr>
          <w:trHeight w:val="237"/>
        </w:trPr>
        <w:tc>
          <w:tcPr>
            <w:tcW w:w="594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FEI-NY</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67.7%</w:t>
            </w:r>
          </w:p>
        </w:tc>
      </w:tr>
      <w:tr>
        <w:trPr>
          <w:trHeight w:val="216"/>
        </w:trPr>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r>
      <w:tr>
        <w:trPr>
          <w:trHeight w:val="216"/>
        </w:trPr>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w:t>
            </w:r>
          </w:p>
        </w:tc>
      </w:tr>
      <w:tr>
        <w:trPr>
          <w:trHeight w:val="27"/>
        </w:trPr>
        <w:tc>
          <w:tcPr>
            <w:tcW w:w="594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r>
      <w:tr>
        <w:trPr>
          <w:trHeight w:val="216"/>
        </w:trPr>
        <w:tc>
          <w:tcPr>
            <w:tcW w:w="59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65.4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75.6</w:t>
            </w:r>
          </w:p>
        </w:tc>
      </w:tr>
      <w:tr>
        <w:trPr>
          <w:trHeight w:val="27"/>
        </w:trPr>
        <w:tc>
          <w:tcPr>
            <w:tcW w:w="594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r>
      <w:tr>
        <w:trPr>
          <w:trHeight w:val="216"/>
        </w:trPr>
        <w:tc>
          <w:tcPr>
            <w:tcW w:w="5940" w:type="dxa"/>
            <w:vAlign w:val="bottom"/>
          </w:tcPr>
          <w:p>
            <w:pPr>
              <w:jc w:val="right"/>
              <w:ind w:right="1470"/>
              <w:spacing w:after="0"/>
              <w:rPr>
                <w:sz w:val="20"/>
                <w:szCs w:val="20"/>
                <w:color w:val="auto"/>
              </w:rPr>
            </w:pPr>
            <w:r>
              <w:rPr>
                <w:rFonts w:ascii="Arial" w:cs="Arial" w:eastAsia="Arial" w:hAnsi="Arial"/>
                <w:sz w:val="18"/>
                <w:szCs w:val="18"/>
                <w:color w:val="auto"/>
              </w:rPr>
              <w:t>Gross Margin</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r>
      <w:tr>
        <w:trPr>
          <w:trHeight w:val="27"/>
        </w:trPr>
        <w:tc>
          <w:tcPr>
            <w:tcW w:w="59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940" w:type="dxa"/>
            <w:vAlign w:val="bottom"/>
            <w:shd w:val="clear" w:color="auto" w:fill="CCFFCC"/>
          </w:tcPr>
          <w:p>
            <w:pPr>
              <w:jc w:val="right"/>
              <w:ind w:right="1470"/>
              <w:spacing w:after="0"/>
              <w:rPr>
                <w:sz w:val="20"/>
                <w:szCs w:val="20"/>
                <w:color w:val="auto"/>
              </w:rPr>
            </w:pPr>
            <w:r>
              <w:rPr>
                <w:rFonts w:ascii="Arial" w:cs="Arial" w:eastAsia="Arial" w:hAnsi="Arial"/>
                <w:sz w:val="18"/>
                <w:szCs w:val="18"/>
                <w:color w:val="auto"/>
              </w:rPr>
              <w:t>Operating Income (Loss)</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5.3</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Pretax Income (Loss)</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5.3</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7"/>
        </w:trPr>
        <w:tc>
          <w:tcPr>
            <w:tcW w:w="59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5940" w:type="dxa"/>
            <w:vAlign w:val="bottom"/>
            <w:shd w:val="clear" w:color="auto" w:fill="CCFFCC"/>
          </w:tcPr>
          <w:p>
            <w:pPr>
              <w:jc w:val="right"/>
              <w:ind w:right="1470"/>
              <w:spacing w:after="0"/>
              <w:rPr>
                <w:sz w:val="20"/>
                <w:szCs w:val="20"/>
                <w:color w:val="auto"/>
              </w:rPr>
            </w:pPr>
            <w:r>
              <w:rPr>
                <w:rFonts w:ascii="Arial" w:cs="Arial" w:eastAsia="Arial" w:hAnsi="Arial"/>
                <w:sz w:val="18"/>
                <w:szCs w:val="18"/>
                <w:color w:val="auto"/>
              </w:rPr>
              <w:t>Net Income (Loss)</w:t>
            </w:r>
          </w:p>
        </w:tc>
        <w:tc>
          <w:tcPr>
            <w:tcW w:w="1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594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All dollar amounts in following tables are in thousands, except Net Sales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8"/>
                <w:szCs w:val="18"/>
                <w:color w:val="auto"/>
              </w:rPr>
              <w:t>(in millions)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1"/>
        </w:trPr>
        <w:tc>
          <w:tcPr>
            <w:tcW w:w="2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4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8"/>
                <w:szCs w:val="18"/>
                <w:color w:val="auto"/>
                <w:w w:val="89"/>
              </w:rPr>
              <w:t>Three months ended July 31,</w:t>
            </w:r>
          </w:p>
        </w:tc>
        <w:tc>
          <w:tcPr>
            <w:tcW w:w="4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19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1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1.9</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Intersegment sales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2400" w:type="dxa"/>
            <w:vAlign w:val="bottom"/>
            <w:shd w:val="clear" w:color="auto" w:fill="CCFFCC"/>
          </w:tcPr>
          <w:p>
            <w:pPr>
              <w:spacing w:after="0"/>
              <w:rPr>
                <w:sz w:val="20"/>
                <w:szCs w:val="20"/>
                <w:color w:val="auto"/>
              </w:rPr>
            </w:pPr>
          </w:p>
        </w:tc>
        <w:tc>
          <w:tcPr>
            <w:tcW w:w="174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FFCC"/>
          </w:tcPr>
          <w:p>
            <w:pPr>
              <w:spacing w:after="0"/>
              <w:rPr>
                <w:sz w:val="20"/>
                <w:szCs w:val="20"/>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The decrease in revenues for the three month period ended July 31, 2009 compared to the same period of fiscal year 2009, is due to a decrease in revenues from commercial satellite payload programs recorded in the FEI-NY segment and lower non-core revenues from the Gillam-FEI segment. Revenue for the Company’s telecommunication market area increased year-over-year as continuing decreases in revenue from wireless telecommunications customers, generally recorded in the FEI-NY segment, were more than offset by increased revenue from wireline telecommunication customers in both the U.S. and Europe. Sales of the Company’s new US5G productline for the U.S. domestic wireline market are generated by the FEI-Zyfer segment where the sales and customer-support functions are located. Revenues from non-space U.S. Government customers, which are recorded in the FEI-NY and FEI-Zyfer segments, increased by 9% over the prior year primarily due to additional revenues from the Company’s low-g oscillators. During fiscal year 2010, the Company expects revenues from U.S. Government programs to continue at current levels while revenues from commercial satellite programs are uncertain due to</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economic conditions and the availability of funding for commercial projects. </w:t>
      </w:r>
      <w:r>
        <w:rPr>
          <w:rFonts w:ascii="Arial" w:cs="Arial" w:eastAsia="Arial" w:hAnsi="Arial"/>
          <w:sz w:val="21"/>
          <w:szCs w:val="21"/>
          <w:color w:val="auto"/>
        </w:rPr>
        <w:t>Telecommunication infrastructure revenues may also be</w:t>
      </w:r>
      <w:r>
        <w:rPr>
          <w:rFonts w:ascii="Arial" w:cs="Arial" w:eastAsia="Arial" w:hAnsi="Arial"/>
          <w:sz w:val="18"/>
          <w:szCs w:val="18"/>
          <w:color w:val="auto"/>
        </w:rPr>
        <w:t xml:space="preserve"> </w:t>
      </w:r>
      <w:r>
        <w:rPr>
          <w:rFonts w:ascii="Arial" w:cs="Arial" w:eastAsia="Arial" w:hAnsi="Arial"/>
          <w:sz w:val="21"/>
          <w:szCs w:val="21"/>
          <w:color w:val="auto"/>
        </w:rPr>
        <w:t>comparable to the prior year although the mix of sales of wireless and wireline products is expected to change with a greater portion of such revenues coming from the US5G productline and other wireline products. Based on current backlog and the vital role that the Company’s low-g products play in the U.S. military’s weapons systems, sales to non-space U.S. Government programs are also expected to increase over the balance of the fiscal year.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ind w:left="378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Change</w:t>
            </w:r>
          </w:p>
        </w:tc>
        <w:tc>
          <w:tcPr>
            <w:tcW w:w="58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FFCC"/>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8"/>
              </w:rPr>
              <w:t>4,301</w:t>
            </w:r>
          </w:p>
        </w:tc>
        <w:tc>
          <w:tcPr>
            <w:tcW w:w="840" w:type="dxa"/>
            <w:vAlign w:val="bottom"/>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4"/>
              </w:rPr>
              <w:t>3,191</w:t>
            </w:r>
          </w:p>
        </w:tc>
        <w:tc>
          <w:tcPr>
            <w:tcW w:w="4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1,110</w:t>
            </w:r>
          </w:p>
        </w:tc>
        <w:tc>
          <w:tcPr>
            <w:tcW w:w="7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20"/>
                <w:szCs w:val="20"/>
                <w:color w:val="auto"/>
              </w:rPr>
            </w:pPr>
          </w:p>
        </w:tc>
        <w:tc>
          <w:tcPr>
            <w:tcW w:w="2080" w:type="dxa"/>
            <w:vAlign w:val="bottom"/>
            <w:gridSpan w:val="2"/>
          </w:tcPr>
          <w:p>
            <w:pPr>
              <w:jc w:val="right"/>
              <w:ind w:right="1350"/>
              <w:spacing w:after="0"/>
              <w:rPr>
                <w:sz w:val="20"/>
                <w:szCs w:val="20"/>
                <w:color w:val="auto"/>
              </w:rPr>
            </w:pPr>
            <w:r>
              <w:rPr>
                <w:rFonts w:ascii="Arial" w:cs="Arial" w:eastAsia="Arial" w:hAnsi="Arial"/>
                <w:sz w:val="18"/>
                <w:szCs w:val="18"/>
                <w:color w:val="auto"/>
                <w:w w:val="86"/>
              </w:rPr>
              <w:t>GM Rate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in gross margin for the three months ended July 31, 2009, is due to a different mix of product revenues. In the first quarter of fiscal year 2010, the largest satellite programs on which the Company is working are performed under cost-plus-fee contracts which effectively assure that the Company will recognize positive gross margin on these programs. In the fiscal year 2009 period, the Company incurred higher levels of engineering and manufacturing costs on certain large satellite payload programs which significantly reduced the gross margin realized in the quarter. These large programs were completed during fiscal year 2009. The current quarter’s gross margin rate of 34.6% reflects a sequential improvement from the 7% rate recorded in the fourth quarter of fiscal year 2009 or the 30% rate that results from the exclusion of an inventory writedown in that period. At current revenue levels, the Company anticipates that its fiscal year 2010 gross margin rate will be comparable to that of the current period but will be significantly improved over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62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2,567</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3,116</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(549)</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-136525</wp:posOffset>
            </wp:positionV>
            <wp:extent cx="8578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885"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July 31, 2009 and 2008, selling and administrative expenses were 20.6% and 23.9%, respectively, of consolidated revenues. The Company’s target for such expenses is not to exceed 20% of revenues. The decrease in expenses in the fiscal year 2010 period compared to fiscal year 2009 is largely attributable to declines in personnel costs through a reduction in force, reduced professional fees, and lower deferred compensation expense. In addition, fiscal year 2010 expenses from the Gillam-FEI segment benefited from the 13% decline in the value of the Euro to the U.S. dollar compared to the same period of fiscal year 2009. In subsequent quarters of fiscal year 2010, the Company expects selling and administrative expenses to be incurred at approximately the same rate in both dollars and as a percentage of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62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1,075</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1,365</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-136525</wp:posOffset>
            </wp:positionV>
            <wp:extent cx="8578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885"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expenditures represent investments that keep the Company’s products at the leading edge of time and frequency technology and enhance competitiveness for future sales. In the fiscal year 2010 period, a portion of the Company’s development resources were engaged on certain large cost-plus-fee satellite payload programs. As a consequence, some of the Company’s development expenditures were customer-funded thus reducing the level of internal research and development spending. The Company retains a proprietary interest in any products or technologies which result from the customer-funded efforts. Research and development spending for the quarters ended July 31, 2009 and 2008, were 8.7% and 10.4% of revenues, respectively.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including its efforts applied to certain cost-plus-fee satellite payload programs. In fiscal 2010, the Company anticipates that internal research and development spending will be less than 10% of revenues. Internally generated cash and cash reserves are adequate to fund these internal development efforts.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gridSpan w:val="9"/>
          </w:tcPr>
          <w:p>
            <w:pPr>
              <w:jc w:val="center"/>
              <w:ind w:left="570"/>
              <w:spacing w:after="0"/>
              <w:rPr>
                <w:sz w:val="20"/>
                <w:szCs w:val="20"/>
                <w:color w:val="auto"/>
              </w:rPr>
            </w:pPr>
            <w:r>
              <w:rPr>
                <w:rFonts w:ascii="Arial" w:cs="Arial" w:eastAsia="Arial" w:hAnsi="Arial"/>
                <w:sz w:val="18"/>
                <w:szCs w:val="18"/>
                <w:color w:val="auto"/>
                <w:w w:val="94"/>
              </w:rPr>
              <w:t>FREQUENCY ELECTRONICS, INC. and SUBSIDIARIES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(Continued)</w:t>
            </w:r>
          </w:p>
        </w:tc>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960" w:type="dxa"/>
            <w:vAlign w:val="bottom"/>
            <w:gridSpan w:val="4"/>
          </w:tcPr>
          <w:p>
            <w:pPr>
              <w:jc w:val="right"/>
              <w:ind w:right="2160"/>
              <w:spacing w:after="0"/>
              <w:rPr>
                <w:sz w:val="20"/>
                <w:szCs w:val="20"/>
                <w:color w:val="auto"/>
              </w:rPr>
            </w:pPr>
            <w:r>
              <w:rPr>
                <w:rFonts w:ascii="Arial" w:cs="Arial" w:eastAsia="Arial" w:hAnsi="Arial"/>
                <w:sz w:val="18"/>
                <w:szCs w:val="18"/>
                <w:b w:val="1"/>
                <w:bCs w:val="1"/>
                <w:color w:val="auto"/>
                <w:w w:val="90"/>
              </w:rPr>
              <w:t>Operating Profit (Loss)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4"/>
            <w:vMerge w:val="restart"/>
          </w:tcPr>
          <w:p>
            <w:pPr>
              <w:jc w:val="right"/>
              <w:ind w:right="910"/>
              <w:spacing w:after="0"/>
              <w:rPr>
                <w:sz w:val="20"/>
                <w:szCs w:val="20"/>
                <w:color w:val="auto"/>
              </w:rPr>
            </w:pPr>
            <w:r>
              <w:rPr>
                <w:rFonts w:ascii="Arial" w:cs="Arial" w:eastAsia="Arial" w:hAnsi="Arial"/>
                <w:sz w:val="18"/>
                <w:szCs w:val="18"/>
                <w:color w:val="auto"/>
                <w:w w:val="95"/>
              </w:rPr>
              <w:t>Three months ended July 31,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0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2008</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FFCC"/>
          </w:tcPr>
          <w:p>
            <w:pPr>
              <w:jc w:val="right"/>
              <w:ind w:right="380"/>
              <w:spacing w:after="0"/>
              <w:rPr>
                <w:sz w:val="20"/>
                <w:szCs w:val="20"/>
                <w:color w:val="auto"/>
              </w:rPr>
            </w:pPr>
            <w:r>
              <w:rPr>
                <w:rFonts w:ascii="Arial" w:cs="Arial" w:eastAsia="Arial" w:hAnsi="Arial"/>
                <w:sz w:val="18"/>
                <w:szCs w:val="18"/>
                <w:color w:val="auto"/>
              </w:rPr>
              <w:t>(1,290) $</w:t>
            </w:r>
          </w:p>
        </w:tc>
        <w:tc>
          <w:tcPr>
            <w:tcW w:w="154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1,949</w:t>
            </w:r>
          </w:p>
        </w:tc>
        <w:tc>
          <w:tcPr>
            <w:tcW w:w="680" w:type="dxa"/>
            <w:vAlign w:val="bottom"/>
            <w:shd w:val="clear" w:color="auto" w:fill="CCFFCC"/>
          </w:tcPr>
          <w:p>
            <w:pPr>
              <w:ind w:left="380"/>
              <w:spacing w:after="0"/>
              <w:rPr>
                <w:sz w:val="20"/>
                <w:szCs w:val="20"/>
                <w:color w:val="auto"/>
              </w:rPr>
            </w:pPr>
            <w:r>
              <w:rPr>
                <w:rFonts w:ascii="Arial" w:cs="Arial" w:eastAsia="Arial" w:hAnsi="Arial"/>
                <w:sz w:val="18"/>
                <w:szCs w:val="18"/>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-136525</wp:posOffset>
            </wp:positionV>
            <wp:extent cx="892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2175"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improved gross margin and lower operating expenses in the fiscal year 2010 period enabled the Company to record an operating profit equal to 5.3% of revenues. Sequentially, the operating profit for the period ended July 31, 2009, represents a $1.1 million improvement from the quarter ended April 30, 2009, excluding the $2.9 million inventory writedown from that period. The Company anticipates that at the current level of business and having implemented certain cost savings, that it can sustain operating profits at this level. The Company will strive to improve on these results by gaining additional business through increased bookings on its current product lines and expanding its product offerings through its research and development efforts. The Company anticipates that it will generate an operating profit for the full fiscal year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gridSpan w:val="6"/>
            <w:vMerge w:val="restart"/>
          </w:tcPr>
          <w:p>
            <w:pPr>
              <w:jc w:val="right"/>
              <w:ind w:right="1040"/>
              <w:spacing w:after="0"/>
              <w:rPr>
                <w:sz w:val="20"/>
                <w:szCs w:val="20"/>
                <w:color w:val="auto"/>
              </w:rPr>
            </w:pPr>
            <w:r>
              <w:rPr>
                <w:rFonts w:ascii="Arial" w:cs="Arial" w:eastAsia="Arial" w:hAnsi="Arial"/>
                <w:sz w:val="18"/>
                <w:szCs w:val="18"/>
                <w:color w:val="auto"/>
              </w:rPr>
              <w:t>Three months ended July 31,</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vMerge w:val="continue"/>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Change</w:t>
            </w: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1680" w:type="dxa"/>
            <w:vAlign w:val="bottom"/>
            <w:gridSpan w:val="2"/>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w:t>
            </w:r>
          </w:p>
        </w:tc>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rPr>
              <w:t>( 30)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Equity (loss) income</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c>
          <w:tcPr>
            <w:tcW w:w="9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9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( 5)</w:t>
            </w:r>
          </w:p>
        </w:tc>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w:t>
            </w: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rPr>
              <w:t>( 197)</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 levels and the timing of purchases or sales of the securities.</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equity (loss) or income in the fiscal year 2010 and 2009 periods represent the Company’s share of the quarterly income or (loss) recorded by Elcom Technologies in which the Company owns a 25% interest.</w:t>
      </w:r>
    </w:p>
    <w:p>
      <w:pPr>
        <w:spacing w:after="0" w:line="19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decrease in interest expense for the three month period ended July 31, 2009, resulted from both a decrease in borrowings under the Company’s line of credit as well as a lower rate of interest charged on such borrowings compared to the three month period ended July 31, 2008.</w:t>
      </w:r>
    </w:p>
    <w:p>
      <w:pPr>
        <w:spacing w:after="0" w:line="17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Under the provisions of sale and leaseback accounting, a portion of the capital gain realized on a fiscal year 2005 real estate transaction was deferred and recognized in income over the initial lease term. Under the caption “Other income, net” the Company recognized deferred gain of $88,000 for the three months ended July 31, 2008. Since the gain was fully amortized during fiscal year 2009, comparable income was not recorded in the quarter ended July 31,</w:t>
      </w:r>
    </w:p>
    <w:p>
      <w:pPr>
        <w:jc w:val="both"/>
        <w:spacing w:after="0" w:line="261" w:lineRule="auto"/>
        <w:rPr>
          <w:sz w:val="20"/>
          <w:szCs w:val="20"/>
          <w:color w:val="auto"/>
        </w:rPr>
      </w:pPr>
      <w:r>
        <w:rPr>
          <w:rFonts w:ascii="Arial" w:cs="Arial" w:eastAsia="Arial" w:hAnsi="Arial"/>
          <w:sz w:val="18"/>
          <w:szCs w:val="18"/>
          <w:color w:val="auto"/>
        </w:rPr>
        <w:t>2009. In the fiscal year 2010 period, other expense included royalty expense and foreign currency exchange losses at the Company’s overseas subsidiaries. Other insignificant income and expense items are also recorded under this caption.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(Loss)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6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240" w:type="dxa"/>
            <w:vAlign w:val="bottom"/>
            <w:gridSpan w:val="2"/>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654</w:t>
            </w:r>
          </w:p>
        </w:tc>
        <w:tc>
          <w:tcPr>
            <w:tcW w:w="840" w:type="dxa"/>
            <w:vAlign w:val="bottom"/>
            <w:shd w:val="clear" w:color="auto" w:fill="CCFFCC"/>
          </w:tcPr>
          <w:p>
            <w:pPr>
              <w:jc w:val="right"/>
              <w:ind w:right="67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(773)</w:t>
            </w:r>
          </w:p>
        </w:tc>
        <w:tc>
          <w:tcPr>
            <w:tcW w:w="5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1,427</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-136525</wp:posOffset>
            </wp:positionV>
            <wp:extent cx="8750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5030"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for the three months ended July 31, 2009, resulted from the improved gross margin and reduced operating expenses as discussed above. The fiscal year 2009 results were negatively impacted by the higher engineering costs on certain satellite payload programs which were completed during that fiscal year. The Company expects to realize improved gross and operating margins in the subsequent quarters of fiscal year 2010 and anticipates that it will report a profit for the full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During the quarter ended July 31, 2009, the Company recorded an income tax provision of approximately $160,000, or approximately 25% of pre-tax income. This provision was completely offset by a reduction in the valuation allowance on deferred tax assets that was established in prior years. As of July 31, 2009, the valuation allowance is approximately $8.4 million and may continue to be reduced as the Company realizes pre-tax profits in future periods.</w:t>
      </w:r>
    </w:p>
    <w:p>
      <w:pPr>
        <w:spacing w:after="0" w:line="1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2009, the Company’s European subsidiaries had available net operating loss carryforwards of approximately $1.1 million, which will offset future taxable income. The domestic U.S. tax loss carryforward, which expires in 2028, is approximately $3.0 million and the tax loss carryforward for state income tax purposes is approximately $7.3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balance sheet continues to reflect a strong working capital position of $50 million at July 31, 2009, which is comparable to $48 million in working capital at April 30, 2009. Included in working capital at July 31, 2009 is $16.0 million of cash, cash equivalents and marketable securities which are offset by $1.1 million in borrowings under the Company’s bank line of credit. The Company’s current ratio at July 31, 2009 is 6.95 to 1 similar to that at April 30, 2009.</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July 31, 2009, the Company generated $1.2 million in cash from operating activities compared to $2.1 million used by operations in the comparable fiscal year 2009 period. The primary source of cash in the fiscal year 2010 period was profitable operations. During the quarter ended July 31, 2009, the Company incurred over $1.0 million of non-cash operating expenses, such as depreciation and amortization and accruals for employee benefit programs. These expenses are comparable to prior years. In the three month period ended July 31, 2008, the decrease in operating cash flow was due to operating losses and the growth in accounts receivable and inventory. For the balance of fiscal year 2010, the Company expects to generate positive cash flow from operating activities.</w:t>
      </w:r>
    </w:p>
    <w:p>
      <w:pPr>
        <w:spacing w:after="0" w:line="22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used in investing activities for the three months ended July 31, 2009, was $175,000 compared to cash used by investing activities of $6.7 million for the same period of fiscal year 2009. In the fiscal year 2010 period, investing activities consisted solely of acquisition of fixed assets. During the comparable fiscal year 2009 period, the Company invested $6.6 million in marketable securities and acquired additional fixed assets for $111,000. The Company may continue to acquire or sell marketable securities as dictated by its investment strategies as well as by the cash requirements for its development activities. Capital equipment purchases for all of fiscal year 2010 are expected to be in the range of $1.0 million to $1.5 million. Internally generated cash is adequate to acquire this level of capital equipment.</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financing activities for the three months ended July 31, 2009, was $70,000 compared to $1.3 million provided by financing activities during the comparable fiscal year 2009 period. The fiscal year 2010 activity consisted solely of payments against the Company’s capital lease obligation. During the first quarter of fiscal year 2009, the Company borrowed $1.5 million against its line of credit, made principle payments of $52,000 against a long-term capital lease and reacquired capital stock for treasury in the approximate amount of $100,000. The Company has available a $7.4 million line of credit with the financial institution which also manages a substantial portion of its investment in marketable securities. The line is secured by the investments and has no maturity date so long as the Company maintains its investments with the financial institution. At July 31, 2009, the Company had borrowings under the line of approximately $1.1 million.</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2009, the Company has repurchased approximately $4 million of its common stock out of the $5 million authorization.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2010,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less than 10% of revenues to achieve its development goals. Internally generated cash will be adequate to fund these development efforts.</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July 31, 2009, the Company's consolidated backlog amounted to approximately $31 million. Approximately 70% of this backlog is expected to be realized in the next twelve months. Included in the backlog at July 31, 2009 is approximately $9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210185</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2009,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July 31, 2009.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July 31, 2009. The Company’s chief executive officer and chief financial officer have concluded that the Company has material weaknesses in its internal control over financial reporting.</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Reporting</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had inadequate resources and an insufficient number of personnel having adequate knowledge, experience and training to provide effective oversight and review of its internal controls within the prescribed timeframe. As a result, as of July 31, 2009, there was a material weakness in the Company’s internal control because management has not performed a self-assessment or the necessary documentation and testing of the internal controls at two of the Company’s subsidiaries, Gillam-FEI and FEI-Zyfer. The lack of documentation and testing of these subsidiaries constitutes a material weakness. In order to remediate this material weakness, management in part, will continue to establish policies and procedures to provide for the necessary documentation and testing of such internal controls during the current fiscal year. During fiscal year 2010, the Company plans to fully document and test the internal controls over financial reporting at its Gillam-FEI and FEI-Zyfer subsidiaries. If this process identifies material weaknesses or significant deficiencies over such internal controls, the Company will implement appropriate remediation efforts.</w:t>
      </w:r>
    </w:p>
    <w:p>
      <w:pPr>
        <w:spacing w:after="0" w:line="20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due to the Company’s small size and lack of resources and staffing, the Chief Financial Officer is actively involved in the preparation of the financial statements and therefore, cannot provide an independent review and quality assurance function within the accounting and financial reporting group. 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limitation. The Company addressed this material weakness by engaging third-party tax accounting advisors who identified the need to adjust the fiscal year 2008 deferred tax and income tax receivable balances. The Company also hired a new controller and is creating processes whereby personnel in its Accounting Department (other than the Chief Financial Officer) will create analysis and original accounting entries, which will subsequently be reviewed and approved by the Chief Financial Officer. The Company expects that compliance with such measures will remediate this material weakness.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July 31, 2009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4 and 5 are omitted because they are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31.1 - Certification by the Chief Executive Officer Pursuant to Section 302 of the Sarbanes-Oxley Act of 2002.</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31.2 - Certification by the Chief Financial Officer Pursuant to Section 302 of the Sarbanes-Oxley Act of 2002</w:t>
      </w:r>
    </w:p>
    <w:p>
      <w:pPr>
        <w:spacing w:after="0" w:line="252" w:lineRule="exact"/>
        <w:rPr>
          <w:sz w:val="20"/>
          <w:szCs w:val="20"/>
          <w:color w:val="auto"/>
        </w:rPr>
      </w:pPr>
    </w:p>
    <w:p>
      <w:pPr>
        <w:ind w:left="1380" w:hanging="485"/>
        <w:spacing w:after="0" w:line="277" w:lineRule="auto"/>
        <w:rPr>
          <w:sz w:val="20"/>
          <w:szCs w:val="20"/>
          <w:color w:val="auto"/>
        </w:rPr>
      </w:pPr>
      <w:r>
        <w:rPr>
          <w:rFonts w:ascii="Arial" w:cs="Arial" w:eastAsia="Arial" w:hAnsi="Arial"/>
          <w:sz w:val="18"/>
          <w:szCs w:val="18"/>
          <w:color w:val="auto"/>
        </w:rPr>
        <w:t>32.1 - Certification by the Chief Executive Officer Pursuant to 18 U.S.C. Section 1350 Adopted Pursuant to Section 906 of the Sarbanes-Oxley Act of 2002.</w:t>
      </w:r>
    </w:p>
    <w:p>
      <w:pPr>
        <w:spacing w:after="0" w:line="197" w:lineRule="exact"/>
        <w:rPr>
          <w:sz w:val="20"/>
          <w:szCs w:val="20"/>
          <w:color w:val="auto"/>
        </w:rPr>
      </w:pPr>
    </w:p>
    <w:p>
      <w:pPr>
        <w:ind w:left="1380" w:hanging="485"/>
        <w:spacing w:after="0" w:line="277" w:lineRule="auto"/>
        <w:rPr>
          <w:sz w:val="20"/>
          <w:szCs w:val="20"/>
          <w:color w:val="auto"/>
        </w:rPr>
      </w:pPr>
      <w:r>
        <w:rPr>
          <w:rFonts w:ascii="Arial" w:cs="Arial" w:eastAsia="Arial" w:hAnsi="Arial"/>
          <w:sz w:val="18"/>
          <w:szCs w:val="18"/>
          <w:color w:val="auto"/>
        </w:rPr>
        <w:t>32.2 - Certification by the Chief Financial Officer Pursuant to 18 U.S.C. Section 1350 Adopted Pursuant to Section 906 of the Sarbanes-Oxley Act of 2002.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September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and Treasurer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5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00"/>
        <w:spacing w:after="0"/>
        <w:tabs>
          <w:tab w:leader="none" w:pos="760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00"/>
        <w:spacing w:after="0"/>
        <w:tabs>
          <w:tab w:leader="none" w:pos="760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2009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00"/>
        <w:spacing w:after="0"/>
        <w:tabs>
          <w:tab w:leader="none" w:pos="760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2009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00"/>
        <w:spacing w:after="0"/>
        <w:tabs>
          <w:tab w:leader="none" w:pos="760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098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9825" cy="1714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2019-12-10T00:15:15Z</dcterms:created>
  <dcterms:modified xsi:type="dcterms:W3CDTF">2019-12-10T00:15:15Z</dcterms:modified>
</cp:coreProperties>
</file>