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237490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3940" w:right="1940" w:hanging="3284"/>
        <w:spacing w:after="0" w:line="498" w:lineRule="auto"/>
        <w:tabs>
          <w:tab w:leader="none" w:pos="8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October 31,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920" w:hanging="2944"/>
        <w:spacing w:after="0" w:line="495"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78"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660" w:space="720"/>
            <w:col w:w="5040"/>
          </w:cols>
          <w:pgMar w:left="240" w:top="378" w:right="2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December 12, 2018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9"/>
          </w:tcPr>
          <w:p>
            <w:pPr>
              <w:jc w:val="center"/>
              <w:ind w:right="20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40" w:type="dxa"/>
            <w:vAlign w:val="bottom"/>
            <w:gridSpan w:val="9"/>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2"/>
        </w:trPr>
        <w:tc>
          <w:tcPr>
            <w:tcW w:w="1062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Page No.</w:t>
            </w:r>
          </w:p>
        </w:tc>
      </w:tr>
      <w:tr>
        <w:trPr>
          <w:trHeight w:val="385"/>
        </w:trPr>
        <w:tc>
          <w:tcPr>
            <w:tcW w:w="500" w:type="dxa"/>
            <w:vAlign w:val="bottom"/>
          </w:tcPr>
          <w:p>
            <w:pPr>
              <w:spacing w:after="0"/>
              <w:rPr>
                <w:sz w:val="24"/>
                <w:szCs w:val="24"/>
                <w:color w:val="auto"/>
              </w:rPr>
            </w:pPr>
          </w:p>
        </w:tc>
        <w:tc>
          <w:tcPr>
            <w:tcW w:w="101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 October 31, 2018 (unaudited) and April 30, 2018</w:t>
              </w:r>
            </w:hyperlink>
          </w:p>
        </w:tc>
        <w:tc>
          <w:tcPr>
            <w:tcW w:w="294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Income Six Months Ended October 31, 2018 and 2017</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Income Three Months Ended October 31, 2018 and</w:t>
              </w:r>
            </w:hyperlink>
          </w:p>
        </w:tc>
        <w:tc>
          <w:tcPr>
            <w:tcW w:w="24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2017 (unaudited)</w:t>
              </w:r>
            </w:hyperlink>
          </w:p>
        </w:tc>
        <w:tc>
          <w:tcPr>
            <w:tcW w:w="840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Six Months Ended October 31, 2018 and 2017 (unaudited)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5"/>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Changes in Stockholders’ Equity Six Months Ended October 31, 2018 (unaudited)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84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8-19</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w:t>
              </w:r>
            </w:hyperlink>
          </w:p>
        </w:tc>
        <w:tc>
          <w:tcPr>
            <w:tcW w:w="9640" w:type="dxa"/>
            <w:vAlign w:val="bottom"/>
            <w:gridSpan w:val="15"/>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1"/>
              </w:rPr>
              <w:t>20-26</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658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 Quantitative and Qualitative Disclosures About Market Risk</w:t>
              </w:r>
            </w:hyperlink>
          </w:p>
        </w:tc>
        <w:tc>
          <w:tcPr>
            <w:tcW w:w="306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4</w:t>
              </w:r>
            </w:hyperlink>
          </w:p>
        </w:tc>
        <w:tc>
          <w:tcPr>
            <w:tcW w:w="19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516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53"/>
        </w:trPr>
        <w:tc>
          <w:tcPr>
            <w:tcW w:w="1062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6</w:t>
              </w:r>
            </w:hyperlink>
          </w:p>
        </w:tc>
        <w:tc>
          <w:tcPr>
            <w:tcW w:w="9640" w:type="dxa"/>
            <w:vAlign w:val="bottom"/>
            <w:gridSpan w:val="15"/>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 Exhibits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92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1027"/>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auto"/>
                <w:w w:val="94"/>
              </w:rPr>
              <w:t>ASSETS: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7,341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$173 at October 31, 2018 and $181 at April 30, 2018</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Costs and estimated earnings in excess of billings,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7,047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Prepaid income taxes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51,680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depreciation and amortization</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83,662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 trade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Common stock - $1.00 par value; authorized 20,000 shares, 9,164 shares issued,</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8,909 shares outstanding at October 31, 2018; 8,867 shares outstanding at April 30, 2018</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56,710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Retained earnings (accumulated deficit)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00"/>
              <w:spacing w:after="0"/>
              <w:rPr>
                <w:sz w:val="20"/>
                <w:szCs w:val="20"/>
                <w:color w:val="auto"/>
              </w:rPr>
            </w:pPr>
            <w:r>
              <w:rPr>
                <w:rFonts w:ascii="Arial" w:cs="Arial" w:eastAsia="Arial" w:hAnsi="Arial"/>
                <w:sz w:val="18"/>
                <w:szCs w:val="18"/>
                <w:color w:val="auto"/>
              </w:rPr>
              <w:t>at cost (255 shares at October 31, 2018 and 297 shares at April 30, 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64,224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83,662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October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23,153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14,860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Basic and diluted earnings (loss) from continued operations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Basic and diluted loss from discontinued operations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0.00</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Basic and diluted earnings (loss) per share</w:t>
            </w: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Income (Loss)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Other comprehensive (loss) income:</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Unrealized loss on marketable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reclassification, net of tax of ($20) in 2017</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98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net income, net of tax of $356 in 2017</w:t>
            </w:r>
          </w:p>
        </w:tc>
        <w:tc>
          <w:tcPr>
            <w:tcW w:w="9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unrealized loss on marketable securities, net of tax</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other comprehensive loss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Comprehensive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12,142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Basic and diluted earnings (loss) from continued operations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Basic and diluted loss from discontinued operations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0.00</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Basic and diluted earnings (loss) per share</w:t>
            </w: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Income (Loss)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Other comprehensive (loss) income:</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Unrealized loss on marketable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reclassification, net of tax of ($2) in 2017</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98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net income, net of tax of $1 in 2017</w:t>
            </w:r>
          </w:p>
        </w:tc>
        <w:tc>
          <w:tcPr>
            <w:tcW w:w="9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unrealized loss gain on marketable securities, net of tax</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other comprehensive (loss) income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Comprehensive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October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loss from discontinued operations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Non-cash charges to earnings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(used in) provided by operating activities – continuing operations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Purchase of marketable securities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(used in) provided by investing activities – continuing operations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 – discontinued operations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Tax benefit from exercise of stock-based compensation</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at end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3,911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paid during the period for:</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640"/>
              <w:spacing w:after="0" w:line="196" w:lineRule="exact"/>
              <w:rPr>
                <w:sz w:val="20"/>
                <w:szCs w:val="20"/>
                <w:color w:val="auto"/>
              </w:rPr>
            </w:pPr>
            <w:r>
              <w:rPr>
                <w:rFonts w:ascii="Arial" w:cs="Arial" w:eastAsia="Arial" w:hAnsi="Arial"/>
                <w:sz w:val="18"/>
                <w:szCs w:val="18"/>
                <w:color w:val="auto"/>
              </w:rPr>
              <w:t>Income Taxes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Six Months Ended October 31,</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21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2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21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(at cost)</w:t>
            </w:r>
          </w:p>
        </w:tc>
        <w:tc>
          <w:tcPr>
            <w:tcW w:w="14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297,083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Opening BS adjustment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484</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balance at May 1,</w:t>
            </w: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63,970</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(17,708)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October 31,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2018 and the results of its operations and cash flows for the six and three months ended October 31, 2018 and 2017. The April 30, 2018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It is suggested that these condensed consolidated financial statements be read in conjunction with the Company’s Annual Report on Form 10-K for the year ended April 30, 2018, filed on July 30, 2018, and the financial statements and notes thereto. The results of operations for such interim periods are not necessarily indicative of the operating results for the full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B – DISCONTINUED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2017, the Company decided to sell its Gillam business as soon as practicable. Accordingly, the Company determined that the assets and liabilities of this reportable segment met the discontinued operations criteria as defined in U.S. GAAP in the quarter ended April 30, 2017. On April 26, 2018, the Company sold Gillam to a European entity in a stock purchase agreement for $1.0 million in cash, which was received on April 27, 2018, and a note payable in three years for an additional $1.0 million. The loss recorded due to the sale of Gillam was approximately $359,000, which represented the carrying amount of the investment on FEI-NY’s books less the retained earnings and remaining Gillam equity value reduced by the cash received and the value of the note receivable. As such Gillam’s results have been classified as discontinued operations in the accompanying Condensed Consolidated Statements of Operations and Comprehensive (Loss) Income for fiscal 2018.</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operating results for the Gillam discontinued operations, for the six and three months ended October 31,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Periods ended October 31,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Six months</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Three months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Revenues</w:t>
            </w:r>
          </w:p>
        </w:tc>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Operating Loss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Investment (loss) income</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00" w:type="dxa"/>
            <w:vAlign w:val="bottom"/>
            <w:vMerge w:val="restart"/>
          </w:tcPr>
          <w:p>
            <w:pPr>
              <w:jc w:val="right"/>
              <w:ind w:right="107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Periods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18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98"/>
              </w:rPr>
              <w:t>Six months</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4"/>
              </w:rPr>
              <w:t>Three months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8,884,810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8,830,486</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8,893,203</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8,834,945</w:t>
            </w:r>
          </w:p>
        </w:tc>
        <w:tc>
          <w:tcPr>
            <w:tcW w:w="0" w:type="dxa"/>
            <w:vAlign w:val="bottom"/>
          </w:tcPr>
          <w:p>
            <w:pPr>
              <w:spacing w:after="0"/>
              <w:rPr>
                <w:sz w:val="1"/>
                <w:szCs w:val="1"/>
                <w:color w:val="auto"/>
              </w:rPr>
            </w:pPr>
          </w:p>
        </w:tc>
      </w:tr>
      <w:tr>
        <w:trPr>
          <w:trHeight w:val="216"/>
        </w:trPr>
        <w:tc>
          <w:tcPr>
            <w:tcW w:w="4700" w:type="dxa"/>
            <w:vAlign w:val="bottom"/>
          </w:tcPr>
          <w:p>
            <w:pPr>
              <w:ind w:left="660"/>
              <w:spacing w:after="0"/>
              <w:rPr>
                <w:sz w:val="20"/>
                <w:szCs w:val="20"/>
                <w:color w:val="auto"/>
              </w:rPr>
            </w:pPr>
            <w:r>
              <w:rPr>
                <w:rFonts w:ascii="Arial" w:cs="Arial" w:eastAsia="Arial" w:hAnsi="Arial"/>
                <w:sz w:val="18"/>
                <w:szCs w:val="18"/>
                <w:color w:val="auto"/>
              </w:rPr>
              <w:t>Effect of dilutive securities</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161,028</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208,836</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9,045,838</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8,830,486</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9,102,039</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8,834,945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tabs>
          <w:tab w:leader="none" w:pos="54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six and three month periods ended October 31, 2017, dilutive securities are excluded since the inclusion of such shares would be antidilutive due to the net loss for the periods. The exercisable shares excluded are 1,353,750. The effect of dilutive securities for the periods would have been 129,245 and 117,209, respectively.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computation of diluted Earnings Per Share for the six and three months ending October 31, 2018 and 2017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Periods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218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98"/>
              </w:rPr>
              <w:t>Six months</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4"/>
              </w:rPr>
              <w:t>Three months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968,500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780,000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D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2018 and April 30, 2018, costs and estimated earnings in excess of billings, net,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October 31, 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(1,386)</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For the most part, the recorded amounts will be billed and collected or revenue recognized within twelve months of the balance sheet date. Revenue on these long-term contracts is accounted for on a percentage of completion basis. During the six and three months ended October 31, 2018, revenue recognized under percentage of completion contracts was approximately $20.4 million and $11.2 million, respectively. During the six and three months ended October 31, 2017, such revenue was approximately $10.9 million and $4.5 million, respectively. If contract losses are anticipated, costs and estimated earnings in excess of billings are reduced for the full amount of such losses when they are determinable.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E – TREASURY STOCK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six and three months period ended October 31, 2018, the Company made contributions of 24,428 shares and 10,089 shares of its common stock held in treasury to the Company’s profit sharing plan and trust under Section 401(k) of the Internal Revenue Code. Such contributions are in accordance with the Company’s discretionary match of employee voluntary contributions to this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 –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net realizable value,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October 31, 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25,648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26,186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October 31, 2018 and April 30, 2018, approximately $24.9 million and $25.2 million, respectively, of total inventory was located in the United States and $0.8 million and $1.0 million, respectively, was located in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00" w:hanging="560"/>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 communication satellites (both commercial and U.S. Government-funded); terrestrial cellular telephone or other ground-based telecommunication stations; and other components and systems for the U.S. military. The FEI-NY segment also includes the operations of the Company’s wholly-owned subsidiaries, FEI-Elcom and FEI-Asia. FEI-Asia functions as a manufacturing facility for the FEI-NY segment with historically minimal sales to outside customers. In fiscal 2015 and 2016, they had higher sales to outside customers, producing product to third parties as a contract manufacturer. FEI-Elcom, in addition to its own product line, provides design and technical support for the FEI-NY segment’s satellite business.</w:t>
      </w:r>
    </w:p>
    <w:p>
      <w:pPr>
        <w:spacing w:after="0" w:line="189" w:lineRule="exact"/>
        <w:rPr>
          <w:rFonts w:ascii="Arial" w:cs="Arial" w:eastAsia="Arial" w:hAnsi="Arial"/>
          <w:sz w:val="18"/>
          <w:szCs w:val="18"/>
          <w:color w:val="auto"/>
        </w:rPr>
      </w:pPr>
    </w:p>
    <w:p>
      <w:pPr>
        <w:ind w:left="1000" w:hanging="56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time and frequency distribution technologies into systems and subsystems for secure communications, both governmental and commercial.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management measures segment performance based on total revenues and profits generated by each geographic location rather than on the specific types of products, customers or end-users.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operations or the balance sheet for each of the periods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rPr>
              <w:t>Periods ended October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2017</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9,745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7,865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(2,245)</w:t>
            </w:r>
          </w:p>
        </w:tc>
        <w:tc>
          <w:tcPr>
            <w:tcW w:w="2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23,153</w:t>
            </w:r>
          </w:p>
        </w:tc>
        <w:tc>
          <w:tcPr>
            <w:tcW w:w="120" w:type="dxa"/>
            <w:vAlign w:val="bottom"/>
          </w:tcPr>
          <w:p>
            <w:pPr>
              <w:spacing w:after="0"/>
              <w:rPr>
                <w:sz w:val="18"/>
                <w:szCs w:val="18"/>
                <w:color w:val="auto"/>
              </w:rPr>
            </w:pP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21,360</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12,142</w:t>
            </w:r>
          </w:p>
        </w:tc>
        <w:tc>
          <w:tcPr>
            <w:tcW w:w="8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8"/>
                <w:szCs w:val="18"/>
                <w:color w:val="auto"/>
              </w:rPr>
              <w:t>Consolidated operating loss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(1,686)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(230)</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8"/>
              </w:rPr>
              <w:t>October 31, 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April 30, 2018</w:t>
            </w:r>
          </w:p>
        </w:tc>
        <w:tc>
          <w:tcPr>
            <w:tcW w:w="0" w:type="dxa"/>
            <w:vAlign w:val="bottom"/>
          </w:tcPr>
          <w:p>
            <w:pPr>
              <w:spacing w:after="0"/>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gridSpan w:val="7"/>
            <w:shd w:val="clear" w:color="auto" w:fill="CCEEFF"/>
          </w:tcPr>
          <w:p>
            <w:pPr>
              <w:ind w:left="640"/>
              <w:spacing w:after="0" w:line="201" w:lineRule="exact"/>
              <w:rPr>
                <w:sz w:val="20"/>
                <w:szCs w:val="20"/>
                <w:color w:val="auto"/>
              </w:rPr>
            </w:pPr>
            <w:r>
              <w:rPr>
                <w:rFonts w:ascii="Arial" w:cs="Arial" w:eastAsia="Arial" w:hAnsi="Arial"/>
                <w:sz w:val="18"/>
                <w:szCs w:val="18"/>
                <w:color w:val="auto"/>
                <w:w w:val="94"/>
              </w:rPr>
              <w:t>FEI-NY (approximately $1.3 and $1.7 million in China in fiscal</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years 2019 and 2018,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56,634</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balances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6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identifiable 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83,662</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a cost basis. This investment is included in other assets in the accompanying balance sheets. During the six months ended October 31, 2018 and 2017, the Company acquired product from Morion in the aggregate amount of approximately $145,000 and $170,000, respectively, and the Company sold product and training services to Morion in the aggregate amount of approximately $2,000 and $182,000, respectively, included in revenues in the statement of operations as part of the FEI-NY segment. During the three months ended October 31, 2018 and 2017, the Company acquired product from Morion in the aggregate amount of approximately $78,000 and $106,000, respectively, and the Company sold product and training services to Morion in the aggregate amount of approximately $2,000 and $182,000, respectively, included in revenues in the statement of operations as part of the FEI-NY segment. At October 31, 2018, approximately $5,000 was payable to Morion. At October 31, 2017 there were no payables to Morion. At October 31, 2018 and 2017, there were no receivables related to Morion. During the six months ended October 31, 2018 and 2017, the Company received a dividend from Morion in the amount of approximately $105,000 and $51,000, respectively, included in other income, net in the statement of operations as part of the FEI-NY segment.</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 S. Department of Treasury’s prohibition against U. S. persons from providing it with new financing.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2018 and April 30, 2018,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October 31, 2018</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4"/>
                <w:szCs w:val="14"/>
                <w:color w:val="auto"/>
              </w:rPr>
              <w:t>(184</w:t>
            </w:r>
            <w:r>
              <w:rPr>
                <w:rFonts w:ascii="Arial" w:cs="Arial" w:eastAsia="Arial" w:hAnsi="Arial"/>
                <w:sz w:val="24"/>
                <w:szCs w:val="24"/>
                <w:color w:val="auto"/>
                <w:vertAlign w:val="subscript"/>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7,341</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April 30, 2018</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4"/>
                <w:szCs w:val="14"/>
                <w:color w:val="auto"/>
              </w:rPr>
              <w:t>(135</w:t>
            </w:r>
            <w:r>
              <w:rPr>
                <w:rFonts w:ascii="Arial" w:cs="Arial" w:eastAsia="Arial" w:hAnsi="Arial"/>
                <w:sz w:val="24"/>
                <w:szCs w:val="24"/>
                <w:color w:val="auto"/>
                <w:vertAlign w:val="subscript"/>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31, 2018</w:t>
            </w:r>
          </w:p>
        </w:tc>
        <w:tc>
          <w:tcPr>
            <w:tcW w:w="1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April 30, 2018</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2018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and three months ended October 31, 2018, the Company sold or redeemed available-for-sale securities in the amounts of $947,110 and $325,110, respectively, realizing gains of approximately $2,000 in both periods. During the six and three months ended October 31, 2017, the Company sold or redeemed available-for-sale securities in the amount $6.5 million and $204,000, respectively, realizing gains of approximately $1.0 million and $4,000,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October 31, 2018 were as follows (at cost,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39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920" w:type="dxa"/>
            <w:vAlign w:val="bottom"/>
            <w:vMerge w:val="restart"/>
          </w:tcPr>
          <w:p>
            <w:pPr>
              <w:jc w:val="right"/>
              <w:ind w:right="2770"/>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January 2017, the Financial Accounting Standards Board (the “FASB”) issued Accounting Standards Update (“ASU”) 2017-04,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and Other (Topic 350): Simplifying the Test for Goodwill Impairment </w:t>
      </w:r>
      <w:r>
        <w:rPr>
          <w:rFonts w:ascii="Arial" w:cs="Arial" w:eastAsia="Arial" w:hAnsi="Arial"/>
          <w:sz w:val="16"/>
          <w:szCs w:val="16"/>
          <w:color w:val="auto"/>
        </w:rPr>
        <w:t>(“ASU 2017-04”), which simplifies how an entity is required to test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Although the Company is still in the process of determining the effect that ASU 2017-04 may have, it expects the new standard will likely not have a material effect on its financial statements when adopted in fiscal 2021.</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GAAP with a methodology that reflects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2021.</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leases existing at, or entered into after, the beginning of the earliest comparative period presented in the financial statements. The amendments of ASU 2016-02 are effective for fiscal years beginning after December 15, 2018 and early adoption is permitted. The Company does not intend to adopt this update early and is currently re-evaluating the impact of this standard on its consolidated financial statements, due to the new lease amendment dated July 25, 2018, for the Company’s headquarters in New York, and expects that adoption will materially increase our assets and liabilities on the consolidated financial statements related to recording right-of-use assets and corresponding lease liabilities when adopted beginning in fiscal 2020.</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(“ASU 2018-13”) which modifies the disclosure requirement on fair value measurements. The new guidance is effective for fiscal years beginning after December 15, 2019. The Company is evaluating the effect, if any, the update will have on the financial statements when adopted in fiscal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 amended, which establishes new guidance for revenue recognition. ASU 2014-09 eliminates most of the existing industry-specific revenue recognition guidance and significantly expands related disclosures. Additionally, it supersedes some cost guidance in Subtopic 605-35, </w:t>
      </w:r>
      <w:r>
        <w:rPr>
          <w:rFonts w:ascii="Arial" w:cs="Arial" w:eastAsia="Arial" w:hAnsi="Arial"/>
          <w:sz w:val="17"/>
          <w:szCs w:val="17"/>
          <w:i w:val="1"/>
          <w:iCs w:val="1"/>
          <w:color w:val="auto"/>
        </w:rPr>
        <w:t>Revenue Recognition-Construction-Type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r>
        <w:rPr>
          <w:rFonts w:ascii="Arial" w:cs="Arial" w:eastAsia="Arial" w:hAnsi="Arial"/>
          <w:sz w:val="17"/>
          <w:szCs w:val="17"/>
          <w:color w:val="auto"/>
        </w:rPr>
        <w:t>, and creates a new Subtopic 340-40,</w:t>
      </w:r>
      <w:r>
        <w:rPr>
          <w:rFonts w:ascii="Arial" w:cs="Arial" w:eastAsia="Arial" w:hAnsi="Arial"/>
          <w:sz w:val="17"/>
          <w:szCs w:val="17"/>
          <w:i w:val="1"/>
          <w:iCs w:val="1"/>
          <w:color w:val="auto"/>
        </w:rPr>
        <w:t xml:space="preserve"> Other Assets and Deferred Costs-Contracts with Customers</w:t>
      </w:r>
      <w:r>
        <w:rPr>
          <w:rFonts w:ascii="Arial" w:cs="Arial" w:eastAsia="Arial" w:hAnsi="Arial"/>
          <w:sz w:val="17"/>
          <w:szCs w:val="17"/>
          <w:color w:val="auto"/>
        </w:rPr>
        <w:t>. The Company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through the following steps: identification of the contract, or contracts, with the customer; identification of the performance obligations in the contract; determination of the transaction price; allocation of the transaction price to the performance obligations in the contract; and recognize revenue when, or as, the entity satisfies a performance obligation. The core principle of the guidance is that the Company will recognize revenue upon the transfer of the promised goods and services to its customers in an amount that reflects the consideration to which the Company expects to be entitled in exchange for those goods and services. The new guidance requires significant additional judgement and estimation (as compared to the previous guidance) that may include, but is not limited to, identifying performance obligations and estimating the amount of variable consideration, if any, to include in the transaction price, and allocation of the transaction price to the performance obligations. The new standard allows for two methods of adoption, either by (i) retrospectively to each prior reporting period presented (“full retrospective method”) or (ii) retrospectively with the cumulative effect of initially applying the new guidance recognized at the date of initial application (“modified-retrospective method”). The Company adopted ASU 2014-09 in the first quarter of fiscal 2019 using the modified-retrospective method, which resulted in a cumulative effect increase of $484,000, including the adoption of ASC 340-40 as noted below, as of the date of adoption on May 1, 2018, to retained earnings. The adoption of ASU 2014-09 effected all new and open contracts as of the adoption date.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connection with the adoption of Topic 606 on May 1, 2018, the Company also adopted the guidance in ASC 340-40, </w:t>
      </w:r>
      <w:r>
        <w:rPr>
          <w:rFonts w:ascii="Arial" w:cs="Arial" w:eastAsia="Arial" w:hAnsi="Arial"/>
          <w:sz w:val="17"/>
          <w:szCs w:val="17"/>
          <w:i w:val="1"/>
          <w:iCs w:val="1"/>
          <w:color w:val="auto"/>
        </w:rPr>
        <w:t>Other Assets and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 Contracts with Customers </w:t>
      </w:r>
      <w:r>
        <w:rPr>
          <w:rFonts w:ascii="Arial" w:cs="Arial" w:eastAsia="Arial" w:hAnsi="Arial"/>
          <w:sz w:val="17"/>
          <w:szCs w:val="17"/>
          <w:color w:val="auto"/>
        </w:rPr>
        <w:t>(“ASC 340-40”), with respect to capitalization and amortization of incremental costs of obtaining a contract. The new cost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the capitalization of all incremental costs incurred to obtain a contract with a customer that it would not have incurred if the contract had not been obtained, provided it expects to recover the costs. The Company expects that sales commissions as a result of obtaining customer contracts are recoverable, and therefore the Company defers and capitalizes them as contract costs. As a result of this new guidance, the Company capitalizes sales commissions for which the expected amortization period is greater than one year. The Company classifies the unamortized portion of deferred commissions as current or noncurrent assets based upon the timing of when the Company expects to recognize the expense. The current and noncurrent portion of deferred commissions are included in prepaid expenses and other current assets, respectively, in the Company’s Condensed Consolidated Balance Sheet. Adoption of ASC 340-40 resulted in a cumulative effect adjustment of $87,000 to total assets, $109,000 to total liabilities, and a $22,000 reduction to retained earnings, as of the date of adoption, on May 1,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new accounting policies as a result of adopting ASU 2014-09 are discussed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multiple performance obligations which are satisfied either by shipped projects or the completion of milestones as defined in the contract. The transaction price is allocated either (i) based on the sale price of each item shipped or (ii) as defined by the milestones stated in the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adoption of Topic 606, there were changes to the timing of the Company’s revenue recognition associated with the significant portion of our business that was not being accounted for as percentage of completion in prior years for contracts where the end customer was the U.S. Government. These production-type contracts under which revenue was previously recorded as Passage of Title (“POT”) are currently being recognized as POC following adoption of this ASU. As a result, the Company will begin recognizing revenue earlier under these contracts. The Company’s products generally carry a one-year warranty, but may vary based on the contract terms.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Significant judgment is used in evaluating the financial information for certain contracts related to the adoption of this ASU to determine an appropriate budget and estimated cost. The Company evaluates this information continuously and bases its judgments on historical experience, design specifications, and expected costs for material and labor.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revenue related to the adoption ASU 2014-09 and recognized over time as POC was approximately $20.4 million of the $23.2 million reported for the six months ended October 31, 2018, and $11.2 million of the $12.1 million reported for the three months ended October 31, 2018. The amounts by segment and product line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8"/>
                <w:szCs w:val="18"/>
                <w:b w:val="1"/>
                <w:bCs w:val="1"/>
                <w:color w:val="auto"/>
                <w:w w:val="91"/>
              </w:rPr>
              <w:t>Six Months Ended October 31, 2018</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5"/>
          </w:tcPr>
          <w:p>
            <w:pPr>
              <w:jc w:val="center"/>
              <w:ind w:right="240"/>
              <w:spacing w:after="0" w:line="191" w:lineRule="exact"/>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POC 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POT Revenue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5"/>
              </w:rPr>
              <w:t>Total Revenue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FEI-Zyfer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Pr>
          <w:p>
            <w:pPr>
              <w:spacing w:after="0"/>
              <w:rPr>
                <w:sz w:val="18"/>
                <w:szCs w:val="18"/>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23,153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8"/>
                <w:szCs w:val="18"/>
                <w:b w:val="1"/>
                <w:bCs w:val="1"/>
                <w:color w:val="auto"/>
                <w:w w:val="91"/>
              </w:rPr>
              <w:t>Three Months Ended October 31, 2018</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5"/>
          </w:tcPr>
          <w:p>
            <w:pPr>
              <w:jc w:val="center"/>
              <w:ind w:right="240"/>
              <w:spacing w:after="0" w:line="191" w:lineRule="exact"/>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POC 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POT Revenue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5"/>
              </w:rPr>
              <w:t>Total Revenue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FEI-Zyfer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18"/>
                <w:szCs w:val="18"/>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6"/>
              </w:rPr>
              <w:t>Periods ended October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rPr>
              <w:t>Six months</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 by Product Line: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8,998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7,706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5,639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Other Commercial &amp; Industrial Revenue</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4,656</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ind w:left="1140"/>
              <w:spacing w:after="0"/>
              <w:rPr>
                <w:sz w:val="20"/>
                <w:szCs w:val="20"/>
                <w:color w:val="auto"/>
              </w:rPr>
            </w:pPr>
            <w:r>
              <w:rPr>
                <w:rFonts w:ascii="Arial" w:cs="Arial" w:eastAsia="Arial" w:hAnsi="Arial"/>
                <w:sz w:val="18"/>
                <w:szCs w:val="18"/>
                <w:color w:val="auto"/>
              </w:rPr>
              <w:t>Consolidated revenues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23,153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21,360</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12,142</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9,337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cumulative effect of changes made to the Condensed Consolidated Balance Sheet as of May 1, 2018 was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Balance at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April 30, 2018</w:t>
            </w:r>
          </w:p>
        </w:tc>
        <w:tc>
          <w:tcPr>
            <w:tcW w:w="1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Adjustments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1, 2018</w:t>
            </w:r>
          </w:p>
        </w:tc>
        <w:tc>
          <w:tcPr>
            <w:tcW w:w="0" w:type="dxa"/>
            <w:vAlign w:val="bottom"/>
          </w:tcPr>
          <w:p>
            <w:pPr>
              <w:spacing w:after="0"/>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26,186</w:t>
            </w: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80" w:type="dxa"/>
            <w:vAlign w:val="bottom"/>
          </w:tcPr>
          <w:p>
            <w:pPr>
              <w:ind w:left="20"/>
              <w:spacing w:after="0"/>
              <w:rPr>
                <w:sz w:val="20"/>
                <w:szCs w:val="20"/>
                <w:color w:val="auto"/>
              </w:rPr>
            </w:pPr>
            <w:r>
              <w:rPr>
                <w:rFonts w:ascii="Arial" w:cs="Arial" w:eastAsia="Arial" w:hAnsi="Arial"/>
                <w:sz w:val="18"/>
                <w:szCs w:val="18"/>
                <w:color w:val="auto"/>
              </w:rPr>
              <w:t>(b)</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52,075</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83,584</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20,322</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63,262</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83,584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Adjustment to unbilled accounts receivable for additional revenue recognized for which amounts have not been invoiced due to adoption of Topic 606</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additional allocated inventory costs related to additional revenue recognized due to adoption of Topic 606</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firstLine="8"/>
        <w:spacing w:after="0" w:line="261"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cumulative effect of initially adopting Topic 606 and ASC 340-40 using the modified-retrospective method as an adjustment to the beginning balance of (Accumulated deficit) Retained earnings.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impact of adopting the standard on the Company’s consolidated financial statements for the six and three months ended October 31, 2018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Balance Sheet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Balances 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Adoption of ASU</w:t>
            </w:r>
          </w:p>
        </w:tc>
        <w:tc>
          <w:tcPr>
            <w:tcW w:w="0" w:type="dxa"/>
            <w:vAlign w:val="bottom"/>
          </w:tcPr>
          <w:p>
            <w:pPr>
              <w:spacing w:after="0"/>
              <w:rPr>
                <w:sz w:val="1"/>
                <w:szCs w:val="1"/>
                <w:color w:val="auto"/>
              </w:rPr>
            </w:pPr>
          </w:p>
        </w:tc>
      </w:tr>
      <w:tr>
        <w:trPr>
          <w:trHeight w:val="234"/>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Adjustments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2014-09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25,648</w:t>
            </w: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(1,994)</w:t>
            </w:r>
          </w:p>
        </w:tc>
        <w:tc>
          <w:tcPr>
            <w:tcW w:w="280" w:type="dxa"/>
            <w:vAlign w:val="bottom"/>
          </w:tcPr>
          <w:p>
            <w:pPr>
              <w:ind w:left="20"/>
              <w:spacing w:after="0"/>
              <w:rPr>
                <w:sz w:val="20"/>
                <w:szCs w:val="20"/>
                <w:color w:val="auto"/>
              </w:rPr>
            </w:pPr>
            <w:r>
              <w:rPr>
                <w:rFonts w:ascii="Arial" w:cs="Arial" w:eastAsia="Arial" w:hAnsi="Arial"/>
                <w:sz w:val="18"/>
                <w:szCs w:val="18"/>
                <w:color w:val="auto"/>
              </w:rPr>
              <w:t>(b)</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51,680</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83,662</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82,118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19,438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64,224</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83,662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firstLine="8"/>
        <w:spacing w:after="0" w:line="250"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unbilled accounts receivable for additional revenue recognized for which amounts have not been invoiced due to adoption of Topic 606</w:t>
      </w: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additional allocated inventory costs related to additional revenue recognized due to adoption of Topic 606</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right="20" w:firstLine="8"/>
        <w:spacing w:after="0" w:line="261"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cumulative effect of initially adopting for Topic 606 and ASC 340-40 using the modified-retrospective method as an adjustment to the balance of Retained earnings (Accumulated deficit).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Condensed Consolidated Statement of Operations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Balances Without</w:t>
            </w:r>
          </w:p>
        </w:tc>
      </w:tr>
      <w:tr>
        <w:trPr>
          <w:trHeight w:val="216"/>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Adoption of</w:t>
            </w:r>
          </w:p>
        </w:tc>
      </w:tr>
      <w:tr>
        <w:trPr>
          <w:trHeight w:val="234"/>
        </w:trPr>
        <w:tc>
          <w:tcPr>
            <w:tcW w:w="6160" w:type="dxa"/>
            <w:vAlign w:val="bottom"/>
          </w:tcPr>
          <w:p>
            <w:pPr>
              <w:ind w:left="60"/>
              <w:spacing w:after="0"/>
              <w:rPr>
                <w:sz w:val="20"/>
                <w:szCs w:val="20"/>
                <w:color w:val="auto"/>
              </w:rPr>
            </w:pPr>
            <w:r>
              <w:rPr>
                <w:rFonts w:ascii="Arial" w:cs="Arial" w:eastAsia="Arial" w:hAnsi="Arial"/>
                <w:sz w:val="18"/>
                <w:szCs w:val="18"/>
                <w:b w:val="1"/>
                <w:bCs w:val="1"/>
                <w:color w:val="auto"/>
              </w:rPr>
              <w:t>Six Months Ended October 31, 2018:</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As 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Adjustments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ASU 2014-09</w:t>
            </w:r>
          </w:p>
        </w:tc>
        <w:tc>
          <w:tcPr>
            <w:tcW w:w="10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2,052</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13,795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5,182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988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5620" w:right="3760" w:hanging="5612"/>
        <w:spacing w:after="0" w:line="511" w:lineRule="auto"/>
        <w:tabs>
          <w:tab w:leader="none" w:pos="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expense related the amortization of sales commissions due to the adoptions of ASC 340-40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Balances Without</w:t>
            </w:r>
          </w:p>
        </w:tc>
      </w:tr>
      <w:tr>
        <w:trPr>
          <w:trHeight w:val="216"/>
        </w:trPr>
        <w:tc>
          <w:tcPr>
            <w:tcW w:w="4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Adoption of</w:t>
            </w:r>
          </w:p>
        </w:tc>
      </w:tr>
      <w:tr>
        <w:trPr>
          <w:trHeight w:val="234"/>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Three Months Ended October 31, 2018:</w:t>
            </w:r>
          </w:p>
        </w:tc>
        <w:tc>
          <w:tcPr>
            <w:tcW w:w="1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As Reported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ASU 2014-09</w:t>
            </w:r>
          </w:p>
        </w:tc>
        <w:tc>
          <w:tcPr>
            <w:tcW w:w="100" w:type="dxa"/>
            <w:vAlign w:val="bottom"/>
          </w:tcPr>
          <w:p>
            <w:pPr>
              <w:spacing w:after="0"/>
              <w:rPr>
                <w:sz w:val="20"/>
                <w:szCs w:val="20"/>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7,285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 (a)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30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(230)</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3020" w:type="dxa"/>
            <w:vAlign w:val="bottom"/>
          </w:tcPr>
          <w:p>
            <w:pPr>
              <w:jc w:val="right"/>
              <w:ind w:right="650"/>
              <w:spacing w:after="0"/>
              <w:rPr>
                <w:sz w:val="20"/>
                <w:szCs w:val="20"/>
                <w:color w:val="auto"/>
              </w:rPr>
            </w:pPr>
            <w:r>
              <w:rPr>
                <w:rFonts w:ascii="Arial" w:cs="Arial" w:eastAsia="Arial" w:hAnsi="Arial"/>
                <w:sz w:val="18"/>
                <w:szCs w:val="18"/>
                <w:color w:val="auto"/>
              </w:rPr>
              <w:t>92</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413</w:t>
            </w: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122</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expense related the amortization of sales commissions due to the adoptions of ASC 340-40</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of October 31, 2018, the Company had available credit at variable terms based on its securities holdings under an advisory arrangement, under which no borrowings have been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Based on the weighting of all evidence, both positive and negative, most notably the three year cumulative loss, we established a full valuation allowance against our U.S. deferred tax assets during the quarter ended April 30, 2018. If these estimates and assumptions change in the future, the Company may be required to adjust its existing valuation allowance resulting in changes to deferred income tax expense. The Company evaluates the likelihood of realizing its deferred tax assets quarterly.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December 22, 2017, the legislation commonly known as the Tax Cuts and Jobs Act (the “TCJA” or the “Tax Act”) was enacted into law. In response to the TCJA, the U.S. Securities and Exchange Commission (“SEC”) issued Staff Accounting Bulletin No. 118 (“SAB 118”), which provides guidance on accounting for the tax effects of TCJA. The purpose of SAB 118 was to address any uncertainty or diversity of view in applying ASC Topic 740,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the reporting period in which the TCJA was enacted. SAB 118 addresses situations where the accounting is incomplete for certain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the TCJA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accounting for certain elements of the TCJA was incomplete as of April 30, 2018, and remains incomplete as of October 31, 2018. However, the Company was able to make reasonable estimates of the effects and, therefore, recorded provisional estimates for these items during the periods ended January 31, 2018 and April 30, 2018. There were no changes to the estimates during the six and three months ended October 31,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Any and all of the forward-looking statements contained in this Form 10-Q and any other public statement by the Company or its management may turn out to be incorrect. The Company expressly disclaims any obligation to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2018, filed on July 30, 2018. The Company believes its most critical accounting policies to be the recognition of revenue and costs on production contracts, income taxes, and the valuation of inventory. Each of these areas requires the Company to make use of reasoned estimates including estimating the cost to complete a contract, the net realizable value of its inventory or the market value of its products. Changes in estimates can have a material impact on the Company’s financial position and results of operations. The Company’s significant accounting policies did not change during the six and three months ended October 31, 2018, except for those impacted by the newly adopted accounting standard below.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is recognized when a performance obligation is satisfied, when the expected goods or services are transferred to the customer, in an amount that reflects the consideration to which the entity expects to be entitled in exchange for those goods and services. A performance obligation is a distinct product or service that is transferred to the customer’s control based on the contract. The transaction price is allocated to each performance obligation and is recognized as revenue upon satisfaction of that performance obligation. The company derives revenue either as (i) units with specifications and frequencies that can be used by multiple customers (POT) or (ii) units with specific specifications and frequencies that are used by a specific customer or for government end use (POC).</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prior years a significant portion of our business that was not being accounted for as POC was from contracts where the end customer is the U.S. Government. These production-type contracts under which revenue was previously recorded as POT are currently being recognized as POC following adoption of ASU 2014-09 as noted in Note J to the condensed consolidated financial statements in Part I, Item I of this form 10-Q (“Note J”). As a result, the Company will begin recognizing revenue earlier under these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 costs include all direct material costs, direct labor costs, manufacturing overhead and other direct costs related to contract performance. Selling, general and administrative costs are expensed as incurred, except as otherwise noted in Note J above in relation to the adoption of ASU 2014-09.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write-downs are established for slow-moving or obsolete items and costs incurred on programs for which production-level orders cannot be determined as probable. Such write-downs are based upon management’s experience and expectations for future business. Any changes arising from revised expectations are reflected in cost of sales in the period the revision is made.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income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below sets forth for the six and three months ended October 31, 2018 and 2017 the percentage of consolidated revenues represented by certain items in the Company’s condensed consolidated statements of operations or notes to the condensed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w w:val="96"/>
              </w:rPr>
              <w:t>Six months</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w w:val="94"/>
              </w:rPr>
              <w:t>Three months</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w w:val="94"/>
              </w:rPr>
              <w:t>Periods ended October 31,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intersegment 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Selling and administrative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w w:val="87"/>
              </w:rPr>
              <w:t>Research and development expenses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80" w:type="dxa"/>
            <w:vAlign w:val="bottom"/>
            <w:gridSpan w:val="6"/>
          </w:tcPr>
          <w:p>
            <w:pPr>
              <w:spacing w:after="0"/>
              <w:rPr>
                <w:sz w:val="20"/>
                <w:szCs w:val="20"/>
                <w:color w:val="auto"/>
              </w:rPr>
            </w:pPr>
            <w:r>
              <w:rPr>
                <w:rFonts w:ascii="Arial" w:cs="Arial" w:eastAsia="Arial" w:hAnsi="Arial"/>
                <w:sz w:val="18"/>
                <w:szCs w:val="18"/>
                <w:color w:val="auto"/>
              </w:rPr>
              <w:t>Income (Loss) from continued 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(Loss) from discontinued operations, net of tax</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Six months</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89"/>
              </w:rPr>
              <w:t>Three months</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88"/>
              </w:rPr>
              <w:t>Periods ended October 31,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4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(2,762)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(1,051)</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23,153</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21,360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8.4%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12,142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9,337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2,805</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the six months ended October 31, 2018, revenues from commercial and U.S. Government satellite programs increased approximately $2.3 million over the same period of the previous fiscal year, and accounted for approximately 49% of consolidated revenues compared to approximately 42% during this same period in fiscal 2018. Revenues on these contracts are recognized primarily under the POC method. Revenues from the satellite market are recorded in the FEI-NY segment. Revenues from non-space U.S. Government/Department of Defense (“DOD”) customers, which are recorded in both the FEI-NY and FEI-Zyfer segments, increased $2.7 million over the same period of fiscal 2018, and accounted for approximately 45% of consolidated revenues compared to approximately 36% during this same period in fiscal 2018. Other commercial and industrial revenues in this fiscal 2019 period accounted for approximately 6% of consolidated revenues compared to 22% in the prior year. Intersegment revenues are eliminated in consolidation.</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October 31, 2018 revenues from commercial and U.S. Government satellite programs increased approximately $2.0 million over the same period of fiscal 2018, and accounted for approximately 48% of consolidated revenues compared to approximately 41% during this same period in fiscal 2018. Revenues from non-space U.S. Government/DOD customers, which are recorded in both the FEI-NY and FEI-Zyfer segments, increased $2.5 million over the same period of fiscal 2018, and accounted for approximately 46% of consolidated revenues compared to approximately 34% during this same period in fiscal 2018. Other commercial and industrial revenues for the three months ended October 31, 2018 accounted for approximately 6% of consolidated revenues compared to 26% during this same period in the prior year.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Gross Margin</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0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Six months</w:t>
            </w: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rPr>
              <w:t>Periods ended October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1,569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  $</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7"/>
              </w:rPr>
              <w:t>1,816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and three month period ended October 31, 2018 gross margin and GM Rate increased over the same period in fiscal 2018. The increase to both the gross margin and GM Rate was due to increased revenues, lower repair cost and product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Six months</w:t>
            </w:r>
          </w:p>
        </w:tc>
        <w:tc>
          <w:tcPr>
            <w:tcW w:w="10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w w:val="92"/>
              </w:rPr>
              <w:t>Periods ended October 31,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136</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six months ended October 31, 2018 and 2017, selling and administrative (“SG&amp;A”) expenses were approximately 22% and 24%, respectively, of consolidated revenues. For the three months periods ended October 31, 2018 and 2017, SG&amp;A expenses were approximately 22% and 25% respectively, of consolidated revenues. The increase in SG&amp;A expenses during the six and three months ended October 31, 2018, as compared to the six and three months ended October 31, 2017, was due to additional personnel related expenses and professional fees, partially offset by reductions in various other SG&amp;A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Six months</w:t>
            </w: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5"/>
              </w:rPr>
              <w:t>Three months</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w w:val="92"/>
              </w:rPr>
              <w:t>Periods ended October 31,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(107)</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1,734</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future competitiveness. The R&amp;D rate for the six month period ending October 31, 2018 was 14% compared to 16% of sales for the same period of the previous fiscal year. The R&amp;D rate for the three month period ending October 31, 2018 was 13% compared to 19% of sales for the same period of the previous fiscal year. Customer funded R&amp;D development recorded in revenues is expected to add substantially to overall R&amp;D activity in the full current fiscal year compared to fiscal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Six months</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Periods ended October 31,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1,540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(91.3)% $</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3"/>
              </w:rPr>
              <w:t>1,636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had increased revenue, gross margin, and GM Rate in the six and three months ending October 31, 2018 resulting in reduced operating loss as compared to the same periods of the preceding fiscal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8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Three months</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Periods ended October</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(83.8)%</w:t>
            </w: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NM%</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(17.1)%</w:t>
            </w:r>
          </w:p>
        </w:tc>
        <w:tc>
          <w:tcPr>
            <w:tcW w:w="6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(19.0)%</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195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NM%</w:t>
            </w:r>
          </w:p>
        </w:tc>
      </w:tr>
      <w:tr>
        <w:trPr>
          <w:trHeight w:val="20"/>
        </w:trPr>
        <w:tc>
          <w:tcPr>
            <w:tcW w:w="1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36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(75.6)%</w:t>
            </w:r>
          </w:p>
        </w:tc>
        <w:tc>
          <w:tcPr>
            <w:tcW w:w="620" w:type="dxa"/>
            <w:vAlign w:val="bottom"/>
          </w:tcPr>
          <w:p>
            <w:pPr>
              <w:jc w:val="right"/>
              <w:ind w:right="4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360" w:type="dxa"/>
            <w:vAlign w:val="bottom"/>
          </w:tcPr>
          <w:p>
            <w:pPr>
              <w:spacing w:after="0"/>
              <w:rPr>
                <w:sz w:val="18"/>
                <w:szCs w:val="18"/>
                <w:color w:val="auto"/>
              </w:rPr>
            </w:pPr>
          </w:p>
        </w:tc>
        <w:tc>
          <w:tcPr>
            <w:tcW w:w="76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NM%</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vary based on fluctuating interest rates, dividend payout levels, and the timing of purchases or sales of securities. In the quarter ending July 31, 2017 the Company divested of all its holdings in equities securities in its investment account, which were converted to cash. As a result, the Company recorded gains of approximately $1.0 million during the six months ended October 31, 2017 as compared to negligible gain or loss in the same period of fiscal 2019. The change in other income (expense) was the result of the proceeds of a life insurance policy of a retired key employee.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 (Benefit)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Six months</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rPr>
              <w:t>Periods ended October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75</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(76.5)%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Effective tax rate on pre-tax</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book income:</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October 31, 2018, the Company recorded an income tax benefit of $(22,600), which included a discrete income tax provision of $36,700. The calculation of the overall income tax provision for the six months ended October 31, 2018 primarily consisted of foreign taxes and a discrete income tax provision related to the accrual of interest for unrecognized tax benefits. For the six months ended October 31, 2017, the Company recorded an income tax benefit of $(98,000).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October 31, 2018, the Company recorded an income tax benefit of $(29,700), which included a discrete income tax provision of $18,400. The calculation of the overall income tax provision for the three months ended October 31, 2018 primarily consisted of foreign taxes and a discrete income tax provision related to the accrual of interest for unrecognized tax benefits. For the three months ended October 31, 2017, the Company recorded an income tax benefit of $(584,000).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effective tax rate for the six months ended October 31, 2018 was an income tax benefit of (17.7)% compared to an income tax provision of 17.6% in the comparable prior period. The effective rate for the six months ended October 31, 2018 differs from the U.S. statutory rate of 21% primarily due to the mix of domestic and foreign earnings, a discrete income tax provision related to the accrual of interest for unrecognized tax benefits, and domestic losses for which the Company is not recognizing an income tax benefit.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effective tax rate for the three months ended October 31, 2018 was an income tax benefit of (32.6)% compared to an income tax provision of 31.2% in the comparable prior period. The effective rate for the three months ended October 31, 2018 differs from the U.S. statutory rate of 21% primarily due to the mix of domestic and foreign earnings, a discrete income tax provision related to the accrual of interest for unrecognized tax benefits, and domestic losses for which the Company is not recognizing an income tax benefit.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weighting of all evidence, both positive and negative, most notably the three-year cumulative loss, we established a full valuation allowance against our U.S. deferred tax assets during the quarter ended April 30, 2018. If these estimates and assumptions change in the future, the Company may be required to adjust its existing valuation allowance resulting in changes to deferred income tax expense. The Company evaluates the likelihood of realizing its deferred tax assets quarterly.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4"/>
        <w:spacing w:after="0" w:line="293" w:lineRule="auto"/>
        <w:rPr>
          <w:sz w:val="20"/>
          <w:szCs w:val="20"/>
          <w:color w:val="auto"/>
        </w:rPr>
      </w:pPr>
      <w:r>
        <w:rPr>
          <w:rFonts w:ascii="Arial" w:cs="Arial" w:eastAsia="Arial" w:hAnsi="Arial"/>
          <w:sz w:val="16"/>
          <w:szCs w:val="16"/>
          <w:color w:val="auto"/>
        </w:rPr>
        <w:t xml:space="preserve">On December 22, 2017, the legislation commonly known as the Tax Cuts and Jobs Act was enacted into law. In response to the TCJA, the SEC staff issued SAB 118, which provides guidance on accounting for the tax effects of TCJA. The purpose of SAB 118 was to address any uncertainty or diversity of view in applying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reporting period in which the TCJA was enacted. SAB 118 addresses situations where the accounting is incomplete for certain income tax effects of the TCJA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accounting for certain elements of the TCJA was incomplete as of the period ended April 30, 2018, and remains incomplete as of October 31, 2018. However, the Company was able to make reasonable estimates of the effects and, therefore, recorded provisional estimates for these items during the periods ended January 31, 2018 and April 30, 2018. There were no changes to the estimates during the six months ended October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Discontinued Operations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680"/>
              <w:spacing w:after="0"/>
              <w:rPr>
                <w:sz w:val="20"/>
                <w:szCs w:val="20"/>
                <w:color w:val="auto"/>
              </w:rPr>
            </w:pPr>
            <w:r>
              <w:rPr>
                <w:rFonts w:ascii="Arial" w:cs="Arial" w:eastAsia="Arial" w:hAnsi="Arial"/>
                <w:sz w:val="18"/>
                <w:szCs w:val="18"/>
                <w:b w:val="1"/>
                <w:bCs w:val="1"/>
                <w:color w:val="auto"/>
                <w:w w:val="99"/>
              </w:rPr>
              <w:t>Periods ended October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(408)</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above table represents the net loss for the Gillam segment accounted for as discontinued operations as presented in Note B to the condensed consolidated financial statements I Part I, Item 1 of this Form 10-Q. On April 26, 2018, the Company sold Gillam to a European entity, in a stock purchase agreement, for $1.0 million in cash received on April 27, 2018, and a note payable in three years for an additional $1.0 million. The loss recorded due to the sale of Gillam was approximately $359,000. The calculation of the loss was the carrying amount of the investment on FEI-NY’s books less the retained earnings and remaining equity amounts of Gillam reduced by the cash received and the value of the note receivable. As such Gillam’s results have been classified as discontinued operations in the accompanying Condensed Consolidated Statements of Operations and Comprehensive (Loss) Income for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$47.4 million at October 31, 2018 and $46.8 million at April 30, 2018. Included in working capital at October 31, 2018 and April 30 2018, is $11.3 million and $14.0 million, respectively, of cash, cash equivalents, and short-term investments. The Company’s current ratio at October 31, 2018 was 12.1 to 1.</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operations for the six months ended October 31, 2018 was $1.1 million compared to $2.8 million provided by operations in the comparable fiscal 2018 period. The decrease in cash flow in the fiscal 2019 period ended October 31, 2018 resulted primarily from an increase in accounts receivables and a decrease in accounts payables offset by a decrease in inventory, compared to the balances as of the end of the previous fiscal 2018 period ended October 31, 2017. For the six month periods ended October 31, 2018 and 2017, the Company incurred approximately $2.2 million and $1.5 million, respectively, of non-cash operating expenses including depreciation and amortization, inventory reserve adjustments, and accruals for employee benefit programs.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investing activities for the six months ended October 31, 2018, was $2.6 million compared to $5.6 million provided by investing activities in the same period of fiscal 2018. During the fiscal 2019 period, marketable securities were sold or redeemed in the amount of $947,000 compared to $6.5 million of such redemptions during the fiscal 2018 period. For the fiscal 2019 period, approximately $2.2 million of marketable securities were purchased. There were no marketable securities purchased for the same period in fiscal 2018. In the six months ended October 31, 2018 and 2017, the Company acquired property, plant and equipment in the amount of approximately $1.3 million and $883,000, respectively. The Company discontinued investing in equity securities in fiscal 2018 as part of its cash management strategy. The Company may continue to invest cash equivalents as dictated by its investment and acquisition strategies.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was no cash provided by financing activities for the six months ended October 31, 2018 compared to $1,000 provided in the six months ended October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October 31, 2018, the Company has repurchased approximately $4 million of its common stock out of the $5 million authorization. For the six months ended October 31, 2018 and 2017, there were no repurchases of shares.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During fiscal 2018, the Company secured partial customer funding for a portion of its R&amp;D efforts. The customer funds received in connection therewith appear in revenues and are not included in R&amp;D expenses. For fiscal 2019, the Company has secured significant additional customer funding for its R&amp;D activities, and will allocate internal funds depending on market conditions and identification of new opportunities as in fiscal year 2018.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October 31, 2018, the Company’s consolidated funded backlog was approximately $38 million compared to $30 million at April 30, 2018, the end of fiscal 2018. Approximately 80% of this backlog is expected to be realized in the next twelve months. Included in the backlog at October 31, 2018 was approximately $8.5 million under cost-plus-fee contracts. The Company excludes from backlog any contracts or awards for which it has not received authorization to proceed and associated funding. The Company expects these contracts to become fully funded over time.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operating and investment needs through at least December 14, 2019 and the foreseeable future.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international business is subject to changes in demand or pricing resulting from fluctuations in currency exchange rates in the Chinese Renminbi to U.S. Dollar exchange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October 31, 2018,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fiscal quarter ended October 31, 2018 to which this report relates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ind w:left="1260" w:hanging="604"/>
        <w:spacing w:after="0" w:line="277" w:lineRule="auto"/>
        <w:tabs>
          <w:tab w:leader="none" w:pos="1260" w:val="left"/>
        </w:tabs>
        <w:numPr>
          <w:ilvl w:val="0"/>
          <w:numId w:val="9"/>
        </w:numPr>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Certifications by the Chief Executive Officer and Chief Financial Officer pursuant to 18 U.S.C. Section 1350, as adopted pursuant to Section</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906 of the Sarbanes-Oxley Act of 2002.</w:t>
        </w:r>
      </w:hyperlink>
    </w:p>
    <w:p>
      <w:pPr>
        <w:spacing w:after="0" w:line="170" w:lineRule="exact"/>
        <w:rPr>
          <w:rFonts w:ascii="Arial" w:cs="Arial" w:eastAsia="Arial" w:hAnsi="Arial"/>
          <w:sz w:val="18"/>
          <w:szCs w:val="18"/>
          <w:color w:val="auto"/>
        </w:rPr>
      </w:pPr>
    </w:p>
    <w:p>
      <w:pPr>
        <w:jc w:val="both"/>
        <w:ind w:left="1260" w:hanging="604"/>
        <w:spacing w:after="0" w:line="259"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the Frequency Electronics, Inc. Quarterly Report on Form 10-Q for the quarter ended October 31, 2018 formatted in eXtensible Business Reporting Language (XBRL): (i) Condensed Consolidated Balance Sheets, (ii) Condensed Consolidated Statements of Operations and Comprehensive (Loss) Income, (iii) Condensed Consolidated Statements of Cash Flows and (iv) Notes to Condensed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color w:val="auto"/>
              </w:rPr>
              <w:t>(Registrant)</w:t>
            </w:r>
          </w:p>
        </w:tc>
        <w:tc>
          <w:tcPr>
            <w:tcW w:w="6340" w:type="dxa"/>
            <w:vAlign w:val="bottom"/>
            <w:gridSpan w:val="3"/>
          </w:tcPr>
          <w:p>
            <w:pPr>
              <w:ind w:left="1100"/>
              <w:spacing w:after="0"/>
              <w:rPr>
                <w:sz w:val="20"/>
                <w:szCs w:val="20"/>
                <w:color w:val="auto"/>
              </w:rPr>
            </w:pPr>
            <w:r>
              <w:rPr>
                <w:rFonts w:ascii="Arial" w:cs="Arial" w:eastAsia="Arial" w:hAnsi="Arial"/>
                <w:sz w:val="18"/>
                <w:szCs w:val="18"/>
                <w:b w:val="1"/>
                <w:bCs w:val="1"/>
                <w:color w:val="auto"/>
              </w:rPr>
              <w:t>FREQUENCY ELECTRONICS, INC.</w:t>
            </w:r>
          </w:p>
        </w:tc>
        <w:tc>
          <w:tcPr>
            <w:tcW w:w="0" w:type="dxa"/>
            <w:vAlign w:val="bottom"/>
          </w:tcPr>
          <w:p>
            <w:pPr>
              <w:spacing w:after="0"/>
              <w:rPr>
                <w:sz w:val="1"/>
                <w:szCs w:val="1"/>
                <w:color w:val="auto"/>
              </w:rPr>
            </w:pPr>
          </w:p>
        </w:tc>
      </w:tr>
      <w:tr>
        <w:trPr>
          <w:trHeight w:val="216"/>
        </w:trPr>
        <w:tc>
          <w:tcPr>
            <w:tcW w:w="29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960" w:type="dxa"/>
            <w:vAlign w:val="bottom"/>
          </w:tcPr>
          <w:p>
            <w:pPr>
              <w:spacing w:after="0"/>
              <w:rPr>
                <w:sz w:val="20"/>
                <w:szCs w:val="20"/>
                <w:color w:val="auto"/>
              </w:rPr>
            </w:pPr>
            <w:r>
              <w:rPr>
                <w:rFonts w:ascii="Arial" w:cs="Arial" w:eastAsia="Arial" w:hAnsi="Arial"/>
                <w:sz w:val="18"/>
                <w:szCs w:val="18"/>
                <w:color w:val="auto"/>
              </w:rPr>
              <w:t>Date: December 14, 2018</w:t>
            </w: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rPr>
              <w:t>BY  /s/  Steven L. Bernstein</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Pr>
          <w:p>
            <w:pPr>
              <w:spacing w:after="0"/>
              <w:rPr>
                <w:sz w:val="19"/>
                <w:szCs w:val="19"/>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rPr>
              <w:t>Steven L. Bernstein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308" w:lineRule="auto"/>
        <w:tabs>
          <w:tab w:leader="none" w:pos="2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Stanton Sloane</w:t>
            </w:r>
          </w:p>
        </w:tc>
        <w:tc>
          <w:tcPr>
            <w:tcW w:w="4660" w:type="dxa"/>
            <w:vAlign w:val="bottom"/>
          </w:tcPr>
          <w:p>
            <w:pPr>
              <w:ind w:left="3240"/>
              <w:spacing w:after="0"/>
              <w:rPr>
                <w:sz w:val="20"/>
                <w:szCs w:val="20"/>
                <w:color w:val="auto"/>
              </w:rPr>
            </w:pPr>
            <w:r>
              <w:rPr>
                <w:rFonts w:ascii="Arial" w:cs="Arial" w:eastAsia="Arial" w:hAnsi="Arial"/>
                <w:sz w:val="18"/>
                <w:szCs w:val="18"/>
                <w:color w:val="auto"/>
                <w:w w:val="88"/>
              </w:rPr>
              <w:t>December 14, 2018</w:t>
            </w: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Stanton Sloane</w:t>
            </w:r>
          </w:p>
        </w:tc>
        <w:tc>
          <w:tcPr>
            <w:tcW w:w="4660" w:type="dxa"/>
            <w:vAlign w:val="bottom"/>
          </w:tcPr>
          <w:p>
            <w:pPr>
              <w:spacing w:after="0"/>
              <w:rPr>
                <w:sz w:val="19"/>
                <w:szCs w:val="19"/>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66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308" w:lineRule="auto"/>
        <w:tabs>
          <w:tab w:leader="none" w:pos="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420" w:type="dxa"/>
            <w:vAlign w:val="bottom"/>
          </w:tcPr>
          <w:p>
            <w:pPr>
              <w:ind w:left="3020"/>
              <w:spacing w:after="0"/>
              <w:rPr>
                <w:sz w:val="20"/>
                <w:szCs w:val="20"/>
                <w:color w:val="auto"/>
              </w:rPr>
            </w:pPr>
            <w:r>
              <w:rPr>
                <w:rFonts w:ascii="Arial" w:cs="Arial" w:eastAsia="Arial" w:hAnsi="Arial"/>
                <w:sz w:val="18"/>
                <w:szCs w:val="18"/>
                <w:color w:val="auto"/>
                <w:w w:val="87"/>
              </w:rPr>
              <w:t>December 14, 2018</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4420" w:type="dxa"/>
            <w:vAlign w:val="bottom"/>
          </w:tcPr>
          <w:p>
            <w:pPr>
              <w:spacing w:after="0"/>
              <w:rPr>
                <w:sz w:val="19"/>
                <w:szCs w:val="19"/>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42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2018 as filed with the Securities and Exchange Commission on the date hereof (the “Report”), I, Stanton Sloane,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tcBorders>
              <w:bottom w:val="single" w:sz="8" w:color="auto"/>
            </w:tcBorders>
            <w:gridSpan w:val="2"/>
          </w:tcPr>
          <w:p>
            <w:pPr>
              <w:jc w:val="center"/>
              <w:ind w:right="1640"/>
              <w:spacing w:after="0"/>
              <w:rPr>
                <w:sz w:val="20"/>
                <w:szCs w:val="20"/>
                <w:color w:val="auto"/>
              </w:rPr>
            </w:pPr>
            <w:r>
              <w:rPr>
                <w:rFonts w:ascii="Arial" w:cs="Arial" w:eastAsia="Arial" w:hAnsi="Arial"/>
                <w:sz w:val="18"/>
                <w:szCs w:val="18"/>
                <w:color w:val="auto"/>
                <w:w w:val="90"/>
              </w:rPr>
              <w:t>/s/  Stanton Sloane</w:t>
            </w:r>
          </w:p>
        </w:tc>
        <w:tc>
          <w:tcPr>
            <w:tcW w:w="3980" w:type="dxa"/>
            <w:vAlign w:val="bottom"/>
          </w:tcPr>
          <w:p>
            <w:pPr>
              <w:jc w:val="right"/>
              <w:spacing w:after="0"/>
              <w:rPr>
                <w:sz w:val="20"/>
                <w:szCs w:val="20"/>
                <w:color w:val="auto"/>
              </w:rPr>
            </w:pPr>
            <w:r>
              <w:rPr>
                <w:rFonts w:ascii="Arial" w:cs="Arial" w:eastAsia="Arial" w:hAnsi="Arial"/>
                <w:sz w:val="18"/>
                <w:szCs w:val="18"/>
                <w:color w:val="auto"/>
              </w:rPr>
              <w:t>December 14, 2018</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100" w:type="dxa"/>
            <w:vAlign w:val="bottom"/>
            <w:gridSpan w:val="2"/>
          </w:tcPr>
          <w:p>
            <w:pPr>
              <w:ind w:left="600"/>
              <w:spacing w:after="0"/>
              <w:rPr>
                <w:sz w:val="20"/>
                <w:szCs w:val="20"/>
                <w:color w:val="auto"/>
              </w:rPr>
            </w:pPr>
            <w:r>
              <w:rPr>
                <w:rFonts w:ascii="Arial" w:cs="Arial" w:eastAsia="Arial" w:hAnsi="Arial"/>
                <w:sz w:val="18"/>
                <w:szCs w:val="18"/>
                <w:color w:val="auto"/>
              </w:rPr>
              <w:t>Stanton Sloane</w:t>
            </w: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100" w:type="dxa"/>
            <w:vAlign w:val="bottom"/>
            <w:gridSpan w:val="2"/>
          </w:tcPr>
          <w:p>
            <w:pPr>
              <w:ind w:left="600"/>
              <w:spacing w:after="0"/>
              <w:rPr>
                <w:sz w:val="20"/>
                <w:szCs w:val="20"/>
                <w:color w:val="auto"/>
              </w:rPr>
            </w:pPr>
            <w:r>
              <w:rPr>
                <w:rFonts w:ascii="Arial" w:cs="Arial" w:eastAsia="Arial" w:hAnsi="Arial"/>
                <w:sz w:val="18"/>
                <w:szCs w:val="18"/>
                <w:color w:val="auto"/>
              </w:rPr>
              <w:t>Chief Executive Officer</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gridSpan w:val="3"/>
            <w:vMerge w:val="restart"/>
          </w:tcPr>
          <w:p>
            <w:pPr>
              <w:jc w:val="center"/>
              <w:ind w:right="1560"/>
              <w:spacing w:after="0"/>
              <w:rPr>
                <w:sz w:val="20"/>
                <w:szCs w:val="20"/>
                <w:color w:val="auto"/>
              </w:rPr>
            </w:pPr>
            <w:r>
              <w:rPr>
                <w:rFonts w:ascii="Arial" w:cs="Arial" w:eastAsia="Arial" w:hAnsi="Arial"/>
                <w:sz w:val="18"/>
                <w:szCs w:val="18"/>
                <w:b w:val="1"/>
                <w:bCs w:val="1"/>
                <w:color w:val="auto"/>
                <w:w w:val="94"/>
              </w:rPr>
              <w:t>Certification of CFO</w:t>
            </w:r>
          </w:p>
        </w:tc>
        <w:tc>
          <w:tcPr>
            <w:tcW w:w="39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160" w:type="dxa"/>
            <w:vAlign w:val="bottom"/>
            <w:gridSpan w:val="3"/>
            <w:vMerge w:val="continue"/>
          </w:tcPr>
          <w:p>
            <w:pPr>
              <w:spacing w:after="0"/>
              <w:rPr>
                <w:sz w:val="15"/>
                <w:szCs w:val="15"/>
                <w:color w:val="auto"/>
              </w:rPr>
            </w:pPr>
          </w:p>
        </w:tc>
        <w:tc>
          <w:tcPr>
            <w:tcW w:w="3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2018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3980" w:type="dxa"/>
            <w:vAlign w:val="bottom"/>
          </w:tcPr>
          <w:p>
            <w:pPr>
              <w:ind w:left="2560"/>
              <w:spacing w:after="0"/>
              <w:rPr>
                <w:sz w:val="20"/>
                <w:szCs w:val="20"/>
                <w:color w:val="auto"/>
              </w:rPr>
            </w:pPr>
            <w:r>
              <w:rPr>
                <w:rFonts w:ascii="Arial" w:cs="Arial" w:eastAsia="Arial" w:hAnsi="Arial"/>
                <w:sz w:val="18"/>
                <w:szCs w:val="18"/>
                <w:color w:val="auto"/>
                <w:w w:val="88"/>
              </w:rPr>
              <w:t>December 14, 2018</w:t>
            </w:r>
          </w:p>
        </w:tc>
      </w:tr>
      <w:tr>
        <w:trPr>
          <w:trHeight w:val="222"/>
        </w:trPr>
        <w:tc>
          <w:tcPr>
            <w:tcW w:w="2940" w:type="dxa"/>
            <w:vAlign w:val="bottom"/>
          </w:tcPr>
          <w:p>
            <w:pPr>
              <w:ind w:left="600"/>
              <w:spacing w:after="0"/>
              <w:rPr>
                <w:sz w:val="20"/>
                <w:szCs w:val="20"/>
                <w:color w:val="auto"/>
              </w:rPr>
            </w:pPr>
            <w:r>
              <w:rPr>
                <w:rFonts w:ascii="Arial" w:cs="Arial" w:eastAsia="Arial" w:hAnsi="Arial"/>
                <w:sz w:val="18"/>
                <w:szCs w:val="18"/>
                <w:color w:val="auto"/>
              </w:rPr>
              <w:t>Steven L. Bernstein</w:t>
            </w:r>
          </w:p>
        </w:tc>
        <w:tc>
          <w:tcPr>
            <w:tcW w:w="3980" w:type="dxa"/>
            <w:vAlign w:val="bottom"/>
          </w:tcPr>
          <w:p>
            <w:pPr>
              <w:spacing w:after="0"/>
              <w:rPr>
                <w:sz w:val="19"/>
                <w:szCs w:val="19"/>
                <w:color w:val="auto"/>
              </w:rPr>
            </w:pPr>
          </w:p>
        </w:tc>
      </w:tr>
      <w:tr>
        <w:trPr>
          <w:trHeight w:val="230"/>
        </w:trPr>
        <w:tc>
          <w:tcPr>
            <w:tcW w:w="2940" w:type="dxa"/>
            <w:vAlign w:val="bottom"/>
          </w:tcPr>
          <w:p>
            <w:pPr>
              <w:ind w:left="600"/>
              <w:spacing w:after="0"/>
              <w:rPr>
                <w:sz w:val="20"/>
                <w:szCs w:val="20"/>
                <w:color w:val="auto"/>
              </w:rPr>
            </w:pPr>
            <w:r>
              <w:rPr>
                <w:rFonts w:ascii="Arial" w:cs="Arial" w:eastAsia="Arial" w:hAnsi="Arial"/>
                <w:sz w:val="18"/>
                <w:szCs w:val="18"/>
                <w:color w:val="auto"/>
              </w:rPr>
              <w:t>Chief Financial Officer</w:t>
            </w:r>
          </w:p>
        </w:tc>
        <w:tc>
          <w:tcPr>
            <w:tcW w:w="398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32"/>
    </w:lvl>
  </w:abstractNum>
  <w:abstractNum w:abstractNumId="9">
    <w:nsid w:val="1BEFD79F"/>
    <w:multiLevelType w:val="hybridMultilevel"/>
    <w:lvl w:ilvl="0">
      <w:lvlJc w:val="left"/>
      <w:lvlText w:val="%1"/>
      <w:numFmt w:val="decimal"/>
      <w:start w:val="10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2019-12-28T17:34:08Z</dcterms:created>
  <dcterms:modified xsi:type="dcterms:W3CDTF">2019-12-28T17:34:08Z</dcterms:modified>
</cp:coreProperties>
</file>