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MCCLELLAND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FREQUENCY 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CHARLES LINDBERGH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MITCHEL 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FREQUENCY ELECTRONICS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FEIM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01/04/2025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752"/>
        <w:gridCol w:w="118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18.47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103,395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153,395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140,507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36.68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50.55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133,749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183,749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57.97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170,861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220,861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Company to cover tax obligations upon vesting of previously granted equity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Updated to reflect reporting person's beneficial ownership as of 09/23/2026.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Performance based restricted stock units granted 05/13/2024. As of 07/31/2025 performance requirements have been met; vest in four equal annual installments commencing 07/31/2025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Performance based restricted stock units granted 02/01/2026. As of 04/30/2026 performance requirements have been met; vest in four equal annual installments commencing 02/01/2027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granted 09/09/2026 vesting in four equal annual installments commencing 09/09/2027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Bernstein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5922" TargetMode="External"/><Relationship Id="rId5" Type="http://schemas.openxmlformats.org/officeDocument/2006/relationships/hyperlink" Target="http://www.sec.gov/cgi-bin/browse-edgar?action=getcompany&amp;CIK=00000390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731</Words>
  <Characters>4056</Characters>
  <CharactersWithSpaces>4655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