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210820</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245745</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6" w:lineRule="exact"/>
        <w:rPr>
          <w:sz w:val="24"/>
          <w:szCs w:val="24"/>
          <w:color w:val="auto"/>
        </w:rPr>
      </w:pPr>
    </w:p>
    <w:p>
      <w:pPr>
        <w:ind w:left="4080" w:right="1980" w:hanging="3586"/>
        <w:spacing w:after="0" w:line="530" w:lineRule="auto"/>
        <w:tabs>
          <w:tab w:leader="none" w:pos="814"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0" w:right="1960" w:hanging="3106"/>
        <w:spacing w:after="0" w:line="542" w:lineRule="auto"/>
        <w:tabs>
          <w:tab w:leader="none" w:pos="8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404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608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(State or other jurisdiction of</w:t>
            </w:r>
          </w:p>
        </w:tc>
        <w:tc>
          <w:tcPr>
            <w:tcW w:w="3900" w:type="dxa"/>
            <w:vAlign w:val="bottom"/>
            <w:gridSpan w:val="5"/>
          </w:tcPr>
          <w:p>
            <w:pPr>
              <w:jc w:val="center"/>
              <w:ind w:left="11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08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incorporation or organization)</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800" w:type="dxa"/>
            <w:vAlign w:val="bottom"/>
            <w:gridSpan w:val="3"/>
          </w:tcPr>
          <w:p>
            <w:pPr>
              <w:jc w:val="center"/>
              <w:spacing w:after="0"/>
              <w:rPr>
                <w:sz w:val="20"/>
                <w:szCs w:val="20"/>
                <w:color w:val="auto"/>
              </w:rPr>
            </w:pPr>
            <w:r>
              <w:rPr>
                <w:rFonts w:ascii="Arial" w:cs="Arial" w:eastAsia="Arial" w:hAnsi="Arial"/>
                <w:sz w:val="18"/>
                <w:szCs w:val="18"/>
                <w:b w:val="1"/>
                <w:bCs w:val="1"/>
                <w:color w:val="auto"/>
              </w:rPr>
              <w:t>55 CHARLES LINDBERGH BLVD., MITCHEL FIELD, N.Y.</w:t>
            </w:r>
          </w:p>
        </w:tc>
        <w:tc>
          <w:tcPr>
            <w:tcW w:w="1280" w:type="dxa"/>
            <w:vAlign w:val="bottom"/>
          </w:tcPr>
          <w:p>
            <w:pPr>
              <w:spacing w:after="0"/>
              <w:rPr>
                <w:sz w:val="24"/>
                <w:szCs w:val="24"/>
                <w:color w:val="auto"/>
              </w:rPr>
            </w:pPr>
          </w:p>
        </w:tc>
        <w:tc>
          <w:tcPr>
            <w:tcW w:w="30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80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800" w:type="dxa"/>
            <w:vAlign w:val="bottom"/>
            <w:gridSpan w:val="3"/>
          </w:tcPr>
          <w:p>
            <w:pPr>
              <w:ind w:left="920"/>
              <w:spacing w:after="0"/>
              <w:rPr>
                <w:sz w:val="20"/>
                <w:szCs w:val="20"/>
                <w:color w:val="auto"/>
              </w:rPr>
            </w:pPr>
            <w:r>
              <w:rPr>
                <w:rFonts w:ascii="Arial" w:cs="Arial" w:eastAsia="Arial" w:hAnsi="Arial"/>
                <w:sz w:val="18"/>
                <w:szCs w:val="18"/>
                <w:color w:val="auto"/>
              </w:rPr>
              <w:t>(Address of principal executive offices)</w:t>
            </w:r>
          </w:p>
        </w:tc>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9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4">
            <w:col w:w="2160" w:space="720"/>
            <w:col w:w="1560" w:space="720"/>
            <w:col w:w="3300" w:space="120"/>
            <w:col w:w="2840"/>
          </w:cols>
          <w:pgMar w:left="240" w:top="297" w:right="2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3">
            <w:col w:w="8180" w:space="140"/>
            <w:col w:w="400" w:space="180"/>
            <w:col w:w="2520"/>
          </w:cols>
          <w:pgMar w:left="240" w:top="297" w:right="239" w:bottom="144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September 9, 2013 – 8,513,673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700" w:type="dxa"/>
            <w:vAlign w:val="bottom"/>
            <w:gridSpan w:val="1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gridSpan w:val="7"/>
          </w:tcPr>
          <w:p>
            <w:pPr>
              <w:jc w:val="center"/>
              <w:ind w:right="180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gridSpan w:val="7"/>
          </w:tcPr>
          <w:p>
            <w:pPr>
              <w:jc w:val="center"/>
              <w:ind w:right="1800"/>
              <w:spacing w:after="0"/>
              <w:rPr>
                <w:sz w:val="20"/>
                <w:szCs w:val="20"/>
                <w:color w:val="auto"/>
              </w:rPr>
            </w:pPr>
            <w:r>
              <w:rPr>
                <w:rFonts w:ascii="Arial" w:cs="Arial" w:eastAsia="Arial" w:hAnsi="Arial"/>
                <w:sz w:val="18"/>
                <w:szCs w:val="18"/>
                <w:b w:val="1"/>
                <w:bCs w:val="1"/>
                <w:color w:val="auto"/>
                <w:w w:val="99"/>
              </w:rPr>
              <w:t>TABLE OF CONTENTS</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9"/>
        </w:trPr>
        <w:tc>
          <w:tcPr>
            <w:tcW w:w="9700" w:type="dxa"/>
            <w:vAlign w:val="bottom"/>
            <w:gridSpan w:val="16"/>
          </w:tcPr>
          <w:p>
            <w:pPr>
              <w:spacing w:after="0"/>
              <w:rPr>
                <w:sz w:val="20"/>
                <w:szCs w:val="20"/>
                <w:color w:val="auto"/>
              </w:rPr>
            </w:pPr>
            <w:r>
              <w:rPr>
                <w:rFonts w:ascii="Arial" w:cs="Arial" w:eastAsia="Arial" w:hAnsi="Arial"/>
                <w:sz w:val="18"/>
                <w:szCs w:val="18"/>
                <w:color w:val="auto"/>
              </w:rPr>
              <w:t>Part I. Financial Information:</w:t>
            </w:r>
          </w:p>
        </w:tc>
        <w:tc>
          <w:tcPr>
            <w:tcW w:w="172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Page No.</w:t>
            </w:r>
          </w:p>
        </w:tc>
      </w:tr>
      <w:tr>
        <w:trPr>
          <w:trHeight w:val="412"/>
        </w:trPr>
        <w:tc>
          <w:tcPr>
            <w:tcW w:w="500" w:type="dxa"/>
            <w:vAlign w:val="bottom"/>
          </w:tcPr>
          <w:p>
            <w:pPr>
              <w:spacing w:after="0"/>
              <w:rPr>
                <w:sz w:val="24"/>
                <w:szCs w:val="24"/>
                <w:color w:val="auto"/>
              </w:rPr>
            </w:pPr>
          </w:p>
        </w:tc>
        <w:tc>
          <w:tcPr>
            <w:tcW w:w="9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38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6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31, 2013 (unaudited) and April 30, 2013</w:t>
              </w:r>
            </w:hyperlink>
          </w:p>
        </w:tc>
        <w:tc>
          <w:tcPr>
            <w:tcW w:w="2540" w:type="dxa"/>
            <w:vAlign w:val="bottom"/>
            <w:gridSpan w:val="4"/>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Income and Comprehensive Income (unaudited) Three Months Ended July 31,</w:t>
              </w:r>
            </w:hyperlink>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2013 and 2012</w:t>
              </w:r>
            </w:hyperlink>
          </w:p>
        </w:tc>
        <w:tc>
          <w:tcPr>
            <w:tcW w:w="862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Three Months Ended July 31, 2013 and 2012</w:t>
              </w:r>
            </w:hyperlink>
          </w:p>
        </w:tc>
        <w:tc>
          <w:tcPr>
            <w:tcW w:w="1000" w:type="dxa"/>
            <w:vAlign w:val="bottom"/>
            <w:gridSpan w:val="2"/>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04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6-11</w:t>
            </w:r>
          </w:p>
        </w:tc>
        <w:tc>
          <w:tcPr>
            <w:tcW w:w="6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6580" w:type="dxa"/>
            <w:vAlign w:val="bottom"/>
            <w:tcBorders>
              <w:bottom w:val="single" w:sz="8" w:color="0000EE"/>
            </w:tcBorders>
            <w:gridSpan w:val="10"/>
          </w:tcPr>
          <w:p>
            <w:pPr>
              <w:ind w:left="20"/>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 Management's Discussion and Analysis of Financial Condition and Results of Operations</w:t>
              </w:r>
            </w:hyperlink>
          </w:p>
        </w:tc>
        <w:tc>
          <w:tcPr>
            <w:tcW w:w="2140" w:type="dxa"/>
            <w:vAlign w:val="bottom"/>
            <w:gridSpan w:val="3"/>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w:t>
              </w:r>
            </w:hyperlink>
          </w:p>
        </w:tc>
        <w:tc>
          <w:tcPr>
            <w:tcW w:w="872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 Quantitative and Qualitative Disclosures About Market Risk</w:t>
              </w:r>
            </w:hyperlink>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4240" w:type="dxa"/>
            <w:vAlign w:val="bottom"/>
            <w:gridSpan w:val="6"/>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r>
      <w:tr>
        <w:trPr>
          <w:trHeight w:val="453"/>
        </w:trPr>
        <w:tc>
          <w:tcPr>
            <w:tcW w:w="970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6</w:t>
              </w:r>
            </w:hyperlink>
          </w:p>
        </w:tc>
        <w:tc>
          <w:tcPr>
            <w:tcW w:w="8720" w:type="dxa"/>
            <w:vAlign w:val="bottom"/>
            <w:gridSpan w:val="13"/>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Exhibits</w:t>
              </w:r>
            </w:hyperlink>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000" w:type="dxa"/>
            <w:vAlign w:val="bottom"/>
            <w:gridSpan w:val="9"/>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r>
      <w:tr>
        <w:trPr>
          <w:trHeight w:val="1017"/>
        </w:trPr>
        <w:tc>
          <w:tcPr>
            <w:tcW w:w="500" w:type="dxa"/>
            <w:vAlign w:val="bottom"/>
            <w:tcBorders>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 ITEM 1 -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840" w:type="dxa"/>
            <w:vAlign w:val="bottom"/>
          </w:tcPr>
          <w:p>
            <w:pPr>
              <w:jc w:val="center"/>
              <w:ind w:left="2810"/>
              <w:spacing w:after="0"/>
              <w:rPr>
                <w:sz w:val="20"/>
                <w:szCs w:val="20"/>
                <w:color w:val="auto"/>
              </w:rPr>
            </w:pPr>
            <w:r>
              <w:rPr>
                <w:rFonts w:ascii="Arial" w:cs="Arial" w:eastAsia="Arial" w:hAnsi="Arial"/>
                <w:sz w:val="18"/>
                <w:szCs w:val="18"/>
                <w:color w:val="auto"/>
                <w:w w:val="88"/>
              </w:rPr>
              <w:t>Condensed Consolidated Balance Sheets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jc w:val="center"/>
              <w:ind w:left="2830"/>
              <w:spacing w:after="0"/>
              <w:rPr>
                <w:sz w:val="20"/>
                <w:szCs w:val="20"/>
                <w:color w:val="auto"/>
              </w:rPr>
            </w:pPr>
            <w:r>
              <w:rPr>
                <w:rFonts w:ascii="Arial" w:cs="Arial" w:eastAsia="Arial" w:hAnsi="Arial"/>
                <w:sz w:val="18"/>
                <w:szCs w:val="18"/>
                <w:color w:val="auto"/>
                <w:w w:val="89"/>
              </w:rPr>
              <w:t>__________________________</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July 31, 2013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April 30,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8"/>
                <w:szCs w:val="18"/>
                <w:color w:val="auto"/>
                <w:w w:val="95"/>
              </w:rPr>
              <w:t>(In thousands except par 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16,823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Accounts receivable, net of allowance for doubtful accounts of $288 at July 31, 2013 and April 30, 2013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84,055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112,983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108,909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Short-term credit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Long term debt- noncurrent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Preferred stock - $1.00 par value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$1.00 par value, issued 9,164 shares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52,202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cost (652 shares at July 31, 2013 and 701 shares at April 30, 2013)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112,983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3"/>
              </w:rPr>
              <w:t>(In thousands</w:t>
            </w:r>
          </w:p>
        </w:tc>
        <w:tc>
          <w:tcPr>
            <w:tcW w:w="1520" w:type="dxa"/>
            <w:vAlign w:val="bottom"/>
            <w:gridSpan w:val="4"/>
          </w:tcPr>
          <w:p>
            <w:pPr>
              <w:jc w:val="right"/>
              <w:ind w:right="150"/>
              <w:spacing w:after="0"/>
              <w:rPr>
                <w:sz w:val="20"/>
                <w:szCs w:val="20"/>
                <w:color w:val="auto"/>
              </w:rPr>
            </w:pPr>
            <w:r>
              <w:rPr>
                <w:rFonts w:ascii="Arial" w:cs="Arial" w:eastAsia="Arial" w:hAnsi="Arial"/>
                <w:sz w:val="18"/>
                <w:szCs w:val="18"/>
                <w:color w:val="auto"/>
                <w:w w:val="84"/>
              </w:rPr>
              <w:t>except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8,489,901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8,378,247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8,726,323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8,544,052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7"/>
              </w:rPr>
              <w:t>Comprehensive Income</w:t>
            </w:r>
          </w:p>
        </w:tc>
        <w:tc>
          <w:tcPr>
            <w:tcW w:w="6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 in market value of marketable securities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320"/>
              <w:spacing w:after="0"/>
              <w:rPr>
                <w:sz w:val="20"/>
                <w:szCs w:val="20"/>
                <w:color w:val="auto"/>
              </w:rPr>
            </w:pPr>
            <w:r>
              <w:rPr>
                <w:rFonts w:ascii="Arial" w:cs="Arial" w:eastAsia="Arial" w:hAnsi="Arial"/>
                <w:sz w:val="18"/>
                <w:szCs w:val="18"/>
                <w:color w:val="auto"/>
              </w:rPr>
              <w:t>Deferred tax effect of change in marketable securities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other comprehensive (loss)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40" w:type="dxa"/>
            <w:vAlign w:val="bottom"/>
          </w:tcPr>
          <w:p>
            <w:pPr>
              <w:jc w:val="center"/>
              <w:ind w:left="2810"/>
              <w:spacing w:after="0"/>
              <w:rPr>
                <w:sz w:val="20"/>
                <w:szCs w:val="20"/>
                <w:color w:val="auto"/>
              </w:rPr>
            </w:pPr>
            <w:r>
              <w:rPr>
                <w:rFonts w:ascii="Arial" w:cs="Arial" w:eastAsia="Arial" w:hAnsi="Arial"/>
                <w:sz w:val="18"/>
                <w:szCs w:val="18"/>
                <w:color w:val="auto"/>
                <w:w w:val="88"/>
              </w:rPr>
              <w:t>Condensed Consolidated Statements of Cash Flows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840" w:type="dxa"/>
            <w:vAlign w:val="bottom"/>
          </w:tcPr>
          <w:p>
            <w:pPr>
              <w:jc w:val="center"/>
              <w:ind w:left="2810"/>
              <w:spacing w:after="0"/>
              <w:rPr>
                <w:sz w:val="20"/>
                <w:szCs w:val="20"/>
                <w:color w:val="auto"/>
              </w:rPr>
            </w:pPr>
            <w:r>
              <w:rPr>
                <w:rFonts w:ascii="Arial" w:cs="Arial" w:eastAsia="Arial" w:hAnsi="Arial"/>
                <w:sz w:val="18"/>
                <w:szCs w:val="18"/>
                <w:color w:val="auto"/>
                <w:w w:val="90"/>
              </w:rPr>
              <w:t>Three Months Ended July 31,</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60" w:type="dxa"/>
            <w:vAlign w:val="bottom"/>
            <w:gridSpan w:val="3"/>
          </w:tcPr>
          <w:p>
            <w:pPr>
              <w:jc w:val="right"/>
              <w:spacing w:after="0"/>
              <w:rPr>
                <w:sz w:val="20"/>
                <w:szCs w:val="20"/>
                <w:color w:val="auto"/>
              </w:rPr>
            </w:pPr>
            <w:r>
              <w:rPr>
                <w:rFonts w:ascii="Arial" w:cs="Arial" w:eastAsia="Arial" w:hAnsi="Arial"/>
                <w:sz w:val="17"/>
                <w:szCs w:val="17"/>
                <w:color w:val="auto"/>
                <w:w w:val="73"/>
              </w:rPr>
              <w:t>thousands)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Non-cash charges to earnings,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(2,169)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marketable securities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Proceeds on redemption of marketable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fixed assets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Borrowings from long-term credit facility</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benefit from exercise of stock-based compensation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Payment of lease obligations</w:t>
            </w:r>
          </w:p>
        </w:tc>
        <w:tc>
          <w:tcPr>
            <w:tcW w:w="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3,324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before effect of exchange rate changes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Cash paid during the period for:</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2" w:right="8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FINANCIAL STATEMENTS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2013 and the results of its operations and cash flows for the three months ended July 31, 2013 and 2012. The April 30, 2013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2013. The results of operations for such interim periods are not necessarily indicative of the operating results for the full fiscal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EARNINGS PER SHARE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460" w:type="dxa"/>
            <w:vAlign w:val="bottom"/>
            <w:gridSpan w:val="3"/>
          </w:tcPr>
          <w:p>
            <w:pPr>
              <w:ind w:left="1180"/>
              <w:spacing w:after="0"/>
              <w:rPr>
                <w:sz w:val="20"/>
                <w:szCs w:val="20"/>
                <w:color w:val="auto"/>
              </w:rPr>
            </w:pPr>
            <w:r>
              <w:rPr>
                <w:rFonts w:ascii="Arial" w:cs="Arial" w:eastAsia="Arial" w:hAnsi="Arial"/>
                <w:sz w:val="18"/>
                <w:szCs w:val="18"/>
                <w:b w:val="1"/>
                <w:bCs w:val="1"/>
                <w:color w:val="auto"/>
                <w:w w:val="91"/>
              </w:rPr>
              <w:t>Three months ended July 31,</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420" w:type="dxa"/>
            <w:vAlign w:val="bottom"/>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EPS Shares outstanding</w:t>
            </w:r>
          </w:p>
        </w:tc>
        <w:tc>
          <w:tcPr>
            <w:tcW w:w="1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30"/>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w:t>
            </w:r>
          </w:p>
        </w:tc>
        <w:tc>
          <w:tcPr>
            <w:tcW w:w="28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8,489,901</w:t>
            </w:r>
          </w:p>
        </w:tc>
        <w:tc>
          <w:tcPr>
            <w:tcW w:w="6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8,378,247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236,422</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165,805</w:t>
            </w:r>
          </w:p>
        </w:tc>
      </w:tr>
      <w:tr>
        <w:trPr>
          <w:trHeight w:val="27"/>
        </w:trPr>
        <w:tc>
          <w:tcPr>
            <w:tcW w:w="342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Diluted EPS Shares outstanding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8,726,323</w:t>
            </w:r>
          </w:p>
        </w:tc>
        <w:tc>
          <w:tcPr>
            <w:tcW w:w="10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8,544,052</w:t>
            </w: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2013 and 2012 were 293,375 and 746,375,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COSTS AND ESTIMATED EARNINGS IN EXCESS OF BILLINGS, NET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July 31, 2013 and April 30, 2013, costs and estimated earnings in excess of billings, net,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July 31, 2013</w:t>
            </w:r>
          </w:p>
        </w:tc>
        <w:tc>
          <w:tcPr>
            <w:tcW w:w="1080" w:type="dxa"/>
            <w:vAlign w:val="bottom"/>
          </w:tcPr>
          <w:p>
            <w:pPr>
              <w:spacing w:after="0"/>
              <w:rPr>
                <w:sz w:val="20"/>
                <w:szCs w:val="20"/>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b w:val="1"/>
                <w:bCs w:val="1"/>
                <w:color w:val="auto"/>
              </w:rPr>
              <w:t>April 30, 2013</w:t>
            </w:r>
          </w:p>
        </w:tc>
        <w:tc>
          <w:tcPr>
            <w:tcW w:w="300" w:type="dxa"/>
            <w:vAlign w:val="bottom"/>
          </w:tcPr>
          <w:p>
            <w:pPr>
              <w:spacing w:after="0"/>
              <w:rPr>
                <w:sz w:val="20"/>
                <w:szCs w:val="20"/>
                <w:color w:val="auto"/>
              </w:rPr>
            </w:pPr>
          </w:p>
        </w:tc>
      </w:tr>
      <w:tr>
        <w:trPr>
          <w:trHeight w:val="216"/>
        </w:trPr>
        <w:tc>
          <w:tcPr>
            <w:tcW w:w="37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0"/>
              </w:rPr>
              <w:t>(In thousands)</w:t>
            </w:r>
          </w:p>
        </w:tc>
        <w:tc>
          <w:tcPr>
            <w:tcW w:w="8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Costs and estimated earnings in excess of</w:t>
            </w: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billings</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0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10,228</w:t>
            </w:r>
          </w:p>
        </w:tc>
        <w:tc>
          <w:tcPr>
            <w:tcW w:w="300" w:type="dxa"/>
            <w:vAlign w:val="bottom"/>
            <w:shd w:val="clear" w:color="auto" w:fill="CCEEFF"/>
          </w:tcPr>
          <w:p>
            <w:pPr>
              <w:spacing w:after="0"/>
              <w:rPr>
                <w:sz w:val="20"/>
                <w:szCs w:val="20"/>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Billings in excess of costs and estimated</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earnings</w:t>
            </w: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2013 and 2012, revenue recognized under percentage of completion contracts was approximately $9.7 million and $8.6 million,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TREASURY STOCK TRANSACTIONS</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 period ended July 31, 2013, the Company made a contribution of 11,586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37,472 shares from treasury upon the exercise of stock options and SARs by certain officers and employees of the Company.</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3800" w:type="dxa"/>
            <w:vAlign w:val="bottom"/>
          </w:tcPr>
          <w:p>
            <w:pPr>
              <w:spacing w:after="0"/>
              <w:rPr>
                <w:sz w:val="20"/>
                <w:szCs w:val="20"/>
                <w:color w:val="auto"/>
              </w:rPr>
            </w:pPr>
          </w:p>
        </w:tc>
        <w:tc>
          <w:tcPr>
            <w:tcW w:w="15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July 31, 2013</w:t>
            </w:r>
          </w:p>
        </w:tc>
        <w:tc>
          <w:tcPr>
            <w:tcW w:w="1080" w:type="dxa"/>
            <w:vAlign w:val="bottom"/>
          </w:tcPr>
          <w:p>
            <w:pPr>
              <w:spacing w:after="0"/>
              <w:rPr>
                <w:sz w:val="20"/>
                <w:szCs w:val="20"/>
                <w:color w:val="auto"/>
              </w:rPr>
            </w:pPr>
          </w:p>
        </w:tc>
        <w:tc>
          <w:tcPr>
            <w:tcW w:w="210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April 30, 2013</w:t>
            </w:r>
          </w:p>
        </w:tc>
      </w:tr>
      <w:tr>
        <w:trPr>
          <w:trHeight w:val="216"/>
        </w:trPr>
        <w:tc>
          <w:tcPr>
            <w:tcW w:w="38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w w:val="90"/>
              </w:rPr>
              <w:t>(In thousands)</w:t>
            </w: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22,724</w:t>
            </w:r>
          </w:p>
        </w:tc>
        <w:tc>
          <w:tcPr>
            <w:tcW w:w="1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21,066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Work in Progress</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13,379</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13,665</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2,790</w:t>
            </w:r>
          </w:p>
        </w:tc>
      </w:tr>
      <w:tr>
        <w:trPr>
          <w:trHeight w:val="27"/>
        </w:trPr>
        <w:tc>
          <w:tcPr>
            <w:tcW w:w="38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r>
      <w:tr>
        <w:trPr>
          <w:trHeight w:val="216"/>
        </w:trPr>
        <w:tc>
          <w:tcPr>
            <w:tcW w:w="380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39,221</w:t>
            </w:r>
          </w:p>
        </w:tc>
        <w:tc>
          <w:tcPr>
            <w:tcW w:w="108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37,521</w:t>
            </w:r>
          </w:p>
        </w:tc>
      </w:tr>
      <w:tr>
        <w:trPr>
          <w:trHeight w:val="21"/>
        </w:trPr>
        <w:tc>
          <w:tcPr>
            <w:tcW w:w="3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As of July 31, 2013 and April 30, 2013, approximately $31.5 million and $29.9 million, respectively, of total inventory is located in the United States, approximately $7.0 million and $6.9 million, respectively, is located in Belgium and $0.7 million and $0.7 million, respectively, is located in China.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SEGMENT INFORMATION</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52" w:lineRule="exact"/>
        <w:rPr>
          <w:sz w:val="20"/>
          <w:szCs w:val="20"/>
          <w:color w:val="auto"/>
        </w:rPr>
      </w:pPr>
    </w:p>
    <w:p>
      <w:pPr>
        <w:jc w:val="both"/>
        <w:ind w:left="980" w:hanging="486"/>
        <w:spacing w:after="0" w:line="256" w:lineRule="auto"/>
        <w:tabs>
          <w:tab w:leader="none" w:pos="1154"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980" w:hanging="486"/>
        <w:spacing w:after="0" w:line="250" w:lineRule="auto"/>
        <w:tabs>
          <w:tab w:leader="none" w:pos="1073"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980" w:hanging="486"/>
        <w:spacing w:after="0" w:line="302" w:lineRule="auto"/>
        <w:tabs>
          <w:tab w:leader="none" w:pos="1032" w:val="left"/>
        </w:tabs>
        <w:numPr>
          <w:ilvl w:val="0"/>
          <w:numId w:val="3"/>
        </w:numPr>
        <w:rPr>
          <w:rFonts w:ascii="Arial" w:cs="Arial" w:eastAsia="Arial" w:hAnsi="Arial"/>
          <w:sz w:val="16"/>
          <w:szCs w:val="16"/>
          <w:color w:val="auto"/>
        </w:rPr>
      </w:pPr>
      <w:r>
        <w:rPr>
          <w:rFonts w:ascii="Arial" w:cs="Arial" w:eastAsia="Arial" w:hAnsi="Arial"/>
          <w:sz w:val="16"/>
          <w:szCs w:val="16"/>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8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tables below presents information about reported segments with reconciliation of segment amounts to consolidated amounts as reported in the statement of operations or the balance sheet for each of the periods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2013</w:t>
            </w:r>
          </w:p>
        </w:tc>
        <w:tc>
          <w:tcPr>
            <w:tcW w:w="22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9"/>
              </w:rPr>
              <w:t>Three months ended July 31,</w:t>
            </w:r>
          </w:p>
        </w:tc>
        <w:tc>
          <w:tcPr>
            <w:tcW w:w="9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w w:val="89"/>
              </w:rPr>
              <w:t>2012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revenues: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13,174</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11,848</w:t>
            </w:r>
          </w:p>
        </w:tc>
        <w:tc>
          <w:tcPr>
            <w:tcW w:w="3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10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2,695</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1,908</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1,988</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w:t>
            </w:r>
          </w:p>
        </w:tc>
        <w:tc>
          <w:tcPr>
            <w:tcW w:w="3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less intercompany revenues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19"/>
                <w:szCs w:val="19"/>
                <w:color w:val="auto"/>
              </w:rPr>
            </w:pP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16,827</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16,685</w:t>
            </w:r>
          </w:p>
        </w:tc>
        <w:tc>
          <w:tcPr>
            <w:tcW w:w="300" w:type="dxa"/>
            <w:vAlign w:val="bottom"/>
            <w:shd w:val="clear" w:color="auto" w:fill="CCEEFF"/>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44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 of 21</w:t>
            </w: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9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9"/>
              </w:rPr>
              <w:t>Three months ended July 31,</w:t>
            </w:r>
          </w:p>
        </w:tc>
      </w:tr>
      <w:tr>
        <w:trPr>
          <w:trHeight w:val="241"/>
        </w:trPr>
        <w:tc>
          <w:tcPr>
            <w:tcW w:w="51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profit (loss):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1,176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23"/>
        </w:trPr>
        <w:tc>
          <w:tcPr>
            <w:tcW w:w="51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57"/>
        </w:trPr>
        <w:tc>
          <w:tcPr>
            <w:tcW w:w="5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Consolidated operating profit</w:t>
            </w:r>
          </w:p>
        </w:tc>
        <w:tc>
          <w:tcPr>
            <w:tcW w:w="86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July 31, 2013</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April 30, 2013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Identifiable assets: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 (approximately $3 million in China)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55,508</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Gillam-FEI (all in Belgium or France)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18,071</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less intersegment balances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(20,399)</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(18,903)</w:t>
            </w:r>
          </w:p>
        </w:tc>
      </w:tr>
      <w:tr>
        <w:trPr>
          <w:trHeight w:val="223"/>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ind w:left="320"/>
              <w:spacing w:after="0"/>
              <w:rPr>
                <w:sz w:val="20"/>
                <w:szCs w:val="20"/>
                <w:color w:val="auto"/>
              </w:rPr>
            </w:pPr>
            <w:r>
              <w:rPr>
                <w:rFonts w:ascii="Arial" w:cs="Arial" w:eastAsia="Arial" w:hAnsi="Arial"/>
                <w:sz w:val="18"/>
                <w:szCs w:val="18"/>
                <w:color w:val="auto"/>
              </w:rPr>
              <w:t>Consolidated identifiable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112,983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108,909</w:t>
            </w:r>
          </w:p>
        </w:tc>
      </w:tr>
      <w:tr>
        <w:trPr>
          <w:trHeight w:val="21"/>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INVESTMENT IN MORION, INC.</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20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three months ended July 31, 2013 and 2012, the Company acquired product from Morion in the aggregate amount of approximately $30,000 and $12,000, respectively, and the Company sold product to Morion in the aggregate amount of approximately $142,000 and $30,000, respectively. At July 31, 2013 and April 30, 2013, accounts receivable included $121,000 and $144,000, respectively, due from Morion and $23,000 and $8,000, respectively, was payable to Morion.</w:t>
      </w: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October 22, 2012, the Company entered into an agreement to license its rubidium oscillator production technology to Morion. The agreement requires the Company to sell certain fully-depreciated production equipment currently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this agreement. This amount is considered deferred revenue and is included in accrued liabilities on the accompanying consolidated balance sheet. The United States Department of State has approved the technology transfer which is expected to be completed within a year from the date of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FAIR VALUE OF FINANCIAL INSTRUMENTS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2013 and April 30, 2013 are as follows (in thousands):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1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89"/>
              </w:rPr>
              <w:t>July 31, 2013</w:t>
            </w: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198"/>
        </w:trPr>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1"/>
              </w:rPr>
              <w:t>Gross Unrealized</w:t>
            </w:r>
          </w:p>
        </w:tc>
        <w:tc>
          <w:tcPr>
            <w:tcW w:w="1080" w:type="dxa"/>
            <w:vAlign w:val="bottom"/>
          </w:tcPr>
          <w:p>
            <w:pPr>
              <w:spacing w:after="0"/>
              <w:rPr>
                <w:sz w:val="17"/>
                <w:szCs w:val="17"/>
                <w:color w:val="auto"/>
              </w:rPr>
            </w:pPr>
          </w:p>
        </w:tc>
        <w:tc>
          <w:tcPr>
            <w:tcW w:w="166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Gross Unrealized</w:t>
            </w: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Gains</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Market Value</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w:t>
            </w: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lef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9,263</w:t>
            </w: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100" w:type="dxa"/>
            <w:vAlign w:val="bottom"/>
            <w:tcBorders>
              <w:lef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9,419</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securities</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6,529</w:t>
            </w: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1,026</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7,404</w:t>
            </w:r>
          </w:p>
        </w:tc>
      </w:tr>
      <w:tr>
        <w:trPr>
          <w:trHeight w:val="27"/>
        </w:trPr>
        <w:tc>
          <w:tcPr>
            <w:tcW w:w="1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0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1,222</w:t>
            </w:r>
          </w:p>
        </w:tc>
        <w:tc>
          <w:tcPr>
            <w:tcW w:w="2100" w:type="dxa"/>
            <w:vAlign w:val="bottom"/>
            <w:tcBorders>
              <w:left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16,823</w:t>
            </w: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136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April 30, 2013</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Market</w:t>
            </w:r>
          </w:p>
        </w:tc>
      </w:tr>
      <w:tr>
        <w:trPr>
          <w:trHeight w:val="241"/>
        </w:trPr>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10,582</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7,688</w:t>
            </w:r>
          </w:p>
        </w:tc>
      </w:tr>
      <w:tr>
        <w:trPr>
          <w:trHeight w:val="27"/>
        </w:trPr>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18,270</w:t>
            </w: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20"/>
                <w:szCs w:val="20"/>
                <w:color w:val="auto"/>
              </w:rPr>
            </w:pPr>
          </w:p>
        </w:tc>
        <w:tc>
          <w:tcPr>
            <w:tcW w:w="25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12 Months or more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July 31, 2013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358</w:t>
            </w:r>
          </w:p>
        </w:tc>
        <w:tc>
          <w:tcPr>
            <w:tcW w:w="1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(92)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2,273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April 30, 2013</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Fixed Income Securities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1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(68)</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2013 are other-than-temporary due to market volatility of the security’s fair value, analysts’ expectations and the Company’s ability to hold the securities for a period of time sufficient to allow for any anticipated recoveries in market value.</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July 31, 2013 and 2012, the Company redeemed available-for-sale securities in the amounts of $1.0 million and $2.0 million, respectively, realizing no gain in either fiscal year.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fixed income securities classified as available-for-sale at July 31, 2013 are as follows, at cost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5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5,956</w:t>
            </w:r>
          </w:p>
        </w:tc>
        <w:tc>
          <w:tcPr>
            <w:tcW w:w="540" w:type="dxa"/>
            <w:vAlign w:val="bottom"/>
          </w:tcPr>
          <w:p>
            <w:pPr>
              <w:spacing w:after="0"/>
              <w:rPr>
                <w:sz w:val="18"/>
                <w:szCs w:val="18"/>
                <w:color w:val="auto"/>
              </w:rPr>
            </w:pPr>
          </w:p>
        </w:tc>
      </w:tr>
      <w:tr>
        <w:trPr>
          <w:trHeight w:val="22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9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540" w:type="dxa"/>
            <w:vAlign w:val="bottom"/>
            <w:tcBorders>
              <w:bottom w:val="single" w:sz="8" w:color="CCEEFF"/>
            </w:tcBorders>
            <w:shd w:val="clear" w:color="auto" w:fill="CCEEFF"/>
          </w:tcPr>
          <w:p>
            <w:pPr>
              <w:spacing w:after="0"/>
              <w:rPr>
                <w:sz w:val="19"/>
                <w:szCs w:val="19"/>
                <w:color w:val="auto"/>
              </w:rPr>
            </w:pPr>
          </w:p>
        </w:tc>
      </w:tr>
      <w:tr>
        <w:trPr>
          <w:trHeight w:val="216"/>
        </w:trPr>
        <w:tc>
          <w:tcPr>
            <w:tcW w:w="6340" w:type="dxa"/>
            <w:vAlign w:val="bottom"/>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w:t>
            </w:r>
          </w:p>
        </w:tc>
        <w:tc>
          <w:tcPr>
            <w:tcW w:w="540" w:type="dxa"/>
            <w:vAlign w:val="bottom"/>
          </w:tcPr>
          <w:p>
            <w:pPr>
              <w:spacing w:after="0"/>
              <w:rPr>
                <w:sz w:val="18"/>
                <w:szCs w:val="18"/>
                <w:color w:val="auto"/>
              </w:rPr>
            </w:pPr>
          </w:p>
        </w:tc>
      </w:tr>
      <w:tr>
        <w:trPr>
          <w:trHeight w:val="21"/>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3" w:lineRule="exact"/>
        <w:rPr>
          <w:sz w:val="20"/>
          <w:szCs w:val="20"/>
          <w:color w:val="auto"/>
        </w:rPr>
      </w:pPr>
    </w:p>
    <w:p>
      <w:pPr>
        <w:ind w:left="980" w:right="20" w:hanging="485"/>
        <w:spacing w:after="0" w:line="277" w:lineRule="auto"/>
        <w:rPr>
          <w:sz w:val="20"/>
          <w:szCs w:val="20"/>
          <w:color w:val="auto"/>
        </w:rPr>
      </w:pPr>
      <w:r>
        <w:rPr>
          <w:rFonts w:ascii="Arial" w:cs="Arial" w:eastAsia="Arial" w:hAnsi="Arial"/>
          <w:sz w:val="18"/>
          <w:szCs w:val="18"/>
          <w:color w:val="auto"/>
        </w:rPr>
        <w:t>Level 1</w:t>
      </w:r>
      <w:r>
        <w:rPr>
          <w:sz w:val="20"/>
          <w:szCs w:val="20"/>
          <w:color w:val="auto"/>
        </w:rPr>
        <w:t xml:space="preserve"> </w:t>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224"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340" w:hanging="108"/>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340" w:hanging="108"/>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340" w:hanging="108"/>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340" w:hanging="108"/>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Inputs to the valuation methodology are unobservable and significant to the fair value measurement.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RECENTLY ISSUED ACCOUNTING PRONOUNCEMENTS</w:t>
      </w:r>
    </w:p>
    <w:p>
      <w:pPr>
        <w:spacing w:after="0" w:line="25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In July 2012, the FASB issued ASU No. 2012-02, </w:t>
      </w:r>
      <w:r>
        <w:rPr>
          <w:rFonts w:ascii="Arial" w:cs="Arial" w:eastAsia="Arial" w:hAnsi="Arial"/>
          <w:sz w:val="18"/>
          <w:szCs w:val="18"/>
          <w:i w:val="1"/>
          <w:iCs w:val="1"/>
          <w:color w:val="auto"/>
        </w:rPr>
        <w:t>Intangibles – Goodwill and Other (Topic 350): Test Indefinite-Lived Intangible Assets for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Under the requirements of ASU 2012-02 an entity has the option to assess qualitative factors when testing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8"/>
          <w:szCs w:val="18"/>
          <w:i w:val="1"/>
          <w:iCs w:val="1"/>
          <w:color w:val="auto"/>
        </w:rPr>
        <w:t>Subtopic 350-30</w:t>
      </w:r>
      <w:r>
        <w:rPr>
          <w:rFonts w:ascii="Arial" w:cs="Arial" w:eastAsia="Arial" w:hAnsi="Arial"/>
          <w:sz w:val="18"/>
          <w:szCs w:val="18"/>
          <w:color w:val="auto"/>
        </w:rPr>
        <w:t>. ASU 2012-02 is effective for annual and interim impairment tests performed for fiscal years beginning after September 15, 2012. The Company will adopt ASU 2012-02 for its fiscal year 2014 which began on May 1, 2013. The Company is unable to determine the impact of such adoption until it performs the annual test for impairment in the fourth quarter of the current fiscal year.</w:t>
      </w:r>
    </w:p>
    <w:p>
      <w:pPr>
        <w:spacing w:after="0" w:line="22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February 2013, the FASB issued Accounting Standard Update No. 2013-02</w:t>
      </w:r>
      <w:r>
        <w:rPr>
          <w:rFonts w:ascii="Arial" w:cs="Arial" w:eastAsia="Arial" w:hAnsi="Arial"/>
          <w:sz w:val="18"/>
          <w:szCs w:val="18"/>
          <w:i w:val="1"/>
          <w:iCs w:val="1"/>
          <w:color w:val="auto"/>
        </w:rPr>
        <w:t>, Other Comprehensive Income</w:t>
      </w:r>
      <w:r>
        <w:rPr>
          <w:rFonts w:ascii="Arial" w:cs="Arial" w:eastAsia="Arial" w:hAnsi="Arial"/>
          <w:sz w:val="18"/>
          <w:szCs w:val="18"/>
          <w:color w:val="auto"/>
        </w:rPr>
        <w:t>. The amendment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has adopted ASU 2013-02 but does not expect it to have a material effect on its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CREDIT FACILITY</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June 6, 2013, the Company obtained a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Proceeds from the Facility will be used for working capital and to finance acquisitions. During the three-month period ended July 31, 2013, the Company borrowed an additional $2.0 million under the Facility. The additional borrowings were used for working capital and to finance the acquisition of certain fixed assets.</w:t>
      </w:r>
    </w:p>
    <w:p>
      <w:pPr>
        <w:spacing w:after="0" w:line="21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5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 For the period ended July 31, 2013, the Company met the required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INCOME TAXES</w:t>
      </w:r>
    </w:p>
    <w:p>
      <w:pPr>
        <w:spacing w:after="0" w:line="25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prior fiscal years, the Company reduced the valuation allowance on the deferred tax assets of its U.S. subsidiaries. Consequently, for the three months ended July 31, 2013 and 2012, the Company recorded provisions for income taxes based on both current taxes due in the United States as well as the tax provision or benefit to be realized from temporary tax differences. As of July 31, 2013 and April 30, 2013, the remaining deferred tax asset valuation allowance is approximately $1.9 million and is primarily related to deferred tax assets of the Company’s non-U.S.-based subsidiaries.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2013.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9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Marketable Securities</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2014 and 2013 (which end on April 30, 2014 and 2013, respectively) the percentage of consolidated revenues represented by certain items in the Company’s consolidated statements of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 July 31,</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20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FEI-NY</w:t>
            </w:r>
          </w:p>
        </w:tc>
        <w:tc>
          <w:tcPr>
            <w:tcW w:w="3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16.0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FEI-Zyfer</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Less intersegment revenues</w:t>
            </w:r>
          </w:p>
        </w:tc>
        <w:tc>
          <w:tcPr>
            <w:tcW w:w="208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Cost of revenues</w:t>
            </w:r>
          </w:p>
        </w:tc>
        <w:tc>
          <w:tcPr>
            <w:tcW w:w="20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62.8</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64.2</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2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21.1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Operating profit</w:t>
            </w:r>
          </w:p>
        </w:tc>
        <w:tc>
          <w:tcPr>
            <w:tcW w:w="20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Pretax income</w:t>
            </w:r>
          </w:p>
        </w:tc>
        <w:tc>
          <w:tcPr>
            <w:tcW w:w="20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01"/>
        </w:trPr>
        <w:tc>
          <w:tcPr>
            <w:tcW w:w="1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20" w:type="dxa"/>
            <w:vAlign w:val="bottom"/>
            <w:gridSpan w:val="3"/>
          </w:tcPr>
          <w:p>
            <w:pPr>
              <w:jc w:val="right"/>
              <w:ind w:right="2440"/>
              <w:spacing w:after="0"/>
              <w:rPr>
                <w:sz w:val="20"/>
                <w:szCs w:val="20"/>
                <w:color w:val="auto"/>
              </w:rPr>
            </w:pPr>
            <w:r>
              <w:rPr>
                <w:rFonts w:ascii="Arial" w:cs="Arial" w:eastAsia="Arial" w:hAnsi="Arial"/>
                <w:sz w:val="18"/>
                <w:szCs w:val="18"/>
                <w:color w:val="auto"/>
              </w:rPr>
              <w:t>13 of 21</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9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gridSpan w:val="12"/>
          </w:tcPr>
          <w:p>
            <w:pPr>
              <w:ind w:left="240"/>
              <w:spacing w:after="0"/>
              <w:rPr>
                <w:sz w:val="20"/>
                <w:szCs w:val="20"/>
                <w:color w:val="auto"/>
              </w:rPr>
            </w:pPr>
            <w:r>
              <w:rPr>
                <w:rFonts w:ascii="Arial" w:cs="Arial" w:eastAsia="Arial" w:hAnsi="Arial"/>
                <w:sz w:val="18"/>
                <w:szCs w:val="18"/>
                <w:color w:val="auto"/>
              </w:rPr>
              <w:t>FREQUENCY ELECTRONICS, INC. and SUBSIDIARIES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(Continued)</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Three months ended July 31,</w:t>
            </w: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4"/>
          </w:tcPr>
          <w:p>
            <w:pPr>
              <w:jc w:val="right"/>
              <w:ind w:right="100"/>
              <w:spacing w:after="0"/>
              <w:rPr>
                <w:sz w:val="20"/>
                <w:szCs w:val="20"/>
                <w:color w:val="auto"/>
              </w:rPr>
            </w:pPr>
            <w:r>
              <w:rPr>
                <w:rFonts w:ascii="Arial" w:cs="Arial" w:eastAsia="Arial" w:hAnsi="Arial"/>
                <w:sz w:val="18"/>
                <w:szCs w:val="18"/>
                <w:color w:val="auto"/>
              </w:rPr>
              <w:t>(in thousands)</w:t>
            </w:r>
          </w:p>
        </w:tc>
        <w:tc>
          <w:tcPr>
            <w:tcW w:w="134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ind w:left="140"/>
              <w:spacing w:after="0" w:line="176" w:lineRule="exact"/>
              <w:rPr>
                <w:sz w:val="20"/>
                <w:szCs w:val="20"/>
                <w:color w:val="auto"/>
              </w:rPr>
            </w:pPr>
            <w:r>
              <w:rPr>
                <w:rFonts w:ascii="Arial" w:cs="Arial" w:eastAsia="Arial" w:hAnsi="Arial"/>
                <w:sz w:val="18"/>
                <w:szCs w:val="18"/>
                <w:b w:val="1"/>
                <w:bCs w:val="1"/>
                <w:color w:val="auto"/>
              </w:rPr>
              <w:t>Segment</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70"/>
              <w:spacing w:after="0" w:line="17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right"/>
              <w:ind w:right="510"/>
              <w:spacing w:after="0" w:line="17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450"/>
              <w:spacing w:after="0" w:line="17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FEI-NY</w:t>
            </w: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11,848</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1,326</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787</w:t>
            </w:r>
          </w:p>
        </w:tc>
        <w:tc>
          <w:tcPr>
            <w:tcW w:w="3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FEI-Zyfer</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Intersegment sales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16,685</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the three months ended July 31, 2013, revenues from commercial and U.S. Government satellite programs accounted for more than 55% of consolidated revenues and increased by 16% over the same period of fiscal year 2013. Revenues on these contracts are recognized primarily under the percentage of completion method. Revenues from the satellite market are recorded in the FEI-NY segment. Revenues from non-space U.S. Government/DOD customers, which are recorded in both the FEI-NY and FEI-Zyfer segments, also increased by 40% over the prior year and accounted for approximately one-fourth of consolidated fiscal year 2014 revenues. Network infrastructure revenues in the fiscal year 2014 period, declined by approximately 40% from the same period of fiscal year 2013 and accounted for approximately 15% of consolidated revenues. Such revenues are recorded in all three segments although the largest sales are recorded in the Gillam-FEI and FEI-Zyfer segments. Gillam-FEI total revenues increased over the prior year primarily due to intersegment sales which are eliminated in consolidation.</w:t>
      </w:r>
    </w:p>
    <w:p>
      <w:pPr>
        <w:spacing w:after="0" w:line="20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the three months ended July 31, 2012, revenues from commercial and U.S. Government satellite programs accounted for approximately 50% of consolidated revenues compared to approximately 40% for the same period of fiscal year 2012. Revenues on these contracts are recognized primarily under the percentage of completion method. Revenues in the U.S. Government/DOD non-space business area which are recorded in the FEI-NY (including FEI-Elcom sales) and FEI-Zyfer segments were lower in fiscal year 2013 and accounted for approximately 15% of consolidated revenues compared to 20% of revenues in the fiscal year 2012 period. Network infrastructure revenues were lower in the FEI-NY and Gillam-FEI segments and accounted for approximately 25% of consolidated revenues in the three-month period ended July 31, 2012 compared to less than 30% in the fiscal year 2012 period.</w:t>
      </w:r>
    </w:p>
    <w:p>
      <w:pPr>
        <w:spacing w:after="0" w:line="19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Based on the Company’s current backlog, over three-fourths of which represent satellite payload business, and the potential for additional new orders, revenues for fiscal year 2014 are expected to grow. Satellite payload revenues will remain the dominant portion of the Company’s business and represents the Company’s best growth opportunity.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jc w:val="right"/>
              <w:ind w:right="285"/>
              <w:spacing w:after="0"/>
              <w:rPr>
                <w:sz w:val="20"/>
                <w:szCs w:val="20"/>
                <w:color w:val="auto"/>
              </w:rPr>
            </w:pPr>
            <w:r>
              <w:rPr>
                <w:rFonts w:ascii="Arial" w:cs="Arial" w:eastAsia="Arial" w:hAnsi="Arial"/>
                <w:sz w:val="18"/>
                <w:szCs w:val="18"/>
                <w:color w:val="auto"/>
                <w:w w:val="94"/>
              </w:rPr>
              <w:t>(in thousands)</w:t>
            </w:r>
          </w:p>
        </w:tc>
        <w:tc>
          <w:tcPr>
            <w:tcW w:w="1560" w:type="dxa"/>
            <w:vAlign w:val="bottom"/>
            <w:tcBorders>
              <w:top w:val="single" w:sz="8" w:color="auto"/>
            </w:tcBorders>
            <w:gridSpan w:val="3"/>
            <w:vMerge w:val="restart"/>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6,266</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5,981</w:t>
            </w: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060" w:type="dxa"/>
            <w:vAlign w:val="bottom"/>
            <w:gridSpan w:val="2"/>
          </w:tcPr>
          <w:p>
            <w:pPr>
              <w:jc w:val="right"/>
              <w:ind w:right="2170"/>
              <w:spacing w:after="0"/>
              <w:rPr>
                <w:sz w:val="20"/>
                <w:szCs w:val="20"/>
                <w:color w:val="auto"/>
              </w:rPr>
            </w:pPr>
            <w:r>
              <w:rPr>
                <w:rFonts w:ascii="Arial" w:cs="Arial" w:eastAsia="Arial" w:hAnsi="Arial"/>
                <w:sz w:val="18"/>
                <w:szCs w:val="18"/>
                <w:color w:val="auto"/>
              </w:rPr>
              <w:t>GM Rate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Gross margin for the three month period ended July 31, 2013, increased as a result of higher revenues particularly in the FEI-NY segment. The gross margin rate in fiscal year 2014, while improved over the prior year, was reduced by unabsorbed overhead costs. The gross margin rate is also impacted by product mix.</w:t>
      </w:r>
    </w:p>
    <w:p>
      <w:pPr>
        <w:spacing w:after="0" w:line="20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Fiscal year 2013 gross margin was impacted by lower revenues at both Gillam-FEI and FEI-Zyfer. The gross margin rate was reduced by the effect of FEI-Elcom as well as a higher percentage of lower margin network infrastructure product sales. The fiscal year 2013 first quarter revenues recognized by FEI-Elcom were insufficient to fully cover its production costs such that the consolidated gross margin rate was reduced by approximately 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2014 and 2013 periods were less than the Company’s targeted rate of 40%. As satellite payload sales volume increases and as the product mix changes, the Company anticipates that its gross margin rates for the remainder of fiscal year 2014 will reach or exceed its target rate.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ind w:left="108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3,485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both of the three-month periods ended July 31, 2013 and 2012, selling and administrative expenses were approximately 21% of consolidated revenues. The increase in expenses in the fiscal year 2014 quarter compared to the same period of fiscal year 2013 is due to increased stock-based compensation and deferred compensation expenses as well as greater professional fees. For the remainder of fiscal year 2014, the Company expects selling and administrative expenses to be incurred at approximately the same rate and approximate the Company’s target of 20% of revenues or less.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ind w:left="1080"/>
              <w:spacing w:after="0"/>
              <w:rPr>
                <w:sz w:val="20"/>
                <w:szCs w:val="20"/>
                <w:color w:val="auto"/>
              </w:rPr>
            </w:pPr>
            <w:r>
              <w:rPr>
                <w:rFonts w:ascii="Arial" w:cs="Arial" w:eastAsia="Arial" w:hAnsi="Arial"/>
                <w:sz w:val="18"/>
                <w:szCs w:val="18"/>
                <w:color w:val="auto"/>
              </w:rPr>
              <w:t>(in thousands)</w:t>
            </w:r>
          </w:p>
        </w:tc>
        <w:tc>
          <w:tcPr>
            <w:tcW w:w="202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1,415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competitiveness for future revenues. R&amp;D spending for the three-month periods ended July 31, 2013 and 2012, was approximately 10% and 8% of revenues, respectively. In the fiscal year 2014 period, the Company accelerated its development of new satellite payload microwave receivers/converters from DC to Ka band. Such products are anticipated to be ready for customer evaluation and new contract awards by the third quarter of fiscal year 2014. In the fiscal year 2013 period, the quarter-to-quarter increase in spending is due primarily to product development expenditures at FEI-Elcom of approximately $300,000. R&amp;D spending in fiscal year 2014, in addition to the development of new satellite payload products, will also include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w:t>
      </w:r>
    </w:p>
    <w:p>
      <w:pPr>
        <w:spacing w:after="0" w:line="20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to internal research and development efforts, the Company continues to conduct development activities on customer-funded programs the cost of which appears in cost of revenues. The Company will continue to devote significant resources to develop new products, enhance existing products and implement efficient manufacturing processes. For fiscal year 2014, the Company is targeting to spend under 10% of revenues on internal research and development projects. Internally generated cash and cash reserves are adequate to fund these development efforts.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ind w:left="108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1,081</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Higher revenues and increased gross margin in fiscal year 2014 compared to the same period of fiscal year 2013 was offset primarily by increased spending on internal research and development activities. This led to the 11% reduction in operating profit for the period ended July 31, 2013. As a percentage of revenue, fiscal year 2014 operating profit was 5.7% of revenues compared to 6.5% of revenues last year.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late fiscal year 2012 addition of FEI-Elcom reduced consolidated operating results for the first quarter of fiscal year 2013. Revenues increased but were offset by higher operating expenses resulting in lower consolidated operating profit in fiscal year 2013 than in fiscal year 2012.</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anticipates that for the full fiscal year 2014, it will generate an operating profit that exceeds that of fiscal year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Three months ended July 31,</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4"/>
          </w:tcPr>
          <w:p>
            <w:pPr>
              <w:jc w:val="right"/>
              <w:ind w:right="120"/>
              <w:spacing w:after="0"/>
              <w:rPr>
                <w:sz w:val="20"/>
                <w:szCs w:val="20"/>
                <w:color w:val="auto"/>
              </w:rPr>
            </w:pPr>
            <w:r>
              <w:rPr>
                <w:rFonts w:ascii="Arial" w:cs="Arial" w:eastAsia="Arial" w:hAnsi="Arial"/>
                <w:sz w:val="18"/>
                <w:szCs w:val="18"/>
                <w:color w:val="auto"/>
              </w:rPr>
              <w:t>(in thousands)</w:t>
            </w:r>
          </w:p>
        </w:tc>
        <w:tc>
          <w:tcPr>
            <w:tcW w:w="142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income (expenses), net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and dividend payout levels and the timing of purchases or sales of securities. During the three months ended July 31, 2013, as a result of certain bond redemptions over the preceding quarters, the Company held more low earning cash equivalents than investments earning a higher return in the year-ago period. During the three months ended July 31, 2012, investments were held in higher yielding marketable securities than those held in the prior fiscal year. No investment gains or losses were recorded in either the fiscal year 2014 or 2013 periods.</w:t>
      </w:r>
    </w:p>
    <w:p>
      <w:pPr>
        <w:spacing w:after="0" w:line="20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increase in interest expense for the three months ended July 31, 2013 compared to the same period of fiscal year 2013 is due to increased borrowings under the Company’s new credit facility from a bank. During the fiscal year 2014 quarter, the Company refinanced the $6 million used to acquire FEI-Elcom during fiscal year 2012 and increased its borrowings by an additional $3.2 million for working capital and capital equipment acquisitions.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in the fiscal year 2014 and 2013 periods consisted of insignificant non-operating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provision for income taxes for the three months ended July 31, 2013 decreased from the same period of fiscal year 2013 due to the 12% decrease in pretax income as well as a reduced effective tax rate. The effective tax rate in fiscal year 2014 is expected to be in the range of 30% to 36% depending on the level of pretax income or loss recorded at the Company’s foreign subsidiaries.</w:t>
      </w:r>
    </w:p>
    <w:p>
      <w:pPr>
        <w:spacing w:after="0" w:line="20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provision for income taxes for the three months ended July 31, 2012 decreased from the same period of fiscal year 2012 due to the 40% decrease in pretax income. As of July 31, 2013 and April 30, 2013, the remaining deferred tax asset valuation allowance is approximately $1.9 million.</w:t>
      </w:r>
    </w:p>
    <w:p>
      <w:pPr>
        <w:spacing w:after="0" w:line="17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that are currently not taxed. In addition, the Company utilizes the availability of research and development tax credits and the Domestic Production Activity credit in the United States to lower its tax rate. As of April 30, 2013, the Company’s European subsidiaries had available net operating loss carryforwards of approximately $2.7 million, which will offset future taxable income. As a result of the FEI-Elcom acquisition, the Company has a federal net operating loss carryforward of $6.6 million that may be applied in annually limited amounts to offset future U.S.-sourced taxable income over the next 19 years.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ind w:right="260"/>
              <w:spacing w:after="0"/>
              <w:rPr>
                <w:sz w:val="20"/>
                <w:szCs w:val="20"/>
                <w:color w:val="auto"/>
              </w:rPr>
            </w:pPr>
            <w:r>
              <w:rPr>
                <w:rFonts w:ascii="Arial" w:cs="Arial" w:eastAsia="Arial" w:hAnsi="Arial"/>
                <w:sz w:val="18"/>
                <w:szCs w:val="18"/>
                <w:color w:val="auto"/>
              </w:rPr>
              <w:t>(in thousands)</w:t>
            </w:r>
          </w:p>
        </w:tc>
        <w:tc>
          <w:tcPr>
            <w:tcW w:w="2000" w:type="dxa"/>
            <w:vAlign w:val="bottom"/>
            <w:tcBorders>
              <w:top w:val="single" w:sz="8" w:color="auto"/>
            </w:tcBorders>
            <w:gridSpan w:val="3"/>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As detailed above, for the three months ended July 31, 2013, higher revenues and increased gross margin were offset by higher research and development expenses, reducing net income for the quarter as compared to the prior year period. Based on recent bookings and its backlog, the Company expects to record higher consolidated revenue and to realize improved gross margins and operating profits over the remainder of fiscal year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$74.7 million at July 31, 2013, compared to working capital of $71.7 million at April 30, 2013. Included in working capital at July 31, 2013 is $21.0 million consisting of cash, cash equivalents and marketable securities. The Company’s current ratio at July 31, 2013 is 8.9 to 1.</w:t>
      </w:r>
    </w:p>
    <w:p>
      <w:pPr>
        <w:spacing w:after="0" w:line="20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three months ended July 31, 2013, the Company used cash from operations in the amount of $2.2 million compared to the use of cash from operating activities of $402,000 in the comparable fiscal year 2013 period. The reduced cash flow in the fiscal year 2014 period resulted primarily from increased accounts receivables and increased inventory. For both of the three-month periods ended July 31, 2013 and 2012, the Company incurred approximately $1.3 million of non-cash operating expenses, such as depreciation and amortization and accruals for employee benefit programs. For the balance of fiscal year 2014, the Company expects to generate positive cash flow from operating activities.</w:t>
      </w:r>
    </w:p>
    <w:p>
      <w:pPr>
        <w:spacing w:after="0" w:line="20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 in investing activities for the three months ended July 31, 2013, was $495,000 compared to $951,000 provided by such activity for the same period of fiscal year 2013. During the fiscal year 2014 period, marketable securities were redeemed in the amount of $1.0 million compared to $2.0 million of such redemptions during the fiscal year 2013 period. Some of these proceeds and other cash were reinvested in additional marketable securities for the periods ended July 31, 2013 and 2012 in the amount of $39,000 and $717,000, respectively. In the fiscal quarters ended July 31, 2013 and 2012, the Company acquired property, plant and equipment in the amount of approximately $1.5 million and $332,000,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$2.5 million and $3.0 million on capital equipment during fiscal year 2014. Internally generated cash or additional borrowings under the Company’s credit facility will be used to acquire this level of capital equipment.</w:t>
      </w:r>
    </w:p>
    <w:p>
      <w:pPr>
        <w:spacing w:after="0" w:line="20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Net cash provided by financing activities for the three months ended July 31, 2013 was $3.3 million compared to $87,000 used in financing during the fiscal year 2013 period. During the fiscal year 2014 period, the Company borrowed $3.2 million under its new credit facility with a bank. Such funds were used for working capital and to finance the acquisition of certain fixed assets. During the fiscal year 2014 and 2013 periods, the Company made payments of $10,000 and $107,000, respectively, against capital lease obligations. In addition, during the three months ended July 31, 2012, cash of $20,000 was received upon exercise of employee stock options.</w:t>
      </w:r>
    </w:p>
    <w:p>
      <w:pPr>
        <w:spacing w:after="0" w:line="21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2013, the Company has repurchased approximately $4 million of its common stock out of the $5 million authorization.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2014,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9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July 31, 2013, the Company's consolidated backlog is approximately $56 million compared to $51 million at April 30, 2013, the end of fiscal year 2013. Approximately 70% of this backlog is expected to be realized in the next twelve months. Included in the backlog at July 31, 2013 is approximately $2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willadd to its backlog at that time.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July 31,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5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2013,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July 31, 2013. In making this assessment, management used the criteria established in Internal Control — Integrated Framework issued by the Committee of Sponsoring Organizations of the Treadway Commission (COSO). Based on this evaluation, management has concluded that the Company’s internal control over financial reporting were effective as of July 31, 2013.</w:t>
      </w:r>
    </w:p>
    <w:p>
      <w:pPr>
        <w:spacing w:after="0" w:line="21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2013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256" w:lineRule="exact"/>
        <w:rPr>
          <w:sz w:val="20"/>
          <w:szCs w:val="20"/>
          <w:color w:val="auto"/>
        </w:rPr>
      </w:pPr>
    </w:p>
    <w:p>
      <w:pPr>
        <w:ind w:left="760" w:right="20" w:hanging="464"/>
        <w:spacing w:after="0" w:line="258" w:lineRule="auto"/>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EE"/>
        </w:rPr>
        <w:t>Certification by the Chief Executive Officer pursuant to Rule 13a-14(a) or 15d-14(a) under the Securities Exchange Act of 1934, as</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adopted pursuant to Section 302 of the Sarbanes-Oxley Act of 2002.</w:t>
      </w:r>
    </w:p>
    <w:p>
      <w:pPr>
        <w:spacing w:after="0" w:line="1" w:lineRule="exact"/>
        <w:rPr>
          <w:sz w:val="20"/>
          <w:szCs w:val="20"/>
          <w:color w:val="auto"/>
        </w:rPr>
      </w:pPr>
    </w:p>
    <w:p>
      <w:pPr>
        <w:ind w:left="760" w:right="20" w:hanging="464"/>
        <w:spacing w:after="0" w:line="250" w:lineRule="auto"/>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EE"/>
        </w:rPr>
        <w:t>Certification by the Chief Financial Officer pursuant to Rule 13a-14(a) or 15d-14(a) under the Securities Exchange Act of 1934, as</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adopted pursuant to Section 302 of the Sarbanes-Oxley Act of 2002.</w:t>
      </w:r>
    </w:p>
    <w:p>
      <w:pPr>
        <w:spacing w:after="0" w:line="1" w:lineRule="exact"/>
        <w:rPr>
          <w:sz w:val="20"/>
          <w:szCs w:val="20"/>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0000EE"/>
        </w:rPr>
        <w:t>Certifications by the Chief Executive Officer and Chief Financial Officer pursuant to 18 U.S.C. Section</w:t>
      </w:r>
      <w:r>
        <w:rPr>
          <w:rFonts w:ascii="Arial" w:cs="Arial" w:eastAsia="Arial" w:hAnsi="Arial"/>
          <w:sz w:val="17"/>
          <w:szCs w:val="17"/>
          <w:color w:val="auto"/>
        </w:rPr>
        <w:t xml:space="preserve"> 1350, as adopted pursuant to</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906 of the Sarbanes-Oxley Act of 2002.</w:t>
      </w:r>
    </w:p>
    <w:p>
      <w:pPr>
        <w:spacing w:after="0" w:line="9" w:lineRule="exact"/>
        <w:rPr>
          <w:sz w:val="20"/>
          <w:szCs w:val="20"/>
          <w:color w:val="auto"/>
        </w:rPr>
      </w:pPr>
    </w:p>
    <w:p>
      <w:pPr>
        <w:jc w:val="both"/>
        <w:ind w:left="760" w:hanging="464"/>
        <w:spacing w:after="0" w:line="254" w:lineRule="auto"/>
        <w:rPr>
          <w:sz w:val="20"/>
          <w:szCs w:val="20"/>
          <w:color w:val="auto"/>
        </w:rPr>
      </w:pPr>
      <w:r>
        <w:rPr>
          <w:rFonts w:ascii="Arial" w:cs="Arial" w:eastAsia="Arial" w:hAnsi="Arial"/>
          <w:sz w:val="18"/>
          <w:szCs w:val="18"/>
          <w:color w:val="auto"/>
        </w:rPr>
        <w:t>101- The following materials from the Frequency Electronics, Inc. Quarterly Report on Form 10-Q for the quarter ended July 31, 2013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FREQUENCY ELECTRONICS,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(Registrant)</w:t>
            </w:r>
          </w:p>
        </w:tc>
        <w:tc>
          <w:tcPr>
            <w:tcW w:w="1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040" w:type="dxa"/>
            <w:vAlign w:val="bottom"/>
          </w:tcPr>
          <w:p>
            <w:pPr>
              <w:spacing w:after="0"/>
              <w:rPr>
                <w:sz w:val="20"/>
                <w:szCs w:val="20"/>
                <w:color w:val="auto"/>
              </w:rPr>
            </w:pPr>
            <w:r>
              <w:rPr>
                <w:rFonts w:ascii="Arial" w:cs="Arial" w:eastAsia="Arial" w:hAnsi="Arial"/>
                <w:sz w:val="18"/>
                <w:szCs w:val="18"/>
                <w:color w:val="auto"/>
              </w:rPr>
              <w:t>Date: September 16, 2013</w:t>
            </w:r>
          </w:p>
        </w:tc>
        <w:tc>
          <w:tcPr>
            <w:tcW w:w="6160" w:type="dxa"/>
            <w:vAlign w:val="bottom"/>
            <w:gridSpan w:val="3"/>
          </w:tcPr>
          <w:p>
            <w:pPr>
              <w:ind w:left="1580"/>
              <w:spacing w:after="0"/>
              <w:rPr>
                <w:sz w:val="20"/>
                <w:szCs w:val="20"/>
                <w:color w:val="auto"/>
              </w:rPr>
            </w:pPr>
            <w:r>
              <w:rPr>
                <w:rFonts w:ascii="Arial" w:cs="Arial" w:eastAsia="Arial" w:hAnsi="Arial"/>
                <w:sz w:val="18"/>
                <w:szCs w:val="18"/>
                <w:color w:val="auto"/>
              </w:rPr>
              <w:t>BY  /s/  Alan Miller</w:t>
            </w:r>
          </w:p>
        </w:tc>
        <w:tc>
          <w:tcPr>
            <w:tcW w:w="0" w:type="dxa"/>
            <w:vAlign w:val="bottom"/>
          </w:tcPr>
          <w:p>
            <w:pPr>
              <w:spacing w:after="0"/>
              <w:rPr>
                <w:sz w:val="1"/>
                <w:szCs w:val="1"/>
                <w:color w:val="auto"/>
              </w:rPr>
            </w:pPr>
          </w:p>
        </w:tc>
      </w:tr>
      <w:tr>
        <w:trPr>
          <w:trHeight w:val="222"/>
        </w:trPr>
        <w:tc>
          <w:tcPr>
            <w:tcW w:w="4040" w:type="dxa"/>
            <w:vAlign w:val="bottom"/>
          </w:tcPr>
          <w:p>
            <w:pPr>
              <w:ind w:left="40"/>
              <w:spacing w:after="0"/>
              <w:rPr>
                <w:sz w:val="20"/>
                <w:szCs w:val="20"/>
                <w:color w:val="auto"/>
              </w:rPr>
            </w:pPr>
            <w:r>
              <w:rPr>
                <w:rFonts w:ascii="Arial" w:cs="Arial" w:eastAsia="Arial" w:hAnsi="Arial"/>
                <w:sz w:val="18"/>
                <w:szCs w:val="18"/>
                <w:color w:val="auto"/>
              </w:rPr>
              <w:t>Alan Miller</w:t>
            </w:r>
          </w:p>
        </w:tc>
        <w:tc>
          <w:tcPr>
            <w:tcW w:w="188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6160" w:type="dxa"/>
            <w:vAlign w:val="bottom"/>
            <w:gridSpan w:val="3"/>
            <w:vMerge w:val="restart"/>
          </w:tcPr>
          <w:p>
            <w:pPr>
              <w:ind w:left="132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1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52"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20" w:firstLine="8"/>
        <w:spacing w:after="0" w:line="277" w:lineRule="auto"/>
        <w:tabs>
          <w:tab w:leader="none" w:pos="22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0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42" w:lineRule="auto"/>
        <w:tabs>
          <w:tab w:leader="none" w:pos="962"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0" w:hanging="4"/>
        <w:spacing w:after="0" w:line="264" w:lineRule="auto"/>
        <w:tabs>
          <w:tab w:leader="none" w:pos="96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20" w:hanging="4"/>
        <w:spacing w:after="0" w:line="308" w:lineRule="auto"/>
        <w:tabs>
          <w:tab w:leader="none" w:pos="974"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hanging="4"/>
        <w:spacing w:after="0" w:line="277" w:lineRule="auto"/>
        <w:tabs>
          <w:tab w:leader="none" w:pos="9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3200" w:type="dxa"/>
            <w:vAlign w:val="bottom"/>
          </w:tcPr>
          <w:p>
            <w:pPr>
              <w:ind w:left="1760"/>
              <w:spacing w:after="0"/>
              <w:rPr>
                <w:sz w:val="20"/>
                <w:szCs w:val="20"/>
                <w:color w:val="auto"/>
              </w:rPr>
            </w:pPr>
            <w:r>
              <w:rPr>
                <w:rFonts w:ascii="Arial" w:cs="Arial" w:eastAsia="Arial" w:hAnsi="Arial"/>
                <w:sz w:val="18"/>
                <w:szCs w:val="18"/>
                <w:color w:val="auto"/>
                <w:w w:val="87"/>
              </w:rPr>
              <w:t>September 16, 2013</w:t>
            </w:r>
          </w:p>
        </w:tc>
      </w:tr>
      <w:tr>
        <w:trPr>
          <w:trHeight w:val="222"/>
        </w:trPr>
        <w:tc>
          <w:tcPr>
            <w:tcW w:w="2540" w:type="dxa"/>
            <w:vAlign w:val="bottom"/>
          </w:tcPr>
          <w:p>
            <w:pPr>
              <w:ind w:left="340"/>
              <w:spacing w:after="0"/>
              <w:rPr>
                <w:sz w:val="20"/>
                <w:szCs w:val="20"/>
                <w:color w:val="auto"/>
              </w:rPr>
            </w:pPr>
            <w:r>
              <w:rPr>
                <w:rFonts w:ascii="Arial" w:cs="Arial" w:eastAsia="Arial" w:hAnsi="Arial"/>
                <w:sz w:val="18"/>
                <w:szCs w:val="18"/>
                <w:color w:val="auto"/>
              </w:rPr>
              <w:t>Martin Bloch</w:t>
            </w:r>
          </w:p>
        </w:tc>
        <w:tc>
          <w:tcPr>
            <w:tcW w:w="3200" w:type="dxa"/>
            <w:vAlign w:val="bottom"/>
          </w:tcPr>
          <w:p>
            <w:pPr>
              <w:spacing w:after="0"/>
              <w:rPr>
                <w:sz w:val="19"/>
                <w:szCs w:val="19"/>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3200" w:type="dxa"/>
            <w:vAlign w:val="bottom"/>
          </w:tcPr>
          <w:p>
            <w:pPr>
              <w:spacing w:after="0"/>
              <w:rPr>
                <w:sz w:val="20"/>
                <w:szCs w:val="20"/>
                <w:color w:val="auto"/>
              </w:rPr>
            </w:pPr>
          </w:p>
        </w:tc>
      </w:tr>
    </w:tbl>
    <w:p>
      <w:pPr>
        <w:sectPr>
          <w:pgSz w:w="11900" w:h="16838" w:orient="portrait"/>
          <w:cols w:equalWidth="0" w:num="1">
            <w:col w:w="10780"/>
          </w:cols>
          <w:pgMar w:left="240" w:top="125" w:right="8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5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52" w:lineRule="exact"/>
        <w:rPr>
          <w:rFonts w:ascii="Arial" w:cs="Arial" w:eastAsia="Arial" w:hAnsi="Arial"/>
          <w:sz w:val="18"/>
          <w:szCs w:val="18"/>
          <w:color w:val="auto"/>
        </w:rPr>
      </w:pPr>
    </w:p>
    <w:p>
      <w:pPr>
        <w:jc w:val="both"/>
        <w:ind w:right="20" w:firstLine="8"/>
        <w:spacing w:after="0" w:line="264" w:lineRule="auto"/>
        <w:tabs>
          <w:tab w:leader="none" w:pos="22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right="20" w:firstLine="8"/>
        <w:spacing w:after="0" w:line="277" w:lineRule="auto"/>
        <w:tabs>
          <w:tab w:leader="none" w:pos="22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4" w:lineRule="auto"/>
        <w:tabs>
          <w:tab w:leader="none" w:pos="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102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8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hanging="4"/>
        <w:spacing w:after="0" w:line="342" w:lineRule="auto"/>
        <w:tabs>
          <w:tab w:leader="none" w:pos="962"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0" w:hanging="4"/>
        <w:spacing w:after="0" w:line="264" w:lineRule="auto"/>
        <w:tabs>
          <w:tab w:leader="none" w:pos="96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42" w:lineRule="auto"/>
        <w:tabs>
          <w:tab w:leader="none" w:pos="2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20" w:hanging="4"/>
        <w:spacing w:after="0" w:line="308" w:lineRule="auto"/>
        <w:tabs>
          <w:tab w:leader="none" w:pos="974"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hanging="4"/>
        <w:spacing w:after="0" w:line="277" w:lineRule="auto"/>
        <w:tabs>
          <w:tab w:leader="none" w:pos="9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3420" w:type="dxa"/>
            <w:vAlign w:val="bottom"/>
          </w:tcPr>
          <w:p>
            <w:pPr>
              <w:ind w:left="1980"/>
              <w:spacing w:after="0"/>
              <w:rPr>
                <w:sz w:val="20"/>
                <w:szCs w:val="20"/>
                <w:color w:val="auto"/>
              </w:rPr>
            </w:pPr>
            <w:r>
              <w:rPr>
                <w:rFonts w:ascii="Arial" w:cs="Arial" w:eastAsia="Arial" w:hAnsi="Arial"/>
                <w:sz w:val="18"/>
                <w:szCs w:val="18"/>
                <w:color w:val="auto"/>
                <w:w w:val="87"/>
              </w:rPr>
              <w:t>September 16, 2013</w:t>
            </w:r>
          </w:p>
        </w:tc>
      </w:tr>
      <w:tr>
        <w:trPr>
          <w:trHeight w:val="222"/>
        </w:trPr>
        <w:tc>
          <w:tcPr>
            <w:tcW w:w="2460" w:type="dxa"/>
            <w:vAlign w:val="bottom"/>
          </w:tcPr>
          <w:p>
            <w:pPr>
              <w:ind w:left="340"/>
              <w:spacing w:after="0"/>
              <w:rPr>
                <w:sz w:val="20"/>
                <w:szCs w:val="20"/>
                <w:color w:val="auto"/>
              </w:rPr>
            </w:pPr>
            <w:r>
              <w:rPr>
                <w:rFonts w:ascii="Arial" w:cs="Arial" w:eastAsia="Arial" w:hAnsi="Arial"/>
                <w:sz w:val="18"/>
                <w:szCs w:val="18"/>
                <w:color w:val="auto"/>
              </w:rPr>
              <w:t>Alan Miller</w:t>
            </w:r>
          </w:p>
        </w:tc>
        <w:tc>
          <w:tcPr>
            <w:tcW w:w="3420" w:type="dxa"/>
            <w:vAlign w:val="bottom"/>
          </w:tcPr>
          <w:p>
            <w:pPr>
              <w:spacing w:after="0"/>
              <w:rPr>
                <w:sz w:val="19"/>
                <w:szCs w:val="19"/>
                <w:color w:val="auto"/>
              </w:rPr>
            </w:pPr>
          </w:p>
        </w:tc>
      </w:tr>
      <w:tr>
        <w:trPr>
          <w:trHeight w:val="230"/>
        </w:trPr>
        <w:tc>
          <w:tcPr>
            <w:tcW w:w="246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p>
        </w:tc>
      </w:tr>
    </w:tbl>
    <w:p>
      <w:pPr>
        <w:sectPr>
          <w:pgSz w:w="11900" w:h="16838" w:orient="portrait"/>
          <w:cols w:equalWidth="0" w:num="1">
            <w:col w:w="10780"/>
          </w:cols>
          <w:pgMar w:left="240" w:top="125" w:right="879" w:bottom="1440" w:gutter="0" w:footer="0" w:header="0"/>
        </w:sectPr>
      </w:pPr>
    </w:p>
    <w:bookmarkStart w:id="24" w:name="page25"/>
    <w:bookmarkEnd w:id="24"/>
    <w:p>
      <w:pPr>
        <w:ind w:left="10020"/>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56"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2013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980" w:hanging="299"/>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3520" w:type="dxa"/>
            <w:vAlign w:val="bottom"/>
          </w:tcPr>
          <w:p>
            <w:pPr>
              <w:jc w:val="center"/>
              <w:ind w:left="1790"/>
              <w:spacing w:after="0"/>
              <w:rPr>
                <w:sz w:val="20"/>
                <w:szCs w:val="20"/>
                <w:color w:val="auto"/>
              </w:rPr>
            </w:pPr>
            <w:r>
              <w:rPr>
                <w:rFonts w:ascii="Arial" w:cs="Arial" w:eastAsia="Arial" w:hAnsi="Arial"/>
                <w:sz w:val="18"/>
                <w:szCs w:val="18"/>
                <w:color w:val="auto"/>
                <w:w w:val="88"/>
              </w:rPr>
              <w:t>September 16, 2013</w:t>
            </w:r>
          </w:p>
        </w:tc>
      </w:tr>
      <w:tr>
        <w:trPr>
          <w:trHeight w:val="222"/>
        </w:trPr>
        <w:tc>
          <w:tcPr>
            <w:tcW w:w="2680" w:type="dxa"/>
            <w:vAlign w:val="bottom"/>
          </w:tcPr>
          <w:p>
            <w:pPr>
              <w:ind w:left="340"/>
              <w:spacing w:after="0"/>
              <w:rPr>
                <w:sz w:val="20"/>
                <w:szCs w:val="20"/>
                <w:color w:val="auto"/>
              </w:rPr>
            </w:pPr>
            <w:r>
              <w:rPr>
                <w:rFonts w:ascii="Arial" w:cs="Arial" w:eastAsia="Arial" w:hAnsi="Arial"/>
                <w:sz w:val="18"/>
                <w:szCs w:val="18"/>
                <w:color w:val="auto"/>
              </w:rPr>
              <w:t>Martin Bloch</w:t>
            </w:r>
          </w:p>
        </w:tc>
        <w:tc>
          <w:tcPr>
            <w:tcW w:w="352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3520" w:type="dxa"/>
            <w:vAlign w:val="bottom"/>
          </w:tcPr>
          <w:p>
            <w:pPr>
              <w:spacing w:after="0"/>
              <w:rPr>
                <w:sz w:val="20"/>
                <w:szCs w:val="20"/>
                <w:color w:val="auto"/>
              </w:rPr>
            </w:pPr>
          </w:p>
        </w:tc>
      </w:tr>
      <w:tr>
        <w:trPr>
          <w:trHeight w:val="459"/>
        </w:trPr>
        <w:tc>
          <w:tcPr>
            <w:tcW w:w="268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56"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2013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93"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3420" w:type="dxa"/>
            <w:vAlign w:val="bottom"/>
          </w:tcPr>
          <w:p>
            <w:pPr>
              <w:ind w:left="1980"/>
              <w:spacing w:after="0"/>
              <w:rPr>
                <w:sz w:val="20"/>
                <w:szCs w:val="20"/>
                <w:color w:val="auto"/>
              </w:rPr>
            </w:pPr>
            <w:r>
              <w:rPr>
                <w:rFonts w:ascii="Arial" w:cs="Arial" w:eastAsia="Arial" w:hAnsi="Arial"/>
                <w:sz w:val="18"/>
                <w:szCs w:val="18"/>
                <w:color w:val="auto"/>
                <w:w w:val="87"/>
              </w:rPr>
              <w:t>September 16, 2013</w:t>
            </w:r>
          </w:p>
        </w:tc>
      </w:tr>
      <w:tr>
        <w:trPr>
          <w:trHeight w:val="222"/>
        </w:trPr>
        <w:tc>
          <w:tcPr>
            <w:tcW w:w="2680" w:type="dxa"/>
            <w:vAlign w:val="bottom"/>
          </w:tcPr>
          <w:p>
            <w:pPr>
              <w:ind w:left="340"/>
              <w:spacing w:after="0"/>
              <w:rPr>
                <w:sz w:val="20"/>
                <w:szCs w:val="20"/>
                <w:color w:val="auto"/>
              </w:rPr>
            </w:pPr>
            <w:r>
              <w:rPr>
                <w:rFonts w:ascii="Arial" w:cs="Arial" w:eastAsia="Arial" w:hAnsi="Arial"/>
                <w:sz w:val="18"/>
                <w:szCs w:val="18"/>
                <w:color w:val="auto"/>
              </w:rPr>
              <w:t>Alan Miller</w:t>
            </w:r>
          </w:p>
        </w:tc>
        <w:tc>
          <w:tcPr>
            <w:tcW w:w="342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right="5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214" w:lineRule="exact"/>
        <w:rPr>
          <w:sz w:val="20"/>
          <w:szCs w:val="20"/>
          <w:color w:val="auto"/>
        </w:rPr>
      </w:pPr>
    </w:p>
    <w:p>
      <w:pPr>
        <w:jc w:val="both"/>
        <w:ind w:left="660" w:right="500"/>
        <w:spacing w:after="0" w:line="302" w:lineRule="auto"/>
        <w:rPr>
          <w:sz w:val="20"/>
          <w:szCs w:val="20"/>
          <w:color w:val="auto"/>
        </w:rPr>
      </w:pPr>
      <w:r>
        <w:rPr>
          <w:rFonts w:ascii="Arial" w:cs="Arial" w:eastAsia="Arial" w:hAnsi="Arial"/>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2"/>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decimal"/>
      <w:start w:val="2"/>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2019-12-05T10:13:12Z</dcterms:created>
  <dcterms:modified xsi:type="dcterms:W3CDTF">2019-12-05T10:13:12Z</dcterms:modified>
</cp:coreProperties>
</file>