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180975</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9" w:lineRule="exact"/>
        <w:rPr>
          <w:sz w:val="24"/>
          <w:szCs w:val="24"/>
          <w:color w:val="auto"/>
        </w:rPr>
      </w:pPr>
    </w:p>
    <w:p>
      <w:pPr>
        <w:ind w:left="860" w:hanging="21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October 31, 2022</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380" w:right="1520" w:hanging="2734"/>
        <w:spacing w:after="0" w:line="493" w:lineRule="auto"/>
        <w:tabs>
          <w:tab w:leader="none" w:pos="85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 to __________</w:t>
      </w:r>
    </w:p>
    <w:p>
      <w:pPr>
        <w:ind w:left="44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No. 1-8061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640" w:type="dxa"/>
            <w:vAlign w:val="bottom"/>
            <w:gridSpan w:val="3"/>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11-1986657</w:t>
            </w:r>
          </w:p>
        </w:tc>
      </w:tr>
      <w:tr>
        <w:trPr>
          <w:trHeight w:val="20"/>
        </w:trPr>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8"/>
        </w:trPr>
        <w:tc>
          <w:tcPr>
            <w:tcW w:w="340" w:type="dxa"/>
            <w:vAlign w:val="bottom"/>
          </w:tcPr>
          <w:p>
            <w:pPr>
              <w:spacing w:after="0"/>
              <w:rPr>
                <w:sz w:val="18"/>
                <w:szCs w:val="18"/>
                <w:color w:val="auto"/>
              </w:rPr>
            </w:pPr>
          </w:p>
        </w:tc>
        <w:tc>
          <w:tcPr>
            <w:tcW w:w="568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2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40" w:type="dxa"/>
            <w:vAlign w:val="bottom"/>
          </w:tcPr>
          <w:p>
            <w:pPr>
              <w:spacing w:after="0"/>
              <w:rPr>
                <w:sz w:val="20"/>
                <w:szCs w:val="20"/>
                <w:color w:val="auto"/>
              </w:rPr>
            </w:pPr>
          </w:p>
        </w:tc>
        <w:tc>
          <w:tcPr>
            <w:tcW w:w="568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340" w:type="dxa"/>
            <w:vAlign w:val="bottom"/>
          </w:tcPr>
          <w:p>
            <w:pPr>
              <w:spacing w:after="0"/>
              <w:rPr>
                <w:sz w:val="24"/>
                <w:szCs w:val="24"/>
                <w:color w:val="auto"/>
              </w:rPr>
            </w:pPr>
          </w:p>
        </w:tc>
        <w:tc>
          <w:tcPr>
            <w:tcW w:w="4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880" w:type="dxa"/>
            <w:vAlign w:val="bottom"/>
          </w:tcPr>
          <w:p>
            <w:pPr>
              <w:spacing w:after="0"/>
              <w:rPr>
                <w:sz w:val="24"/>
                <w:szCs w:val="24"/>
                <w:color w:val="auto"/>
              </w:rPr>
            </w:pPr>
          </w:p>
        </w:tc>
        <w:tc>
          <w:tcPr>
            <w:tcW w:w="1980" w:type="dxa"/>
            <w:vAlign w:val="bottom"/>
            <w:gridSpan w:val="2"/>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3"/>
              </w:rPr>
              <w:t>11553</w:t>
            </w:r>
          </w:p>
        </w:tc>
        <w:tc>
          <w:tcPr>
            <w:tcW w:w="88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4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6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516-794-4500</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3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3"/>
        </w:trPr>
        <w:tc>
          <w:tcPr>
            <w:tcW w:w="38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rPr>
              <w:t>Common Stock (par value $1.00 per share)</w:t>
            </w:r>
          </w:p>
        </w:tc>
        <w:tc>
          <w:tcPr>
            <w:tcW w:w="32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7"/>
              </w:rPr>
              <w:t>FEIM</w:t>
            </w:r>
          </w:p>
        </w:tc>
        <w:tc>
          <w:tcPr>
            <w:tcW w:w="38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rPr>
              <w:t>NASDAQ Global Market</w:t>
            </w:r>
          </w:p>
        </w:tc>
      </w:tr>
    </w:tbl>
    <w:p>
      <w:pPr>
        <w:spacing w:after="0" w:line="1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60"/>
          </w:cols>
          <w:pgMar w:left="460" w:top="371" w:right="479" w:bottom="1440" w:gutter="0" w:footer="0" w:header="0"/>
        </w:sectPr>
      </w:pPr>
    </w:p>
    <w:p>
      <w:pPr>
        <w:spacing w:after="0" w:line="14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5380" w:space="720"/>
            <w:col w:w="4860"/>
          </w:cols>
          <w:pgMar w:left="460" w:top="371" w:right="479" w:bottom="1440" w:gutter="0" w:footer="0" w:header="0"/>
          <w:type w:val="continuous"/>
        </w:sectPr>
      </w:pPr>
    </w:p>
    <w:p>
      <w:pPr>
        <w:spacing w:after="0" w:line="1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par value $1.00 per share, as of December 14, 2022 – 9,343,717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351790</wp:posOffset>
            </wp:positionV>
            <wp:extent cx="69608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371" w:right="4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80" w:type="dxa"/>
            <w:vAlign w:val="bottom"/>
            <w:gridSpan w:val="8"/>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8"/>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09"/>
        </w:trPr>
        <w:tc>
          <w:tcPr>
            <w:tcW w:w="10160" w:type="dxa"/>
            <w:vAlign w:val="bottom"/>
            <w:gridSpan w:val="18"/>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21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1 - Financial Statements:</w:t>
            </w:r>
          </w:p>
        </w:tc>
        <w:tc>
          <w:tcPr>
            <w:tcW w:w="750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 October 31, 2022 (unaudited) and April 30, 2022</w:t>
            </w:r>
          </w:p>
        </w:tc>
        <w:tc>
          <w:tcPr>
            <w:tcW w:w="2700" w:type="dxa"/>
            <w:vAlign w:val="bottom"/>
            <w:gridSpan w:val="5"/>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Income Three and Six Months Ended October 31,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2022 and 2021 (unaudited)</w:t>
            </w:r>
          </w:p>
        </w:tc>
        <w:tc>
          <w:tcPr>
            <w:tcW w:w="740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9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Six Months Ended October 31, 2022 and 2021 (unaudited)</w:t>
            </w:r>
          </w:p>
        </w:tc>
        <w:tc>
          <w:tcPr>
            <w:tcW w:w="1360" w:type="dxa"/>
            <w:vAlign w:val="bottom"/>
            <w:gridSpan w:val="3"/>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Three and Six Months Ended October 31, 2022 and</w:t>
            </w:r>
          </w:p>
        </w:tc>
        <w:tc>
          <w:tcPr>
            <w:tcW w:w="340" w:type="dxa"/>
            <w:vAlign w:val="bottom"/>
            <w:gridSpan w:val="2"/>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340" w:type="dxa"/>
            <w:vAlign w:val="bottom"/>
            <w:gridSpan w:val="16"/>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2021 (unaudited)</w:t>
            </w: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340" w:type="dxa"/>
            <w:vAlign w:val="bottom"/>
            <w:gridSpan w:val="16"/>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96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18-24</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708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260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4 - Controls and Procedures</w:t>
            </w:r>
          </w:p>
        </w:tc>
        <w:tc>
          <w:tcPr>
            <w:tcW w:w="2580" w:type="dxa"/>
            <w:vAlign w:val="bottom"/>
            <w:tcBorders>
              <w:top w:val="single" w:sz="8" w:color="0000EE"/>
            </w:tcBorders>
          </w:tcPr>
          <w:p>
            <w:pPr>
              <w:spacing w:after="0"/>
              <w:rPr>
                <w:sz w:val="24"/>
                <w:szCs w:val="24"/>
                <w:color w:val="auto"/>
              </w:rPr>
            </w:pPr>
          </w:p>
        </w:tc>
        <w:tc>
          <w:tcPr>
            <w:tcW w:w="4700" w:type="dxa"/>
            <w:vAlign w:val="bottom"/>
            <w:gridSpan w:val="7"/>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453"/>
        </w:trPr>
        <w:tc>
          <w:tcPr>
            <w:tcW w:w="101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16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1A - Risk Factors</w:t>
            </w:r>
          </w:p>
        </w:tc>
        <w:tc>
          <w:tcPr>
            <w:tcW w:w="8020" w:type="dxa"/>
            <w:vAlign w:val="bottom"/>
            <w:gridSpan w:val="11"/>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96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Item 6 - Exhibits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12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460" w:type="dxa"/>
            <w:vAlign w:val="bottom"/>
            <w:gridSpan w:val="13"/>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986"/>
        </w:trPr>
        <w:tc>
          <w:tcPr>
            <w:tcW w:w="48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549"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0" w:type="dxa"/>
            <w:vAlign w:val="bottom"/>
          </w:tcPr>
          <w:p>
            <w:pPr>
              <w:spacing w:after="0"/>
              <w:rPr>
                <w:sz w:val="1"/>
                <w:szCs w:val="1"/>
                <w:color w:val="auto"/>
              </w:rPr>
            </w:pPr>
          </w:p>
        </w:tc>
      </w:tr>
      <w:tr>
        <w:trPr>
          <w:trHeight w:val="238"/>
        </w:trPr>
        <w:tc>
          <w:tcPr>
            <w:tcW w:w="7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(Revised - See Note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60" w:type="dxa"/>
            <w:vAlign w:val="bottom"/>
            <w:vMerge w:val="restart"/>
          </w:tcPr>
          <w:p>
            <w:pPr>
              <w:ind w:left="3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198"/>
        </w:trPr>
        <w:tc>
          <w:tcPr>
            <w:tcW w:w="7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$111 at October 31, 2022 and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April 30, 2022</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income taxes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at cost, net of accumulated depreciation and amortization</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83,076</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 trade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provision accrual</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non-current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M)</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 $1.00 par value; authorized 600 shares, no shares issued</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 $1.00 par value; authorized 20,000 shares, 9,334 shares issued and 9,333</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shares outstanding at October 31, 2022; 9,298 shares issued and 9,297 shares outstanding at</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April 30, 2022</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(20,120)</w:t>
            </w:r>
          </w:p>
        </w:tc>
        <w:tc>
          <w:tcPr>
            <w:tcW w:w="0" w:type="dxa"/>
            <w:vAlign w:val="bottom"/>
          </w:tcPr>
          <w:p>
            <w:pPr>
              <w:spacing w:after="0"/>
              <w:rPr>
                <w:sz w:val="1"/>
                <w:szCs w:val="1"/>
                <w:color w:val="auto"/>
              </w:rPr>
            </w:pPr>
          </w:p>
        </w:tc>
      </w:tr>
      <w:tr>
        <w:trPr>
          <w:trHeight w:val="198"/>
        </w:trPr>
        <w:tc>
          <w:tcPr>
            <w:tcW w:w="73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reacquired and held in treasury - at cost (1 share at October 31, 2022 and April</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30, 2022)</w:t>
            </w:r>
          </w:p>
        </w:tc>
        <w:tc>
          <w:tcPr>
            <w:tcW w:w="1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83,076</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549"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0" w:type="dxa"/>
            <w:vAlign w:val="bottom"/>
            <w:gridSpan w:val="8"/>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Six Months Ended October 31,</w:t>
            </w:r>
          </w:p>
        </w:tc>
        <w:tc>
          <w:tcPr>
            <w:tcW w:w="0" w:type="dxa"/>
            <w:vAlign w:val="bottom"/>
          </w:tcPr>
          <w:p>
            <w:pPr>
              <w:spacing w:after="0"/>
              <w:rPr>
                <w:sz w:val="1"/>
                <w:szCs w:val="1"/>
                <w:color w:val="auto"/>
              </w:rPr>
            </w:pPr>
          </w:p>
        </w:tc>
      </w:tr>
      <w:tr>
        <w:trPr>
          <w:trHeight w:val="209"/>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2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(loss) income</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(expense) income</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income</w:t>
            </w:r>
          </w:p>
        </w:tc>
        <w:tc>
          <w:tcPr>
            <w:tcW w:w="8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(5,431)</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 (loss) income per share</w:t>
            </w:r>
          </w:p>
        </w:tc>
        <w:tc>
          <w:tcPr>
            <w:tcW w:w="86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(0.58)</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9,326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9,302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9,317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9,246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2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4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6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(5,431)</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Change in market value of marketable securities</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before reclassification, net of tax</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gains</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included in net income, net of tax</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80" w:type="dxa"/>
            <w:vAlign w:val="bottom"/>
            <w:tcBorders>
              <w:top w:val="single" w:sz="8" w:color="CCEEFF"/>
            </w:tcBorders>
          </w:tcPr>
          <w:p>
            <w:pPr>
              <w:ind w:left="340"/>
              <w:spacing w:after="0" w:line="191" w:lineRule="exact"/>
              <w:rPr>
                <w:sz w:val="20"/>
                <w:szCs w:val="20"/>
                <w:color w:val="auto"/>
              </w:rPr>
            </w:pPr>
            <w:r>
              <w:rPr>
                <w:rFonts w:ascii="Times New Roman" w:cs="Times New Roman" w:eastAsia="Times New Roman" w:hAnsi="Times New Roman"/>
                <w:sz w:val="18"/>
                <w:szCs w:val="18"/>
                <w:color w:val="auto"/>
              </w:rPr>
              <w:t>Total unrealized loss on marketable securities, net of</w:t>
            </w:r>
          </w:p>
        </w:tc>
        <w:tc>
          <w:tcPr>
            <w:tcW w:w="2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8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(5,982)</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100" w:type="dxa"/>
            <w:vAlign w:val="bottom"/>
            <w:gridSpan w:val="12"/>
          </w:tcPr>
          <w:p>
            <w:pPr>
              <w:ind w:left="284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314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0" w:type="dxa"/>
            <w:vAlign w:val="bottom"/>
          </w:tcPr>
          <w:p>
            <w:pPr>
              <w:spacing w:after="0"/>
              <w:rPr>
                <w:sz w:val="1"/>
                <w:szCs w:val="1"/>
                <w:color w:val="auto"/>
              </w:rPr>
            </w:pPr>
          </w:p>
        </w:tc>
      </w:tr>
      <w:tr>
        <w:trPr>
          <w:trHeight w:val="209"/>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(5,431)</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charges to earnings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8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on redemption of marketable securities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8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property, plant, and equipment, and other assets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00" w:type="dxa"/>
            <w:vAlign w:val="bottom"/>
            <w:tcBorders>
              <w:right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refunded during the period for:</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and Six Months Ended October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9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(at cost)</w:t>
            </w: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 (loss)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9,298,178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57,956</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 of stock to</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401(k)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July 31,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9,314,886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58,036</w:t>
            </w:r>
          </w:p>
        </w:tc>
        <w:tc>
          <w:tcPr>
            <w:tcW w:w="12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(23,237)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Contribution of stock to</w:t>
            </w: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plan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at October 31,</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9,334,268</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3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58,153</w:t>
            </w:r>
          </w:p>
        </w:tc>
        <w:tc>
          <w:tcPr>
            <w:tcW w:w="120" w:type="dxa"/>
            <w:vAlign w:val="bottom"/>
            <w:shd w:val="clear" w:color="auto" w:fill="CCEEFF"/>
          </w:tcPr>
          <w:p>
            <w:pPr>
              <w:spacing w:after="0"/>
              <w:rPr>
                <w:sz w:val="16"/>
                <w:szCs w:val="16"/>
                <w:color w:val="auto"/>
              </w:rPr>
            </w:pPr>
          </w:p>
        </w:tc>
        <w:tc>
          <w:tcPr>
            <w:tcW w:w="2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(25,551)</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2022</w:t>
            </w:r>
          </w:p>
        </w:tc>
        <w:tc>
          <w:tcPr>
            <w:tcW w:w="86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and Six Months Ended October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9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(at cost)</w:t>
            </w: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 (loss)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9,226,268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57,355</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(11,457)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 of stock to</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401(k)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July 31,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9,247,019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57,533</w:t>
            </w:r>
          </w:p>
        </w:tc>
        <w:tc>
          <w:tcPr>
            <w:tcW w:w="12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(13,032)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Contribution of stock to</w:t>
            </w: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plan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stock options</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stock appreciation</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 net of shares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tendered for exercise price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at October 31,</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9,264,326</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9,264</w:t>
            </w:r>
          </w:p>
        </w:tc>
        <w:tc>
          <w:tcPr>
            <w:tcW w:w="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57,693</w:t>
            </w:r>
          </w:p>
        </w:tc>
        <w:tc>
          <w:tcPr>
            <w:tcW w:w="120" w:type="dxa"/>
            <w:vAlign w:val="bottom"/>
          </w:tcPr>
          <w:p>
            <w:pPr>
              <w:spacing w:after="0"/>
              <w:rPr>
                <w:sz w:val="16"/>
                <w:szCs w:val="16"/>
                <w:color w:val="auto"/>
              </w:rPr>
            </w:pP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(12,535)</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6"/>
                <w:szCs w:val="16"/>
                <w:color w:val="auto"/>
              </w:rPr>
            </w:pP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54,629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2021</w:t>
            </w:r>
          </w:p>
        </w:tc>
        <w:tc>
          <w:tcPr>
            <w:tcW w:w="86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CONDENSED CONSOLIDATED FINANCIAL STATEMENTS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condensed consolidated financial position of the Company as of October 31, 2022 and the results of its operations, changes in stockholders’ equity for the three and six months ended October 31, 2022 and 2021, and cash flows for the six months ended October 31, 2022 and 2021. The April 30, 2022 condensed consolidated balance sheet was derived from audited financial statements (see Revision of Previously Issued Financial Statements in Note C below). These financial statements are prepared in conformity with accounting principles generally accepted in the United States of America (“U.S. GAAP’). Certain information and footnote disclosures normally included in financial statements prepared in accordance with U.S. GAAP have been condensed or omitted. These condensed consolidated interim financial statements should be read in conjunction with the annual consolidated financial statements included in the Company’s Annual Report on Form 10-K for the fiscal year ended April 30, 2022, filed on July 14, 2022 with the Securities and Exchange Commission (the “Form 10-K”). The results of operations for such interim periods are not necessarily indicative of the operating results for the full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and Other Macroeconomic Factors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full impact of the COVID-19 pandemic continues to evolve as of the date of this report. As such, it is uncertain as to the full magnitude that the pandemic may ultimately have on the Company’s financial condition, liquidity, and future financial results. For the six months ended October 31, 2022, the Company has been impacted by employee absenteeism related to direct or indirect effects of the COVID-19 pandemic, delays in the receipt of anticipated new contracts from customers administratively affected by the pandemic and limited availability or delivery delays of parts and materials from vendors affected by the pandemic. FEI-Zyfer’s operations were particularly affected as evidenced by decreases in sales and gross margin during fiscal year 2022, which continued during the six months ended October 31, 2022. Management is actively monitoring the impact of the global situation on its financial condition, liquidity, operations, suppliers, industry, and workforce. Given the continuing changing dynamics of the COVID-19 pandemic the Company is not able to estimate the potential adverse effects on its operations, financial condition, or liquidity for the remainder of fiscal year 2023. The Company has returned to essentially normal operations at its various locations. At its locations, the Company continues to follow federal and state guidelines with an emphasis on employee safety.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faces various future COVID-19 related risks, and risks resulting from geopolitical conflicts. The Company is dependent on its workforce to design and manufacture its products. If significant portions of the Company’s workforce are unable to work effectively, or if the U.S. Government, state and/or other customers or supplier operations are curtailed due to illness, quarantines, government actions, facility closures, or other restrictions, the Company’s operations may be negatively impacted. If faced with any of these factors, the Company may be unable to perform fully on its contracts and costs may increase. These cost increases may not be fully recoverable or adequately covered by insurance. For example, in the latter part of fiscal year 2021, the Company experienced some operation disruptions due to the need to vacate certain areas of the facilities for cleaning and disinfecting resulting from employees being potentially exposed to COVID-19 or following positive COVID-19 test results. Also, certain Company vendors have been unable to deliver materials on time due to COVID-19 related impacts to their workforces or their supply chains. These delays impacted the Company’s production costs and schedules. Vendor delivery performance is being closely monitored and alternate sources of supply are generally available and, in some cases, are being established.</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impacts of the COVID-19 pandemic, the Company’s financial condition, liquidity, and future financial results may also be affected by other macroeconomic factors. For example, due to continuing geopolitical circumstances resulting in increased inflation, energy and commodity prices may continue escalating which may adversely affect the Company’s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EARNINGS (LOSS) PER SHARE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Reconciliation of the weighted average shares outstanding for basic and diluted earnings (loss) per share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2022 and 2021, respectively, were as follows:</w:t>
      </w:r>
    </w:p>
    <w:p>
      <w:pPr>
        <w:spacing w:after="0" w:line="203"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18"/>
                <w:szCs w:val="18"/>
                <w:color w:val="auto"/>
              </w:rPr>
            </w:pPr>
          </w:p>
        </w:tc>
        <w:tc>
          <w:tcPr>
            <w:tcW w:w="268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18"/>
                <w:szCs w:val="18"/>
                <w:color w:val="auto"/>
              </w:rPr>
            </w:pPr>
          </w:p>
        </w:tc>
        <w:tc>
          <w:tcPr>
            <w:tcW w:w="17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vMerge w:val="continue"/>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ind w:left="540"/>
              <w:spacing w:after="0" w:line="198" w:lineRule="exact"/>
              <w:rPr>
                <w:sz w:val="20"/>
                <w:szCs w:val="20"/>
                <w:color w:val="auto"/>
              </w:rPr>
            </w:pPr>
            <w:r>
              <w:rPr>
                <w:rFonts w:ascii="Times New Roman" w:cs="Times New Roman" w:eastAsia="Times New Roman" w:hAnsi="Times New Roman"/>
                <w:sz w:val="18"/>
                <w:szCs w:val="18"/>
                <w:color w:val="auto"/>
              </w:rPr>
              <w:t>Basic EPS Shares outstanding</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(weighted average)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9,326,347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9,256,255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9,317,143</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9,246,240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45,273</w:t>
            </w:r>
          </w:p>
        </w:tc>
        <w:tc>
          <w:tcPr>
            <w:tcW w:w="16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Diluted EPS Shares outstanding</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9,326,347</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9,301,528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9,317,143</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9,246,240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0960"/>
          </w:cols>
          <w:pgMar w:left="460" w:top="121" w:right="47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69608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6"/>
        <w:spacing w:after="0" w:line="261" w:lineRule="auto"/>
        <w:tabs>
          <w:tab w:leader="none" w:pos="8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October 31, 2022 and six months ended October 31, 2022 and 2021, dilutive securities are excluded from the calculation of earnings per share since the inclusion of such shares would be antidilutive due to the net loss for those periods. The exercisable shares excluded for the three and six-months ended October 31, 2022 was 243,625 shares, respectively. The exercisable shares excluded for the three and six-months ended October 31, 2021 were 198,000 and 223,000 shares,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CONTRACT (LIABILITIES) ASSETS, NET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October 31, 2022 and April 30, 2022, contract (liabilities) assets, net, consisted of the following:</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October 31, 2022</w:t>
            </w:r>
          </w:p>
        </w:tc>
        <w:tc>
          <w:tcPr>
            <w:tcW w:w="1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191"/>
        </w:trPr>
        <w:tc>
          <w:tcPr>
            <w:tcW w:w="34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90"/>
              <w:spacing w:after="0" w:line="191" w:lineRule="exact"/>
              <w:rPr>
                <w:sz w:val="20"/>
                <w:szCs w:val="20"/>
                <w:color w:val="auto"/>
              </w:rPr>
            </w:pPr>
            <w:r>
              <w:rPr>
                <w:rFonts w:ascii="Times New Roman" w:cs="Times New Roman" w:eastAsia="Times New Roman" w:hAnsi="Times New Roman"/>
                <w:sz w:val="18"/>
                <w:szCs w:val="18"/>
                <w:color w:val="auto"/>
              </w:rPr>
              <w:t>Revised</w:t>
            </w:r>
          </w:p>
        </w:tc>
        <w:tc>
          <w:tcPr>
            <w:tcW w:w="80" w:type="dxa"/>
            <w:vAlign w:val="bottom"/>
          </w:tcPr>
          <w:p>
            <w:pPr>
              <w:spacing w:after="0"/>
              <w:rPr>
                <w:sz w:val="16"/>
                <w:szCs w:val="16"/>
                <w:color w:val="auto"/>
              </w:rPr>
            </w:pPr>
          </w:p>
        </w:tc>
      </w:tr>
      <w:tr>
        <w:trPr>
          <w:trHeight w:val="234"/>
        </w:trPr>
        <w:tc>
          <w:tcPr>
            <w:tcW w:w="3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60" w:type="dxa"/>
            <w:vAlign w:val="bottom"/>
            <w:gridSpan w:val="5"/>
          </w:tcPr>
          <w:p>
            <w:pPr>
              <w:jc w:val="right"/>
              <w:ind w:right="11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(16,976)</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(11,098)</w:t>
            </w:r>
          </w:p>
        </w:tc>
      </w:tr>
      <w:tr>
        <w:trPr>
          <w:trHeight w:val="20"/>
        </w:trPr>
        <w:tc>
          <w:tcPr>
            <w:tcW w:w="3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(liability) asset</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(2,241)</w:t>
            </w: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Such amounts represent revenue recognized on long-term contracts that have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dates. Revenue on these long-term contracts are accounted for on the percentage-of-completion (“POC”) basis. During the three and six months ended October 31, 2022, revenue recognized under POC contracts was approximately $8.7 million and $16.6 million, respectively. During the three and six months ended October 31, 2021, revenue recognized under POC contracts was approximately $12.2 million and $24.6 million, respectively. If contract losses are anticipated, a loss provision is recorded for the full amount of such losses when they are determinable. Contract losses of approximately $737,000 and $2.0 million were recorded for the three and six months ended October 31, 2022, respectively. Contract losses of approximately $31,000 and $47,000 were recorded for the three and six months ended October 31, 2021,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Revision of Previously Issued Financial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preparation of our condensed consolidated financial statements for the second quarter ended October 31, 2022, the Company identified an immaterial error in relation to previously reported amounts in the Form 10-K and in the Quarterly Report on Form 10-Q for the three months ended July 31, 2022, filed on September 14, 2022, with the Securities and Exchange Commission (the “Q1 2023 Form 10-Q”). As a result, the Company is revising its consolidated financial statements below for the periods impacted.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consolidated balance sheets and consolidated statements of cash flows, including the balances originally as filed, adjustments, and the revised balances for each revised period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April 30, 2022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July 31, 2022</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As Filed</w:t>
            </w: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Revised</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As Filed</w:t>
            </w: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60" w:type="dxa"/>
            <w:vAlign w:val="bottom"/>
          </w:tcPr>
          <w:p>
            <w:pPr>
              <w:spacing w:after="0"/>
              <w:rPr>
                <w:sz w:val="17"/>
                <w:szCs w:val="17"/>
                <w:color w:val="auto"/>
              </w:rPr>
            </w:pP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Revised</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As Filed</w:t>
            </w:r>
          </w:p>
        </w:tc>
        <w:tc>
          <w:tcPr>
            <w:tcW w:w="106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8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Revised</w:t>
            </w:r>
          </w:p>
        </w:tc>
        <w:tc>
          <w:tcPr>
            <w:tcW w:w="100" w:type="dxa"/>
            <w:vAlign w:val="bottom"/>
          </w:tcPr>
          <w:p>
            <w:pPr>
              <w:spacing w:after="0"/>
              <w:rPr>
                <w:sz w:val="17"/>
                <w:szCs w:val="17"/>
                <w:color w:val="auto"/>
              </w:rPr>
            </w:pPr>
          </w:p>
        </w:tc>
      </w:tr>
      <w:tr>
        <w:trPr>
          <w:trHeight w:val="194"/>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(1,120)</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8,857</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12,640</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1,820</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14,460</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11,750</w:t>
            </w: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(1,741)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10,009</w:t>
            </w:r>
          </w:p>
        </w:tc>
        <w:tc>
          <w:tcPr>
            <w:tcW w:w="100" w:type="dxa"/>
            <w:vAlign w:val="bottom"/>
            <w:shd w:val="clear" w:color="auto" w:fill="CCEEFF"/>
          </w:tcPr>
          <w:p>
            <w:pPr>
              <w:spacing w:after="0"/>
              <w:rPr>
                <w:sz w:val="17"/>
                <w:szCs w:val="17"/>
                <w:color w:val="auto"/>
              </w:rPr>
            </w:pPr>
          </w:p>
        </w:tc>
      </w:tr>
      <w:tr>
        <w:trPr>
          <w:trHeight w:val="203"/>
        </w:trPr>
        <w:tc>
          <w:tcPr>
            <w:tcW w:w="2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56,010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59,371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1,820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61,191</w:t>
            </w:r>
          </w:p>
        </w:tc>
        <w:tc>
          <w:tcPr>
            <w:tcW w:w="1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54,402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(1,741)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52,661</w:t>
            </w:r>
          </w:p>
        </w:tc>
        <w:tc>
          <w:tcPr>
            <w:tcW w:w="100" w:type="dxa"/>
            <w:vAlign w:val="bottom"/>
          </w:tcPr>
          <w:p>
            <w:pPr>
              <w:spacing w:after="0"/>
              <w:rPr>
                <w:sz w:val="17"/>
                <w:szCs w:val="17"/>
                <w:color w:val="auto"/>
              </w:rPr>
            </w:pPr>
          </w:p>
        </w:tc>
      </w:tr>
      <w:tr>
        <w:trPr>
          <w:trHeight w:val="203"/>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84,760</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96,708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1,820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98,528</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(1,741)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81,092</w:t>
            </w:r>
          </w:p>
        </w:tc>
        <w:tc>
          <w:tcPr>
            <w:tcW w:w="100" w:type="dxa"/>
            <w:vAlign w:val="bottom"/>
            <w:shd w:val="clear" w:color="auto" w:fill="CCEEFF"/>
          </w:tcPr>
          <w:p>
            <w:pPr>
              <w:spacing w:after="0"/>
              <w:rPr>
                <w:sz w:val="17"/>
                <w:szCs w:val="17"/>
                <w:color w:val="auto"/>
              </w:rPr>
            </w:pPr>
          </w:p>
        </w:tc>
      </w:tr>
      <w:tr>
        <w:trPr>
          <w:trHeight w:val="203"/>
        </w:trPr>
        <w:tc>
          <w:tcPr>
            <w:tcW w:w="2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1,820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12,512</w:t>
            </w:r>
          </w:p>
        </w:tc>
        <w:tc>
          <w:tcPr>
            <w:tcW w:w="1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(1,741)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11,096</w:t>
            </w:r>
          </w:p>
        </w:tc>
        <w:tc>
          <w:tcPr>
            <w:tcW w:w="100" w:type="dxa"/>
            <w:vAlign w:val="bottom"/>
          </w:tcPr>
          <w:p>
            <w:pPr>
              <w:spacing w:after="0"/>
              <w:rPr>
                <w:sz w:val="17"/>
                <w:szCs w:val="17"/>
                <w:color w:val="auto"/>
              </w:rPr>
            </w:pPr>
          </w:p>
        </w:tc>
      </w:tr>
      <w:tr>
        <w:trPr>
          <w:trHeight w:val="203"/>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21,861</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1,820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(1,741)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21,757</w:t>
            </w:r>
          </w:p>
        </w:tc>
        <w:tc>
          <w:tcPr>
            <w:tcW w:w="100" w:type="dxa"/>
            <w:vAlign w:val="bottom"/>
            <w:shd w:val="clear" w:color="auto" w:fill="CCEEFF"/>
          </w:tcPr>
          <w:p>
            <w:pPr>
              <w:spacing w:after="0"/>
              <w:rPr>
                <w:sz w:val="17"/>
                <w:szCs w:val="17"/>
                <w:color w:val="auto"/>
              </w:rPr>
            </w:pPr>
          </w:p>
        </w:tc>
      </w:tr>
      <w:tr>
        <w:trPr>
          <w:trHeight w:val="210"/>
        </w:trPr>
        <w:tc>
          <w:tcPr>
            <w:tcW w:w="2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38,072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1,820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43,119</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39,151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(1,741)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37,410</w:t>
            </w:r>
          </w:p>
        </w:tc>
        <w:tc>
          <w:tcPr>
            <w:tcW w:w="100" w:type="dxa"/>
            <w:vAlign w:val="bottom"/>
          </w:tcPr>
          <w:p>
            <w:pPr>
              <w:spacing w:after="0"/>
              <w:rPr>
                <w:sz w:val="18"/>
                <w:szCs w:val="18"/>
                <w:color w:val="auto"/>
              </w:rPr>
            </w:pPr>
          </w:p>
        </w:tc>
      </w:tr>
      <w:tr>
        <w:trPr>
          <w:trHeight w:val="395"/>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2"/>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Operating Assets</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&amp; Liabilities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Contract Assets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2,306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2,940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5,246</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(2,315)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(4,495)</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Contract Liabilities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1,526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(2,940)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(1,414)</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2,315</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9,500</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r>
      <w:tr>
        <w:trPr>
          <w:trHeight w:val="189"/>
        </w:trPr>
        <w:tc>
          <w:tcPr>
            <w:tcW w:w="2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provided by</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activities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4,036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12,157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12,157</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 effect on the Company's quarterly report for the period ended July 31, 2022 as the Statement of Cash Flows are condensed</w:t>
      </w:r>
    </w:p>
    <w:p>
      <w:pPr>
        <w:sectPr>
          <w:pgSz w:w="11900" w:h="16838" w:orient="portrait"/>
          <w:cols w:equalWidth="0" w:num="1">
            <w:col w:w="10960"/>
          </w:cols>
          <w:pgMar w:left="460" w:top="121" w:right="47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6960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the disclosures in Note 3 to the consolidated financial statements in the Form 10-K and Note C to the condensed consolidated financial statements in the Q1 2023 Form 10-Q, including the balances originally as filed, adjustments, and the revised balances for each revised period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2021</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Filed</w:t>
            </w:r>
          </w:p>
        </w:tc>
        <w:tc>
          <w:tcPr>
            <w:tcW w:w="100" w:type="dxa"/>
            <w:vAlign w:val="bottom"/>
          </w:tcPr>
          <w:p>
            <w:pPr>
              <w:spacing w:after="0"/>
              <w:rPr>
                <w:sz w:val="18"/>
                <w:szCs w:val="18"/>
                <w:color w:val="auto"/>
              </w:rPr>
            </w:pPr>
          </w:p>
        </w:tc>
        <w:tc>
          <w:tcPr>
            <w:tcW w:w="12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Revised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As Filed</w:t>
            </w:r>
          </w:p>
        </w:tc>
        <w:tc>
          <w:tcPr>
            <w:tcW w:w="11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8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Revised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As Filed</w:t>
            </w:r>
          </w:p>
        </w:tc>
        <w:tc>
          <w:tcPr>
            <w:tcW w:w="11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Revised</w:t>
            </w:r>
          </w:p>
        </w:tc>
        <w:tc>
          <w:tcPr>
            <w:tcW w:w="100" w:type="dxa"/>
            <w:vAlign w:val="bottom"/>
          </w:tcPr>
          <w:p>
            <w:pPr>
              <w:spacing w:after="0"/>
              <w:rPr>
                <w:sz w:val="18"/>
                <w:szCs w:val="18"/>
                <w:color w:val="auto"/>
              </w:rPr>
            </w:pPr>
          </w:p>
        </w:tc>
      </w:tr>
      <w:tr>
        <w:trPr>
          <w:trHeight w:val="20"/>
        </w:trPr>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100" w:type="dxa"/>
            <w:vAlign w:val="bottom"/>
            <w:shd w:val="clear" w:color="auto" w:fill="CCEEFF"/>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(10,692)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(11,096)</w:t>
            </w:r>
          </w:p>
        </w:tc>
      </w:tr>
      <w:tr>
        <w:trPr>
          <w:trHeight w:val="20"/>
        </w:trPr>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(liability) asset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(2,241)</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(1,087)</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(1,087)</w:t>
            </w:r>
          </w:p>
        </w:tc>
      </w:tr>
      <w:tr>
        <w:trPr>
          <w:trHeight w:val="20"/>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the segment information disclosures in Note 13 to the consolidated financial statements in the Form 10-K and Note G to the condensed consolidated financial statements in the Q1 2023 Form 10-Q, including the balances originally as filed, adjustments, and the revised balances for each revised period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April 30, 2021</w:t>
            </w: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Filed</w:t>
            </w:r>
          </w:p>
        </w:tc>
        <w:tc>
          <w:tcPr>
            <w:tcW w:w="128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Revised</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Filed</w:t>
            </w:r>
          </w:p>
        </w:tc>
        <w:tc>
          <w:tcPr>
            <w:tcW w:w="12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Revised</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Filed</w:t>
            </w: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Revised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42,008</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40,888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45,552</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47,372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42,433</w:t>
            </w: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Consolidated identifiable</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85,880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84,760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96,708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98,528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82,833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–STOCK TRANSACTIONS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six-month periods ended October 31, 2022, the Company made contributions of 18,632 and 35,340 shares, respectively, of its common stock to the Company’s profit-sharing plan and trust under Section 401(k) of the Internal Revenue Code. Such contributions are in accordance with the Company’s discretionary match of employee voluntary contributions to this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INVENTORIES, NET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Inventories, which are reported at the lower of cost and net realizable value, consisted of the following:</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October 31, 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8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68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color w:val="auto"/>
                <w:w w:val="74"/>
              </w:rPr>
              <w:t>thousands)</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Inventory reserves included in inventory were $7.8 million and $7.5 million as of October 31, 2022 and April 30, 2022, respectively. Reserve amounts relate to raw materials and component parts and work in progress.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RIGHT-OF-USE ASSETS AND LEASE LIABILITIES</w:t>
      </w:r>
    </w:p>
    <w:p>
      <w:pPr>
        <w:spacing w:after="0" w:line="225"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Company’s leases primarily represent offices, warehouses, vehicles, and manufacturing and Research and Development (“R&amp;D”) facilities which expire at various times through 2029 and are operating leases. Contractual arrangements are evaluated at inception to determine if the agreement contains a lease. Certain lease agreements contain renewal options, rent abatement, and escalation clauses that are factored into our determination of lease payments when appropriate. Right-of-use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elected the practical expedient for short-term leases which allows leases with terms of 12 months or less to be recorded on a straight-line basis over the lease term without being recognized on the consolidated balance sheet.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presents ROU assets and liabilities recorded on the respective consolidated balance sheets as follows:</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October 31, 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60" w:type="dxa"/>
            <w:vAlign w:val="bottom"/>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94"/>
        </w:trPr>
        <w:tc>
          <w:tcPr>
            <w:tcW w:w="3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Right-of-Use assets leases</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Lease liability, current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3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Total operating lease expense was $481,000 and $962,000 for the three and six months ended October 31, 2022, respectively, the majority of which is included in cost of revenues and the remaining amount in selling and administrative expenses on the unaudited condensed consolidated statements of operations. Total operating lease expense was $500,000 and $1.0 million for the three and six months ended October 31, 2021, respectively, the majority of which is included in cost of revenues and the remaining amount in selling and administrative expenses in the condensed consolidated statements of operations.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four fiscal years and total of the remaining fiscal years to the operating lease liabilities recorded on the unaudited condensed consolidated balance sheet as of October 31, 2022:</w:t>
      </w:r>
    </w:p>
    <w:p>
      <w:pPr>
        <w:spacing w:after="0" w:line="158"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Fiscal Year Ending April 30,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0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in thousands</w:t>
            </w:r>
            <w:r>
              <w:rPr>
                <w:rFonts w:ascii="Times New Roman" w:cs="Times New Roman" w:eastAsia="Times New Roman" w:hAnsi="Times New Roman"/>
                <w:sz w:val="18"/>
                <w:szCs w:val="18"/>
                <w:b w:val="1"/>
                <w:bCs w:val="1"/>
                <w:color w:val="auto"/>
                <w:w w:val="99"/>
              </w:rPr>
              <w:t>)</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2023</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October 31, 2022, the weighted-average remaining lease term for all operating leases was 5.97 years. The Company does not generally have access to the rate implicit in the leases and therefore utilized the Company’s borrowing rate as the discount rate. The Company selected a rate that is reflective of companies with similar credit ratings for secured debt. The weighted average discount rate for operating leases as of October 31, 2022 was 6.19%.</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SEGMENT INFORMATION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1140" w:hanging="692"/>
        <w:spacing w:after="0" w:line="257"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 w:lineRule="exact"/>
        <w:rPr>
          <w:rFonts w:ascii="Times New Roman" w:cs="Times New Roman" w:eastAsia="Times New Roman" w:hAnsi="Times New Roman"/>
          <w:sz w:val="18"/>
          <w:szCs w:val="18"/>
          <w:color w:val="auto"/>
        </w:rPr>
      </w:pPr>
    </w:p>
    <w:p>
      <w:pPr>
        <w:ind w:left="1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FEI-NY segment also includes the operations of the Company’s wholly owned subsidiary, FEI-Elcom. FEI-Elcom, in addition to its own product line, provides design and technical support for the FEI-NY segment’s communication satellite business.</w:t>
      </w:r>
    </w:p>
    <w:p>
      <w:pPr>
        <w:spacing w:after="0" w:line="181" w:lineRule="exact"/>
        <w:rPr>
          <w:rFonts w:ascii="Times New Roman" w:cs="Times New Roman" w:eastAsia="Times New Roman" w:hAnsi="Times New Roman"/>
          <w:sz w:val="18"/>
          <w:szCs w:val="18"/>
          <w:color w:val="auto"/>
        </w:rPr>
      </w:pPr>
    </w:p>
    <w:p>
      <w:pPr>
        <w:jc w:val="both"/>
        <w:ind w:left="1140" w:hanging="692"/>
        <w:spacing w:after="0" w:line="261"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accounting policies of the two segments are the same as those described in the “Summary of Accounting Policies” in the fiscal year-end financial statements included in the Form 10-K.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present information about reported segments with reconciliation of segment amounts to consolidated amounts as reported in the consolidated statements of operations or the consolidated balance sheets for each of the periods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60" w:type="dxa"/>
            <w:vAlign w:val="bottom"/>
            <w:gridSpan w:val="7"/>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6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5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w:t>
            </w:r>
          </w:p>
        </w:tc>
        <w:tc>
          <w:tcPr>
            <w:tcW w:w="580" w:type="dxa"/>
            <w:vAlign w:val="bottom"/>
            <w:tcBorders>
              <w:lef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6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15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50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580" w:type="dxa"/>
            <w:vAlign w:val="bottom"/>
            <w:tcBorders>
              <w:lef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profit</w:t>
            </w:r>
          </w:p>
        </w:tc>
        <w:tc>
          <w:tcPr>
            <w:tcW w:w="6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operating income (loss)</w:t>
            </w:r>
          </w:p>
        </w:tc>
        <w:tc>
          <w:tcPr>
            <w:tcW w:w="150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right w:val="single" w:sz="8" w:color="CCEEFF"/>
            </w:tcBorders>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580" w:type="dxa"/>
            <w:vAlign w:val="bottom"/>
            <w:tcBorders>
              <w:lef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October 31, 2022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4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color w:val="auto"/>
              </w:rPr>
              <w:t>Identifiable assets:</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(Revised - See Note C)</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9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6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40,888</w:t>
            </w:r>
          </w:p>
        </w:tc>
        <w:tc>
          <w:tcPr>
            <w:tcW w:w="8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10,522</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balances</w:t>
            </w:r>
          </w:p>
        </w:tc>
        <w:tc>
          <w:tcPr>
            <w:tcW w:w="6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1100" w:type="dxa"/>
            <w:vAlign w:val="bottom"/>
            <w:shd w:val="clear" w:color="auto" w:fill="CCEEFF"/>
          </w:tcPr>
          <w:p>
            <w:pPr>
              <w:spacing w:after="0"/>
              <w:rPr>
                <w:sz w:val="18"/>
                <w:szCs w:val="18"/>
                <w:color w:val="auto"/>
              </w:rPr>
            </w:pPr>
          </w:p>
        </w:tc>
        <w:tc>
          <w:tcPr>
            <w:tcW w:w="6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31,762</w:t>
            </w:r>
          </w:p>
        </w:tc>
        <w:tc>
          <w:tcPr>
            <w:tcW w:w="1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33,476</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identifiable assets</w:t>
            </w:r>
          </w:p>
        </w:tc>
        <w:tc>
          <w:tcPr>
            <w:tcW w:w="60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83,076</w:t>
            </w:r>
          </w:p>
        </w:tc>
        <w:tc>
          <w:tcPr>
            <w:tcW w:w="160" w:type="dxa"/>
            <w:vAlign w:val="bottom"/>
            <w:tcBorders>
              <w:right w:val="single" w:sz="8" w:color="CCEEFF"/>
            </w:tcBorders>
            <w:shd w:val="clear" w:color="auto" w:fill="CCEEFF"/>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84,760</w:t>
            </w:r>
          </w:p>
        </w:tc>
        <w:tc>
          <w:tcPr>
            <w:tcW w:w="8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Total revenue recognized over time as POC and Passage of Title (“POT”) were approximately $8.7 million and $0.3 million, respectively, of the $9.0 million reported for the three months ended October 31, 2022. Total revenue recognized over time as POC and POT were approximately $16.6 million and $0.5 million, respectively, of the $17.2 million reported for the six months ended October 31, 2022. Total revenue recognized over time as POC and POT were approximately $12.2 million and $0.7 million, respectively, of the $12.9 million reported for the three months ended October 31, 2021. Total revenue recognized over time as POC and POT were approximately $24.6 million and $1.3 million, respectively, of the $25.9 million reported for the six months ended October 31, 2021. The amounts by segment and product line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2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POC</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POT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POC</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POT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r>
      <w:tr>
        <w:trPr>
          <w:trHeight w:val="209"/>
        </w:trPr>
        <w:tc>
          <w:tcPr>
            <w:tcW w:w="260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FEI-NY</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100" w:type="dxa"/>
            <w:vAlign w:val="bottom"/>
            <w:shd w:val="clear" w:color="auto" w:fill="CCEEFF"/>
          </w:tcPr>
          <w:p>
            <w:pPr>
              <w:spacing w:after="0"/>
              <w:rPr>
                <w:sz w:val="18"/>
                <w:szCs w:val="18"/>
                <w:color w:val="auto"/>
              </w:rPr>
            </w:pPr>
          </w:p>
        </w:tc>
      </w:tr>
      <w:tr>
        <w:trPr>
          <w:trHeight w:val="216"/>
        </w:trPr>
        <w:tc>
          <w:tcPr>
            <w:tcW w:w="26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FEI-Zyfer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tcPr>
          <w:p>
            <w:pPr>
              <w:spacing w:after="0"/>
              <w:rPr>
                <w:sz w:val="18"/>
                <w:szCs w:val="18"/>
                <w:color w:val="auto"/>
              </w:rPr>
            </w:pPr>
          </w:p>
        </w:tc>
      </w:tr>
      <w:tr>
        <w:trPr>
          <w:trHeight w:val="216"/>
        </w:trPr>
        <w:tc>
          <w:tcPr>
            <w:tcW w:w="2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Intersegment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26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6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100" w:type="dxa"/>
            <w:vAlign w:val="bottom"/>
          </w:tcPr>
          <w:p>
            <w:pPr>
              <w:spacing w:after="0"/>
              <w:rPr>
                <w:sz w:val="18"/>
                <w:szCs w:val="18"/>
                <w:color w:val="auto"/>
              </w:rPr>
            </w:pPr>
          </w:p>
        </w:tc>
      </w:tr>
      <w:tr>
        <w:trPr>
          <w:trHeight w:val="20"/>
        </w:trPr>
        <w:tc>
          <w:tcPr>
            <w:tcW w:w="2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2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6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21" w:right="4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5180" w:type="dxa"/>
            <w:vAlign w:val="bottom"/>
            <w:gridSpan w:val="14"/>
          </w:tcPr>
          <w:p>
            <w:pPr>
              <w:ind w:left="12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20" w:type="dxa"/>
            <w:vAlign w:val="bottom"/>
            <w:gridSpan w:val="10"/>
          </w:tcPr>
          <w:p>
            <w:pPr>
              <w:jc w:val="right"/>
              <w:ind w:right="11"/>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Six Months Ended October 31,</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5"/>
          </w:tcPr>
          <w:p>
            <w:pPr>
              <w:jc w:val="center"/>
              <w:ind w:right="22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POC</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POT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POC</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20" w:type="dxa"/>
            <w:vAlign w:val="bottom"/>
          </w:tcPr>
          <w:p>
            <w:pPr>
              <w:spacing w:after="0"/>
              <w:rPr>
                <w:sz w:val="20"/>
                <w:szCs w:val="20"/>
                <w:color w:val="auto"/>
              </w:rPr>
            </w:pPr>
          </w:p>
        </w:tc>
        <w:tc>
          <w:tcPr>
            <w:tcW w:w="10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FEI-NY</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w:t>
            </w:r>
          </w:p>
        </w:tc>
        <w:tc>
          <w:tcPr>
            <w:tcW w:w="2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19,529</w:t>
            </w:r>
          </w:p>
        </w:tc>
        <w:tc>
          <w:tcPr>
            <w:tcW w:w="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FEI-Zyfer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Intersegment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(673)</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220" w:type="dxa"/>
            <w:vAlign w:val="bottom"/>
          </w:tcPr>
          <w:p>
            <w:pPr>
              <w:spacing w:after="0"/>
              <w:rPr>
                <w:sz w:val="18"/>
                <w:szCs w:val="18"/>
                <w:color w:val="auto"/>
              </w:rPr>
            </w:pPr>
          </w:p>
        </w:tc>
        <w:tc>
          <w:tcPr>
            <w:tcW w:w="440" w:type="dxa"/>
            <w:vAlign w:val="bottom"/>
          </w:tcPr>
          <w:p>
            <w:pPr>
              <w:jc w:val="right"/>
              <w:ind w:right="27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24,629</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6"/>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 by Product Line: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Revenue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96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Non-Space Revenue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 &amp; Industrial Revenue</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698</w:t>
            </w: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right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9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4"/>
              </w:rPr>
              <w:t>12,936</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INVESTMENT IN MORION, INC.</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an investment in Morion, Inc. (“Morion”), a privately held Russian company, which manufactures high precision quartz resonators and crystal oscillators. The Company has also licensed certain technology to Morion. During the three and six months ended October 31, 2022, the Company acquired product from Morion in the aggregate amount of approximately $31,000 for both periods. During the three and six months ended October 31, 2021, the Company acquired product from Morion in the aggregate amount of approximately $34,000 and $120,000, respectively. During the six months ended October 31, 2021, the Company received dividends from Morion in the amount of approximately $123,000, which is included in other income, net in the consolidated statements of operations as part of the FEI-NY segment.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investment consists of 4.6% of Morion’s outstanding shares, accordingly, the Company accounts for its investment in Morion on the cost basis. Morion is a less than wholly 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the current Russia-Ukraine conflict and resulting sanctions, the future status of the Company’s equity investment in Morion is uncertain. In response to these conditions, in connection with the preparation of the audited financial statements included in the Form 10-K, the Company impaired its investment in Morion in full. The impairment of $796,000 is included in other income (expense), net, in the Consolidated Statements of Operations for the fiscal year ended April 30, 2022. The likelihood of future sales to, purchases, and dividend payments from Morion is questionable.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FAIR VALUE OF FINANCIAL INSTRUMENTS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cost, gross unrealized gains, gross unrealized losses, and fair market value of available-for-sale securities at October 31, 2022 and April 30, 2022, respectively, were as follows (in thousands):</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October 31, 2022</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2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lef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Fair Market</w:t>
            </w:r>
          </w:p>
        </w:tc>
      </w:tr>
      <w:tr>
        <w:trPr>
          <w:trHeight w:val="238"/>
        </w:trPr>
        <w:tc>
          <w:tcPr>
            <w:tcW w:w="2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0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0"/>
                <w:szCs w:val="20"/>
                <w:color w:val="auto"/>
              </w:rPr>
            </w:pPr>
          </w:p>
        </w:tc>
      </w:tr>
      <w:tr>
        <w:trPr>
          <w:trHeight w:val="230"/>
        </w:trPr>
        <w:tc>
          <w:tcPr>
            <w:tcW w:w="2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8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20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80" w:type="dxa"/>
            <w:vAlign w:val="bottom"/>
            <w:shd w:val="clear" w:color="auto" w:fill="CCEEFF"/>
          </w:tcPr>
          <w:p>
            <w:pPr>
              <w:spacing w:after="0"/>
              <w:rPr>
                <w:sz w:val="19"/>
                <w:szCs w:val="19"/>
                <w:color w:val="auto"/>
              </w:rPr>
            </w:pPr>
          </w:p>
        </w:tc>
      </w:tr>
      <w:tr>
        <w:trPr>
          <w:trHeight w:val="20"/>
        </w:trPr>
        <w:tc>
          <w:tcPr>
            <w:tcW w:w="25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2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lef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Fair Market</w:t>
            </w:r>
          </w:p>
        </w:tc>
      </w:tr>
      <w:tr>
        <w:trPr>
          <w:trHeight w:val="238"/>
        </w:trPr>
        <w:tc>
          <w:tcPr>
            <w:tcW w:w="2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0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0"/>
                <w:szCs w:val="20"/>
                <w:color w:val="auto"/>
              </w:rPr>
            </w:pPr>
          </w:p>
        </w:tc>
      </w:tr>
      <w:tr>
        <w:trPr>
          <w:trHeight w:val="230"/>
        </w:trPr>
        <w:tc>
          <w:tcPr>
            <w:tcW w:w="2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10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120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80" w:type="dxa"/>
            <w:vAlign w:val="bottom"/>
            <w:shd w:val="clear" w:color="auto" w:fill="CCEEFF"/>
          </w:tcPr>
          <w:p>
            <w:pPr>
              <w:spacing w:after="0"/>
              <w:rPr>
                <w:sz w:val="19"/>
                <w:szCs w:val="19"/>
                <w:color w:val="auto"/>
              </w:rPr>
            </w:pPr>
          </w:p>
        </w:tc>
      </w:tr>
      <w:tr>
        <w:trPr>
          <w:trHeight w:val="20"/>
        </w:trPr>
        <w:tc>
          <w:tcPr>
            <w:tcW w:w="25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October 31, 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413"/>
        </w:trPr>
        <w:tc>
          <w:tcPr>
            <w:tcW w:w="3080" w:type="dxa"/>
            <w:vAlign w:val="bottom"/>
            <w:tcBorders>
              <w:top w:val="single" w:sz="8" w:color="CCEEFF"/>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April 30, 2022</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October 31, 2022 were other-than-temporary due to market volatility of the security’s fair value, analysts’ expectations and the Company’s ability to hold the securities for a period of time sufficient to allow for any anticipated recoveries in market value.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October 31, 2022, the Company sold or redeemed available-for-sale securities of approximately $110,000 and $1.1 million, respectively, realizing losses of approximately $1,000 and $20,000, respectively, during the same periods ended October 31, 2022.</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Maturities of fixed income securities classified as available-for-sale at October 31, 2022 were as follows, at cost (in thousands):</w:t>
      </w:r>
    </w:p>
    <w:p>
      <w:pPr>
        <w:spacing w:after="0" w:line="243"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tcPr>
          <w:p>
            <w:pPr>
              <w:spacing w:after="0"/>
              <w:rPr>
                <w:sz w:val="18"/>
                <w:szCs w:val="18"/>
                <w:color w:val="auto"/>
              </w:rPr>
            </w:pPr>
          </w:p>
        </w:tc>
      </w:tr>
      <w:tr>
        <w:trPr>
          <w:trHeight w:val="216"/>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180" w:type="dxa"/>
            <w:vAlign w:val="bottom"/>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0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levels of the fair value hierarchy are described below:</w:t>
      </w:r>
    </w:p>
    <w:p>
      <w:pPr>
        <w:spacing w:after="0" w:line="225" w:lineRule="exact"/>
        <w:rPr>
          <w:sz w:val="20"/>
          <w:szCs w:val="20"/>
          <w:color w:val="auto"/>
        </w:rPr>
      </w:pPr>
    </w:p>
    <w:p>
      <w:pPr>
        <w:ind w:left="1320" w:right="20" w:hanging="769"/>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Level 1</w:t>
        <w:tab/>
        <w:t>Inputs to the valuation methodology are unadjusted quoted prices for identical assets or liabilities in active markets that the Company has the ability to access.</w:t>
      </w:r>
    </w:p>
    <w:p>
      <w:pPr>
        <w:spacing w:after="0" w:line="162" w:lineRule="exact"/>
        <w:rPr>
          <w:sz w:val="20"/>
          <w:szCs w:val="20"/>
          <w:color w:val="auto"/>
        </w:rPr>
      </w:pPr>
    </w:p>
    <w:p>
      <w:pPr>
        <w:ind w:left="560"/>
        <w:spacing w:after="0"/>
        <w:tabs>
          <w:tab w:leader="none" w:pos="1300" w:val="left"/>
        </w:tabs>
        <w:rPr>
          <w:sz w:val="20"/>
          <w:szCs w:val="20"/>
          <w:color w:val="auto"/>
        </w:rPr>
      </w:pPr>
      <w:r>
        <w:rPr>
          <w:rFonts w:ascii="Times New Roman" w:cs="Times New Roman" w:eastAsia="Times New Roman" w:hAnsi="Times New Roman"/>
          <w:sz w:val="18"/>
          <w:szCs w:val="18"/>
          <w:color w:val="auto"/>
        </w:rPr>
        <w:t>Level 2</w:t>
        <w:tab/>
        <w:t>Inputs to the valuation methodology include:</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07" w:lineRule="exact"/>
        <w:rPr>
          <w:sz w:val="20"/>
          <w:szCs w:val="20"/>
          <w:color w:val="auto"/>
        </w:rPr>
      </w:pPr>
    </w:p>
    <w:p>
      <w:pPr>
        <w:ind w:left="560"/>
        <w:spacing w:after="0"/>
        <w:tabs>
          <w:tab w:leader="none" w:pos="1300" w:val="left"/>
        </w:tabs>
        <w:rPr>
          <w:sz w:val="20"/>
          <w:szCs w:val="20"/>
          <w:color w:val="auto"/>
        </w:rPr>
      </w:pPr>
      <w:r>
        <w:rPr>
          <w:rFonts w:ascii="Times New Roman" w:cs="Times New Roman" w:eastAsia="Times New Roman" w:hAnsi="Times New Roman"/>
          <w:sz w:val="18"/>
          <w:szCs w:val="18"/>
          <w:color w:val="auto"/>
        </w:rPr>
        <w:t>Level 3</w:t>
        <w:tab/>
        <w:t>Inputs to the valuation methodology are unobservable and significant to the fair value measurement.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 Company’s money market, business account, and U.S. securities are valued on a Level 1 basis. The Company’s fixed income corporate debt securities and certificates of deposit are valued on a Level 2 basis. Level 2 securities are valued at the closing prices and are consistent with quoted prices of similar assets reported in active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RECENT ACCOUNTING PRONOUNCEMENTS</w:t>
      </w:r>
    </w:p>
    <w:p>
      <w:pPr>
        <w:spacing w:after="0" w:line="223"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17"/>
          <w:szCs w:val="17"/>
          <w:color w:val="auto"/>
        </w:rPr>
        <w:t xml:space="preserve">In January 2017, the Financial Accounting Standards Board (“FASB”) issued ASU No. 2017-04, </w:t>
      </w:r>
      <w:r>
        <w:rPr>
          <w:rFonts w:ascii="Times New Roman" w:cs="Times New Roman" w:eastAsia="Times New Roman" w:hAnsi="Times New Roman"/>
          <w:sz w:val="17"/>
          <w:szCs w:val="17"/>
          <w:i w:val="1"/>
          <w:iCs w:val="1"/>
          <w:color w:val="auto"/>
        </w:rPr>
        <w:t>Intangibles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Goodwill and Other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350): Simplifying the Test for Goodwill Impairment </w:t>
      </w:r>
      <w:r>
        <w:rPr>
          <w:rFonts w:ascii="Times New Roman" w:cs="Times New Roman" w:eastAsia="Times New Roman" w:hAnsi="Times New Roman"/>
          <w:sz w:val="17"/>
          <w:szCs w:val="17"/>
          <w:color w:val="auto"/>
        </w:rPr>
        <w:t>(“ASU 2017-04”), which simplifies how an entity is required to test goodwill for impairment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2022, with early adoption permitted. The Company will not be adopting ASU 2017-04 early, and is in the process of determining the effect that ASU 2017-04 may have. However, the Company expects the new standard to have an immaterial effect on its consolidated financial statements when adopted in fiscal year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CREDIT FACILITY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October 31, 2022, the Company had available credit with UBS Bank USA at variable terms based on its securities holdings under an advisory arrangement, under which no borrowings have been made.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VALUATION ALLOWANCE ON DEFERRED TAX ASSETS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6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As required by the authoritative guidance on accounting for income taxes, we evaluate the realization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As of October 31, 2022, and April 30, 2022, the Company maintained a full valuation allowance against its deferred tax assets. If these estimates and assumptions change in the future, the Company may be required to adjust its existing valuation allowance resulting in changes to deferred income tax expense.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COMMITMENTS AND CONTINGENCIES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25, 2021, to resolve previously disclosed disputes with Martin B. Bloch, the former Chief Scientist of the Company and a former member of the Company’s Board of Directors, the Company entered into the Agreement on Material Terms of Settlement (the “Settlement Terms”), dated August 25, 2021, between and among the Company, Jonathan Brolin, Lance W. Lord, Russell M. Sarachek, Richard Schwartz, and Stanton D. Sloane, each in their capacity as members of the Company’s Board of Directors (the “Director Defendants”), and the Compensation Committee of the Company’s Board of Directors, in its capacity as administrator under the deferred compensation agreements, and Mr. Bloch and certain members of Mr. Bloch’s family. Under the Settlement Terms, in full and complete settlement of all claims asserted and all sums sought by Mr. Bloch in the litigation and arbitration proceedings, the Company agreed to pay Mr. Bloch $6 million on or before September 24, 2021.</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Consistent with the Settlement Terms, on September 21, 2021, the Company, the Director of Defendants, the Company’s Compensation Committee and Mr. Bloch and certain members of Mr. Bloch’s family entered into a formal written settlement agreement, providing for the Company’s payment of $6 million in full and complete settlement of all claims asserted and all sums sought by Mr. Bloch in the litigation and arbitration proceedings. This settlement agreement concluded all previously disclosed disputes between Mr. Bloch and the Company, the Director Defendants and the Company’s Compensation Committee. Prior to the termination of Mr. Bloch’s employment and commencement of the litigation and arbitration proceedings, the Company had been regularly accruing amounts pertaining to Mr. Bloch’s post-employment deferred compensation retirement benefits. As of July 31, 2021, the Company had accrued $6 million for deferred compensation and contingent liability in connection with the settlement with Mr. Bloch. The settlement resulted in a net expense of $650,000 to the Company and eliminated further legal expenses with respect to the dispute between Mr. Bloch and the Company. This net expense for financial statement purposes was recognized in selling and administrative expenses on the condensed consolidated statements of operations during the three months ended July 31, 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 – SUBSEQUENT EVENT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December 20, 2022, the Company’s Board of Directors declared a special cash dividend of $1.00 per share of common stock. The dividend is payable on January 27, 2023, to stockholders of record as of the close of business on January 6, 2023. Based on the current number of shares of common stock outstanding, the total amount of the special dividend payment will be approximately $9.3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Statement under the Private Securities Litigation Reform Act of 1995</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health epidemics and pandemics, including the COVID-19 pandemic and similar outbreaks, such as their impact on our financial condition and results of operations and on our ability to continue manufacturing and distributing our products, and the impact of health epidemics and pandemics on general economic conditions, including any resulting recession, our inability to integrate operations and personnel, actions by significant customers or competitors, general domestic and international economic conditions,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10-Q and in Part I, Item 1A (Risk Factors) of the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10-Q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1 to the consolidated financial statements included in the Form 10-K. The Company believes its most critical accounting policies to be the recognition of revenue and costs on production contracts, income taxes, and the valuation of inventory. Each of these areas requires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three and six months ended October 31, 2022.</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government.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smaller contracts or orders,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 The Company’s products generally carry a one-year warranty, but may vary based on the contract terms.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 The Company evaluates the amount of development risk associated with new contracts which entail the development of new or significantly modified products and incorporates additional costs to cover these risks. These are estimates based on the Company’s best judgement, but because this entails estimations based on products not heretofore developed, there is risk that the estimates may ultimately prove to be incorrect and that costs are impacted.</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Contract costs include all direct material, direct labor, manufacturing overhead and other direct costs related to contract performance. Selling, general and administrative costs are charged to expense as incurred.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expectations for future business. Any changes arising from revised expectations are reflected in cost of revenues in the period the revision is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Update, and Other Macroeconomic Factors</w:t>
      </w:r>
    </w:p>
    <w:p>
      <w:pPr>
        <w:spacing w:after="0" w:line="229"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The full impact of the COVID-19 pandemic continues to evolve as of the date of this report. As such, it is uncertain as to the full magnitude that the pandemic may ultimately have on the Company’s financial condition, liquidity, and future financial results. For the three and six months ended October 31, 2022, the Company had been impacted by employee absenteeism related to direct or indirect effects of the COVID-19 pandemic, delays in the receipt of anticipated new contracts from customers administratively affected by the pandemic, and limited availability or delivery delays of parts and materials from vendors affected by the pandemic. FEI-Zyfer’s operations were particularly affected, as evidenced by decreases in sales and gross margin during fiscal year 2022, which continued during the three and six months ended October 31, 2022. Management is actively monitoring the impact of the global situation on its financial condition, liquidity, operations, suppliers, industry, and workforce. Given the continuing changing dynamics of the COVID-19 pandemic the Company is not able to estimate the potential adverse effects on its operations, financial condition, or liquidity for the remainder of fiscal year 2023. The Company has returned to essentially normal operations at its various locations. At its locations, Frequency continues to follow federal and state guidelines with an emphasis on employee safety.</w:t>
      </w:r>
    </w:p>
    <w:p>
      <w:pPr>
        <w:spacing w:after="0" w:line="194"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faces various future COVID-19 related risks. The Company is dependent on its workforce to design and manufacture its products. If significant portions of the Company’s workforce are unable to work effectively, or if the U.S. Government, state and/or other customers or supplier operations are curtailed due to illness, quarantines, government actions, facility closures, or other restrictions, the Company’s operations may be negatively impacted. If faced with any of these factors, the Company may be unable to perform fully on its contracts and costs may increase. These cost increases may not be fully recoverable or adequately covered by insurance. For example, in the latter part of fiscal year 2021, the Company experienced some operational disruptions due to the need to vacate certain areas of the facilities for cleaning and disinfecting resulting from employees being potentially exposed to COVID-19 or following positive COVID-19 test results. Also, certain Company vendors have been unable to deliver materials on time due to COVID-19 related impacts to their workforces or their supply chains. These delays impacted the Company’s production costs and schedules. Vendor delivery performance is being closely monitored and alternate sources of supply are generally available and, in some cases, are being established.</w:t>
      </w:r>
    </w:p>
    <w:p>
      <w:pPr>
        <w:spacing w:after="0" w:line="19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impacts of the COVID-19 pandemic, the Company’s financial condition, liquidity, and future financial results may also be affected by other macroeconomic factors. For example, due to continuing geopolitical circumstances resulting in increased inflation, energy and commodity prices may continue escalating which may adversely affect the Company’s financial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three and six months ended October 31, 2022 and 2021, respectively, the percentage of consolidated revenues represented by certain items in the Company’s condensed consolidated statements of operations or notes to the condensed consolidated financial statements: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80.2%</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left w:val="single" w:sz="8" w:color="CCEEFF"/>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left w:val="single" w:sz="8" w:color="CCEEFF"/>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9"/>
          </w:tcPr>
          <w:p>
            <w:pPr>
              <w:jc w:val="right"/>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Periods ended October 31,</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20,543</w:t>
            </w:r>
          </w:p>
        </w:tc>
        <w:tc>
          <w:tcPr>
            <w:tcW w:w="46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(6,009)</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8"/>
              </w:rPr>
              <w:t>(2,491)</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(3,987)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8"/>
              </w:rPr>
              <w:t>(8,737)</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October 31, 2022 revenues from commercial and U.S. Government communication satellite programs accounted for approximately 48% of consolidated revenues compared to approximately 51% of consolidated revenues during this same period in the prior fiscal year. Revenues are recognized primarily under the POC method. Revenues from the satellite market are recorded in the FEI-NY segment. Revenues from non-space U.S. Government/Department of Defense (“DOD”) customers, which are recorded in both the FEI-NY and FEI-Zyfer segments, accounted for approximately 44% of consolidated revenues for the three months ended October, 31, 2022 compared to approximately 39% of consolidated revenue during the same period in the prior fiscal year. Other commercial and industrial revenues for the three months ended October 31, 2022 accounted for approximately 8% of consolidated revenue compared to 10% in the same period of the prior fiscal year. The decrease in revenue for this quarter was due to delays in contract awards, delays in meeting program milestones, and minor technical challenges that have been, or will be, resolved reasonably quickly. It is believed that these issues are only temporary timing issues and we expect revenue to increase in the future.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For the six months ended October 31, 2022 revenues from commercial and U.S. Government communication satellite programs accounted for approximately 46% of consolidated revenues compared to approximately 52% of consolidated revenues during this same period in the prior fiscal year. Revenues from non-space U.S. Government/DOD customers accounted for approximately 47% of consolidated revenues for the six months ended October, 31, 2022 compared to approximately 41% of consolidated revenue during the same period in the prior fiscal year. Other commercial and industrial revenues for the six months ended October 31, 2022 and 2021 accounted for approximately 8% of consolidated revenue. The decrease in revenue for the six months ended October 31, 2022 was due to delays in contract awards, delays in meeting program milestones, minor technical challenges that have been, or will be, resolved reasonably quickly, and funding limitations. It is believed that these issues are only temporary timing issues and we expect revenue to increase in the future.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3"/>
        </w:trPr>
        <w:tc>
          <w:tcPr>
            <w:tcW w:w="106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87"/>
        </w:trPr>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6"/>
          </w:tcPr>
          <w:p>
            <w:pPr>
              <w:jc w:val="right"/>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95"/>
              </w:rPr>
              <w:t>(3,741)</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(91.4)%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(7,807)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34"/>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GM Rate</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For the three-month and six-month periods ended October 31, 2022, gross margin and GM Rate decreased compared to the same respective periods in the prior fiscal year. The decrease in gross margin and GM Rate was due to increased engineering costs on development phase programs that experienced particularly complex technical challenges that have since been resolved, minor technical challenges that have been, or will be, resolved reasonably quickly, and the negative cost impacts on some programs due to supply chain delays. Gross margin was also affected by under absorption of costs due to the decrease in sales during the three-month and six-month periods ended October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and Administrative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187"/>
        </w:trPr>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40" w:type="dxa"/>
            <w:vAlign w:val="bottom"/>
            <w:gridSpan w:val="4"/>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8"/>
        </w:trPr>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2,411</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(377)</w:t>
            </w: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(2,779)</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October 31, 2022 and 2021, selling, and administrative (“SG&amp;A”) expenses were approximately 23% and 19%, respectively, of consolidated revenues. The decrease in SG&amp;A expenses for the three months ended October 31, 2022 as compared to the prior year period was largely due to a decrease in professional fees and deferred compensation, partially offset by a one-time expense related to severance packages relating to the previously announced labor reduction.</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October 31, 2022 and 2021, SG&amp;A expenses were approximately 23% and 26%, respectively, of consolidated revenues. The decrease in SG&amp;A expenses for the six months ended October 31, 2022 as compared to the prior year period was largely due to decrease in professional fees, as well as a one-time reduction to stock option expense related to forfeitures and deferred compensation expense. The Company continues to monitor expenses looking for additional cost-effective reductions going forward.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187"/>
        </w:trPr>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40" w:type="dxa"/>
            <w:vAlign w:val="bottom"/>
            <w:gridSpan w:val="4"/>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8"/>
        </w:trPr>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09"/>
        </w:trPr>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1,377</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(778)</w:t>
            </w: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(56.5)%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(1,023)</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r>
      <w:tr>
        <w:trPr>
          <w:trHeight w:val="432"/>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01"/>
        </w:trPr>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21"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R&amp;D expenditures represent investments intended to keep the Company’s products at the leading edge of time and frequency technology and enhance future competitiveness. The R&amp;D rate for the three-month period ended October 31, 2022 was 7% of sales compared to 11% of sales for the same period of the prior fiscal year. The R&amp;D rate for the six-month period ended October 31, 2022 was 10% of sales compared to 11% of sales for the same period of the prior fiscal year. R&amp;D decreases for both periods of fiscal year 2023 were primarily due to the resolution in fiscal 2022 of technical challenges of projects now in the production phase. The Company plans to continue to invest in R&amp;D in the future to keep its products at the state of the art.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(Loss)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3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87"/>
        </w:trPr>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20" w:type="dxa"/>
            <w:vAlign w:val="bottom"/>
            <w:gridSpan w:val="5"/>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Periods ended October 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8"/>
        </w:trPr>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(2,283)</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(2,586)</w:t>
            </w:r>
          </w:p>
        </w:tc>
        <w:tc>
          <w:tcPr>
            <w:tcW w:w="14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NM   $</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(4,005)</w:t>
            </w: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three-month and six-month periods ended October 31, 2022, operating losses resulted largely from the decrease in revenue coupled with the additional costs mentioned above in the “Gross Margin” section.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6"/>
          </w:tcPr>
          <w:p>
            <w:pPr>
              <w:jc w:val="right"/>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Periods ended October 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(expense) income  $</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(12)</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62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(30)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6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(39)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w:t>
            </w:r>
          </w:p>
        </w:tc>
        <w:tc>
          <w:tcPr>
            <w:tcW w:w="3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Investment (expense) income is derived primarily from the Company’s holdings of marketable securities. Earnings on securities may vary based on fluctuating interest rates, dividend payout levels, and the timing of purchases, sales, redemptions, or maturities of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 Provision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7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40" w:type="dxa"/>
            <w:vAlign w:val="bottom"/>
            <w:gridSpan w:val="5"/>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8"/>
        </w:trPr>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9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(50.0)%  $</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3620" w:type="dxa"/>
            <w:vAlign w:val="bottom"/>
            <w:gridSpan w:val="8"/>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Effective tax rate on pre-tax book income (loss):</w:t>
            </w:r>
          </w:p>
        </w:tc>
        <w:tc>
          <w:tcPr>
            <w:tcW w:w="74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5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198" w:lineRule="exact"/>
        <w:rPr>
          <w:sz w:val="20"/>
          <w:szCs w:val="20"/>
          <w:color w:val="auto"/>
        </w:rPr>
      </w:pPr>
    </w:p>
    <w:p>
      <w:pPr>
        <w:jc w:val="both"/>
        <w:ind w:right="20" w:firstLine="162"/>
        <w:spacing w:after="0" w:line="257" w:lineRule="auto"/>
        <w:rPr>
          <w:sz w:val="20"/>
          <w:szCs w:val="20"/>
          <w:color w:val="auto"/>
        </w:rPr>
      </w:pPr>
      <w:r>
        <w:rPr>
          <w:rFonts w:ascii="Times New Roman" w:cs="Times New Roman" w:eastAsia="Times New Roman" w:hAnsi="Times New Roman"/>
          <w:sz w:val="18"/>
          <w:szCs w:val="18"/>
          <w:color w:val="auto"/>
        </w:rPr>
        <w:t>The estimated annual effective tax rate for the fiscal year ending April 30, 2023 is 0%. This calculation reflects estimated income tax expense based on our current year annual pretax income forecast which is offset by the estimated change in the current year valuation allowance. The Company maintains a full valuation allowance against its deferred tax assets.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60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October 31, 2022, the Company recorded a discrete income tax provision of $1,000 related to an accrual of interest for unrecognized tax benefits. For the three months ended October 31, 2021, the Company recorded an income tax provision of $1,504.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October 31, 2022, the Company recorded a discrete income tax provision of $2,000 related to an accrual of interest for unrecognized tax benefits. For the six months ended October 31, 2021, the Company recorded an income tax provision of $2,250.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October 31, 2022 was an income tax provision of 0.0% on pretax loss of $2.3 million compared to an income tax provision of 0.4% on pretax income of $499,000 in the comparable prior fiscal year period. The effective tax rate for the three months ended October 31, 2022 differs from the U.S. federal statutory rate of 21% primarily due to domestic losses for which the Company is not recognizing an income tax benefit.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six months ended October 31, 2022 was an income tax provision of 0.0% on pretax loss of $5.4 million compared to an income tax provision of (0.2)% on pretax loss of $1.1 million in the comparable prior fiscal year period. The effective tax rate for the six months ended October 31, 2022 differs from the U.S. federal statutory rate of 21% primarily due to domestic losses for which the Company is not recognizing an income tax benefit.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Inflation Reduction Act of 2022 (the “Act”) was signed into U.S. law on August 16, 2022. The Act includes various tax provisions, including an excise tax on stock repurchases, expanded tax credits for clean energy incentives, and a corporate alternative minimum tax that generally applies to U.S. corporations with average adjusted annual financial statement income over a three-year period in excess of $1 billion. The Company does not expect the Act to materially impact its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consolidated balance sheet continues to reflect a strong working capital position of approximately $28.4 million at October 31, 2022 and $34.2 million at April 30, 2022. Included in working capital at October 31, 2022 and April 30, 2022 was $19.7 million and $21.5 million, respectively, consisting of cash, cash equivalents, and marketable securities. The Company’s current ratio at October 31, 2022 was 2.1 to 1 compared to 2.5 to 1 as of April 30, 2022.</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six-month period ended October 31, 2022 was approximately $466,000 and net cash provided by operating activities for the six-month period ended October 31, 2021 was approximately $1.7 million. The decrease in cash flow in the first six months of fiscal 2023 was mainly due to an increase in net loss and contract liabilities, partially offset by a decrease in non-cash adjustments, contract assets, and inventory. For the six-month periods ended October 31, 2022 and 2021, the Company incurred approximately $1.2 million and $1.8 million, respectively, of non-cash operating expenses including ROU assets and liabilities for leases, loss provision accrual, depreciation and amortization, inventory reserve adjustments, deferred compensation, and accruals for employee benefit programs.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for the six-month periods ended October 31, 2022 and 2021 was approximately $975,000 and $845,000, respectively. During the six months ended October 31, 2022 marketable securities were sold or redeemed in the amount of $1.1 million compared to $1.4 million for the same period of fiscal year 2022. During the six months ended October 31, 2022 approximately $1.4 million of marketable securities were purchased compared to $1.2 million for the same period of fiscal year 2022. The Company acquired property, plant, and equipment in the amount of approximately $729,000 and $1.1 million for the six-month periods ended October 31, 2022 and 2021, respectively. The Company may continue to invest in cash equivalents as dictated by its investment strategy.</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was no cash used in or provided by financing activities for the six months ended October 31, 2022 and 2021.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been authorized by its Board of Directors to repurchase up to $5 million worth of shares of its common stock when appropriate opportunities arise. As of October 31, 2022, the Company has repurchased approximately $4 million of its common stock out of the $5 million authorization. For the six months ended October 31, 2022 and 2021 there were no repurchases of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continue to expend resources to develop, improve and acquire products for space applications, guidance and targeting systems, and communication systems which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October 31, 2022, the Company’s consolidated funded backlog was approximately $56 million compared to $40 million at April 30, 2022, the end of fiscal year 2022. Approximately 82% of this backlog is expected to be realized in the next twelve months. As of October 31, 2022, there were no amounts included in backlog under cost-plus fixed-fee contracts that have not been funded.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that its liquidity is adequate to meet its operating and investment needs through at least December 20, 2023 and the foreseeable future.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current or future effect on the Company’s financial condition, revenues or expenses, results of operations, liquidity, capital expenditures, or capital resources that is material to investors.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because of the material weaknesses in internal control over financial reporting disclosed below, as of October 31, 2022, the Company’s disclosure controls and procedures were not effective at a reasonable assurance level.</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Report on Internal Control Over Financial Reporting</w:t>
      </w:r>
    </w:p>
    <w:p>
      <w:pPr>
        <w:spacing w:after="0" w:line="225"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April 30, 2022. In making this assessment, management used the criteria established in Internal Control—Integrated Framework (2013) issued by the Committee of Sponsoring Organizations of the Treadway Commission. Based on this evaluation, the Company’s management initially concluded and disclosed in the Form 10-K that the Company’s internal control over financial reporting was effective as of April 30, 2022.</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However, for the reasons discussed below, management conducted a re-assessment of the effectiveness of the Company’s internal control over financial reporting. In conducting its re-assessment of the effectiveness of the Company’s internal control over financial reporting, management concluded that the Company’s internal control over financial reporting was not effective as of April 30, 2022, because of the material weaknesses in internal control over financial reporting discussed below.</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disclosed in the Current Report on Form 8-K filed on December 16, 2022, in the course of preparing the unaudited condensed consolidated financial statements for the second quarter of fiscal 2023, ended October 31, 2022, the Company identified errors related to the calculations and presentation of contract assets and contract liabilities in the Form 10-K.</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Following the identification of these prior errors, management re-evaluated the Company’s internal control over financial reporting as of April 30, 2022 and identified material weaknesses in the following areas:</w:t>
      </w:r>
    </w:p>
    <w:p>
      <w:pPr>
        <w:spacing w:after="0" w:line="162" w:lineRule="exact"/>
        <w:rPr>
          <w:sz w:val="20"/>
          <w:szCs w:val="20"/>
          <w:color w:val="auto"/>
        </w:rPr>
      </w:pPr>
    </w:p>
    <w:p>
      <w:pPr>
        <w:jc w:val="both"/>
        <w:ind w:firstLine="646"/>
        <w:spacing w:after="0" w:line="258" w:lineRule="auto"/>
        <w:tabs>
          <w:tab w:leader="none" w:pos="12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previously corrected as of April 30, 2022, historically, through April 30, 2022, the Company had presented contract assets and contract liabilities on a net basis on the consolidated balance sheets whereas ASC 606-10-45-1 requires gross presentation. In addition, a formula error was identified whereby the Company had not been grouping contracts assets and contract liabilities properly on a project-by-project basis. As a result, management has concluded that the Company did not effectively design and maintain controls over the completeness and accuracy of the gross presentation of contract assets and contract liabilities and thus a material weakness was identified;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right="20" w:firstLine="646"/>
        <w:spacing w:after="0" w:line="255" w:lineRule="auto"/>
        <w:tabs>
          <w:tab w:leader="none" w:pos="12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above, as of April 30, 2021 the Company had presented contract assets and contract liabilities on a net basis on the consolidated balance sheets whereas ASC 606-10-45-1 requires gross presentation. During the process of completing the Company’s Form 10-K, management corrected the contract assets and contract liabilities balances in the April 30, 2021 column of the consolidated balance sheet to present them gross as opposed to net as previously filed. However, this should have been identified as a correction of a prior period error and assessed accordingly to determine whether or not a restatement was needed and whether the error was the result of a deficiency in the Company’s internal control over financial reporting. As a result, management has concluded that the Company did not have an adequate control in place for identifying and assessing financial statement errors and thus a material weakness was identified.</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disclosed in the Current Report on Form 8-K filed on December 16, 2022, by the Company, on December 14, 2022, the Company concluded that the items noted above constituted material weaknesses in the Company’s internal control over financial reporting as of April 30, 2022 and continued to exist as of July 31, 2022.</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Because of its inherent limitations, internal control over financial reporting may not prevent or detect misstatements.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Remediation Plan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remediate the material weaknesses described above, the Company plans to pursue the following remediation steps:</w:t>
      </w:r>
    </w:p>
    <w:p>
      <w:pPr>
        <w:spacing w:after="0" w:line="225" w:lineRule="exact"/>
        <w:rPr>
          <w:sz w:val="20"/>
          <w:szCs w:val="20"/>
          <w:color w:val="auto"/>
        </w:rPr>
      </w:pPr>
    </w:p>
    <w:p>
      <w:pPr>
        <w:jc w:val="both"/>
        <w:ind w:left="960" w:right="20" w:hanging="314"/>
        <w:spacing w:after="0" w:line="261"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update, as necessary, the design and documentation of its internal control policies and procedures with respect to its internal control over financial reporting. The Company plans to implement additional formulas and comparative reviews of financial information as a result of issues identified in its policies and procedures as promptly as practical and to satisfy documentation requirements under Section 404 of the Sarbanes-Oxley Act.</w:t>
      </w:r>
    </w:p>
    <w:p>
      <w:pPr>
        <w:spacing w:after="0" w:line="179" w:lineRule="exact"/>
        <w:rPr>
          <w:rFonts w:ascii="Times New Roman" w:cs="Times New Roman" w:eastAsia="Times New Roman" w:hAnsi="Times New Roman"/>
          <w:sz w:val="18"/>
          <w:szCs w:val="18"/>
          <w:color w:val="auto"/>
        </w:rPr>
      </w:pPr>
    </w:p>
    <w:p>
      <w:pPr>
        <w:jc w:val="both"/>
        <w:ind w:left="960" w:right="20" w:hanging="31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its internal control over financial reporting is properly designed, documented and operating effectively by (i) enhancing the design of existing control activities and/or implementing additional control activities, as needed, (ii) monitoring the operating effectiveness of those controls, and (iii) ensuring that documentation exists to evidence the performance of those controls.</w:t>
      </w:r>
    </w:p>
    <w:p>
      <w:pPr>
        <w:spacing w:after="0" w:line="176"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believes that its remediation plan will be sufficient to remediate the identified material weaknesses and strengthen its internal control over financial reporting. However, by April 30, 2023, the Company’s next annual reporting date, there may not be sufficient time for the Company to remediate all material weaknesses or, if remediated, to test the operating effectiveness of the remediated controls. As the Company continues to evaluate, and works to improve, its internal control over financial reporting, management may determine that additional measures to address control deficiencies or modifications to the remediation plan are necessary. The Company cannot assure you, however, when it will remediate such weaknesses, nor can it be certain whether additional actions will be required or the costs of any such actions. Moreover, the Company cannot assure you that additional material weaknesses will not arise in the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implementing certain changes in its internal control over financial reporting to remediate the material weaknesses described above. The implementation of the material aspects of this plan began in the third quarter of fiscal 2023. As a result, there has been no change in the Company’s internal control over financial reporting during the second quarter of fiscal 2023, ended October 31, 2022, that has materially affected, or is reasonably likely to materially affect, its internal control over financial reporting.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As disclosed in “Item 1A. Risk Factors” in the Form 10-K, there are a number of risks and uncertainties that could have a material adverse effect on the Company’s business, financial position, results of operations and/or cash flows. There are no material updates or changes to the Company’s risk factors since the filing of the Form 10-K, except for the following:</w:t>
      </w:r>
    </w:p>
    <w:p>
      <w:pPr>
        <w:spacing w:after="0" w:line="17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Company has identified material weaknesses in its internal control over financial reporting.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failure to establish and maintain effective internal control over financial reporting has resulted in a material misstatement of the audited consolidated financial statements in the Form 10-K and could result in material misstatements in its future consolidated financial statements. Additionally,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failure to establish and maintain effective internal control over financial reporting could result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failure to meet its reporting and financial obligations, which in turn could have a negative impact on its financial condition.</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Maintaining effective internal control over financial reporting is necessary for us to produce reliable financial statements. As more fully disclosed in Item 4. “Controls and Procedures,” in the course of preparing the condensed consolidated financial statements for the second quarter of fiscal 2023, ended October 31, 2022, the Company identified revisions related to the calculations, and errors related to the presentation of contract assets and contract liabilities in the Form 10-K. Following the identification of these prior errors and revisions, management re-evaluated the Company’s internal control over financial reporting as of April 30, 2022 and as of July 31, 2022 and identified certain deficiencies, which the Company concluded constituted material weaknesses in the Company’s internal control over financial reporting as of April 30, 2022 and for the three months ended July 31, 2022.</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standards established by the PCAOB, a material weakness is defined as a deficiency, or a combination of deficiencies, in internal control over financial reporting such that there is a reasonable possibility that a material misstatement of the annual or interim financial statements will not be prevented or detected on a timely basis. A material weakness in the design of monitoring controls indicates that the Company has not sufficiently developed and/or documented internal controls by which management can review and oversee the Company’s financial information to detect and correct material errors or that the personnel responsible for performing the review did not have the sufficient skill set or knowledge of the subject matter to perform a proper assessment.</w:t>
      </w:r>
    </w:p>
    <w:p>
      <w:pPr>
        <w:spacing w:after="0" w:line="18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material weaknesses, the Company’s management concluded that the audited consolidated financial statements included in the Form 10-K were materially misstated. The Company will file an amended Form 10-K/A for the fiscal year ended April 30, 2022.</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To remediate the material weaknesses, the Company is in the process of implementing certain changes to its internal controls and reviewing the control environment to help ensure that there are no other material weaknesses. The Company believes that its remediation plan will be sufficient to remediate the identified material weaknesses and strengthen our internal control over financial reporting. However, by April 30, 2023, the Company’s next annual reporting date, there may not be sufficient time to remediate all material weaknesses fully or, if fully remediated, to complete testing of the remediated controls. As the Company continues to evaluate and work to improve its internal control over financial reporting, management may determine to take additional measures to address control deficiencies or determine to modify the remediation plan. The Company cannot assure you, however, when it will remediate such weaknesses, nor can the Company be certain of whether additional actions will be required or the costs of any such actions. Moreover, the Company cannot assure you that additional material weaknesses will not arise in the future.</w:t>
      </w:r>
    </w:p>
    <w:p>
      <w:pPr>
        <w:spacing w:after="0" w:line="192"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Any failure to remediate the material weaknesses, or the development of new material weaknesses in the Company’s internal control over financial reporting, could result in future material misstatements in its consolidated financial statements and cause the Company to fail to meet its reporting and financial obligations, which in turn could have a negative impact on the Company’s financial condition.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0" w:type="dxa"/>
            <w:vAlign w:val="bottom"/>
          </w:tcPr>
          <w:p>
            <w:pPr>
              <w:spacing w:after="0"/>
              <w:rPr>
                <w:sz w:val="17"/>
                <w:szCs w:val="17"/>
                <w:color w:val="auto"/>
              </w:rPr>
            </w:pPr>
          </w:p>
        </w:tc>
      </w:tr>
      <w:tr>
        <w:trPr>
          <w:trHeight w:val="453"/>
        </w:trPr>
        <w:tc>
          <w:tcPr>
            <w:tcW w:w="5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9320" w:type="dxa"/>
            <w:vAlign w:val="bottom"/>
            <w:gridSpan w:val="3"/>
          </w:tcPr>
          <w:p>
            <w:pPr>
              <w:ind w:left="24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r>
      <w:tr>
        <w:trPr>
          <w:trHeight w:val="391"/>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412"/>
        </w:trPr>
        <w:tc>
          <w:tcPr>
            <w:tcW w:w="580" w:type="dxa"/>
            <w:vAlign w:val="bottom"/>
          </w:tcPr>
          <w:p>
            <w:pPr>
              <w:spacing w:after="0"/>
              <w:rPr>
                <w:sz w:val="24"/>
                <w:szCs w:val="24"/>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31.1 -</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20" w:type="dxa"/>
            <w:vAlign w:val="bottom"/>
            <w:tcBorders>
              <w:bottom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0000EE"/>
                <w:w w:val="99"/>
              </w:rPr>
              <w:t>Certification by the Chief Executive Officer pursuant to Rule 13a-14(a) or 15d-14(a) under the Securities Exchange Act of 1934,</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r>
      <w:tr>
        <w:trPr>
          <w:trHeight w:val="20"/>
        </w:trPr>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1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31.2 -</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20" w:type="dxa"/>
            <w:vAlign w:val="bottom"/>
            <w:tcBorders>
              <w:bottom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0000EE"/>
              </w:rPr>
              <w:t>Certification by the Chief Financial Officer pursuant to Rule 13a-14(a) or 15d-14(a) under the Securities Exchange Act of 1934,</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r>
      <w:tr>
        <w:trPr>
          <w:trHeight w:val="20"/>
        </w:trPr>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1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32 -</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20" w:type="dxa"/>
            <w:vAlign w:val="bottom"/>
            <w:tcBorders>
              <w:bottom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0000EE"/>
              </w:rPr>
              <w:t>Certifications by the Chief Executive Officer and Chief Financial Officer pursuant to 18 U.S.C. Section 1350, as adopted</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2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5000" w:type="dxa"/>
            <w:vAlign w:val="bottom"/>
            <w:gridSpan w:val="2"/>
          </w:tcPr>
          <w:p>
            <w:pPr>
              <w:spacing w:after="0"/>
              <w:rPr>
                <w:sz w:val="17"/>
                <w:szCs w:val="17"/>
                <w:color w:val="auto"/>
              </w:rPr>
            </w:pPr>
          </w:p>
        </w:tc>
      </w:tr>
      <w:tr>
        <w:trPr>
          <w:trHeight w:val="434"/>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following materials from the Frequency Electronics, Inc. Quarterly Report on Form 10-Q for the quarter ended October 31,</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2022 formatted in eXtensible Business Reporting Language (XBRL): (i) Cover Page, (ii) Condensed Consolidated Balance</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Sheets, (iii) Condensed Consolidated Statements of Operations and Comprehensive Loss, (iv) Condensed Consolidated</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Statements of Cash Flows, (v) Condensed Consolidated Statements of Changes in Stockholders’ Equity and (vi) Notes to</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Condensed Consolidated Financial Statements. The instance document does not appear in the Interactive Data File because its</w:t>
            </w:r>
          </w:p>
        </w:tc>
      </w:t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XBRL tags are embedded within Inline XBRL document.</w:t>
            </w:r>
          </w:p>
        </w:tc>
      </w:tr>
      <w:tr>
        <w:trPr>
          <w:trHeight w:val="43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Interaction Data File (formatted as inline XBRL and contained in Exhibit 101).</w:t>
            </w:r>
          </w:p>
        </w:tc>
      </w:tr>
      <w:tr>
        <w:trPr>
          <w:trHeight w:val="648"/>
        </w:trPr>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28</w:t>
            </w:r>
          </w:p>
        </w:tc>
        <w:tc>
          <w:tcPr>
            <w:tcW w:w="8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101"/>
        </w:trPr>
        <w:tc>
          <w:tcPr>
            <w:tcW w:w="5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08"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20, 2022</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Thomas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-19050</wp:posOffset>
            </wp:positionV>
            <wp:extent cx="21863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Thomas McClelland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Interim President and Chief Executive Officer and Chief Scientist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-7620</wp:posOffset>
            </wp:positionV>
            <wp:extent cx="21831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831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Steven L. Bernstein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60" w:top="121" w:right="4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McClelland, certify that:</w:t>
      </w:r>
    </w:p>
    <w:p>
      <w:pPr>
        <w:spacing w:after="0" w:line="225"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3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8"/>
        <w:spacing w:after="0" w:line="282" w:lineRule="auto"/>
        <w:tabs>
          <w:tab w:leader="none" w:pos="2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0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2260" w:type="dxa"/>
            <w:vAlign w:val="bottom"/>
          </w:tcPr>
          <w:p>
            <w:pPr>
              <w:spacing w:after="0"/>
              <w:rPr>
                <w:sz w:val="18"/>
                <w:szCs w:val="18"/>
                <w:color w:val="auto"/>
              </w:rPr>
            </w:pPr>
          </w:p>
        </w:tc>
        <w:tc>
          <w:tcPr>
            <w:tcW w:w="20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December 20, 2022</w:t>
            </w:r>
          </w:p>
        </w:tc>
      </w:tr>
      <w:tr>
        <w:trPr>
          <w:trHeight w:val="218"/>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McClelland</w:t>
            </w:r>
          </w:p>
        </w:tc>
        <w:tc>
          <w:tcPr>
            <w:tcW w:w="2000" w:type="dxa"/>
            <w:vAlign w:val="bottom"/>
          </w:tcPr>
          <w:p>
            <w:pPr>
              <w:spacing w:after="0"/>
              <w:rPr>
                <w:sz w:val="18"/>
                <w:szCs w:val="18"/>
                <w:color w:val="auto"/>
              </w:rPr>
            </w:pP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President and Chief Executive Officer and Chief Scientist</w:t>
            </w:r>
          </w:p>
        </w:tc>
        <w:tc>
          <w:tcPr>
            <w:tcW w:w="2000" w:type="dxa"/>
            <w:vAlign w:val="bottom"/>
          </w:tcPr>
          <w:p>
            <w:pPr>
              <w:spacing w:after="0"/>
              <w:rPr>
                <w:sz w:val="18"/>
                <w:szCs w:val="18"/>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0" w:type="dxa"/>
            <w:vAlign w:val="bottom"/>
          </w:tcPr>
          <w:p>
            <w:pPr>
              <w:spacing w:after="0"/>
              <w:rPr>
                <w:sz w:val="20"/>
                <w:szCs w:val="20"/>
                <w:color w:val="auto"/>
              </w:rPr>
            </w:pPr>
          </w:p>
        </w:tc>
      </w:tr>
    </w:tbl>
    <w:p>
      <w:pPr>
        <w:sectPr>
          <w:pgSz w:w="11900" w:h="16838" w:orient="portrait"/>
          <w:cols w:equalWidth="0" w:num="1">
            <w:col w:w="11240"/>
          </w:cols>
          <w:pgMar w:left="320" w:top="33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Bernstein, certify that</w:t>
      </w:r>
    </w:p>
    <w:p>
      <w:pPr>
        <w:spacing w:after="0" w:line="225" w:lineRule="exact"/>
        <w:rPr>
          <w:sz w:val="20"/>
          <w:szCs w:val="20"/>
          <w:color w:val="auto"/>
        </w:rPr>
      </w:pPr>
    </w:p>
    <w:p>
      <w:pPr>
        <w:ind w:left="240" w:hanging="232"/>
        <w:spacing w:after="0"/>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3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0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8"/>
        <w:spacing w:after="0" w:line="282" w:lineRule="auto"/>
        <w:tabs>
          <w:tab w:leader="none" w:pos="2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1340" w:type="dxa"/>
            <w:vAlign w:val="bottom"/>
          </w:tcPr>
          <w:p>
            <w:pPr>
              <w:spacing w:after="0"/>
              <w:rPr>
                <w:sz w:val="18"/>
                <w:szCs w:val="18"/>
                <w:color w:val="auto"/>
              </w:rPr>
            </w:pPr>
          </w:p>
        </w:tc>
        <w:tc>
          <w:tcPr>
            <w:tcW w:w="23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December 20, 2022</w:t>
            </w:r>
          </w:p>
        </w:tc>
      </w:tr>
      <w:tr>
        <w:trPr>
          <w:trHeight w:val="21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238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380" w:type="dxa"/>
            <w:vAlign w:val="bottom"/>
          </w:tcPr>
          <w:p>
            <w:pPr>
              <w:spacing w:after="0"/>
              <w:rPr>
                <w:sz w:val="18"/>
                <w:szCs w:val="18"/>
                <w:color w:val="auto"/>
              </w:rPr>
            </w:pP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380" w:type="dxa"/>
            <w:vAlign w:val="bottom"/>
          </w:tcPr>
          <w:p>
            <w:pPr>
              <w:spacing w:after="0"/>
              <w:rPr>
                <w:sz w:val="20"/>
                <w:szCs w:val="20"/>
                <w:color w:val="auto"/>
              </w:rPr>
            </w:pPr>
          </w:p>
        </w:tc>
      </w:tr>
    </w:tbl>
    <w:p>
      <w:pPr>
        <w:sectPr>
          <w:pgSz w:w="11900" w:h="16838" w:orient="portrait"/>
          <w:cols w:equalWidth="0" w:num="1">
            <w:col w:w="11240"/>
          </w:cols>
          <w:pgMar w:left="320" w:top="33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CEO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October 31, 2022 as filed with the Securities and Exchange Commission on the date hereof (the “Report”), I, Thomas McClelland, Interim President and Chief Executive Officer and Chief Scientist of the Company, certify, pursuant to 18 U.S.C. Section 1350, as adopted pursuant to Section 906 of the Sarbanes-Oxley Act of 2002, that to my knowledge:</w:t>
      </w:r>
    </w:p>
    <w:p>
      <w:pPr>
        <w:spacing w:after="0" w:line="180" w:lineRule="exact"/>
        <w:rPr>
          <w:sz w:val="20"/>
          <w:szCs w:val="20"/>
          <w:color w:val="auto"/>
        </w:rPr>
      </w:pPr>
    </w:p>
    <w:p>
      <w:pPr>
        <w:ind w:left="960" w:hanging="30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94"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2220" w:type="dxa"/>
            <w:vAlign w:val="bottom"/>
          </w:tcPr>
          <w:p>
            <w:pPr>
              <w:spacing w:after="0"/>
              <w:rPr>
                <w:sz w:val="17"/>
                <w:szCs w:val="17"/>
                <w:color w:val="auto"/>
              </w:rPr>
            </w:pPr>
          </w:p>
        </w:tc>
        <w:tc>
          <w:tcPr>
            <w:tcW w:w="19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7"/>
              </w:rPr>
              <w:t>December 20, 2022</w:t>
            </w:r>
          </w:p>
        </w:tc>
      </w:tr>
      <w:tr>
        <w:trPr>
          <w:trHeight w:val="218"/>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Thomas McClelland</w:t>
            </w:r>
          </w:p>
        </w:tc>
        <w:tc>
          <w:tcPr>
            <w:tcW w:w="1980" w:type="dxa"/>
            <w:vAlign w:val="bottom"/>
          </w:tcPr>
          <w:p>
            <w:pPr>
              <w:spacing w:after="0"/>
              <w:rPr>
                <w:sz w:val="18"/>
                <w:szCs w:val="18"/>
                <w:color w:val="auto"/>
              </w:rPr>
            </w:pPr>
          </w:p>
        </w:tc>
      </w:tr>
      <w:tr>
        <w:trPr>
          <w:trHeight w:val="234"/>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Interim President and Chief Executive Officer and Chief Scientist</w:t>
            </w:r>
          </w:p>
        </w:tc>
        <w:tc>
          <w:tcPr>
            <w:tcW w:w="198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CFO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October 31, 2022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60" w:hanging="30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94"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1580" w:type="dxa"/>
            <w:vAlign w:val="bottom"/>
          </w:tcPr>
          <w:p>
            <w:pPr>
              <w:spacing w:after="0"/>
              <w:rPr>
                <w:sz w:val="18"/>
                <w:szCs w:val="18"/>
                <w:color w:val="auto"/>
              </w:rPr>
            </w:pPr>
          </w:p>
        </w:tc>
        <w:tc>
          <w:tcPr>
            <w:tcW w:w="262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8"/>
              </w:rPr>
              <w:t>December 20, 2022</w:t>
            </w:r>
          </w:p>
        </w:tc>
      </w:tr>
      <w:tr>
        <w:trPr>
          <w:trHeight w:val="218"/>
        </w:trPr>
        <w:tc>
          <w:tcPr>
            <w:tcW w:w="4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Steven L. Bernstein</w:t>
            </w:r>
          </w:p>
        </w:tc>
        <w:tc>
          <w:tcPr>
            <w:tcW w:w="2620" w:type="dxa"/>
            <w:vAlign w:val="bottom"/>
          </w:tcPr>
          <w:p>
            <w:pPr>
              <w:spacing w:after="0"/>
              <w:rPr>
                <w:sz w:val="18"/>
                <w:szCs w:val="18"/>
                <w:color w:val="auto"/>
              </w:rPr>
            </w:pPr>
          </w:p>
        </w:tc>
      </w:tr>
      <w:tr>
        <w:trPr>
          <w:trHeight w:val="234"/>
        </w:trPr>
        <w:tc>
          <w:tcPr>
            <w:tcW w:w="4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62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2022-12-20T15:48:02Z</dcterms:created>
  <dcterms:modified xsi:type="dcterms:W3CDTF">2022-12-20T15:48:02Z</dcterms:modified>
</cp:coreProperties>
</file>