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237490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301625</wp:posOffset>
            </wp:positionV>
            <wp:extent cx="74549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549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00" w:lineRule="exact"/>
        <w:rPr>
          <w:sz w:val="24"/>
          <w:szCs w:val="24"/>
          <w:color w:val="auto"/>
        </w:rPr>
      </w:pPr>
    </w:p>
    <w:p>
      <w:pPr>
        <w:spacing w:after="0" w:line="23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520" w:right="1780" w:hanging="2864"/>
        <w:spacing w:after="0" w:line="500" w:lineRule="auto"/>
        <w:tabs>
          <w:tab w:leader="none" w:pos="86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7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760" w:type="dxa"/>
            <w:vAlign w:val="bottom"/>
            <w:gridSpan w:val="4"/>
          </w:tcPr>
          <w:p>
            <w:pPr>
              <w:jc w:val="right"/>
              <w:ind w:right="1900"/>
              <w:spacing w:after="0"/>
              <w:rPr>
                <w:sz w:val="20"/>
                <w:szCs w:val="20"/>
                <w:color w:val="auto"/>
              </w:rPr>
            </w:pPr>
            <w:r>
              <w:rPr>
                <w:rFonts w:ascii="Arial" w:cs="Arial" w:eastAsia="Arial" w:hAnsi="Arial"/>
                <w:sz w:val="18"/>
                <w:szCs w:val="18"/>
                <w:b w:val="1"/>
                <w:bCs w:val="1"/>
                <w:color w:val="auto"/>
                <w:w w:val="87"/>
              </w:rPr>
              <w:t>11-1986657</w:t>
            </w:r>
          </w:p>
        </w:tc>
        <w:tc>
          <w:tcPr>
            <w:tcW w:w="48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80" w:type="dxa"/>
            <w:vAlign w:val="bottom"/>
            <w:gridSpan w:val="5"/>
          </w:tcPr>
          <w:p>
            <w:pPr>
              <w:jc w:val="center"/>
              <w:ind w:right="720"/>
              <w:spacing w:after="0"/>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20" w:type="dxa"/>
            <w:vAlign w:val="bottom"/>
            <w:gridSpan w:val="7"/>
          </w:tcPr>
          <w:p>
            <w:pPr>
              <w:jc w:val="center"/>
              <w:ind w:right="150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80" w:type="dxa"/>
            <w:vAlign w:val="bottom"/>
            <w:gridSpan w:val="5"/>
          </w:tcPr>
          <w:p>
            <w:pPr>
              <w:jc w:val="center"/>
              <w:ind w:right="720"/>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4800" w:type="dxa"/>
            <w:vAlign w:val="bottom"/>
            <w:gridSpan w:val="8"/>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1900" w:type="dxa"/>
            <w:vAlign w:val="bottom"/>
            <w:gridSpan w:val="2"/>
          </w:tcPr>
          <w:p>
            <w:pPr>
              <w:spacing w:after="0"/>
              <w:rPr>
                <w:sz w:val="24"/>
                <w:szCs w:val="24"/>
                <w:color w:val="auto"/>
              </w:rPr>
            </w:pPr>
          </w:p>
        </w:tc>
        <w:tc>
          <w:tcPr>
            <w:tcW w:w="17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500" w:type="dxa"/>
            <w:vAlign w:val="bottom"/>
            <w:gridSpan w:val="6"/>
          </w:tcPr>
          <w:p>
            <w:pPr>
              <w:jc w:val="center"/>
              <w:ind w:left="19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40" w:type="dxa"/>
            <w:vAlign w:val="bottom"/>
            <w:gridSpan w:val="5"/>
          </w:tcPr>
          <w:p>
            <w:pPr>
              <w:jc w:val="center"/>
              <w:ind w:right="2380"/>
              <w:spacing w:after="0"/>
              <w:rPr>
                <w:sz w:val="20"/>
                <w:szCs w:val="20"/>
                <w:color w:val="auto"/>
              </w:rPr>
            </w:pPr>
            <w:r>
              <w:rPr>
                <w:rFonts w:ascii="Arial" w:cs="Arial" w:eastAsia="Arial" w:hAnsi="Arial"/>
                <w:sz w:val="18"/>
                <w:szCs w:val="18"/>
                <w:color w:val="auto"/>
                <w:w w:val="91"/>
              </w:rPr>
              <w:t>(Zip Code)</w:t>
            </w:r>
          </w:p>
        </w:tc>
      </w:tr>
      <w:tr>
        <w:trPr>
          <w:trHeight w:val="432"/>
        </w:trPr>
        <w:tc>
          <w:tcPr>
            <w:tcW w:w="4920" w:type="dxa"/>
            <w:vAlign w:val="bottom"/>
            <w:gridSpan w:val="7"/>
          </w:tcPr>
          <w:p>
            <w:pP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516-794-4500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60" w:type="dxa"/>
            <w:vAlign w:val="bottom"/>
            <w:gridSpan w:val="13"/>
          </w:tcPr>
          <w:p>
            <w:pPr>
              <w:jc w:val="center"/>
              <w:ind w:right="316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13"/>
        </w:trPr>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72"/>
        </w:trPr>
        <w:tc>
          <w:tcPr>
            <w:tcW w:w="420" w:type="dxa"/>
            <w:vAlign w:val="bottom"/>
            <w:tcBorders>
              <w:lef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740" w:type="dxa"/>
            <w:vAlign w:val="bottom"/>
            <w:tcBorders>
              <w:right w:val="single" w:sz="8" w:color="auto"/>
            </w:tcBorders>
            <w:gridSpan w:val="4"/>
          </w:tcPr>
          <w:p>
            <w:pPr>
              <w:jc w:val="center"/>
              <w:ind w:right="1350"/>
              <w:spacing w:after="0" w:line="172" w:lineRule="exact"/>
              <w:rPr>
                <w:sz w:val="20"/>
                <w:szCs w:val="20"/>
                <w:color w:val="auto"/>
              </w:rPr>
            </w:pPr>
            <w:r>
              <w:rPr>
                <w:rFonts w:ascii="Arial" w:cs="Arial" w:eastAsia="Arial" w:hAnsi="Arial"/>
                <w:sz w:val="18"/>
                <w:szCs w:val="18"/>
                <w:color w:val="auto"/>
                <w:w w:val="90"/>
              </w:rPr>
              <w:t>Title of each class</w:t>
            </w:r>
          </w:p>
        </w:tc>
        <w:tc>
          <w:tcPr>
            <w:tcW w:w="740" w:type="dxa"/>
            <w:vAlign w:val="bottom"/>
          </w:tcPr>
          <w:p>
            <w:pPr>
              <w:spacing w:after="0"/>
              <w:rPr>
                <w:sz w:val="14"/>
                <w:szCs w:val="14"/>
                <w:color w:val="auto"/>
              </w:rPr>
            </w:pPr>
          </w:p>
        </w:tc>
        <w:tc>
          <w:tcPr>
            <w:tcW w:w="2200" w:type="dxa"/>
            <w:vAlign w:val="bottom"/>
            <w:tcBorders>
              <w:right w:val="single" w:sz="8" w:color="auto"/>
            </w:tcBorders>
            <w:gridSpan w:val="4"/>
          </w:tcPr>
          <w:p>
            <w:pPr>
              <w:jc w:val="center"/>
              <w:ind w:right="780"/>
              <w:spacing w:after="0" w:line="172" w:lineRule="exact"/>
              <w:rPr>
                <w:sz w:val="20"/>
                <w:szCs w:val="20"/>
                <w:color w:val="auto"/>
              </w:rPr>
            </w:pPr>
            <w:r>
              <w:rPr>
                <w:rFonts w:ascii="Arial" w:cs="Arial" w:eastAsia="Arial" w:hAnsi="Arial"/>
                <w:sz w:val="18"/>
                <w:szCs w:val="18"/>
                <w:color w:val="auto"/>
                <w:w w:val="93"/>
              </w:rPr>
              <w:t>Trading Symbol</w:t>
            </w:r>
          </w:p>
        </w:tc>
        <w:tc>
          <w:tcPr>
            <w:tcW w:w="460" w:type="dxa"/>
            <w:vAlign w:val="bottom"/>
          </w:tcPr>
          <w:p>
            <w:pPr>
              <w:spacing w:after="0"/>
              <w:rPr>
                <w:sz w:val="14"/>
                <w:szCs w:val="14"/>
                <w:color w:val="auto"/>
              </w:rPr>
            </w:pPr>
          </w:p>
        </w:tc>
        <w:tc>
          <w:tcPr>
            <w:tcW w:w="3660" w:type="dxa"/>
            <w:vAlign w:val="bottom"/>
            <w:tcBorders>
              <w:right w:val="single" w:sz="8" w:color="auto"/>
            </w:tcBorders>
            <w:gridSpan w:val="6"/>
          </w:tcPr>
          <w:p>
            <w:pPr>
              <w:jc w:val="center"/>
              <w:ind w:right="480"/>
              <w:spacing w:after="0" w:line="172" w:lineRule="exact"/>
              <w:rPr>
                <w:sz w:val="20"/>
                <w:szCs w:val="20"/>
                <w:color w:val="auto"/>
              </w:rPr>
            </w:pPr>
            <w:r>
              <w:rPr>
                <w:rFonts w:ascii="Arial" w:cs="Arial" w:eastAsia="Arial" w:hAnsi="Arial"/>
                <w:sz w:val="18"/>
                <w:szCs w:val="18"/>
                <w:color w:val="auto"/>
                <w:w w:val="89"/>
              </w:rPr>
              <w:t>Name of each exchange on which registered</w:t>
            </w:r>
          </w:p>
        </w:tc>
      </w:tr>
      <w:tr>
        <w:trPr>
          <w:trHeight w:val="31"/>
        </w:trPr>
        <w:tc>
          <w:tcPr>
            <w:tcW w:w="4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90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r>
      <w:tr>
        <w:trPr>
          <w:trHeight w:val="210"/>
        </w:trPr>
        <w:tc>
          <w:tcPr>
            <w:tcW w:w="420" w:type="dxa"/>
            <w:vAlign w:val="bottom"/>
            <w:tcBorders>
              <w:left w:val="single" w:sz="8" w:color="auto"/>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5"/>
          </w:tcPr>
          <w:p>
            <w:pPr>
              <w:jc w:val="center"/>
              <w:ind w:right="33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gridSpan w:val="2"/>
          </w:tcPr>
          <w:p>
            <w:pPr>
              <w:jc w:val="center"/>
              <w:ind w:right="1080"/>
              <w:spacing w:after="0"/>
              <w:rPr>
                <w:sz w:val="20"/>
                <w:szCs w:val="20"/>
                <w:color w:val="auto"/>
              </w:rPr>
            </w:pPr>
            <w:r>
              <w:rPr>
                <w:rFonts w:ascii="Arial" w:cs="Arial" w:eastAsia="Arial" w:hAnsi="Arial"/>
                <w:sz w:val="18"/>
                <w:szCs w:val="18"/>
                <w:b w:val="1"/>
                <w:bCs w:val="1"/>
                <w:color w:val="auto"/>
              </w:rPr>
              <w:t>FEIM</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gridSpan w:val="4"/>
          </w:tcPr>
          <w:p>
            <w:pPr>
              <w:jc w:val="center"/>
              <w:ind w:right="1080"/>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77" w:right="339" w:bottom="144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560" w:space="720"/>
            <w:col w:w="4960"/>
          </w:cols>
          <w:pgMar w:left="320" w:top="377"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March 10, 2020 – 9,107,558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60" w:type="dxa"/>
            <w:vAlign w:val="bottom"/>
            <w:gridSpan w:val="18"/>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r>
      <w:tr>
        <w:trPr>
          <w:trHeight w:val="385"/>
        </w:trPr>
        <w:tc>
          <w:tcPr>
            <w:tcW w:w="5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780" w:type="dxa"/>
            <w:vAlign w:val="bottom"/>
          </w:tcPr>
          <w:p>
            <w:pPr>
              <w:spacing w:after="0"/>
              <w:rPr>
                <w:sz w:val="24"/>
                <w:szCs w:val="24"/>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January 31, 2020 (unaudited) and April 30, 2019</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5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Income for the Nine Months Ended January 31, 2020</w:t>
              </w:r>
            </w:hyperlink>
          </w:p>
        </w:tc>
        <w:tc>
          <w:tcPr>
            <w:tcW w:w="10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196"/>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2019 (unaudited)</w:t>
              </w:r>
            </w:hyperlink>
          </w:p>
        </w:tc>
        <w:tc>
          <w:tcPr>
            <w:tcW w:w="808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Income for the Three Months Ended January 31, 2020</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196"/>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2019 (unaudited)</w:t>
              </w:r>
            </w:hyperlink>
          </w:p>
        </w:tc>
        <w:tc>
          <w:tcPr>
            <w:tcW w:w="804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January 31, 2020 and 2019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5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Stockholders’ Equity for the Three and Nine Months Ended January 31, 2020</w:t>
              </w:r>
            </w:hyperlink>
          </w:p>
        </w:tc>
        <w:tc>
          <w:tcPr>
            <w:tcW w:w="3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7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Changes in Stockholders’ Equity for the Three and Nine Months Ended January 31, 2019</w:t>
              </w:r>
            </w:hyperlink>
          </w:p>
        </w:tc>
        <w:tc>
          <w:tcPr>
            <w:tcW w:w="3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196"/>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7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4"/>
              </w:rPr>
              <w:t>9-16</w:t>
            </w: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17-22</w:t>
            </w:r>
          </w:p>
        </w:tc>
      </w:tr>
      <w:tr>
        <w:trPr>
          <w:trHeight w:val="412"/>
        </w:trPr>
        <w:tc>
          <w:tcPr>
            <w:tcW w:w="520" w:type="dxa"/>
            <w:vAlign w:val="bottom"/>
          </w:tcPr>
          <w:p>
            <w:pPr>
              <w:spacing w:after="0"/>
              <w:rPr>
                <w:sz w:val="24"/>
                <w:szCs w:val="24"/>
                <w:color w:val="auto"/>
              </w:rPr>
            </w:pPr>
          </w:p>
        </w:tc>
        <w:tc>
          <w:tcPr>
            <w:tcW w:w="7040" w:type="dxa"/>
            <w:vAlign w:val="bottom"/>
            <w:tcBorders>
              <w:top w:val="single" w:sz="8" w:color="0000EE"/>
            </w:tcBorders>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3 - Quantitative and Qualitative Disclosures About Market Risk</w:t>
              </w:r>
            </w:hyperlink>
          </w:p>
        </w:tc>
        <w:tc>
          <w:tcPr>
            <w:tcW w:w="29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12"/>
        </w:trPr>
        <w:tc>
          <w:tcPr>
            <w:tcW w:w="52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Item 4 - Controls and Procedures</w:t>
              </w:r>
            </w:hyperlink>
          </w:p>
        </w:tc>
        <w:tc>
          <w:tcPr>
            <w:tcW w:w="2580" w:type="dxa"/>
            <w:vAlign w:val="bottom"/>
            <w:tcBorders>
              <w:top w:val="single" w:sz="8" w:color="0000EE"/>
            </w:tcBorders>
          </w:tcPr>
          <w:p>
            <w:pPr>
              <w:spacing w:after="0"/>
              <w:rPr>
                <w:sz w:val="24"/>
                <w:szCs w:val="24"/>
                <w:color w:val="auto"/>
              </w:rPr>
            </w:pPr>
          </w:p>
        </w:tc>
        <w:tc>
          <w:tcPr>
            <w:tcW w:w="50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53"/>
        </w:trPr>
        <w:tc>
          <w:tcPr>
            <w:tcW w:w="10460" w:type="dxa"/>
            <w:vAlign w:val="bottom"/>
            <w:gridSpan w:val="18"/>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r>
      <w:tr>
        <w:trPr>
          <w:trHeight w:val="391"/>
        </w:trPr>
        <w:tc>
          <w:tcPr>
            <w:tcW w:w="52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1 – Legal Proceedings</w:t>
              </w:r>
            </w:hyperlink>
          </w:p>
        </w:tc>
        <w:tc>
          <w:tcPr>
            <w:tcW w:w="79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12"/>
        </w:trPr>
        <w:tc>
          <w:tcPr>
            <w:tcW w:w="5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6 -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12"/>
        </w:trPr>
        <w:tc>
          <w:tcPr>
            <w:tcW w:w="520" w:type="dxa"/>
            <w:vAlign w:val="bottom"/>
          </w:tcPr>
          <w:p>
            <w:pPr>
              <w:spacing w:after="0"/>
              <w:rPr>
                <w:sz w:val="24"/>
                <w:szCs w:val="24"/>
                <w:color w:val="auto"/>
              </w:rPr>
            </w:pPr>
          </w:p>
        </w:tc>
        <w:tc>
          <w:tcPr>
            <w:tcW w:w="118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876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783"/>
        </w:trPr>
        <w:tc>
          <w:tcPr>
            <w:tcW w:w="52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January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 $183 at January 31, 2020 and April 30, 2019</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Current assets held for sale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14,821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90,168</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86,771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provision accrual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liability, current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Current liabilities held for sale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8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Common stock - $1.00 par value; authorized 20,000 shares, 9,164 shares issued,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9,108 shares outstanding at January 31, 2020; 8,980 shares outstanding at April 30, 2019</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56,772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56,831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63,884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at cost (56 shares at January 31, 2020 and 184 shares at April 30, 2019)</w:t>
            </w: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90,168</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86,771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31,270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25,358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Investment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 (expense) income, net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 per common share: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Basic and diluted loss per share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538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Basic &amp; Diluted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(Loss) Income</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Unrealized gain on marketable securities: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net of tax</w:t>
            </w:r>
          </w:p>
        </w:tc>
        <w:tc>
          <w:tcPr>
            <w:tcW w:w="9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9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8000" w:type="dxa"/>
            <w:vAlign w:val="bottom"/>
            <w:gridSpan w:val="2"/>
          </w:tcPr>
          <w:p>
            <w:pPr>
              <w:spacing w:after="0"/>
              <w:rPr>
                <w:sz w:val="20"/>
                <w:szCs w:val="20"/>
                <w:color w:val="auto"/>
              </w:rPr>
            </w:pPr>
            <w:r>
              <w:rPr>
                <w:rFonts w:ascii="Arial" w:cs="Arial" w:eastAsia="Arial" w:hAnsi="Arial"/>
                <w:sz w:val="18"/>
                <w:szCs w:val="18"/>
                <w:color w:val="auto"/>
              </w:rPr>
              <w:t>net loss, net of tax</w:t>
            </w:r>
          </w:p>
        </w:tc>
        <w:tc>
          <w:tcPr>
            <w:tcW w:w="9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unrealized gain on marketable securities, net of tax</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(6,787)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3,619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Investment income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 (expense) income,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(1,546)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 per common share: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Basic and diluted loss per share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7"/>
        </w:trPr>
        <w:tc>
          <w:tcPr>
            <w:tcW w:w="538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Basic &amp; Diluted</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(Loss) Income</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reclassification, net of tax</w:t>
            </w:r>
          </w:p>
        </w:tc>
        <w:tc>
          <w:tcPr>
            <w:tcW w:w="9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9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net loss, net of tax</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unrealized gain on marketable securities, net of tax</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(1,494)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(7,046)</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Non-cash charges to earnings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changes in operating assets and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1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on redemption of marketable securities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Purchase of marketable securities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 of fixed assets and other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decrease in cash and cash equivalents before effect of exchange rate changes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Cash paid during the period for:</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660"/>
              <w:spacing w:after="0" w:line="196" w:lineRule="exact"/>
              <w:rPr>
                <w:sz w:val="20"/>
                <w:szCs w:val="20"/>
                <w:color w:val="auto"/>
              </w:rPr>
            </w:pPr>
            <w:r>
              <w:rPr>
                <w:rFonts w:ascii="Arial" w:cs="Arial" w:eastAsia="Arial" w:hAnsi="Arial"/>
                <w:sz w:val="18"/>
                <w:szCs w:val="18"/>
                <w:color w:val="auto"/>
              </w:rPr>
              <w:t>Income taxes</w:t>
            </w:r>
          </w:p>
        </w:tc>
        <w:tc>
          <w:tcPr>
            <w:tcW w:w="96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vMerge w:val="restart"/>
          </w:tcPr>
          <w:p>
            <w:pPr>
              <w:jc w:val="right"/>
              <w:ind w:right="18"/>
              <w:spacing w:after="0"/>
              <w:rPr>
                <w:sz w:val="20"/>
                <w:szCs w:val="20"/>
                <w:color w:val="auto"/>
              </w:rPr>
            </w:pPr>
            <w:r>
              <w:rPr>
                <w:rFonts w:ascii="Arial" w:cs="Arial" w:eastAsia="Arial" w:hAnsi="Arial"/>
                <w:sz w:val="14"/>
                <w:szCs w:val="14"/>
                <w:b w:val="1"/>
                <w:bCs w:val="1"/>
                <w:color w:val="auto"/>
              </w:rPr>
              <w:t>Treasury stock</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980" w:type="dxa"/>
            <w:vAlign w:val="bottom"/>
            <w:gridSpan w:val="6"/>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 in</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4"/>
          </w:tcPr>
          <w:p>
            <w:pPr>
              <w:jc w:val="right"/>
              <w:ind w:right="218"/>
              <w:spacing w:after="0"/>
              <w:rPr>
                <w:sz w:val="20"/>
                <w:szCs w:val="20"/>
                <w:color w:val="auto"/>
              </w:rPr>
            </w:pPr>
            <w:r>
              <w:rPr>
                <w:rFonts w:ascii="Arial" w:cs="Arial" w:eastAsia="Arial" w:hAnsi="Arial"/>
                <w:sz w:val="14"/>
                <w:szCs w:val="14"/>
                <w:b w:val="1"/>
                <w:bCs w:val="1"/>
                <w:color w:val="auto"/>
              </w:rPr>
              <w:t>(at 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2019</w:t>
            </w:r>
          </w:p>
        </w:tc>
        <w:tc>
          <w:tcPr>
            <w:tcW w:w="8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9,163,940</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56,831</w:t>
            </w:r>
          </w:p>
        </w:tc>
        <w:tc>
          <w:tcPr>
            <w:tcW w:w="2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(2,111)</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183,661</w:t>
            </w:r>
          </w:p>
        </w:tc>
        <w:tc>
          <w:tcPr>
            <w:tcW w:w="500" w:type="dxa"/>
            <w:vAlign w:val="bottom"/>
            <w:gridSpan w:val="2"/>
            <w:shd w:val="clear" w:color="auto" w:fill="CCEEFF"/>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(841)</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46</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63,089</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(10,906)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Exercise of stock options and stock appreciation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rights - net of shares tendered for 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(41,325)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July 31, 2019</w:t>
            </w:r>
          </w:p>
        </w:tc>
        <w:tc>
          <w:tcPr>
            <w:tcW w:w="7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9"/>
              </w:rPr>
              <w:t>9,163,940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56,796</w:t>
            </w:r>
          </w:p>
        </w:tc>
        <w:tc>
          <w:tcPr>
            <w:tcW w:w="2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(2,702)</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131,430</w:t>
            </w:r>
          </w:p>
        </w:tc>
        <w:tc>
          <w:tcPr>
            <w:tcW w:w="500" w:type="dxa"/>
            <w:vAlign w:val="bottom"/>
            <w:gridSpan w:val="2"/>
            <w:shd w:val="clear" w:color="auto" w:fill="CCEEFF"/>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(602)</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180</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(8,703)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Exercise of stock options and stock appreciation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rights - net of shares tendered for 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(58,387)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268</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(4,909)</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(4,909)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2019</w:t>
            </w:r>
          </w:p>
        </w:tc>
        <w:tc>
          <w:tcPr>
            <w:tcW w:w="7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89"/>
              </w:rPr>
              <w:t>9,163,940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56,658</w:t>
            </w:r>
          </w:p>
        </w:tc>
        <w:tc>
          <w:tcPr>
            <w:tcW w:w="2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(7,611)</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64,340</w:t>
            </w:r>
          </w:p>
        </w:tc>
        <w:tc>
          <w:tcPr>
            <w:tcW w:w="500" w:type="dxa"/>
            <w:vAlign w:val="bottom"/>
            <w:gridSpan w:val="2"/>
            <w:shd w:val="clear" w:color="auto" w:fill="CCEEFF"/>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(295)</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252</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58,168</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(6,109)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Exercise of stock options and stock appreciation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rights - net of shares tendered for 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(1,546)</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31, 2020</w:t>
            </w:r>
          </w:p>
        </w:tc>
        <w:tc>
          <w:tcPr>
            <w:tcW w:w="780" w:type="dxa"/>
            <w:vAlign w:val="bottom"/>
            <w:tcBorders>
              <w:top w:val="single" w:sz="8" w:color="auto"/>
              <w:bottom w:val="single" w:sz="8" w:color="auto"/>
            </w:tcBorders>
            <w:shd w:val="clear" w:color="auto" w:fill="CCEEFF"/>
          </w:tcPr>
          <w:p>
            <w:pPr>
              <w:ind w:left="200"/>
              <w:spacing w:after="0" w:line="129" w:lineRule="exact"/>
              <w:rPr>
                <w:sz w:val="20"/>
                <w:szCs w:val="20"/>
                <w:color w:val="auto"/>
              </w:rPr>
            </w:pPr>
            <w:r>
              <w:rPr>
                <w:rFonts w:ascii="Arial" w:cs="Arial" w:eastAsia="Arial" w:hAnsi="Arial"/>
                <w:sz w:val="14"/>
                <w:szCs w:val="14"/>
                <w:color w:val="auto"/>
                <w:w w:val="89"/>
              </w:rPr>
              <w:t>9,163,940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9,164</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56,772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(9,157)</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56,381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7"/>
              </w:rPr>
              <w:t>(258)</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56,825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Deficit)</w:t>
            </w:r>
          </w:p>
        </w:tc>
        <w:tc>
          <w:tcPr>
            <w:tcW w:w="134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980" w:type="dxa"/>
            <w:vAlign w:val="bottom"/>
            <w:gridSpan w:val="6"/>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Retained</w:t>
            </w:r>
          </w:p>
        </w:tc>
        <w:tc>
          <w:tcPr>
            <w:tcW w:w="1340" w:type="dxa"/>
            <w:vAlign w:val="bottom"/>
            <w:gridSpan w:val="4"/>
          </w:tcPr>
          <w:p>
            <w:pPr>
              <w:jc w:val="right"/>
              <w:ind w:right="158"/>
              <w:spacing w:after="0"/>
              <w:rPr>
                <w:sz w:val="20"/>
                <w:szCs w:val="20"/>
                <w:color w:val="auto"/>
              </w:rPr>
            </w:pPr>
            <w:r>
              <w:rPr>
                <w:rFonts w:ascii="Arial" w:cs="Arial" w:eastAsia="Arial" w:hAnsi="Arial"/>
                <w:sz w:val="14"/>
                <w:szCs w:val="14"/>
                <w:b w:val="1"/>
                <w:bCs w:val="1"/>
                <w:color w:val="auto"/>
              </w:rPr>
              <w:t>(at cost)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comprehensive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2"/>
              </w:rPr>
              <w:t>earnings</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2018</w:t>
            </w:r>
          </w:p>
        </w:tc>
        <w:tc>
          <w:tcPr>
            <w:tcW w:w="8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9,163,940</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56,439</w:t>
            </w: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(65)</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297,083</w:t>
            </w:r>
          </w:p>
        </w:tc>
        <w:tc>
          <w:tcPr>
            <w:tcW w:w="440" w:type="dxa"/>
            <w:vAlign w:val="bottom"/>
            <w:gridSpan w:val="2"/>
            <w:shd w:val="clear" w:color="auto" w:fill="CCEEFF"/>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9"/>
              </w:rPr>
              <w:t>(1,361)</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(915)</w:t>
            </w:r>
          </w:p>
        </w:tc>
        <w:tc>
          <w:tcPr>
            <w:tcW w:w="2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63,262</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Opening adjustment for adoption of ASU 2014-09</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484</w:t>
            </w: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at May 1, 2018</w:t>
            </w:r>
          </w:p>
        </w:tc>
        <w:tc>
          <w:tcPr>
            <w:tcW w:w="8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9,163,940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56,439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419</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297,083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9"/>
              </w:rPr>
              <w:t>(1,361)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63,746</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(14,339)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Exercise of stock options and stock appreciation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rights - net of shares tendered for 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July 31, 2018</w:t>
            </w:r>
          </w:p>
        </w:tc>
        <w:tc>
          <w:tcPr>
            <w:tcW w:w="8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9,163,940</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56,610</w:t>
            </w: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450</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282,744</w:t>
            </w:r>
          </w:p>
        </w:tc>
        <w:tc>
          <w:tcPr>
            <w:tcW w:w="440" w:type="dxa"/>
            <w:vAlign w:val="bottom"/>
            <w:gridSpan w:val="2"/>
            <w:shd w:val="clear" w:color="auto" w:fill="CCEEFF"/>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9"/>
              </w:rPr>
              <w:t>(1,295)</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(959)</w:t>
            </w:r>
          </w:p>
        </w:tc>
        <w:tc>
          <w:tcPr>
            <w:tcW w:w="2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63,970</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(10,089)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Exercise of stock options and stock appreciation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rights - net of shares tendered for 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(17,708)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81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2018</w:t>
            </w:r>
          </w:p>
        </w:tc>
        <w:tc>
          <w:tcPr>
            <w:tcW w:w="8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9,163,940</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9,164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56,710</w:t>
            </w: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572</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254,947</w:t>
            </w:r>
          </w:p>
        </w:tc>
        <w:tc>
          <w:tcPr>
            <w:tcW w:w="440" w:type="dxa"/>
            <w:vAlign w:val="bottom"/>
            <w:gridSpan w:val="2"/>
            <w:shd w:val="clear" w:color="auto" w:fill="CCEEFF"/>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9"/>
              </w:rPr>
              <w:t>(1,168)</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(1,054)</w:t>
            </w:r>
          </w:p>
        </w:tc>
        <w:tc>
          <w:tcPr>
            <w:tcW w:w="24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64,224</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Exercise of stock options and stock appreciation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rights - net of shares tendered for 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(38,536)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177</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31, 2019</w:t>
            </w:r>
          </w:p>
        </w:tc>
        <w:tc>
          <w:tcPr>
            <w:tcW w:w="780" w:type="dxa"/>
            <w:vAlign w:val="bottom"/>
            <w:tcBorders>
              <w:top w:val="single" w:sz="8" w:color="auto"/>
              <w:bottom w:val="single" w:sz="8" w:color="auto"/>
            </w:tcBorders>
            <w:shd w:val="clear" w:color="auto" w:fill="CCEEFF"/>
          </w:tcPr>
          <w:p>
            <w:pPr>
              <w:ind w:left="200"/>
              <w:spacing w:after="0" w:line="129" w:lineRule="exact"/>
              <w:rPr>
                <w:sz w:val="20"/>
                <w:szCs w:val="20"/>
                <w:color w:val="auto"/>
              </w:rPr>
            </w:pPr>
            <w:r>
              <w:rPr>
                <w:rFonts w:ascii="Arial" w:cs="Arial" w:eastAsia="Arial" w:hAnsi="Arial"/>
                <w:sz w:val="14"/>
                <w:szCs w:val="14"/>
                <w:color w:val="auto"/>
                <w:w w:val="89"/>
              </w:rPr>
              <w:t>9,163,940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9,164</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56,696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251</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209,482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(960)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64,591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2020 and the results of its operations and cash flows for the nine and three months ended January 31, 2020 and 2019. The April 30, 2019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It is suggested that these condensed consolidated financial statements be read in conjunction with the Company’s Annual Report on Form 10-K for the year ended April 30, 2019, filed on July 26, 2019 with the Securities and Exchange Commission, and the financial statements and notes thereto (“2019 Form 10-K”). The results of operations for such interim periods are not necessarily indicative of the operating results for the full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Periods ended January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16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w w:val="93"/>
              </w:rPr>
              <w:t>Nine months</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w w:val="94"/>
              </w:rPr>
              <w:t>Three months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9,059,251</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8,899,110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9,104,288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8,927,710</w:t>
            </w:r>
          </w:p>
        </w:tc>
        <w:tc>
          <w:tcPr>
            <w:tcW w:w="0" w:type="dxa"/>
            <w:vAlign w:val="bottom"/>
          </w:tcPr>
          <w:p>
            <w:pPr>
              <w:spacing w:after="0"/>
              <w:rPr>
                <w:sz w:val="1"/>
                <w:szCs w:val="1"/>
                <w:color w:val="auto"/>
              </w:rPr>
            </w:pP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color w:val="auto"/>
              </w:rPr>
              <w:t>Effect of dilutive securities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9,059,251</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8,899,110</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9,104,288</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8,927,710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56"/>
        <w:spacing w:after="0" w:line="311"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nine- and three-month periods ended January 31, 2020 and 2019 dilutive securities are excluded since the inclusion of such shares would be antidilutive due to the net loss for the periods. The exercisable shares excluded as of January 31, 2020 are 185,000 options. The effect of dilutive securities would have been 274,425 options and 232,481 options for the nine- and three-month periods ended January 31,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2020 and April 30, 2019, costs and estimated earnings in excess of billings, net,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31, 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2019</w:t>
            </w: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12,211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10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(4,200)</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r>
      <w:tr>
        <w:trPr>
          <w:trHeight w:val="20"/>
        </w:trPr>
        <w:tc>
          <w:tcPr>
            <w:tcW w:w="5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basis of costs incurred relative to the total expected costs, or percentage of completion (“POC”), at the measurement date. In general, the recorded amounts will be billed and collected or revenue recognized within twelve months of the balance sheet date. Revenue on these long-term contracts is accounted for on the POC basis as defined above. During the nine and three months ended January 31, 2020, revenue recognized under POC contracts was approximately $28.5 million and $8.5 million, respectively. During the nine and three months ended January 31, 2019, revenue recognized under POC contracts was approximately $33.3 million and $12.9 million, respectively. If contract losses are anticipated, the full amount of such losses are recorded in the loss provision accrual on the condensed consolidated balance sheets when they are determinable. Contract losses recognized for the nine and three months ended January 31, 2020 were approximately $2.4 million and $0.3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nine- and three-month periods ended January 31, 2020, the Company made contributions of 25,718 shares and 6,109 shares, respectively, of its common stock held in treasury to the Company’s profit-sharing plan and trust under Section 401(k) of the Internal Revenue Code. During the nine- and three-month periods ended January 31, 2019, the Company made contributions of 30,257 shares and 5,829 shares, respectively, of its common stock held in treasury to the Company’s profit 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31, 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2019</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8,896</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2,860</w:t>
            </w:r>
          </w:p>
        </w:tc>
      </w:tr>
      <w:tr>
        <w:trPr>
          <w:trHeight w:val="20"/>
        </w:trPr>
        <w:tc>
          <w:tcPr>
            <w:tcW w:w="5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23,487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23,356</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above are net of reserves of $7.1 million and $6.6 million as of January 31, 2020 and April 30,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May 1, 2019, the Company adopted ASU 2016-02. The table below presents ROU assets and liabilities recorded on the unaudited condensed consolidated balance sheet related to ASU 2016-02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40" w:type="dxa"/>
            <w:vAlign w:val="bottom"/>
          </w:tcPr>
          <w:p>
            <w:pPr>
              <w:ind w:left="144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rPr>
              <w:t>January 31, 2020</w:t>
            </w:r>
          </w:p>
        </w:tc>
        <w:tc>
          <w:tcPr>
            <w:tcW w:w="0" w:type="dxa"/>
            <w:vAlign w:val="bottom"/>
          </w:tcPr>
          <w:p>
            <w:pPr>
              <w:spacing w:after="0"/>
              <w:rPr>
                <w:sz w:val="1"/>
                <w:szCs w:val="1"/>
                <w:color w:val="auto"/>
              </w:rPr>
            </w:pPr>
          </w:p>
        </w:tc>
      </w:tr>
      <w:tr>
        <w:trPr>
          <w:trHeight w:val="228"/>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3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ROU assets</w:t>
            </w:r>
          </w:p>
        </w:tc>
        <w:tc>
          <w:tcPr>
            <w:tcW w:w="52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ROU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40"/>
              <w:spacing w:after="0"/>
              <w:rPr>
                <w:sz w:val="20"/>
                <w:szCs w:val="20"/>
                <w:color w:val="auto"/>
              </w:rPr>
            </w:pPr>
            <w:r>
              <w:rPr>
                <w:rFonts w:ascii="Arial" w:cs="Arial" w:eastAsia="Arial" w:hAnsi="Arial"/>
                <w:sz w:val="18"/>
                <w:szCs w:val="18"/>
                <w:color w:val="auto"/>
              </w:rPr>
              <w:t>Operating lease liabilities (short-term)</w:t>
            </w:r>
          </w:p>
        </w:tc>
        <w:tc>
          <w:tcPr>
            <w:tcW w:w="5260" w:type="dxa"/>
            <w:vAlign w:val="bottom"/>
            <w:gridSpan w:val="2"/>
          </w:tcPr>
          <w:p>
            <w:pPr>
              <w:ind w:left="1320"/>
              <w:spacing w:after="0"/>
              <w:rPr>
                <w:sz w:val="20"/>
                <w:szCs w:val="20"/>
                <w:color w:val="auto"/>
              </w:rPr>
            </w:pPr>
            <w:r>
              <w:rPr>
                <w:rFonts w:ascii="Arial" w:cs="Arial" w:eastAsia="Arial" w:hAnsi="Arial"/>
                <w:sz w:val="18"/>
                <w:szCs w:val="18"/>
                <w:color w:val="auto"/>
              </w:rPr>
              <w:t>Lease liability, 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 (long-term)</w:t>
            </w:r>
          </w:p>
        </w:tc>
        <w:tc>
          <w:tcPr>
            <w:tcW w:w="52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Lease liability</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460"/>
              <w:spacing w:after="0"/>
              <w:rPr>
                <w:sz w:val="20"/>
                <w:szCs w:val="20"/>
                <w:color w:val="auto"/>
              </w:rPr>
            </w:pPr>
            <w:r>
              <w:rPr>
                <w:rFonts w:ascii="Arial" w:cs="Arial" w:eastAsia="Arial" w:hAnsi="Arial"/>
                <w:sz w:val="18"/>
                <w:szCs w:val="18"/>
                <w:color w:val="auto"/>
              </w:rPr>
              <w:t>Total lease liabilities</w:t>
            </w:r>
          </w:p>
        </w:tc>
        <w:tc>
          <w:tcPr>
            <w:tcW w:w="13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operating lease expense was approximately $1.5 million and $504,000 for the nine and three months, respectively, ended January 31, 2020, the majority of which is included in cost of revenues and the remaining amount in selling and administrative expenses on the unaudited condensed consolidated statements of operations. There were no new leases entered into for the current period ended January 31, 2020. Net non-cash operating activities related to leases was approximately $441,000 for the nine months ended January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previously disclosed in the 2019 Form 10-K and under the previous lease accounting standard, future minimum lease payments for operating leases having initial or remaining non-cancellable lease terms in excess of one year would have been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080"/>
              <w:spacing w:after="0"/>
              <w:rPr>
                <w:sz w:val="20"/>
                <w:szCs w:val="20"/>
                <w:color w:val="auto"/>
              </w:rPr>
            </w:pPr>
            <w:r>
              <w:rPr>
                <w:rFonts w:ascii="Arial" w:cs="Arial" w:eastAsia="Arial" w:hAnsi="Arial"/>
                <w:sz w:val="18"/>
                <w:szCs w:val="18"/>
                <w:b w:val="1"/>
                <w:bCs w:val="1"/>
                <w:color w:val="auto"/>
              </w:rPr>
              <w:t>For the years ending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Operating Leases</w:t>
            </w: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60" w:type="dxa"/>
            <w:vAlign w:val="bottom"/>
          </w:tcPr>
          <w:p>
            <w:pPr>
              <w:ind w:left="1540"/>
              <w:spacing w:after="0"/>
              <w:rPr>
                <w:sz w:val="20"/>
                <w:szCs w:val="20"/>
                <w:color w:val="auto"/>
              </w:rPr>
            </w:pPr>
            <w:r>
              <w:rPr>
                <w:rFonts w:ascii="Arial" w:cs="Arial" w:eastAsia="Arial" w:hAnsi="Arial"/>
                <w:sz w:val="18"/>
                <w:szCs w:val="18"/>
                <w:b w:val="1"/>
                <w:bCs w:val="1"/>
                <w:color w:val="auto"/>
              </w:rPr>
              <w:t>April 30,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unaudited consolidated balance sheet as of January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880" w:type="dxa"/>
            <w:vAlign w:val="bottom"/>
            <w:gridSpan w:val="2"/>
          </w:tcPr>
          <w:p>
            <w:pPr>
              <w:jc w:val="right"/>
              <w:ind w:right="2400"/>
              <w:spacing w:after="0"/>
              <w:rPr>
                <w:sz w:val="20"/>
                <w:szCs w:val="20"/>
                <w:color w:val="auto"/>
              </w:rPr>
            </w:pPr>
            <w:r>
              <w:rPr>
                <w:rFonts w:ascii="Arial" w:cs="Arial" w:eastAsia="Arial" w:hAnsi="Arial"/>
                <w:sz w:val="18"/>
                <w:szCs w:val="18"/>
                <w:b w:val="1"/>
                <w:bCs w:val="1"/>
                <w:color w:val="auto"/>
              </w:rPr>
              <w:t>Fiscal Year Ending April 30,</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4880" w:type="dxa"/>
            <w:vAlign w:val="bottom"/>
            <w:gridSpan w:val="2"/>
          </w:tcPr>
          <w:p>
            <w:pPr>
              <w:jc w:val="right"/>
              <w:ind w:right="2940"/>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1,919</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2023</w:t>
            </w:r>
          </w:p>
        </w:tc>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1,801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60" w:type="dxa"/>
            <w:vAlign w:val="bottom"/>
          </w:tcPr>
          <w:p>
            <w:pPr>
              <w:spacing w:after="0"/>
              <w:rPr>
                <w:sz w:val="18"/>
                <w:szCs w:val="18"/>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Less imputed interest</w:t>
            </w:r>
          </w:p>
        </w:tc>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(3,415)</w:t>
            </w: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Present value of future lease payments</w:t>
            </w:r>
          </w:p>
        </w:tc>
        <w:tc>
          <w:tcPr>
            <w:tcW w:w="4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(2,059)</w:t>
            </w:r>
          </w:p>
        </w:tc>
      </w:tr>
      <w:tr>
        <w:trPr>
          <w:trHeight w:val="20"/>
        </w:trPr>
        <w:tc>
          <w:tcPr>
            <w:tcW w:w="3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4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9,579</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January 31, 2020, the weighted-average remaining lease term for all operating leases was 8.5 years. The Company does not generally have access to the rate implicit in the leases and therefore utilized the Company’s borrowing rate as the discount rate. The weighted average discount rate for operating leases as of January 31, 2020 was 6.18%.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60" w:hanging="593"/>
        <w:spacing w:after="0" w:line="26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183" w:lineRule="exact"/>
        <w:rPr>
          <w:rFonts w:ascii="Arial" w:cs="Arial" w:eastAsia="Arial" w:hAnsi="Arial"/>
          <w:sz w:val="18"/>
          <w:szCs w:val="18"/>
          <w:color w:val="auto"/>
        </w:rPr>
      </w:pPr>
    </w:p>
    <w:p>
      <w:pPr>
        <w:ind w:left="1060"/>
        <w:spacing w:after="0" w:line="277"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70" w:lineRule="exact"/>
        <w:rPr>
          <w:rFonts w:ascii="Arial" w:cs="Arial" w:eastAsia="Arial" w:hAnsi="Arial"/>
          <w:sz w:val="18"/>
          <w:szCs w:val="18"/>
          <w:color w:val="auto"/>
        </w:rPr>
      </w:pPr>
    </w:p>
    <w:p>
      <w:pPr>
        <w:jc w:val="both"/>
        <w:ind w:left="1060" w:hanging="593"/>
        <w:spacing w:after="0" w:line="275"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accounting policies of the two segments are the same as those described in the “Summary of Significant Accounting Policies” in the 2019 Form 10-K.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w w:val="91"/>
              </w:rPr>
              <w:t>Periods ended January 31,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w w:val="94"/>
              </w:rPr>
              <w:t>Three months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24,029</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31,270</w:t>
            </w:r>
          </w:p>
        </w:tc>
        <w:tc>
          <w:tcPr>
            <w:tcW w:w="14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36,345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Operating (loss) income: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(6,967)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Consolidated operating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(7,263)</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Identifiable assets: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January 31, 2020</w:t>
            </w:r>
          </w:p>
        </w:tc>
        <w:tc>
          <w:tcPr>
            <w:tcW w:w="1680" w:type="dxa"/>
            <w:vAlign w:val="bottom"/>
            <w:gridSpan w:val="5"/>
          </w:tcPr>
          <w:p>
            <w:pPr>
              <w:ind w:left="220"/>
              <w:spacing w:after="0"/>
              <w:rPr>
                <w:sz w:val="20"/>
                <w:szCs w:val="20"/>
                <w:color w:val="auto"/>
              </w:rPr>
            </w:pPr>
            <w:r>
              <w:rPr>
                <w:rFonts w:ascii="Arial" w:cs="Arial" w:eastAsia="Arial" w:hAnsi="Arial"/>
                <w:sz w:val="18"/>
                <w:szCs w:val="18"/>
                <w:b w:val="1"/>
                <w:bCs w:val="1"/>
                <w:color w:val="auto"/>
              </w:rPr>
              <w:t>April 30, 2019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46,416</w:t>
            </w:r>
          </w:p>
        </w:tc>
        <w:tc>
          <w:tcPr>
            <w:tcW w:w="1040" w:type="dxa"/>
            <w:vAlign w:val="bottom"/>
            <w:tcBorders>
              <w:right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3"/>
              </w:rPr>
              <w:t>54,295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ind w:left="6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14,252</w:t>
            </w:r>
          </w:p>
        </w:tc>
        <w:tc>
          <w:tcPr>
            <w:tcW w:w="10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10,478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intersegment balances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(8,586)</w:t>
            </w:r>
          </w:p>
        </w:tc>
        <w:tc>
          <w:tcPr>
            <w:tcW w:w="10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(8,346)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ind w:left="660"/>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38,086</w:t>
            </w:r>
          </w:p>
        </w:tc>
        <w:tc>
          <w:tcPr>
            <w:tcW w:w="10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30,344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identifiable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90,168</w:t>
            </w:r>
          </w:p>
        </w:tc>
        <w:tc>
          <w:tcPr>
            <w:tcW w:w="1040" w:type="dxa"/>
            <w:vAlign w:val="bottom"/>
            <w:tcBorders>
              <w:right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3"/>
              </w:rPr>
              <w:t>86,771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revenue related to the adoption of ASU 2014-09, Revenue from Contracts with Customers (Topic 606) (“ASU 2014-09”) and recognized over time as POC and Passage of Title (“POT”) was approximately $28.5 million and $2.8 million, respectively, of the $31.3 million reported for the nine months ended January 31, 2020. The amounts recognized over time as POC and POT were approximately $33.3 million and $3.1 million of the $36.3 million reported for the nine months ended January 31, 2019. The amounts by segment and product line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3"/>
              </w:rPr>
              <w:t>Nine Months Ended January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7"/>
              </w:rPr>
              <w:t>POC</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POT Revenue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POC Revenue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POT Revenue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Total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2,814</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28,076</w:t>
            </w:r>
          </w:p>
        </w:tc>
        <w:tc>
          <w:tcPr>
            <w:tcW w:w="0" w:type="dxa"/>
            <w:vAlign w:val="bottom"/>
          </w:tcPr>
          <w:p>
            <w:pPr>
              <w:spacing w:after="0"/>
              <w:rPr>
                <w:sz w:val="1"/>
                <w:szCs w:val="1"/>
                <w:color w:val="auto"/>
              </w:rPr>
            </w:pPr>
          </w:p>
        </w:tc>
      </w:tr>
      <w:tr>
        <w:trPr>
          <w:trHeight w:val="216"/>
        </w:trPr>
        <w:tc>
          <w:tcPr>
            <w:tcW w:w="3280" w:type="dxa"/>
            <w:vAlign w:val="bottom"/>
          </w:tcPr>
          <w:p>
            <w:pPr>
              <w:jc w:val="center"/>
              <w:ind w:right="30"/>
              <w:spacing w:after="0"/>
              <w:rPr>
                <w:sz w:val="20"/>
                <w:szCs w:val="20"/>
                <w:color w:val="auto"/>
              </w:rPr>
            </w:pPr>
            <w:r>
              <w:rPr>
                <w:rFonts w:ascii="Arial" w:cs="Arial" w:eastAsia="Arial" w:hAnsi="Arial"/>
                <w:sz w:val="18"/>
                <w:szCs w:val="18"/>
                <w:color w:val="auto"/>
                <w:w w:val="95"/>
              </w:rPr>
              <w:t>FEI-Zyfer</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7,348</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8,487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Intersegment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28,482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2,788</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31,270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33,266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3,079</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36,345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6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10"/>
          </w:tcPr>
          <w:p>
            <w:pPr>
              <w:jc w:val="center"/>
              <w:ind w:right="130"/>
              <w:spacing w:after="0"/>
              <w:rPr>
                <w:sz w:val="20"/>
                <w:szCs w:val="20"/>
                <w:color w:val="auto"/>
              </w:rPr>
            </w:pPr>
            <w:r>
              <w:rPr>
                <w:rFonts w:ascii="Arial" w:cs="Arial" w:eastAsia="Arial" w:hAnsi="Arial"/>
                <w:sz w:val="18"/>
                <w:szCs w:val="18"/>
                <w:color w:val="auto"/>
                <w:w w:val="89"/>
              </w:rPr>
              <w:t>Notes to Condensed Consolidated Financial Statements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center"/>
              <w:ind w:right="10"/>
              <w:spacing w:after="0"/>
              <w:rPr>
                <w:sz w:val="20"/>
                <w:szCs w:val="20"/>
                <w:color w:val="auto"/>
              </w:rPr>
            </w:pPr>
            <w:r>
              <w:rPr>
                <w:rFonts w:ascii="Arial" w:cs="Arial" w:eastAsia="Arial" w:hAnsi="Arial"/>
                <w:sz w:val="18"/>
                <w:szCs w:val="18"/>
                <w:color w:val="auto"/>
                <w:w w:val="93"/>
              </w:rPr>
              <w:t>(Unaudited)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w w:val="92"/>
              </w:rPr>
              <w:t>Three Months Ended January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100"/>
              <w:spacing w:after="0" w:line="191" w:lineRule="exact"/>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00"/>
              <w:spacing w:after="0" w:line="191" w:lineRule="exact"/>
              <w:rPr>
                <w:sz w:val="20"/>
                <w:szCs w:val="20"/>
                <w:color w:val="auto"/>
              </w:rPr>
            </w:pPr>
            <w:r>
              <w:rPr>
                <w:rFonts w:ascii="Arial" w:cs="Arial" w:eastAsia="Arial" w:hAnsi="Arial"/>
                <w:sz w:val="18"/>
                <w:szCs w:val="18"/>
                <w:color w:val="auto"/>
                <w:w w:val="90"/>
              </w:rPr>
              <w:t>(In thousands)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POC Revenue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POT 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POC Revenue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POT Revenue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Total Revenue</w:t>
            </w:r>
          </w:p>
        </w:tc>
        <w:tc>
          <w:tcPr>
            <w:tcW w:w="100" w:type="dxa"/>
            <w:vAlign w:val="bottom"/>
          </w:tcPr>
          <w:p>
            <w:pPr>
              <w:spacing w:after="0"/>
              <w:rPr>
                <w:sz w:val="20"/>
                <w:szCs w:val="20"/>
                <w:color w:val="auto"/>
              </w:rPr>
            </w:pP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ind w:right="1310"/>
              <w:spacing w:after="0"/>
              <w:rPr>
                <w:sz w:val="20"/>
                <w:szCs w:val="20"/>
                <w:color w:val="auto"/>
              </w:rPr>
            </w:pPr>
            <w:r>
              <w:rPr>
                <w:rFonts w:ascii="Arial" w:cs="Arial" w:eastAsia="Arial" w:hAnsi="Arial"/>
                <w:sz w:val="18"/>
                <w:szCs w:val="18"/>
                <w:color w:val="auto"/>
              </w:rPr>
              <w:t>FEI-NY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9,754</w:t>
            </w:r>
          </w:p>
        </w:tc>
      </w:tr>
      <w:tr>
        <w:trPr>
          <w:trHeight w:val="216"/>
        </w:trPr>
        <w:tc>
          <w:tcPr>
            <w:tcW w:w="3280" w:type="dxa"/>
            <w:vAlign w:val="bottom"/>
            <w:gridSpan w:val="2"/>
          </w:tcPr>
          <w:p>
            <w:pPr>
              <w:jc w:val="center"/>
              <w:ind w:right="30"/>
              <w:spacing w:after="0"/>
              <w:rPr>
                <w:sz w:val="20"/>
                <w:szCs w:val="20"/>
                <w:color w:val="auto"/>
              </w:rPr>
            </w:pPr>
            <w:r>
              <w:rPr>
                <w:rFonts w:ascii="Arial" w:cs="Arial" w:eastAsia="Arial" w:hAnsi="Arial"/>
                <w:sz w:val="18"/>
                <w:szCs w:val="18"/>
                <w:color w:val="auto"/>
                <w:w w:val="95"/>
              </w:rPr>
              <w:t>FEI-Zyfer</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2,787</w:t>
            </w:r>
          </w:p>
        </w:tc>
        <w:tc>
          <w:tcPr>
            <w:tcW w:w="5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3,447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r>
      <w:tr>
        <w:trPr>
          <w:trHeight w:val="216"/>
        </w:trPr>
        <w:tc>
          <w:tcPr>
            <w:tcW w:w="328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89"/>
              </w:rPr>
              <w:t>Intersegment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Revenue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8,542</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9,628</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12,870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13,193</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Periods ended January 31,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4"/>
              </w:rPr>
              <w:t>Three months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vMerge w:val="restart"/>
          </w:tcPr>
          <w:p>
            <w:pPr>
              <w:spacing w:after="0"/>
              <w:rPr>
                <w:sz w:val="20"/>
                <w:szCs w:val="20"/>
                <w:color w:val="auto"/>
              </w:rPr>
            </w:pPr>
            <w:r>
              <w:rPr>
                <w:rFonts w:ascii="Arial" w:cs="Arial" w:eastAsia="Arial" w:hAnsi="Arial"/>
                <w:sz w:val="18"/>
                <w:szCs w:val="18"/>
                <w:color w:val="auto"/>
              </w:rPr>
              <w:t>Revenues by Product Line: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17,289</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5,272</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17,058</w:t>
            </w:r>
          </w:p>
        </w:tc>
        <w:tc>
          <w:tcPr>
            <w:tcW w:w="9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1,191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Consolidated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31,270</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36,345</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9,628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condensed consolidated balance sheets. During the nine months ended January 31, 2020 and 2019, the Company acquired product from Morion in the aggregate amount of approximately $712,000 and $291,000, respectively, and the Company sold product and training services to Morion in the aggregate amount of approximately $49,000 and $2,000, respectively, included in revenues in the condensed consolidated statements of operations as part of the FEI-NY segment. During the three months ended January 31, 2020 and 2019, the Company acquired product from Morion in the aggregate amount of approximately $332,000 and $145,000, respectively; however, there were no sales to Morion for products or training services for either period. At January 31, 2020 there was approximately $169,000 payable to Morion, up from approximately $38,000 at April 30, 2019, and there were no receivables related to Morion for either period. During the nine months ended January 31, 2020 and 2019, the Company received a dividend from Morion in the amount of approximately $250,000 and $125,000 respectively, which is included in other income, net in the condensed consolidated statements of operations as part of the FEI-NY segment.</w:t>
      </w:r>
    </w:p>
    <w:p>
      <w:pPr>
        <w:spacing w:after="0" w:line="1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U.S. Department of Treasury’s prohibition against U.S. persons from providing it with new financing.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2020 and April 30, 2019,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January 31, 2020</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156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Fair Market Value</w:t>
            </w:r>
          </w:p>
        </w:tc>
        <w:tc>
          <w:tcPr>
            <w:tcW w:w="100" w:type="dxa"/>
            <w:vAlign w:val="bottom"/>
          </w:tcPr>
          <w:p>
            <w:pPr>
              <w:spacing w:after="0"/>
              <w:rPr>
                <w:sz w:val="20"/>
                <w:szCs w:val="20"/>
                <w:color w:val="auto"/>
              </w:rPr>
            </w:pPr>
          </w:p>
        </w:tc>
      </w:tr>
      <w:tr>
        <w:trPr>
          <w:trHeight w:val="250"/>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9,460</w:t>
            </w:r>
          </w:p>
        </w:tc>
      </w:tr>
      <w:tr>
        <w:trPr>
          <w:trHeight w:val="413"/>
        </w:trPr>
        <w:tc>
          <w:tcPr>
            <w:tcW w:w="46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13</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 2019</w:t>
            </w: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January 31, 2020, the Company sold or redeemed available-for-sale securities of approximately $3.0 million, realizing a loss of approximately $1,200. During the nine months ended January 31, 2019, the Company sold or redeemed available-for-sale securities of approximately $987,000, realizing gains of approximately $2,000.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3"/>
          </w:tcPr>
          <w:p>
            <w:pPr>
              <w:jc w:val="right"/>
              <w:ind w:right="238"/>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6"/>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6"/>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98"/>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r>
      <w:tr>
        <w:trPr>
          <w:trHeight w:val="183"/>
        </w:trPr>
        <w:tc>
          <w:tcPr>
            <w:tcW w:w="960" w:type="dxa"/>
            <w:vAlign w:val="bottom"/>
          </w:tcPr>
          <w:p>
            <w:pPr>
              <w:spacing w:after="0"/>
              <w:rPr>
                <w:sz w:val="15"/>
                <w:szCs w:val="15"/>
                <w:color w:val="auto"/>
              </w:rPr>
            </w:pPr>
          </w:p>
        </w:tc>
        <w:tc>
          <w:tcPr>
            <w:tcW w:w="2320" w:type="dxa"/>
            <w:vAlign w:val="bottom"/>
            <w:gridSpan w:val="4"/>
          </w:tcPr>
          <w:p>
            <w:pPr>
              <w:jc w:val="center"/>
              <w:ind w:right="1080"/>
              <w:spacing w:after="0" w:line="182" w:lineRule="exact"/>
              <w:rPr>
                <w:sz w:val="20"/>
                <w:szCs w:val="20"/>
                <w:color w:val="auto"/>
              </w:rPr>
            </w:pPr>
            <w:r>
              <w:rPr>
                <w:rFonts w:ascii="Arial" w:cs="Arial" w:eastAsia="Arial" w:hAnsi="Arial"/>
                <w:sz w:val="18"/>
                <w:szCs w:val="18"/>
                <w:color w:val="auto"/>
                <w:w w:val="89"/>
              </w:rPr>
              <w:t>January 31, 2020</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gridSpan w:val="5"/>
            <w:shd w:val="clear" w:color="auto" w:fill="CCEEFF"/>
          </w:tcPr>
          <w:p>
            <w:pPr>
              <w:ind w:left="60"/>
              <w:spacing w:after="0" w:line="196" w:lineRule="exact"/>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w:t>
            </w:r>
          </w:p>
        </w:tc>
      </w:tr>
      <w:tr>
        <w:trPr>
          <w:trHeight w:val="197"/>
        </w:trPr>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9"/>
        </w:trPr>
        <w:tc>
          <w:tcPr>
            <w:tcW w:w="960" w:type="dxa"/>
            <w:vAlign w:val="bottom"/>
            <w:shd w:val="clear" w:color="auto" w:fill="CCEEFF"/>
          </w:tcPr>
          <w:p>
            <w:pPr>
              <w:spacing w:after="0"/>
              <w:rPr>
                <w:sz w:val="18"/>
                <w:szCs w:val="18"/>
                <w:color w:val="auto"/>
              </w:rPr>
            </w:pPr>
          </w:p>
        </w:tc>
        <w:tc>
          <w:tcPr>
            <w:tcW w:w="2320" w:type="dxa"/>
            <w:vAlign w:val="bottom"/>
            <w:gridSpan w:val="4"/>
            <w:shd w:val="clear" w:color="auto" w:fill="CCEEFF"/>
          </w:tcPr>
          <w:p>
            <w:pPr>
              <w:jc w:val="center"/>
              <w:ind w:right="1080"/>
              <w:spacing w:after="0" w:line="189" w:lineRule="exact"/>
              <w:rPr>
                <w:sz w:val="20"/>
                <w:szCs w:val="20"/>
                <w:color w:val="auto"/>
              </w:rPr>
            </w:pPr>
            <w:r>
              <w:rPr>
                <w:rFonts w:ascii="Arial" w:cs="Arial" w:eastAsia="Arial" w:hAnsi="Arial"/>
                <w:sz w:val="18"/>
                <w:szCs w:val="18"/>
                <w:color w:val="auto"/>
                <w:w w:val="93"/>
              </w:rPr>
              <w:t>April 30, 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280" w:type="dxa"/>
            <w:vAlign w:val="bottom"/>
            <w:gridSpan w:val="5"/>
          </w:tcPr>
          <w:p>
            <w:pPr>
              <w:ind w:left="60"/>
              <w:spacing w:after="0" w:line="196" w:lineRule="exact"/>
              <w:rPr>
                <w:sz w:val="20"/>
                <w:szCs w:val="20"/>
                <w:color w:val="auto"/>
              </w:rPr>
            </w:pPr>
            <w:r>
              <w:rPr>
                <w:rFonts w:ascii="Arial" w:cs="Arial" w:eastAsia="Arial" w:hAnsi="Arial"/>
                <w:sz w:val="18"/>
                <w:szCs w:val="18"/>
                <w:color w:val="auto"/>
              </w:rPr>
              <w:t>Fixed Income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995</w:t>
            </w:r>
          </w:p>
        </w:tc>
        <w:tc>
          <w:tcPr>
            <w:tcW w:w="260" w:type="dxa"/>
            <w:vAlign w:val="bottom"/>
          </w:tcPr>
          <w:p>
            <w:pPr>
              <w:spacing w:after="0"/>
              <w:rPr>
                <w:sz w:val="17"/>
                <w:szCs w:val="17"/>
                <w:color w:val="auto"/>
              </w:rPr>
            </w:pP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80"/>
              <w:spacing w:after="0" w:line="197" w:lineRule="exact"/>
              <w:rPr>
                <w:sz w:val="20"/>
                <w:szCs w:val="20"/>
                <w:color w:val="auto"/>
              </w:rPr>
            </w:pPr>
            <w:r>
              <w:rPr>
                <w:rFonts w:ascii="Arial" w:cs="Arial" w:eastAsia="Arial" w:hAnsi="Arial"/>
                <w:sz w:val="13"/>
                <w:szCs w:val="13"/>
                <w:color w:val="auto"/>
              </w:rPr>
              <w:t>(4</w:t>
            </w:r>
            <w:r>
              <w:rPr>
                <w:rFonts w:ascii="Arial" w:cs="Arial" w:eastAsia="Arial" w:hAnsi="Arial"/>
                <w:sz w:val="22"/>
                <w:szCs w:val="22"/>
                <w:color w:val="auto"/>
                <w:vertAlign w:val="subscript"/>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3,349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line="197" w:lineRule="exact"/>
              <w:rPr>
                <w:sz w:val="20"/>
                <w:szCs w:val="20"/>
                <w:color w:val="auto"/>
              </w:rPr>
            </w:pPr>
            <w:r>
              <w:rPr>
                <w:rFonts w:ascii="Arial" w:cs="Arial" w:eastAsia="Arial" w:hAnsi="Arial"/>
                <w:sz w:val="13"/>
                <w:szCs w:val="13"/>
                <w:color w:val="auto"/>
              </w:rPr>
              <w:t>(20</w:t>
            </w:r>
            <w:r>
              <w:rPr>
                <w:rFonts w:ascii="Arial" w:cs="Arial" w:eastAsia="Arial" w:hAnsi="Arial"/>
                <w:sz w:val="22"/>
                <w:szCs w:val="22"/>
                <w:color w:val="auto"/>
                <w:vertAlign w:val="subscript"/>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4,344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line="197" w:lineRule="exact"/>
              <w:rPr>
                <w:sz w:val="20"/>
                <w:szCs w:val="20"/>
                <w:color w:val="auto"/>
              </w:rPr>
            </w:pPr>
            <w:r>
              <w:rPr>
                <w:rFonts w:ascii="Arial" w:cs="Arial" w:eastAsia="Arial" w:hAnsi="Arial"/>
                <w:sz w:val="13"/>
                <w:szCs w:val="13"/>
                <w:color w:val="auto"/>
              </w:rPr>
              <w:t>(24</w:t>
            </w:r>
            <w:r>
              <w:rPr>
                <w:rFonts w:ascii="Arial" w:cs="Arial" w:eastAsia="Arial" w:hAnsi="Arial"/>
                <w:sz w:val="22"/>
                <w:szCs w:val="22"/>
                <w:color w:val="auto"/>
                <w:vertAlign w:val="subscript"/>
              </w:rPr>
              <w:t>)</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2020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January 31, 2020 were as follows, at cost (in thousands):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4,235</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00" w:hanging="768"/>
        <w:spacing w:after="0" w:line="277" w:lineRule="auto"/>
        <w:tabs>
          <w:tab w:leader="none" w:pos="98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20"/>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w:t>
      </w:r>
      <w:r>
        <w:rPr>
          <w:rFonts w:ascii="Arial" w:cs="Arial" w:eastAsia="Arial" w:hAnsi="Arial"/>
          <w:sz w:val="18"/>
          <w:szCs w:val="18"/>
          <w:color w:val="auto"/>
        </w:rPr>
        <w:t>(“ASU 2018-13”) which modifies the disclosure requirement on fair value measurements. The new guidance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years beginning after December 15, 2019. The Company is evaluating the effect, if any, the update will have on its financial statements when adopted in fiscal year 2021.</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replaces the incurred loss impairment methodology in current U.S. GAAP with a methodology that reflects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and requires consideration of a broader range of reasonable and supportable information to inform credit loss estimates. In November 2019 the FASB issued ASU No. 2019-10, </w:t>
      </w:r>
      <w:r>
        <w:rPr>
          <w:rFonts w:ascii="Arial" w:cs="Arial" w:eastAsia="Arial" w:hAnsi="Arial"/>
          <w:sz w:val="17"/>
          <w:szCs w:val="17"/>
          <w:i w:val="1"/>
          <w:iCs w:val="1"/>
          <w:color w:val="auto"/>
        </w:rPr>
        <w:t>Financial Instruments – Credit Losses (Topic 326), Derivatives and Hedging (Topic 815), and 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Dates</w:t>
      </w:r>
      <w:r>
        <w:rPr>
          <w:rFonts w:ascii="Arial" w:cs="Arial" w:eastAsia="Arial" w:hAnsi="Arial"/>
          <w:sz w:val="17"/>
          <w:szCs w:val="17"/>
          <w:color w:val="auto"/>
        </w:rPr>
        <w:t>, which defers the effective date of ASU 2016-13 to fiscal years beginning after December 15, 2022. The Company is evaluating the effect,</w:t>
      </w:r>
      <w:r>
        <w:rPr>
          <w:rFonts w:ascii="Arial" w:cs="Arial" w:eastAsia="Arial" w:hAnsi="Arial"/>
          <w:sz w:val="17"/>
          <w:szCs w:val="17"/>
          <w:i w:val="1"/>
          <w:iCs w:val="1"/>
          <w:color w:val="auto"/>
        </w:rPr>
        <w:t xml:space="preserve"> </w:t>
      </w:r>
      <w:r>
        <w:rPr>
          <w:rFonts w:ascii="Arial" w:cs="Arial" w:eastAsia="Arial" w:hAnsi="Arial"/>
          <w:sz w:val="17"/>
          <w:szCs w:val="17"/>
          <w:color w:val="auto"/>
        </w:rPr>
        <w:t>if any, the update will have on its financial statements when adopted in fiscal year 2024.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 (Topic 842)</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the first quarter of fiscal 2020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and recognized on its condensed consolidated balance sheets $12.1 million of lease liabilities with corresponding ROU assets for operating leases. The Company elected a prospective application for the new guidance, as permitted under ASU 2016-02, and therefore prior periods continue to be presented in accordance with Topic 840. We also elected the package of practical expedients, which among other things, does not require reassessment of lease classification.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31, 2020, the Company had available credit at variable terms based on its securities holdings under an advisory arrangement, under which no borrowings have been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required by the authoritative guidance on accounting for income taxes, we evaluate the realizability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January 31, 2020, and April 30, 2019,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M – COMMITMENTS AND CONTINGENCIES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January 28, 2020, Martin B. Bloch, the former Chief Scientist of the Company and a current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seeks a declaratory judgment, compensatory damages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attorney’s fees, among other things, based on allegations that he was wrongfully terminated “for cause” pursuant to his employment agreement, dated March 17, 2008, and his deferred compensation agreements, in each case as amended, with the Company, that the Company’s Form 8-K, filed January 27, 2020, damaged his reputation and that the Company discriminated against him based on his age. Mr. Bloch also asserts a claim derivatively on behalf of the Company that the Director Defendants breached their fiduciary duty in rendering their decision to terminate Mr. Bloch’s employment with the Company. The Company and the Director Defendants are scheduled to file their responsive pleading by March 30, 2020. The Court has not yet scheduled any hearings or other deadlines in connection with the lawsuit. The Company and the Director Defendants believe that the Board was justified in its decision to terminate Mr. Bloch “for cause” and that Mr. Bloch’s complaint is entirely without merit. The Company intends to vigorously defend against all of Mr. Bloch’s allegations. At this early stage in the case, the Company does not have sufficient information to determine whether liability, if any, arising out of these matters is probable or the possible loss, if any, that could result from an unfavorable outcome arising out of these matters.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1934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Any and all of the forward-looking statements contained in this Form 10-Q and any other public statements by the Company or its management may turn out to be incorrect. The Company expressly disclaims any obligation to update or revise any forward-looking statement, whether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significant accounting policies are described in Note 1 to the consolidated financial statements included in the 2019 Form 10-</w:t>
      </w:r>
    </w:p>
    <w:p>
      <w:pPr>
        <w:spacing w:after="0" w:line="46" w:lineRule="exact"/>
        <w:rPr>
          <w:sz w:val="20"/>
          <w:szCs w:val="20"/>
          <w:color w:val="auto"/>
        </w:rPr>
      </w:pPr>
    </w:p>
    <w:p>
      <w:pPr>
        <w:jc w:val="both"/>
        <w:ind w:firstLine="8"/>
        <w:spacing w:after="0" w:line="271" w:lineRule="auto"/>
        <w:tabs>
          <w:tab w:leader="none" w:pos="28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believes its most critical accounting policies to be the recognition of revenue and costs on production contracts, income taxes, and the valuation of inventory. Each of these areas requires the Company to make use of reasoned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nine and three months ended January 31, 2020, except for those impacted by the newly adopted accounting standard regarding leases.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is recognized when a performance obligation is satisfied, when the expected goods or services are transferred to the customer, in an amount that reflects the consideration to which the entity expects to be entitled in exchange for those goods and services. A performance obligation is a distinct product or service that is transferred to the customer’s control based on the contract. The transaction price is allocated to each performance obligation and is recognized as revenue upon satisfaction of that performance obligation. The Company derives revenue either as (i) units with specifications and frequencies that can be used by multiple customers (POT) or (ii) units with specific specifications and frequencies that are used by a specific customer or for government end use (POC).</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In situations where the estimated costs to complete a project are revised, revenue earned to date is adjusted on a prospective basis. Provisions for the full amount of anticipated losses on contracts are made in the period in which they become determinable.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which then transfers control of the performance obligation to the customer. When payment is contingent upon customer acceptance of the installed product, revenue is deferred until such installation is completed and acceptance is received.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Contract costs include all direct material costs, direct labor costs, manufacturing overhead and other direct costs related to contract performance. Selling, general and administrative costs are expensed as incurred, with the exception of sales commissions with an amortization period of greater than one year which are amortized over the length of the contract in relation to the adoption of ASU 2014-09.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write-downs are established for slow-moving, obsolete items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Company’s investments in marketable securities are Level 1 securities which trade on public markets and have current prices that are readily available. In general, investments in fixed income securities are limited to the commercial paper of financially sound corporations or the bonds and shorter-term notes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sets forth for the nine and three months ended January 31, 2020 and 2019, respectively, the percentage of consolidated revenues represented by certain items in the Company’s condensed consolidated statements of operations or notes to the condensed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w w:val="95"/>
              </w:rPr>
              <w:t>Nine months</w:t>
            </w: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Three months</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4"/>
              </w:rPr>
              <w:t>Periods ended January 31,</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w w:val="99"/>
              </w:rPr>
              <w:t>2019</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FEI-Zyfer</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24.0</w:t>
            </w:r>
          </w:p>
        </w:tc>
        <w:tc>
          <w:tcPr>
            <w:tcW w:w="9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9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65.9</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40"/>
              <w:spacing w:after="0"/>
              <w:rPr>
                <w:sz w:val="20"/>
                <w:szCs w:val="20"/>
                <w:color w:val="auto"/>
              </w:rPr>
            </w:pPr>
            <w:r>
              <w:rPr>
                <w:rFonts w:ascii="Arial" w:cs="Arial" w:eastAsia="Arial" w:hAnsi="Arial"/>
                <w:sz w:val="18"/>
                <w:szCs w:val="18"/>
                <w:color w:val="auto"/>
              </w:rPr>
              <w:t>Gross margin</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9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32.6</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9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loss</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income (loss), net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760" w:type="dxa"/>
            <w:vAlign w:val="bottom"/>
            <w:gridSpan w:val="2"/>
          </w:tcPr>
          <w:p>
            <w:pPr>
              <w:jc w:val="right"/>
              <w:ind w:right="100"/>
              <w:spacing w:after="0" w:line="210" w:lineRule="exact"/>
              <w:rPr>
                <w:sz w:val="20"/>
                <w:szCs w:val="20"/>
                <w:color w:val="auto"/>
              </w:rPr>
            </w:pPr>
            <w:r>
              <w:rPr>
                <w:rFonts w:ascii="Arial" w:cs="Arial" w:eastAsia="Arial" w:hAnsi="Arial"/>
                <w:sz w:val="14"/>
                <w:szCs w:val="14"/>
                <w:color w:val="auto"/>
              </w:rPr>
              <w:t>(22.5</w:t>
            </w:r>
            <w:r>
              <w:rPr>
                <w:rFonts w:ascii="Arial" w:cs="Arial" w:eastAsia="Arial" w:hAnsi="Arial"/>
                <w:sz w:val="24"/>
                <w:szCs w:val="24"/>
                <w:color w:val="auto"/>
                <w:vertAlign w:val="subscript"/>
              </w:rPr>
              <w: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20"/>
              <w:spacing w:after="0" w:line="210" w:lineRule="exact"/>
              <w:rPr>
                <w:sz w:val="20"/>
                <w:szCs w:val="20"/>
                <w:color w:val="auto"/>
              </w:rPr>
            </w:pPr>
            <w:r>
              <w:rPr>
                <w:rFonts w:ascii="Arial" w:cs="Arial" w:eastAsia="Arial" w:hAnsi="Arial"/>
                <w:sz w:val="14"/>
                <w:szCs w:val="14"/>
                <w:color w:val="auto"/>
              </w:rPr>
              <w:t>(0.5</w:t>
            </w:r>
            <w:r>
              <w:rPr>
                <w:rFonts w:ascii="Arial" w:cs="Arial" w:eastAsia="Arial" w:hAnsi="Arial"/>
                <w:sz w:val="24"/>
                <w:szCs w:val="24"/>
                <w:color w:val="auto"/>
                <w:vertAlign w:val="subscript"/>
              </w:rPr>
              <w:t>)%</w:t>
            </w:r>
          </w:p>
        </w:tc>
        <w:tc>
          <w:tcPr>
            <w:tcW w:w="940" w:type="dxa"/>
            <w:vAlign w:val="bottom"/>
          </w:tcPr>
          <w:p>
            <w:pPr>
              <w:spacing w:after="0"/>
              <w:rPr>
                <w:sz w:val="18"/>
                <w:szCs w:val="18"/>
                <w:color w:val="auto"/>
              </w:rPr>
            </w:pPr>
          </w:p>
        </w:tc>
        <w:tc>
          <w:tcPr>
            <w:tcW w:w="820" w:type="dxa"/>
            <w:vAlign w:val="bottom"/>
            <w:gridSpan w:val="2"/>
          </w:tcPr>
          <w:p>
            <w:pPr>
              <w:jc w:val="right"/>
              <w:ind w:right="120"/>
              <w:spacing w:after="0" w:line="210" w:lineRule="exact"/>
              <w:rPr>
                <w:sz w:val="20"/>
                <w:szCs w:val="20"/>
                <w:color w:val="auto"/>
              </w:rPr>
            </w:pPr>
            <w:r>
              <w:rPr>
                <w:rFonts w:ascii="Arial" w:cs="Arial" w:eastAsia="Arial" w:hAnsi="Arial"/>
                <w:sz w:val="14"/>
                <w:szCs w:val="14"/>
                <w:color w:val="auto"/>
              </w:rPr>
              <w:t>(16.1</w:t>
            </w:r>
            <w:r>
              <w:rPr>
                <w:rFonts w:ascii="Arial" w:cs="Arial" w:eastAsia="Arial" w:hAnsi="Arial"/>
                <w:sz w:val="24"/>
                <w:szCs w:val="24"/>
                <w:color w:val="auto"/>
                <w:vertAlign w:val="subscript"/>
              </w:rPr>
              <w:t>)%</w:t>
            </w:r>
          </w:p>
        </w:tc>
        <w:tc>
          <w:tcPr>
            <w:tcW w:w="400" w:type="dxa"/>
            <w:vAlign w:val="bottom"/>
          </w:tcPr>
          <w:p>
            <w:pPr>
              <w:spacing w:after="0"/>
              <w:rPr>
                <w:sz w:val="18"/>
                <w:szCs w:val="18"/>
                <w:color w:val="auto"/>
              </w:rPr>
            </w:pPr>
          </w:p>
        </w:tc>
        <w:tc>
          <w:tcPr>
            <w:tcW w:w="108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(2.4)</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80" w:type="dxa"/>
            <w:vAlign w:val="bottom"/>
          </w:tcPr>
          <w:p>
            <w:pPr>
              <w:spacing w:after="0"/>
              <w:rPr>
                <w:sz w:val="24"/>
                <w:szCs w:val="24"/>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0"/>
              </w:rPr>
              <w:t>Periods ended January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28,076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(4,047)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(2,520)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8,746</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3,644</w:t>
            </w: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36,345</w:t>
            </w: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(5,075</w:t>
            </w:r>
            <w:r>
              <w:rPr>
                <w:rFonts w:ascii="Arial" w:cs="Arial" w:eastAsia="Arial" w:hAnsi="Arial"/>
                <w:sz w:val="24"/>
                <w:szCs w:val="24"/>
                <w:color w:val="auto"/>
                <w:vertAlign w:val="subscript"/>
              </w:rPr>
              <w:t>)</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line="210" w:lineRule="exact"/>
              <w:rPr>
                <w:sz w:val="20"/>
                <w:szCs w:val="20"/>
                <w:color w:val="auto"/>
              </w:rPr>
            </w:pPr>
            <w:r>
              <w:rPr>
                <w:rFonts w:ascii="Arial" w:cs="Arial" w:eastAsia="Arial" w:hAnsi="Arial"/>
                <w:sz w:val="14"/>
                <w:szCs w:val="14"/>
                <w:color w:val="auto"/>
              </w:rPr>
              <w:t>(14.0</w:t>
            </w:r>
            <w:r>
              <w:rPr>
                <w:rFonts w:ascii="Arial" w:cs="Arial" w:eastAsia="Arial" w:hAnsi="Arial"/>
                <w:sz w:val="24"/>
                <w:szCs w:val="24"/>
                <w:color w:val="auto"/>
                <w:vertAlign w:val="subscript"/>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13,193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(3,565</w:t>
            </w:r>
            <w:r>
              <w:rPr>
                <w:rFonts w:ascii="Arial" w:cs="Arial" w:eastAsia="Arial" w:hAnsi="Arial"/>
                <w:sz w:val="24"/>
                <w:szCs w:val="24"/>
                <w:color w:val="auto"/>
                <w:vertAlign w:val="subscript"/>
              </w:rPr>
              <w:t>)</w:t>
            </w:r>
          </w:p>
        </w:tc>
        <w:tc>
          <w:tcPr>
            <w:tcW w:w="340" w:type="dxa"/>
            <w:vAlign w:val="bottom"/>
          </w:tcPr>
          <w:p>
            <w:pPr>
              <w:spacing w:after="0"/>
              <w:rPr>
                <w:sz w:val="18"/>
                <w:szCs w:val="18"/>
                <w:color w:val="auto"/>
              </w:rPr>
            </w:pPr>
          </w:p>
        </w:tc>
        <w:tc>
          <w:tcPr>
            <w:tcW w:w="76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(27.0</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nine months ended January 31, 2020, revenues from commercial and U.S. Government satellite programs decreased approximately $2.6 million as compared to the same period of the previous fiscal year. For the nine months ended January 31, 2020 and the nine months ended January 31, 2019, revenue from commercial and U.S. Government satellite programs accounted for approximately 47% and 48%, respectively, of consolidated revenues. Revenues on these contracts are recognized primarily under the POC method. Revenues from the satellite market are recorded in the FEI-NY segment. Revenues from non-space U.S. Government/Department of Defense (“DOD”) customers, which are recorded in both the FEI-NY and FEI-Zyfer segments, decreased $4.4 million as compared to the same period of fiscal 2019, and accounted for approximately 41% of consolidated revenues during the nine months ended January 31, 2020 as compared to approximately 47% during this same period in fiscal 2019. Other commercial and industrial revenues for the nine months ended January 31, 2020 accounted for approximately 12% of consolidated revenues as compared to 6% in the same period in fiscal 2019. Intersegment revenues are eliminated in consolidation.</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three months ended January 31, 2020 revenues from commercial and U.S. Government satellite programs decreased approximately $700,000 as compared to the same period of fiscal 2019. For the three months ended January 31, 2020, revenues from commercial and U.S. Government satellite programs accounted for approximately 55% of consolidated revenues compared to approximately 45% during this same period in fiscal 2019. Revenues from non-space U.S. Government/DOD customers, which are recorded in both the FEI-NY and FEI-Zyfer segments, decreased $3.5 million as compared to the same period of fiscal 2019, and accounted for approximately 33% of consolidated revenues during the three months ended January 31, 2020 as compared to approximately 50% during this same period in fiscal 2019. Other commercial and industrial revenues for the three months ended January 31, 2020 and the three months ended January 31, 2019 accounted for approximately 12% and 4%, respectively of consolidated revenues. Third quarter financials were impacted by the conclusion of a problem program that has been the source of consistent technical and cost issues. Following a mutual agreement with the end customer, this program was terminated, incurring a reduction to revenues of approximately $725,000 during the nine and three months ended January 31, 2020.</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Revenue decreased for both the nine and three months ended January 31, 2020, compared to the same period of the prior fiscal year, resulting in large part from slippages in US Government funding to prime contractors on space programs where we are a potential supplier of frequency generation/conversion systems. On several of these programs, the prime contractors have been awarded the contracts, but they either were not fully funded or there were extended negotiations regarding the technical baselines, resulting in delays of sub-contract awards, which impact the timing of our revenues.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Gross Margin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53"/>
        </w:trPr>
        <w:tc>
          <w:tcPr>
            <w:tcW w:w="10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rPr>
              <w:t>Periods ended January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4"/>
              </w:rPr>
              <w:t>(6,480)</w:t>
            </w:r>
          </w:p>
        </w:tc>
        <w:tc>
          <w:tcPr>
            <w:tcW w:w="1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(52.3)%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nine- and three-month periods ended January 31, 2020, gross margin and gross margin rate (“GM Rate”) decreased as compared to the same periods in fiscal 2019, due principally to the problem program described above. Despite this reduction the GM Rate for the three-month period ended January 31, 2020 remained relatively comparable to the GM Rate for the three-month period ended January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Nine months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7"/>
              </w:rPr>
              <w:t>Three months</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9"/>
              </w:rPr>
              <w:t>Periods ended January 31,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7,838</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 $</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2,657</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962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January 31, 2020 and 2019, selling and administrative (“SG&amp;A”) expenses were approximately 27% and 22%, respectively, of consolidated revenues. For the three months ended January 31, 2020 and 2019, SG&amp;A expenses were approximately 38% and 20%, respectively, of consolidated revenues. The large increase in both percentage and dollar amount during the three-month period ended January 31, 2020 was due to increases in depreciation, insurance expense, professional fees and payroll related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7"/>
              </w:rPr>
              <w:t>Nine months</w:t>
            </w: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vMerge w:val="restart"/>
          </w:tcPr>
          <w:p>
            <w:pPr>
              <w:spacing w:after="0"/>
              <w:rPr>
                <w:sz w:val="20"/>
                <w:szCs w:val="20"/>
                <w:color w:val="auto"/>
              </w:rPr>
            </w:pPr>
            <w:r>
              <w:rPr>
                <w:rFonts w:ascii="Arial" w:cs="Arial" w:eastAsia="Arial" w:hAnsi="Arial"/>
                <w:sz w:val="13"/>
                <w:szCs w:val="13"/>
                <w:b w:val="1"/>
                <w:bCs w:val="1"/>
                <w:color w:val="auto"/>
                <w:w w:val="73"/>
              </w:rPr>
              <w:t>ended</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Periods</w:t>
            </w: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6"/>
              </w:rPr>
              <w:t>January 31,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5,094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(281)</w:t>
            </w:r>
          </w:p>
        </w:tc>
        <w:tc>
          <w:tcPr>
            <w:tcW w:w="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(5.5)% $</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(755)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future competitiveness. The R&amp;D rate for the nine months ended January 31, 2020 was 15% of consolidated revenues compared to 14% of consolidated revenues for the same period of the previous fiscal year. The R&amp;D rate for the three months ended January 31, 2020 was 11% of consolidated revenues as compared to 14% of consolidated revenues for the same period of the previous fiscal year. The Company expects to maintain a consistent level of internally funded activity related to R&amp;D through the balance of the current year and beyond to address new large opportunities, which the Company plans to pursue.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Operating Loss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2"/>
        </w:trPr>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88"/>
              </w:rPr>
              <w:t>Periods ended January 31,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4"/>
              </w:rPr>
              <w:t>(6,723)</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NM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1"/>
              </w:rPr>
              <w:t>(1,167)</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increase in operating loss for both the nine months and three months ended January 31, 2020, as compared to the respective periods in fiscal 2019 was attributable largely to the increased engineering costs described previously. The increased costs affect revenue, gross margin and operating loss.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8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0"/>
              </w:rPr>
              <w:t>Periods ended January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Other (expense) income,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18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3"/>
          </w:tcPr>
          <w:p>
            <w:pPr>
              <w:jc w:val="right"/>
              <w:ind w:right="13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nine-month period ended January 31, 2020, investment income included a $250,000 dividend from Morion, compared to a $105,000 dividend from Morion in the same period in fiscal 2019. Other income (expense) in fiscal 2019 included certain miscellaneous income and the proceeds of an insurance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 (Benefit)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Nine months</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2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w w:val="98"/>
              </w:rPr>
              <w:t>Periods ended January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w w:val="96"/>
              </w:rPr>
              <w:t>(in thousands)</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  $</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Effective tax rate on pre-tax</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book (loss) income: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annual effective tax rate for the fiscal year ending April 30, 2020 is 0%. This calculation reflects estimated income tax expense (benefit) based on our current year forecasted earnings, which is offset by a corresponding change in the current year valuation allowance. As of January 31, 2020, and April 30, 2019, the Company maintained a full valuation allowance against its deferred tax assets.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January 31, 2020, the Company recorded a discrete income tax provision of $48,000, which primarily consisted of an accrual of interest for unrecognized tax benefits. For the nine months ended January 31, 2019, the Company recorded an income tax expense of $38,000, which included a discrete income tax provision of $164,000.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January 31, 2020, the Company recorded a discrete income tax provision of $19,000, which primarily consisted of an accrual of interest for unrecognized tax benefits. For the three months ended January 31, 2019, the Company recorded an income tax expense of $60,000, which included a discrete income tax provision of $127,000.</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effective tax rate for the nine months ended January 31, 2020 was an income tax provision of (0.7) % on a pretax loss of $6,997,000 compared to an income tax provision of (29.2) % on a pretax loss of $130,000 in the comparable prior year period. The effective tax rate for the nine months ended January 31, 2020 differs from the U.S. statutory rate of 21% primarily due to a discrete income tax provision related to the accrual of interest for unrecognized tax benefits and domestic losses for which the Company is not recognizing an income tax benefit.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effective tax rate for the three months ended January 31, 2020 was an income tax provision of (1.3) % on a pretax loss of $1,527,000 compared to an income tax provision of (23.0) % on a pretax loss of $261,000 in the comparable prior year period. The effective tax rate for the three months ended January 31, 2020 differs from the U.S. statutory rate of 21% primarily due to a discrete income tax provision related to the accrual of interest for unrecognized tax benefits and domestic losses for which the Company is not recognizing an income tax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balance sheet continues to reflect a strong working capital position of $39.7 million at January 31, 2020 and $46.9 million at April 30, 2019. Included in working capital at January 31, 2020 and April 30 2019, is $9.7 million and $11.9 million, respectively, consisting of cash, cash equivalents, and marketable securities. The Company’s current ratio at January 31, 2020 was 6.0 to 1.</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operations for the nine months ended January 31, 2020 was $760,000 compared to $1.3 million in the comparable fiscal 2019 period. The decrease in cash flow used in the fiscal 2020 period resulted primarily from a decrease in accounts receivable balances. For the nine-month periods ended January 31, 2020 and 2019, the Company incurred approximately $6.0 million and $3.3 million, respectively, of non-cash operating expenses including ROU assets and liabilities for leases, loss provision accrual, depreciation and amortization, inventory reserve adjustments, and accruals for employee benefit programs.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investing activities for the nine months ended January 31, 2020 was $2.7 million compared to $4.4 million for the nine months ended January 31, 2019. During the fiscal 2020 period, marketable securities were sold or redeemed in the amount of $3.0 million compared to $1.0 million of such redemptions during the comparable fiscal 2019 period. During the nine months ended January 31, 2020 approximately $4.1 million of marketable securities were purchased compared to $3.2 million for the same period of fiscal 2019. The Company acquired property, plant and equipment in the amount of approximately $1.6 million and $2.2 million for the nine-month periods ended January 31, 2020 and 2019, respectively. The Company may continue to invest in cash equivalents as dictated by its investment strategy.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cash provided by financing activities for either the nine months ended January 31, 2020 or 2019.</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been authorized by its Board of Directors (the “Board”) to repurchase up to $5 million worth of shares of its common stock when appropriate opportunities arise. As of January 31, 2020, the Company has repurchased approximately $4 million of its common stock out of the $5 million authorization. For the nine months ended January 31, 2020 and 2019, there were no repurchases of shares.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January 31, 2020, the Company’s consolidated funded backlog was approximately $36 million compared to $37 million at April 30, 2019, the end of fiscal 2019. Approximately 81% of this backlog is expected to be realized in the next twelve months. As of January 31, 2020, there were no amounts included in backlog under cost-plus fixed-fee (“CPFF”)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that its liquidity is adequate to meet its operating and investment needs through at least March 16, 2021 and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international business may be subject to changes where contracts are delineated in currencies other than the US Dollar.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January 31, 2020, the Company’s disclosure controls and procedures were effective to ensure that information relating to the Company, including its consolidated subsidiaries, required to be included in its reports that it filed or submitted under the Exchange Act is recorded, processed, summarized and reported within the time periods specified in the Securities and Exchange Commission rules and forms.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fiscal quarter ended January 31, 2020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January 28, 2020, Martin B. Bloch, the former Chief Scientist of the Company and a current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seeks a declaratory judgment, compensatory damages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attorney’s fees, among other things, based on allegations that he was wrongfully terminated “for cause” pursuant to his employment agreement, dated March 17, 2008, and his deferred compensation agreements, in each case as amended, with the Company, that the Company’s Form 8-K, filed January 27, 2020, damaged his reputation and that the Company discriminated against him based on his age. Mr. Bloch also asserts a claim derivatively on behalf of the Company that the Director Defendants breached their fiduciary duty in rendering their decision to terminate Mr. Bloch’s employment with the Company. The Company and the Director Defendants are scheduled to file their responsive pleading by March 30, 2020. The Court has not yet scheduled any hearings or other deadlines in connection with the lawsuit. The Company and the Director Defendants believe that the Board was justified in its decision to terminate Mr. Bloch “for cause” and that Mr. Bloch’s complaint is entirely without merit. The Company intends to vigorously defend against all of Mr. Bloch’s allegations. At this early stage in the case, the Company does not have sufficient information to determine whether liability, if any, arising out of these matters is probable or the possible loss, if any, that could result from an unfavorable outcome arising out of these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jc w:val="both"/>
        <w:ind w:left="1360" w:hanging="701"/>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6">
        <w:r>
          <w:rPr>
            <w:rFonts w:ascii="Arial" w:cs="Arial" w:eastAsia="Arial" w:hAnsi="Arial"/>
            <w:sz w:val="18"/>
            <w:szCs w:val="18"/>
            <w:u w:val="single" w:color="auto"/>
            <w:color w:val="0000EE"/>
          </w:rPr>
          <w:t>Certification by the Chief Executive Officer pursuant to Rule 13a-14(a) or 15d-14(a) under the Securities Exchange Act of 1934, as</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jc w:val="both"/>
        <w:ind w:left="1360" w:hanging="701"/>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7">
        <w:r>
          <w:rPr>
            <w:rFonts w:ascii="Arial" w:cs="Arial" w:eastAsia="Arial" w:hAnsi="Arial"/>
            <w:sz w:val="18"/>
            <w:szCs w:val="18"/>
            <w:u w:val="single" w:color="auto"/>
            <w:color w:val="0000EE"/>
          </w:rPr>
          <w:t>Certification by the Chief Financial Officer pursuant to Rule 13a-14(a) or 15d-14(a) under the Securities Exchange Act of 1934, as</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jc w:val="both"/>
        <w:ind w:left="1360" w:hanging="701"/>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w:anchor="page28">
        <w:r>
          <w:rPr>
            <w:rFonts w:ascii="Arial" w:cs="Arial" w:eastAsia="Arial" w:hAnsi="Arial"/>
            <w:sz w:val="18"/>
            <w:szCs w:val="18"/>
            <w:u w:val="single" w:color="auto"/>
            <w:color w:val="0000EE"/>
          </w:rPr>
          <w:t>Certifications by the Chief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Section 906 of the Sarbanes-Oxley Act of 2002.</w:t>
        </w:r>
      </w:hyperlink>
    </w:p>
    <w:p>
      <w:pPr>
        <w:spacing w:after="0" w:line="170" w:lineRule="exact"/>
        <w:rPr>
          <w:sz w:val="20"/>
          <w:szCs w:val="20"/>
          <w:color w:val="auto"/>
        </w:rPr>
      </w:pPr>
    </w:p>
    <w:p>
      <w:pPr>
        <w:jc w:val="both"/>
        <w:ind w:left="1360" w:hanging="701"/>
        <w:spacing w:after="0" w:line="279" w:lineRule="auto"/>
        <w:tabs>
          <w:tab w:leader="none" w:pos="13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The following materials from the Frequency Electronics, Inc. Quarterly Report on Form 10-Q for the quarter ended January 31, 2020 formatted in eXtensible Business Reporting Language (XBRL): (i) Condensed Consolidated Balance Sheets, (ii) Condensed Consolidated Statements of Operations (iii) Condensed Consolidated Statements of Cash Flows, (iv) Condensed Consolidated Statements of Changes in Stockholders’ Equity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120" w:type="dxa"/>
            <w:vAlign w:val="bottom"/>
          </w:tcPr>
          <w:p>
            <w:pPr>
              <w:spacing w:after="0"/>
              <w:rPr>
                <w:sz w:val="19"/>
                <w:szCs w:val="19"/>
                <w:color w:val="auto"/>
              </w:rPr>
            </w:pPr>
          </w:p>
        </w:tc>
        <w:tc>
          <w:tcPr>
            <w:tcW w:w="8060" w:type="dxa"/>
            <w:vAlign w:val="bottom"/>
            <w:gridSpan w:val="2"/>
          </w:tcPr>
          <w:p>
            <w:pPr>
              <w:ind w:left="156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3120" w:type="dxa"/>
            <w:vAlign w:val="bottom"/>
          </w:tcPr>
          <w:p>
            <w:pPr>
              <w:spacing w:after="0"/>
              <w:rPr>
                <w:sz w:val="20"/>
                <w:szCs w:val="20"/>
                <w:color w:val="auto"/>
              </w:rPr>
            </w:pPr>
          </w:p>
        </w:tc>
        <w:tc>
          <w:tcPr>
            <w:tcW w:w="8060" w:type="dxa"/>
            <w:vAlign w:val="bottom"/>
            <w:gridSpan w:val="2"/>
          </w:tcPr>
          <w:p>
            <w:pPr>
              <w:ind w:left="1560"/>
              <w:spacing w:after="0"/>
              <w:rPr>
                <w:sz w:val="20"/>
                <w:szCs w:val="20"/>
                <w:color w:val="auto"/>
              </w:rPr>
            </w:pPr>
            <w:r>
              <w:rPr>
                <w:rFonts w:ascii="Arial" w:cs="Arial" w:eastAsia="Arial" w:hAnsi="Arial"/>
                <w:sz w:val="18"/>
                <w:szCs w:val="18"/>
                <w:color w:val="auto"/>
              </w:rPr>
              <w:t>(Registrant)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March 16, 2020</w:t>
            </w:r>
          </w:p>
        </w:tc>
        <w:tc>
          <w:tcPr>
            <w:tcW w:w="8060" w:type="dxa"/>
            <w:vAlign w:val="bottom"/>
            <w:gridSpan w:val="2"/>
          </w:tcPr>
          <w:p>
            <w:pPr>
              <w:ind w:left="1560"/>
              <w:spacing w:after="0"/>
              <w:rPr>
                <w:sz w:val="20"/>
                <w:szCs w:val="20"/>
                <w:color w:val="auto"/>
              </w:rPr>
            </w:pPr>
            <w:r>
              <w:rPr>
                <w:rFonts w:ascii="Arial" w:cs="Arial" w:eastAsia="Arial" w:hAnsi="Arial"/>
                <w:sz w:val="18"/>
                <w:szCs w:val="18"/>
                <w:color w:val="auto"/>
              </w:rPr>
              <w:t>By:  /s/ Steven L. Bernstein</w:t>
            </w:r>
          </w:p>
        </w:tc>
      </w:tr>
      <w:tr>
        <w:trPr>
          <w:trHeight w:val="195"/>
        </w:trPr>
        <w:tc>
          <w:tcPr>
            <w:tcW w:w="3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Bernstein</w:t>
            </w:r>
          </w:p>
        </w:tc>
      </w:tr>
      <w:tr>
        <w:trPr>
          <w:trHeight w:val="216"/>
        </w:trPr>
        <w:tc>
          <w:tcPr>
            <w:tcW w:w="3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Signing on behalf of the registrant and as principal financial officer</w:t>
            </w:r>
          </w:p>
        </w:tc>
      </w:tr>
      <w:tr>
        <w:trPr>
          <w:trHeight w:val="648"/>
        </w:trPr>
        <w:tc>
          <w:tcPr>
            <w:tcW w:w="3120" w:type="dxa"/>
            <w:vAlign w:val="bottom"/>
          </w:tcPr>
          <w:p>
            <w:pPr>
              <w:spacing w:after="0"/>
              <w:rPr>
                <w:sz w:val="24"/>
                <w:szCs w:val="24"/>
                <w:color w:val="auto"/>
              </w:rPr>
            </w:pPr>
          </w:p>
        </w:tc>
        <w:tc>
          <w:tcPr>
            <w:tcW w:w="8060" w:type="dxa"/>
            <w:vAlign w:val="bottom"/>
            <w:gridSpan w:val="2"/>
          </w:tcPr>
          <w:p>
            <w:pPr>
              <w:jc w:val="right"/>
              <w:ind w:right="543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Stanton Sloane</w:t>
            </w:r>
          </w:p>
        </w:tc>
        <w:tc>
          <w:tcPr>
            <w:tcW w:w="1800" w:type="dxa"/>
            <w:vAlign w:val="bottom"/>
          </w:tcPr>
          <w:p>
            <w:pPr>
              <w:spacing w:after="0"/>
              <w:rPr>
                <w:sz w:val="18"/>
                <w:szCs w:val="18"/>
                <w:color w:val="auto"/>
              </w:rPr>
            </w:pPr>
          </w:p>
        </w:tc>
        <w:tc>
          <w:tcPr>
            <w:tcW w:w="2600" w:type="dxa"/>
            <w:vAlign w:val="bottom"/>
          </w:tcPr>
          <w:p>
            <w:pPr>
              <w:ind w:left="1440"/>
              <w:spacing w:after="0"/>
              <w:rPr>
                <w:sz w:val="20"/>
                <w:szCs w:val="20"/>
                <w:color w:val="auto"/>
              </w:rPr>
            </w:pPr>
            <w:r>
              <w:rPr>
                <w:rFonts w:ascii="Arial" w:cs="Arial" w:eastAsia="Arial" w:hAnsi="Arial"/>
                <w:sz w:val="18"/>
                <w:szCs w:val="18"/>
                <w:color w:val="auto"/>
                <w:w w:val="91"/>
              </w:rPr>
              <w:t>March 16, 2020</w:t>
            </w:r>
          </w:p>
        </w:tc>
      </w:tr>
      <w:tr>
        <w:trPr>
          <w:trHeight w:val="222"/>
        </w:trPr>
        <w:tc>
          <w:tcPr>
            <w:tcW w:w="4180" w:type="dxa"/>
            <w:vAlign w:val="bottom"/>
            <w:gridSpan w:val="3"/>
          </w:tcPr>
          <w:p>
            <w:pPr>
              <w:spacing w:after="0"/>
              <w:rPr>
                <w:sz w:val="20"/>
                <w:szCs w:val="20"/>
                <w:color w:val="auto"/>
              </w:rPr>
            </w:pPr>
            <w:r>
              <w:rPr>
                <w:rFonts w:ascii="Arial" w:cs="Arial" w:eastAsia="Arial" w:hAnsi="Arial"/>
                <w:sz w:val="18"/>
                <w:szCs w:val="18"/>
                <w:color w:val="auto"/>
              </w:rPr>
              <w:t>Stanton Sloane</w:t>
            </w:r>
          </w:p>
        </w:tc>
        <w:tc>
          <w:tcPr>
            <w:tcW w:w="2600" w:type="dxa"/>
            <w:vAlign w:val="bottom"/>
          </w:tcPr>
          <w:p>
            <w:pPr>
              <w:spacing w:after="0"/>
              <w:rPr>
                <w:sz w:val="19"/>
                <w:szCs w:val="19"/>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2020" w:type="dxa"/>
            <w:vAlign w:val="bottom"/>
          </w:tcPr>
          <w:p>
            <w:pPr>
              <w:spacing w:after="0"/>
              <w:rPr>
                <w:sz w:val="18"/>
                <w:szCs w:val="18"/>
                <w:color w:val="auto"/>
              </w:rPr>
            </w:pPr>
          </w:p>
        </w:tc>
        <w:tc>
          <w:tcPr>
            <w:tcW w:w="2140" w:type="dxa"/>
            <w:vAlign w:val="bottom"/>
          </w:tcPr>
          <w:p>
            <w:pPr>
              <w:ind w:left="1000"/>
              <w:spacing w:after="0"/>
              <w:rPr>
                <w:sz w:val="20"/>
                <w:szCs w:val="20"/>
                <w:color w:val="auto"/>
              </w:rPr>
            </w:pPr>
            <w:r>
              <w:rPr>
                <w:rFonts w:ascii="Arial" w:cs="Arial" w:eastAsia="Arial" w:hAnsi="Arial"/>
                <w:sz w:val="18"/>
                <w:szCs w:val="18"/>
                <w:color w:val="auto"/>
                <w:w w:val="89"/>
              </w:rPr>
              <w:t>March 16, 2020</w:t>
            </w:r>
          </w:p>
        </w:tc>
      </w:tr>
      <w:tr>
        <w:trPr>
          <w:trHeight w:val="222"/>
        </w:trPr>
        <w:tc>
          <w:tcPr>
            <w:tcW w:w="448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2140" w:type="dxa"/>
            <w:vAlign w:val="bottom"/>
          </w:tcPr>
          <w:p>
            <w:pPr>
              <w:spacing w:after="0"/>
              <w:rPr>
                <w:sz w:val="19"/>
                <w:szCs w:val="19"/>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Chief Financial Officer, Secretary and Treasurer</w:t>
            </w:r>
          </w:p>
        </w:tc>
        <w:tc>
          <w:tcPr>
            <w:tcW w:w="214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2020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Stanton Sloane</w:t>
            </w:r>
          </w:p>
        </w:tc>
        <w:tc>
          <w:tcPr>
            <w:tcW w:w="3700" w:type="dxa"/>
            <w:vAlign w:val="bottom"/>
          </w:tcPr>
          <w:p>
            <w:pPr>
              <w:jc w:val="right"/>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222"/>
        </w:trPr>
        <w:tc>
          <w:tcPr>
            <w:tcW w:w="3780" w:type="dxa"/>
            <w:vAlign w:val="bottom"/>
            <w:gridSpan w:val="3"/>
          </w:tcPr>
          <w:p>
            <w:pPr>
              <w:ind w:left="660"/>
              <w:spacing w:after="0"/>
              <w:rPr>
                <w:sz w:val="20"/>
                <w:szCs w:val="20"/>
                <w:color w:val="auto"/>
              </w:rPr>
            </w:pPr>
            <w:r>
              <w:rPr>
                <w:rFonts w:ascii="Arial" w:cs="Arial" w:eastAsia="Arial" w:hAnsi="Arial"/>
                <w:sz w:val="18"/>
                <w:szCs w:val="18"/>
                <w:color w:val="auto"/>
              </w:rPr>
              <w:t>Stanton Sloane</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ind w:left="660"/>
              <w:spacing w:after="0"/>
              <w:rPr>
                <w:sz w:val="20"/>
                <w:szCs w:val="20"/>
                <w:color w:val="auto"/>
              </w:rPr>
            </w:pPr>
            <w:r>
              <w:rPr>
                <w:rFonts w:ascii="Arial" w:cs="Arial" w:eastAsia="Arial" w:hAnsi="Arial"/>
                <w:sz w:val="18"/>
                <w:szCs w:val="18"/>
                <w:color w:val="auto"/>
              </w:rPr>
              <w:t>President and Chief Executive Officer</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370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3780" w:type="dxa"/>
            <w:vAlign w:val="bottom"/>
            <w:gridSpan w:val="3"/>
            <w:vMerge w:val="continue"/>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January 31, 2020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60" w:hanging="304"/>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1620" w:type="dxa"/>
            <w:vAlign w:val="bottom"/>
          </w:tcPr>
          <w:p>
            <w:pPr>
              <w:spacing w:after="0"/>
              <w:rPr>
                <w:sz w:val="18"/>
                <w:szCs w:val="18"/>
                <w:color w:val="auto"/>
              </w:rPr>
            </w:pPr>
          </w:p>
        </w:tc>
        <w:tc>
          <w:tcPr>
            <w:tcW w:w="2220" w:type="dxa"/>
            <w:vAlign w:val="bottom"/>
          </w:tcPr>
          <w:p>
            <w:pPr>
              <w:ind w:left="1080"/>
              <w:spacing w:after="0"/>
              <w:rPr>
                <w:sz w:val="20"/>
                <w:szCs w:val="20"/>
                <w:color w:val="auto"/>
              </w:rPr>
            </w:pPr>
            <w:r>
              <w:rPr>
                <w:rFonts w:ascii="Arial" w:cs="Arial" w:eastAsia="Arial" w:hAnsi="Arial"/>
                <w:sz w:val="18"/>
                <w:szCs w:val="18"/>
                <w:color w:val="auto"/>
                <w:w w:val="89"/>
              </w:rPr>
              <w:t>March 16, 2020</w:t>
            </w: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2220" w:type="dxa"/>
            <w:vAlign w:val="bottom"/>
          </w:tcPr>
          <w:p>
            <w:pPr>
              <w:spacing w:after="0"/>
              <w:rPr>
                <w:sz w:val="19"/>
                <w:szCs w:val="19"/>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Chief Financial Officer, Secretary and Treasurer</w:t>
            </w:r>
          </w:p>
        </w:tc>
        <w:tc>
          <w:tcPr>
            <w:tcW w:w="22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upperLetter"/>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2020-03-16T11:39:39Z</dcterms:created>
  <dcterms:modified xsi:type="dcterms:W3CDTF">2020-03-16T11:39:39Z</dcterms:modified>
</cp:coreProperties>
</file>