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3960" w:right="1820" w:hanging="3304"/>
        <w:spacing w:after="0" w:line="277" w:lineRule="auto"/>
        <w:tabs>
          <w:tab w:leader="none" w:pos="9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January 31, 2012</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800" w:hanging="2944"/>
        <w:spacing w:after="0" w:line="266" w:lineRule="auto"/>
        <w:tabs>
          <w:tab w:leader="none" w:pos="9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jc w:val="center"/>
              <w:ind w:right="57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1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80" w:type="dxa"/>
            <w:vAlign w:val="bottom"/>
          </w:tcPr>
          <w:p>
            <w:pPr>
              <w:jc w:val="center"/>
              <w:ind w:right="570"/>
              <w:spacing w:after="0"/>
              <w:rPr>
                <w:sz w:val="20"/>
                <w:szCs w:val="20"/>
                <w:color w:val="auto"/>
              </w:rPr>
            </w:pPr>
            <w:r>
              <w:rPr>
                <w:rFonts w:ascii="Arial" w:cs="Arial" w:eastAsia="Arial" w:hAnsi="Arial"/>
                <w:sz w:val="18"/>
                <w:szCs w:val="18"/>
                <w:color w:val="auto"/>
                <w:w w:val="93"/>
              </w:rPr>
              <w:t>(State or other jurisdiction of</w:t>
            </w:r>
          </w:p>
        </w:tc>
        <w:tc>
          <w:tcPr>
            <w:tcW w:w="368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80" w:type="dxa"/>
            <w:vAlign w:val="bottom"/>
          </w:tcPr>
          <w:p>
            <w:pPr>
              <w:jc w:val="center"/>
              <w:ind w:right="570"/>
              <w:spacing w:after="0"/>
              <w:rPr>
                <w:sz w:val="20"/>
                <w:szCs w:val="20"/>
                <w:color w:val="auto"/>
              </w:rPr>
            </w:pPr>
            <w:r>
              <w:rPr>
                <w:rFonts w:ascii="Arial" w:cs="Arial" w:eastAsia="Arial" w:hAnsi="Arial"/>
                <w:sz w:val="18"/>
                <w:szCs w:val="18"/>
                <w:color w:val="auto"/>
                <w:w w:val="93"/>
              </w:rPr>
              <w:t>incorporation or organization)</w:t>
            </w:r>
          </w:p>
        </w:tc>
        <w:tc>
          <w:tcPr>
            <w:tcW w:w="3680" w:type="dxa"/>
            <w:vAlign w:val="bottom"/>
          </w:tcPr>
          <w:p>
            <w:pPr>
              <w:spacing w:after="0"/>
              <w:rPr>
                <w:sz w:val="20"/>
                <w:szCs w:val="20"/>
                <w:color w:val="auto"/>
              </w:rPr>
            </w:pPr>
          </w:p>
        </w:tc>
      </w:tr>
      <w:tr>
        <w:trPr>
          <w:trHeight w:val="418"/>
        </w:trPr>
        <w:tc>
          <w:tcPr>
            <w:tcW w:w="6280" w:type="dxa"/>
            <w:vAlign w:val="bottom"/>
          </w:tcPr>
          <w:p>
            <w:pPr>
              <w:jc w:val="center"/>
              <w:ind w:right="570"/>
              <w:spacing w:after="0"/>
              <w:rPr>
                <w:sz w:val="20"/>
                <w:szCs w:val="20"/>
                <w:color w:val="auto"/>
              </w:rPr>
            </w:pPr>
            <w:r>
              <w:rPr>
                <w:rFonts w:ascii="Arial" w:cs="Arial" w:eastAsia="Arial" w:hAnsi="Arial"/>
                <w:sz w:val="18"/>
                <w:szCs w:val="18"/>
                <w:b w:val="1"/>
                <w:bCs w:val="1"/>
                <w:color w:val="auto"/>
              </w:rPr>
              <w:t>55 CHARLES LINDBERGH BLVD., MITCHEL FIELD, N.Y.</w:t>
            </w:r>
          </w:p>
        </w:tc>
        <w:tc>
          <w:tcPr>
            <w:tcW w:w="3680" w:type="dxa"/>
            <w:vAlign w:val="bottom"/>
          </w:tcPr>
          <w:p>
            <w:pPr>
              <w:jc w:val="right"/>
              <w:ind w:right="103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80" w:type="dxa"/>
            <w:vAlign w:val="bottom"/>
          </w:tcPr>
          <w:p>
            <w:pPr>
              <w:jc w:val="center"/>
              <w:ind w:right="57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10"/>
              <w:spacing w:after="0"/>
              <w:rPr>
                <w:sz w:val="20"/>
                <w:szCs w:val="20"/>
                <w:color w:val="auto"/>
              </w:rPr>
            </w:pPr>
            <w:r>
              <w:rPr>
                <w:rFonts w:ascii="Arial" w:cs="Arial" w:eastAsia="Arial" w:hAnsi="Arial"/>
                <w:sz w:val="18"/>
                <w:szCs w:val="18"/>
                <w:color w:val="auto"/>
                <w:w w:val="94"/>
              </w:rPr>
              <w:t>(Zip Code)</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8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(do not check if a smaller reporting company)</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Yes £ No </w:t>
      </w:r>
      <w:r>
        <w:rPr>
          <w:rFonts w:ascii="MS PGothic" w:cs="MS PGothic" w:eastAsia="MS PGothic" w:hAnsi="MS PGothic"/>
          <w:sz w:val="18"/>
          <w:szCs w:val="18"/>
          <w:color w:val="auto"/>
        </w:rPr>
        <w:t>☒</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9, 2012 – 8,346,623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color w:val="auto"/>
                <w:w w:val="95"/>
              </w:rPr>
              <w:t>FREQUENCY ELECTRONICS, INC. and SUBSIDIARIES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Item 1 - Financial Statements:</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Condensed Consolidated Balance Sheets -</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960"/>
              <w:spacing w:after="0"/>
              <w:rPr>
                <w:sz w:val="20"/>
                <w:szCs w:val="20"/>
                <w:color w:val="auto"/>
              </w:rPr>
            </w:pPr>
            <w:r>
              <w:rPr>
                <w:rFonts w:ascii="Arial" w:cs="Arial" w:eastAsia="Arial" w:hAnsi="Arial"/>
                <w:sz w:val="18"/>
                <w:szCs w:val="18"/>
                <w:color w:val="auto"/>
              </w:rPr>
              <w:t>January 31, 2012 and April 30, 2011</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Condensed Consolidated Statements of Operations</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960"/>
              <w:spacing w:after="0"/>
              <w:rPr>
                <w:sz w:val="20"/>
                <w:szCs w:val="20"/>
                <w:color w:val="auto"/>
              </w:rPr>
            </w:pPr>
            <w:r>
              <w:rPr>
                <w:rFonts w:ascii="Arial" w:cs="Arial" w:eastAsia="Arial" w:hAnsi="Arial"/>
                <w:sz w:val="18"/>
                <w:szCs w:val="18"/>
                <w:color w:val="auto"/>
              </w:rPr>
              <w:t>Nine Months Ended January 31, 2012 and 2011</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Condensed Consolidated Statements of Operations</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960"/>
              <w:spacing w:after="0"/>
              <w:rPr>
                <w:sz w:val="20"/>
                <w:szCs w:val="20"/>
                <w:color w:val="auto"/>
              </w:rPr>
            </w:pPr>
            <w:r>
              <w:rPr>
                <w:rFonts w:ascii="Arial" w:cs="Arial" w:eastAsia="Arial" w:hAnsi="Arial"/>
                <w:sz w:val="18"/>
                <w:szCs w:val="18"/>
                <w:color w:val="auto"/>
              </w:rPr>
              <w:t>Three Months Ended January 31, 2012 and 2011</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Condensed Consolidated Statements of Cash Flows</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960"/>
              <w:spacing w:after="0"/>
              <w:rPr>
                <w:sz w:val="20"/>
                <w:szCs w:val="20"/>
                <w:color w:val="auto"/>
              </w:rPr>
            </w:pPr>
            <w:r>
              <w:rPr>
                <w:rFonts w:ascii="Arial" w:cs="Arial" w:eastAsia="Arial" w:hAnsi="Arial"/>
                <w:sz w:val="18"/>
                <w:szCs w:val="18"/>
                <w:color w:val="auto"/>
              </w:rPr>
              <w:t>Nine Months Ended January 31, 2012 and 2011</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Notes to Condensed Consolidated Financial Statements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4"/>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Item 2 - Management's Discussion and Analysis of Financial Condition and Results of Operations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1"/>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Item 3 – Quantitative and Qualitative Disclosures about Market Risk</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Item 6 - Exhibits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Signatures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1"/>
              </w:rPr>
              <w:t>23-25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6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0"/>
              </w:rPr>
              <w:t>2 of 25</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142875</wp:posOffset>
            </wp:positionV>
            <wp:extent cx="2186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January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April 30,</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6"/>
              </w:rPr>
              <w:t>(NOTE A)</w:t>
            </w:r>
          </w:p>
        </w:tc>
        <w:tc>
          <w:tcPr>
            <w:tcW w:w="1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(In thousands except share data)</w:t>
            </w:r>
          </w:p>
        </w:tc>
      </w:tr>
      <w:tr>
        <w:trPr>
          <w:trHeight w:val="216"/>
        </w:trPr>
        <w:tc>
          <w:tcPr>
            <w:tcW w:w="20" w:type="dxa"/>
            <w:vAlign w:val="bottom"/>
          </w:tcPr>
          <w:p>
            <w:pPr>
              <w:spacing w:after="0"/>
              <w:rPr>
                <w:sz w:val="18"/>
                <w:szCs w:val="18"/>
                <w:color w:val="auto"/>
              </w:rPr>
            </w:pPr>
          </w:p>
        </w:tc>
        <w:tc>
          <w:tcPr>
            <w:tcW w:w="14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ASSETS:</w:t>
            </w:r>
          </w:p>
        </w:tc>
        <w:tc>
          <w:tcPr>
            <w:tcW w:w="6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Current assets:</w:t>
            </w:r>
          </w:p>
        </w:tc>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5,275</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15,357</w:t>
            </w: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$368 at January 31, 2012 and $258 at April</w:t>
            </w: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30, 2011</w:t>
            </w:r>
          </w:p>
        </w:tc>
        <w:tc>
          <w:tcPr>
            <w:tcW w:w="6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7,662</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11,663</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r>
      <w:tr>
        <w:trPr>
          <w:trHeight w:val="216"/>
        </w:trPr>
        <w:tc>
          <w:tcPr>
            <w:tcW w:w="20" w:type="dxa"/>
            <w:vAlign w:val="bottom"/>
          </w:tcPr>
          <w:p>
            <w:pPr>
              <w:spacing w:after="0"/>
              <w:rPr>
                <w:sz w:val="18"/>
                <w:szCs w:val="18"/>
                <w:color w:val="auto"/>
              </w:rPr>
            </w:pPr>
          </w:p>
        </w:tc>
        <w:tc>
          <w:tcPr>
            <w:tcW w:w="1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6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31,072</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28,172</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Prepaid income taxes, expenses and other</w:t>
            </w:r>
          </w:p>
        </w:tc>
        <w:tc>
          <w:tcPr>
            <w:tcW w:w="12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1,448</w:t>
            </w: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72,814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67,736</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6,623</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7,163</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9,409</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 and loans receivable from affiliates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3,738</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Other assets</w:t>
            </w:r>
          </w:p>
        </w:tc>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4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assets</w:t>
            </w:r>
          </w:p>
        </w:tc>
        <w:tc>
          <w:tcPr>
            <w:tcW w:w="664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94,127</w:t>
            </w:r>
          </w:p>
        </w:tc>
        <w:tc>
          <w:tcPr>
            <w:tcW w:w="120" w:type="dxa"/>
            <w:vAlign w:val="bottom"/>
            <w:shd w:val="clear" w:color="auto" w:fill="CCFFCC"/>
          </w:tcPr>
          <w:p>
            <w:pPr>
              <w:spacing w:after="0"/>
              <w:rPr>
                <w:sz w:val="21"/>
                <w:szCs w:val="21"/>
                <w:color w:val="auto"/>
              </w:rPr>
            </w:pP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89,831</w:t>
            </w:r>
          </w:p>
        </w:tc>
      </w:tr>
      <w:tr>
        <w:trPr>
          <w:trHeight w:val="197"/>
        </w:trPr>
        <w:tc>
          <w:tcPr>
            <w:tcW w:w="20" w:type="dxa"/>
            <w:vAlign w:val="bottom"/>
          </w:tcPr>
          <w:p>
            <w:pPr>
              <w:spacing w:after="0"/>
              <w:rPr>
                <w:sz w:val="17"/>
                <w:szCs w:val="17"/>
                <w:color w:val="auto"/>
              </w:rPr>
            </w:pPr>
          </w:p>
        </w:tc>
        <w:tc>
          <w:tcPr>
            <w:tcW w:w="8100" w:type="dxa"/>
            <w:vAlign w:val="bottom"/>
            <w:tcBorders>
              <w:top w:val="single" w:sz="8" w:color="CCFFCC"/>
            </w:tcBorders>
            <w:gridSpan w:val="2"/>
          </w:tcPr>
          <w:p>
            <w:pPr>
              <w:ind w:left="480"/>
              <w:spacing w:after="0" w:line="196" w:lineRule="exact"/>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6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Short-term credit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8,933</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7,386</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Capital lease obligation- noncurrent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9,827</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Deferred rent and other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19,771</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18,296</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w w:val="91"/>
              </w:rPr>
              <w:t>Preferred stock</w:t>
            </w:r>
          </w:p>
        </w:tc>
        <w:tc>
          <w:tcPr>
            <w:tcW w:w="6640" w:type="dxa"/>
            <w:vAlign w:val="bottom"/>
          </w:tcPr>
          <w:p>
            <w:pPr>
              <w:ind w:left="40"/>
              <w:spacing w:after="0"/>
              <w:rPr>
                <w:sz w:val="20"/>
                <w:szCs w:val="20"/>
                <w:color w:val="auto"/>
              </w:rPr>
            </w:pPr>
            <w:r>
              <w:rPr>
                <w:rFonts w:ascii="Arial" w:cs="Arial" w:eastAsia="Arial" w:hAnsi="Arial"/>
                <w:sz w:val="18"/>
                <w:szCs w:val="18"/>
                <w:color w:val="auto"/>
              </w:rPr>
              <w:t>- $1.00 par value</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6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3"/>
              </w:rPr>
              <w:t>Common stock</w:t>
            </w:r>
          </w:p>
        </w:tc>
        <w:tc>
          <w:tcPr>
            <w:tcW w:w="6640" w:type="dxa"/>
            <w:vAlign w:val="bottom"/>
            <w:shd w:val="clear" w:color="auto" w:fill="CCFFCC"/>
          </w:tcPr>
          <w:p>
            <w:pPr>
              <w:ind w:left="40"/>
              <w:spacing w:after="0"/>
              <w:rPr>
                <w:sz w:val="20"/>
                <w:szCs w:val="20"/>
                <w:color w:val="auto"/>
              </w:rPr>
            </w:pPr>
            <w:r>
              <w:rPr>
                <w:rFonts w:ascii="Arial" w:cs="Arial" w:eastAsia="Arial" w:hAnsi="Arial"/>
                <w:sz w:val="18"/>
                <w:szCs w:val="18"/>
                <w:color w:val="auto"/>
              </w:rPr>
              <w:t>- $1.00 par value, issued 9,163,940 shares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50,542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49,868</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14,480</w:t>
            </w: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74,186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70,318</w:t>
            </w: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Common stock reacquired and held in treasury - at cost (817,317 shares at January 31, 2012 and 865,734</w:t>
            </w: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shares at April 30, 2011)</w:t>
            </w:r>
          </w:p>
        </w:tc>
        <w:tc>
          <w:tcPr>
            <w:tcW w:w="120" w:type="dxa"/>
            <w:vAlign w:val="bottom"/>
            <w:shd w:val="clear" w:color="auto" w:fill="CCFFCC"/>
          </w:tcPr>
          <w:p>
            <w:pPr>
              <w:spacing w:after="0"/>
              <w:rPr>
                <w:sz w:val="20"/>
                <w:szCs w:val="20"/>
                <w:color w:val="auto"/>
              </w:rPr>
            </w:pP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(3,975)</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FFCC"/>
            </w:tcBorders>
            <w:gridSpan w:val="2"/>
            <w:shd w:val="clear" w:color="auto" w:fill="CCFFCC"/>
          </w:tcPr>
          <w:p>
            <w:pPr>
              <w:ind w:left="8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74,356</w:t>
            </w:r>
          </w:p>
        </w:tc>
        <w:tc>
          <w:tcPr>
            <w:tcW w:w="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71,535</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94,127</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89,831</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95"/>
              </w:rPr>
              <w:t>FREQUENCY ELECTRONICS, INC. and SUBSIDIARIES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88"/>
              </w:rPr>
              <w:t>Condensed Consolidated Statements of Operations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90"/>
              </w:rPr>
              <w:t>Nine Months Ended January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46,442</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18,472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10,017</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5,501</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 income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Impairment of investment in and loans receivable from affiliate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4,964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3,194</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FFC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40"/>
              <w:spacing w:after="0" w:line="196" w:lineRule="exact"/>
              <w:rPr>
                <w:sz w:val="20"/>
                <w:szCs w:val="20"/>
                <w:color w:val="auto"/>
              </w:rPr>
            </w:pPr>
            <w:r>
              <w:rPr>
                <w:rFonts w:ascii="Arial" w:cs="Arial" w:eastAsia="Arial" w:hAnsi="Arial"/>
                <w:sz w:val="18"/>
                <w:szCs w:val="18"/>
                <w:color w:val="auto"/>
              </w:rPr>
              <w:t>0.37</w:t>
            </w:r>
          </w:p>
        </w:tc>
        <w:tc>
          <w:tcPr>
            <w:tcW w:w="400" w:type="dxa"/>
            <w:vAlign w:val="bottom"/>
            <w:gridSpan w:val="2"/>
            <w:shd w:val="clear" w:color="auto" w:fill="CCFFC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8,319,740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8,249,225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line="196" w:lineRule="exact"/>
              <w:rPr>
                <w:sz w:val="20"/>
                <w:szCs w:val="20"/>
                <w:color w:val="auto"/>
              </w:rPr>
            </w:pPr>
            <w:r>
              <w:rPr>
                <w:rFonts w:ascii="Arial" w:cs="Arial" w:eastAsia="Arial" w:hAnsi="Arial"/>
                <w:sz w:val="18"/>
                <w:szCs w:val="18"/>
                <w:color w:val="auto"/>
              </w:rPr>
              <w:t>8,537,591</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8,325,665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40" w:type="dxa"/>
            <w:vAlign w:val="bottom"/>
            <w:gridSpan w:val="2"/>
          </w:tcPr>
          <w:p>
            <w:pPr>
              <w:jc w:val="center"/>
              <w:ind w:right="70"/>
              <w:spacing w:after="0"/>
              <w:rPr>
                <w:sz w:val="20"/>
                <w:szCs w:val="20"/>
                <w:color w:val="auto"/>
              </w:rPr>
            </w:pPr>
            <w:r>
              <w:rPr>
                <w:rFonts w:ascii="Arial" w:cs="Arial" w:eastAsia="Arial" w:hAnsi="Arial"/>
                <w:sz w:val="18"/>
                <w:szCs w:val="18"/>
                <w:color w:val="auto"/>
                <w:w w:val="95"/>
              </w:rPr>
              <w:t>FREQUENCY ELECTRONICS, INC. and SUBSIDIARIES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4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Condensed Consolidated Statements of Operations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4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Three Months Ended January 31,</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40" w:type="dxa"/>
            <w:vAlign w:val="bottom"/>
            <w:gridSpan w:val="2"/>
          </w:tcPr>
          <w:p>
            <w:pPr>
              <w:jc w:val="center"/>
              <w:ind w:right="90"/>
              <w:spacing w:after="0"/>
              <w:rPr>
                <w:sz w:val="20"/>
                <w:szCs w:val="20"/>
                <w:color w:val="auto"/>
              </w:rPr>
            </w:pPr>
            <w:r>
              <w:rPr>
                <w:rFonts w:ascii="Arial" w:cs="Arial" w:eastAsia="Arial" w:hAnsi="Arial"/>
                <w:sz w:val="18"/>
                <w:szCs w:val="18"/>
                <w:color w:val="auto"/>
                <w:w w:val="91"/>
              </w:rPr>
              <w:t>(Unaudited)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0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15,448</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revenues</w:t>
            </w:r>
          </w:p>
        </w:tc>
        <w:tc>
          <w:tcPr>
            <w:tcW w:w="4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6,215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4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net</w:t>
            </w:r>
          </w:p>
        </w:tc>
        <w:tc>
          <w:tcPr>
            <w:tcW w:w="4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98"/>
              </w:rPr>
              <w:t>Income before provision for income taxes</w:t>
            </w:r>
          </w:p>
        </w:tc>
        <w:tc>
          <w:tcPr>
            <w:tcW w:w="484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484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5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shd w:val="clear" w:color="auto" w:fill="CCFFCC"/>
          </w:tcPr>
          <w:p>
            <w:pPr>
              <w:spacing w:after="0"/>
              <w:rPr>
                <w:sz w:val="17"/>
                <w:szCs w:val="17"/>
                <w:color w:val="auto"/>
              </w:rPr>
            </w:pPr>
          </w:p>
        </w:tc>
        <w:tc>
          <w:tcPr>
            <w:tcW w:w="48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484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FFCC"/>
            </w:tcBorders>
            <w:shd w:val="clear" w:color="auto" w:fill="CCFFCC"/>
          </w:tcPr>
          <w:p>
            <w:pPr>
              <w:spacing w:after="0" w:line="20" w:lineRule="exact"/>
              <w:rPr>
                <w:sz w:val="1"/>
                <w:szCs w:val="1"/>
                <w:color w:val="auto"/>
              </w:rPr>
            </w:pPr>
          </w:p>
        </w:tc>
        <w:tc>
          <w:tcPr>
            <w:tcW w:w="48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48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shd w:val="clear" w:color="auto" w:fill="CCFFCC"/>
          </w:tcPr>
          <w:p>
            <w:pPr>
              <w:spacing w:after="0"/>
              <w:rPr>
                <w:sz w:val="17"/>
                <w:szCs w:val="17"/>
                <w:color w:val="auto"/>
              </w:rPr>
            </w:pPr>
          </w:p>
        </w:tc>
        <w:tc>
          <w:tcPr>
            <w:tcW w:w="48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484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8,323,912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bottom w:val="single" w:sz="8" w:color="auto"/>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8,262,713</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8,508,297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8,372,187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95"/>
              </w:rPr>
              <w:t>FREQUENCY ELECTRONICS, INC. and SUBSIDIARIES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89"/>
              </w:rPr>
              <w:t>Condensed 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90"/>
              </w:rPr>
              <w:t>Nine Months Ended January 31,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(In</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w w:val="71"/>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3,194</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charges to earnings, net</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4,886</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(6,804)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8"/>
              </w:rPr>
              <w:t>(8,757)</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Loan to affiliate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fixed assets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8"/>
              </w:rPr>
              <w:t>(1,124)</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(3,862)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2,350</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Debt payments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5,275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4,548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Interest</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line="196"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FFCC"/>
          </w:tcPr>
          <w:p>
            <w:pPr>
              <w:jc w:val="right"/>
              <w:ind w:right="55"/>
              <w:spacing w:after="0" w:line="196" w:lineRule="exact"/>
              <w:rPr>
                <w:sz w:val="20"/>
                <w:szCs w:val="20"/>
                <w:color w:val="auto"/>
              </w:rPr>
            </w:pPr>
            <w:r>
              <w:rPr>
                <w:rFonts w:ascii="Arial" w:cs="Arial" w:eastAsia="Arial" w:hAnsi="Arial"/>
                <w:sz w:val="18"/>
                <w:szCs w:val="18"/>
                <w:color w:val="auto"/>
              </w:rPr>
              <w:t>1,128</w:t>
            </w:r>
          </w:p>
        </w:tc>
        <w:tc>
          <w:tcPr>
            <w:tcW w:w="560" w:type="dxa"/>
            <w:vAlign w:val="bottom"/>
            <w:gridSpan w:val="2"/>
            <w:shd w:val="clear" w:color="auto" w:fill="CCFFC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25" w:lineRule="exact"/>
        <w:rPr>
          <w:sz w:val="20"/>
          <w:szCs w:val="20"/>
          <w:color w:val="auto"/>
        </w:rPr>
      </w:pPr>
    </w:p>
    <w:p>
      <w:pPr>
        <w:jc w:val="both"/>
        <w:ind w:firstLine="571"/>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2012 and the results of its operations and cash flows for the nine and three months ended January 31, 2012 and 2011. The April 30, 2011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2011.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20"/>
                <w:szCs w:val="20"/>
                <w:color w:val="auto"/>
              </w:rPr>
            </w:pPr>
          </w:p>
        </w:tc>
        <w:tc>
          <w:tcPr>
            <w:tcW w:w="22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195"/>
        </w:trPr>
        <w:tc>
          <w:tcPr>
            <w:tcW w:w="5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3"/>
              </w:rPr>
              <w:t>Periods ended January 31,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4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8,319,740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8,249,225</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8,323,912</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8,262,713</w:t>
            </w:r>
          </w:p>
        </w:tc>
        <w:tc>
          <w:tcPr>
            <w:tcW w:w="10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217,851</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184,385</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109,474</w:t>
            </w:r>
          </w:p>
        </w:tc>
        <w:tc>
          <w:tcPr>
            <w:tcW w:w="100" w:type="dxa"/>
            <w:vAlign w:val="bottom"/>
          </w:tcPr>
          <w:p>
            <w:pPr>
              <w:spacing w:after="0"/>
              <w:rPr>
                <w:sz w:val="18"/>
                <w:szCs w:val="18"/>
                <w:color w:val="auto"/>
              </w:rPr>
            </w:pPr>
          </w:p>
        </w:tc>
      </w:tr>
      <w:tr>
        <w:trPr>
          <w:trHeight w:val="250"/>
        </w:trPr>
        <w:tc>
          <w:tcPr>
            <w:tcW w:w="5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8,537,591</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8,325,665</w:t>
            </w:r>
          </w:p>
        </w:tc>
        <w:tc>
          <w:tcPr>
            <w:tcW w:w="2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8,508,297</w:t>
            </w:r>
          </w:p>
        </w:tc>
        <w:tc>
          <w:tcPr>
            <w:tcW w:w="1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8,372,187</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2"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w w:val="92"/>
              </w:rPr>
              <w:t>Nine months</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w w:val="86"/>
              </w:rPr>
              <w:t>Three months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6"/>
          </w:tcPr>
          <w:p>
            <w:pPr>
              <w:ind w:left="260"/>
              <w:spacing w:after="0" w:line="195" w:lineRule="exact"/>
              <w:rPr>
                <w:sz w:val="20"/>
                <w:szCs w:val="20"/>
                <w:color w:val="auto"/>
              </w:rPr>
            </w:pPr>
            <w:r>
              <w:rPr>
                <w:rFonts w:ascii="Arial" w:cs="Arial" w:eastAsia="Arial" w:hAnsi="Arial"/>
                <w:sz w:val="18"/>
                <w:szCs w:val="18"/>
                <w:color w:val="auto"/>
              </w:rPr>
              <w:t>Periods ended January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and SARS excluded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733,375</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900,775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746,375</w:t>
            </w:r>
          </w:p>
        </w:tc>
        <w:tc>
          <w:tcPr>
            <w:tcW w:w="3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900,775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January 31, 2012 and April 30, 2011, costs and estimated earnings in excess of billings, net, consist of the following:</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January 31, 2012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April 30, 2011</w:t>
            </w:r>
          </w:p>
        </w:tc>
        <w:tc>
          <w:tcPr>
            <w:tcW w:w="100" w:type="dxa"/>
            <w:vAlign w:val="bottom"/>
          </w:tcPr>
          <w:p>
            <w:pPr>
              <w:spacing w:after="0"/>
              <w:rPr>
                <w:sz w:val="20"/>
                <w:szCs w:val="20"/>
                <w:color w:val="auto"/>
              </w:rPr>
            </w:pPr>
          </w:p>
        </w:tc>
      </w:tr>
      <w:tr>
        <w:trPr>
          <w:trHeight w:val="210"/>
        </w:trPr>
        <w:tc>
          <w:tcPr>
            <w:tcW w:w="5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520" w:type="dxa"/>
            <w:vAlign w:val="bottom"/>
            <w:gridSpan w:val="4"/>
          </w:tcPr>
          <w:p>
            <w:pPr>
              <w:jc w:val="right"/>
              <w:ind w:right="83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8"/>
                <w:szCs w:val="18"/>
                <w:color w:val="auto"/>
              </w:rPr>
            </w:pPr>
          </w:p>
        </w:tc>
      </w:tr>
      <w:tr>
        <w:trPr>
          <w:trHeight w:val="216"/>
        </w:trPr>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380" w:type="dxa"/>
            <w:vAlign w:val="bottom"/>
            <w:gridSpan w:val="2"/>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7,921</w:t>
            </w:r>
          </w:p>
        </w:tc>
        <w:tc>
          <w:tcPr>
            <w:tcW w:w="1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FFC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(1,302)</w:t>
            </w:r>
          </w:p>
        </w:tc>
      </w:tr>
      <w:tr>
        <w:trPr>
          <w:trHeight w:val="20"/>
        </w:trPr>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Net asset</w:t>
            </w:r>
          </w:p>
        </w:tc>
        <w:tc>
          <w:tcPr>
            <w:tcW w:w="2380" w:type="dxa"/>
            <w:vAlign w:val="bottom"/>
            <w:gridSpan w:val="2"/>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7,433</w:t>
            </w:r>
          </w:p>
        </w:tc>
        <w:tc>
          <w:tcPr>
            <w:tcW w:w="120" w:type="dxa"/>
            <w:vAlign w:val="bottom"/>
            <w:shd w:val="clear" w:color="auto" w:fill="CCFFCC"/>
          </w:tcPr>
          <w:p>
            <w:pPr>
              <w:spacing w:after="0"/>
              <w:rPr>
                <w:sz w:val="19"/>
                <w:szCs w:val="19"/>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FFCC"/>
          </w:tcPr>
          <w:p>
            <w:pPr>
              <w:spacing w:after="0"/>
              <w:rPr>
                <w:sz w:val="19"/>
                <w:szCs w:val="19"/>
                <w:color w:val="auto"/>
              </w:rPr>
            </w:pPr>
          </w:p>
        </w:tc>
      </w:tr>
      <w:tr>
        <w:trPr>
          <w:trHeight w:val="20"/>
        </w:trPr>
        <w:tc>
          <w:tcPr>
            <w:tcW w:w="544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During the nine and three months ended January 31, 2012, revenue recognized under percentage of completion contracts was approximately $26.9 million and $9.0 million, respectively. For the nine and three months ended January 31, 2011, such revenue was approximately $15.4 million and $4.9 million,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300" w:type="dxa"/>
            <w:vAlign w:val="bottom"/>
          </w:tcPr>
          <w:p>
            <w:pPr>
              <w:ind w:left="486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NOTE D - INVENTORIES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ind w:left="58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January 31, 2012</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April 30, 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520" w:type="dxa"/>
            <w:vAlign w:val="bottom"/>
            <w:gridSpan w:val="3"/>
          </w:tcPr>
          <w:p>
            <w:pPr>
              <w:jc w:val="right"/>
              <w:ind w:right="83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gridSpan w:val="2"/>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13,497</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2,448</w:t>
            </w: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48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31,072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71"/>
        <w:spacing w:after="0" w:line="308" w:lineRule="auto"/>
        <w:rPr>
          <w:sz w:val="20"/>
          <w:szCs w:val="20"/>
          <w:color w:val="auto"/>
        </w:rPr>
      </w:pPr>
      <w:r>
        <w:rPr>
          <w:rFonts w:ascii="Arial" w:cs="Arial" w:eastAsia="Arial" w:hAnsi="Arial"/>
          <w:sz w:val="17"/>
          <w:szCs w:val="17"/>
          <w:color w:val="auto"/>
        </w:rPr>
        <w:t>As of January 31, 2012 and April 30, 2011, approximately $19.4 million and $19.7 million, respectively, of total inventory is located in the United States, approximately $11.0 million and $7.8 million, respectively, is located in Belgium and $650,000 and $700,000, respectively, is located in China.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nine and three months ended January 31, 2012 and 2011, comprehensive income (loss) is composed of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1"/>
              </w:rPr>
              <w:t>Three months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40" w:type="dxa"/>
            <w:vAlign w:val="bottom"/>
            <w:gridSpan w:val="5"/>
          </w:tcPr>
          <w:p>
            <w:pPr>
              <w:jc w:val="right"/>
              <w:ind w:right="700"/>
              <w:spacing w:after="0" w:line="195" w:lineRule="exact"/>
              <w:rPr>
                <w:sz w:val="20"/>
                <w:szCs w:val="20"/>
                <w:color w:val="auto"/>
              </w:rPr>
            </w:pPr>
            <w:r>
              <w:rPr>
                <w:rFonts w:ascii="Arial" w:cs="Arial" w:eastAsia="Arial" w:hAnsi="Arial"/>
                <w:sz w:val="18"/>
                <w:szCs w:val="18"/>
                <w:color w:val="auto"/>
                <w:w w:val="89"/>
              </w:rPr>
              <w:t>Periods ended January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0"/>
                <w:szCs w:val="20"/>
                <w:color w:val="auto"/>
              </w:rPr>
            </w:pPr>
          </w:p>
        </w:tc>
      </w:tr>
      <w:tr>
        <w:trPr>
          <w:trHeight w:val="210"/>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3,194</w:t>
            </w: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18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ind w:left="620"/>
              <w:spacing w:after="0"/>
              <w:rPr>
                <w:sz w:val="20"/>
                <w:szCs w:val="20"/>
                <w:color w:val="auto"/>
              </w:rPr>
            </w:pPr>
            <w:r>
              <w:rPr>
                <w:rFonts w:ascii="Arial" w:cs="Arial" w:eastAsia="Arial" w:hAnsi="Arial"/>
                <w:sz w:val="18"/>
                <w:szCs w:val="18"/>
                <w:color w:val="auto"/>
                <w:w w:val="84"/>
              </w:rPr>
              <w:t>1,074</w:t>
            </w:r>
          </w:p>
        </w:tc>
        <w:tc>
          <w:tcPr>
            <w:tcW w:w="200" w:type="dxa"/>
            <w:vAlign w:val="bottom"/>
            <w:tcBorders>
              <w:right w:val="single" w:sz="8" w:color="CCFFCC"/>
            </w:tcBorders>
            <w:shd w:val="clear" w:color="auto" w:fill="CCFFCC"/>
          </w:tcPr>
          <w:p>
            <w:pPr>
              <w:spacing w:after="0"/>
              <w:rPr>
                <w:sz w:val="18"/>
                <w:szCs w:val="18"/>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4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4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r>
      <w:tr>
        <w:trPr>
          <w:trHeight w:val="216"/>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3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FFCC"/>
          </w:tcPr>
          <w:p>
            <w:pPr>
              <w:spacing w:after="0"/>
              <w:rPr>
                <w:sz w:val="18"/>
                <w:szCs w:val="18"/>
                <w:color w:val="auto"/>
              </w:rPr>
            </w:pPr>
          </w:p>
        </w:tc>
        <w:tc>
          <w:tcPr>
            <w:tcW w:w="12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8"/>
              </w:rPr>
              <w:t>Deferred tax effect of change in marketable securities</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1,911</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w:t>
            </w:r>
          </w:p>
        </w:tc>
      </w:tr>
      <w:tr>
        <w:trPr>
          <w:trHeight w:val="20"/>
        </w:trPr>
        <w:tc>
          <w:tcPr>
            <w:tcW w:w="4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25" w:lineRule="exact"/>
        <w:rPr>
          <w:sz w:val="20"/>
          <w:szCs w:val="20"/>
          <w:color w:val="auto"/>
        </w:rPr>
      </w:pPr>
    </w:p>
    <w:p>
      <w:pPr>
        <w:jc w:val="both"/>
        <w:ind w:left="1140" w:hanging="565"/>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565"/>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55" w:lineRule="exact"/>
        <w:rPr>
          <w:sz w:val="20"/>
          <w:szCs w:val="20"/>
          <w:color w:val="auto"/>
        </w:rPr>
      </w:pPr>
    </w:p>
    <w:p>
      <w:pPr>
        <w:ind w:right="820" w:firstLine="567"/>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Nine months</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101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195"/>
        </w:trPr>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gridSpan w:val="5"/>
          </w:tcPr>
          <w:p>
            <w:pPr>
              <w:jc w:val="right"/>
              <w:ind w:right="800"/>
              <w:spacing w:after="0" w:line="195" w:lineRule="exact"/>
              <w:rPr>
                <w:sz w:val="20"/>
                <w:szCs w:val="20"/>
                <w:color w:val="auto"/>
              </w:rPr>
            </w:pPr>
            <w:r>
              <w:rPr>
                <w:rFonts w:ascii="Arial" w:cs="Arial" w:eastAsia="Arial" w:hAnsi="Arial"/>
                <w:sz w:val="18"/>
                <w:szCs w:val="18"/>
                <w:color w:val="auto"/>
                <w:w w:val="94"/>
              </w:rPr>
              <w:t>Periods ended January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FEI-NY</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33,050</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11,075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7,913</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7,039</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8,790</w:t>
            </w: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3,586</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FEI-Zyfer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intersegment revenues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(2,402)</w:t>
            </w: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(1,026)</w:t>
            </w:r>
          </w:p>
        </w:tc>
      </w:tr>
      <w:tr>
        <w:trPr>
          <w:trHeight w:val="20"/>
        </w:trPr>
        <w:tc>
          <w:tcPr>
            <w:tcW w:w="430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300" w:type="dxa"/>
            <w:vAlign w:val="bottom"/>
          </w:tcPr>
          <w:p>
            <w:pPr>
              <w:ind w:left="340"/>
              <w:spacing w:after="0"/>
              <w:rPr>
                <w:sz w:val="20"/>
                <w:szCs w:val="20"/>
                <w:color w:val="auto"/>
              </w:rPr>
            </w:pPr>
            <w:r>
              <w:rPr>
                <w:rFonts w:ascii="Arial" w:cs="Arial" w:eastAsia="Arial" w:hAnsi="Arial"/>
                <w:sz w:val="18"/>
                <w:szCs w:val="18"/>
                <w:color w:val="auto"/>
              </w:rPr>
              <w:t>Consolidated revenues</w:t>
            </w:r>
          </w:p>
        </w:tc>
        <w:tc>
          <w:tcPr>
            <w:tcW w:w="4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46,442</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15,448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12,635</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0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FEI-NY</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6,404</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2,348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FEI-Zyfer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r>
      <w:tr>
        <w:trPr>
          <w:trHeight w:val="20"/>
        </w:trPr>
        <w:tc>
          <w:tcPr>
            <w:tcW w:w="430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300" w:type="dxa"/>
            <w:vAlign w:val="bottom"/>
          </w:tcPr>
          <w:p>
            <w:pPr>
              <w:ind w:left="340"/>
              <w:spacing w:after="0"/>
              <w:rPr>
                <w:sz w:val="20"/>
                <w:szCs w:val="20"/>
                <w:color w:val="auto"/>
              </w:rPr>
            </w:pPr>
            <w:r>
              <w:rPr>
                <w:rFonts w:ascii="Arial" w:cs="Arial" w:eastAsia="Arial" w:hAnsi="Arial"/>
                <w:sz w:val="18"/>
                <w:szCs w:val="18"/>
                <w:color w:val="auto"/>
              </w:rPr>
              <w:t>Consolidated operating income</w:t>
            </w:r>
          </w:p>
        </w:tc>
        <w:tc>
          <w:tcPr>
            <w:tcW w:w="4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5,501</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1,943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January 31, 2012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April 30, 2011</w:t>
            </w: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FEI-NY (including assets in China, see note below)</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41,769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37,912</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 (all in Belgium or France)</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18,861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20,875</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FEI-Zyfer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8,434</w:t>
            </w:r>
          </w:p>
        </w:tc>
      </w:tr>
      <w:tr>
        <w:trPr>
          <w:trHeight w:val="216"/>
        </w:trPr>
        <w:tc>
          <w:tcPr>
            <w:tcW w:w="4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intersegment balances</w:t>
            </w:r>
          </w:p>
        </w:tc>
        <w:tc>
          <w:tcPr>
            <w:tcW w:w="4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(13,115)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(16,295)</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38,905</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identifiable assets</w:t>
            </w:r>
          </w:p>
        </w:tc>
        <w:tc>
          <w:tcPr>
            <w:tcW w:w="4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22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94,127</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89,831</w:t>
            </w:r>
          </w:p>
        </w:tc>
      </w:tr>
      <w:tr>
        <w:trPr>
          <w:trHeight w:val="20"/>
        </w:trPr>
        <w:tc>
          <w:tcPr>
            <w:tcW w:w="430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(As of January 31, 2012 and April 30, 2011, FEI-NY assets include assets held in China of</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approximately $3.0 million and $3.6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25"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Company has equity interests in two strategically important companies: Elcom Technologies, Inc. (“Elcom”) and Morion Inc. (“Morion”), accounted for on the equity and cost basis, respectively. During the nine and three month periods ended January 31, 2012 and 2011, the Company acquired technical services from Elcom, purchased crystal oscillator products from Morion and sold certain of its products to both companies. The Company also receives interest from Elcom under two notes receivable. The table below summarizes these transactions: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Nine months</w:t>
            </w: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Three months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4"/>
          </w:tcPr>
          <w:p>
            <w:pPr>
              <w:jc w:val="right"/>
              <w:ind w:right="430"/>
              <w:spacing w:after="0" w:line="195" w:lineRule="exact"/>
              <w:rPr>
                <w:sz w:val="20"/>
                <w:szCs w:val="20"/>
                <w:color w:val="auto"/>
              </w:rPr>
            </w:pPr>
            <w:r>
              <w:rPr>
                <w:rFonts w:ascii="Arial" w:cs="Arial" w:eastAsia="Arial" w:hAnsi="Arial"/>
                <w:sz w:val="18"/>
                <w:szCs w:val="18"/>
                <w:color w:val="auto"/>
                <w:w w:val="89"/>
              </w:rPr>
              <w:t>Periods ended January 31,</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Morion</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169,000</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61,000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Elcom</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317,000</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Sales to:</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Morion</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1,070,000</w:t>
            </w:r>
          </w:p>
        </w:tc>
        <w:tc>
          <w:tcPr>
            <w:tcW w:w="6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63,000</w:t>
            </w:r>
          </w:p>
        </w:tc>
        <w:tc>
          <w:tcPr>
            <w:tcW w:w="6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Elcom</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on Elcom note receivable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75,400</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68,000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32,500</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 of 25</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measures the current market value of Elcom based on comparisons to comparable companies as well as Elcom’s forecasts of future financial results. For the six months ended October 31, 2011, in addition to its equity share in the income or loss of Elcom during the period, the Company determined that its investment was impaired and recorded an investment impairment charge of $200,000 and an additional $150,000 allowance against notes receivable. No additional impairment charges were recorded during the three months ended January 31, 2012 and no impairment charges were recorded during the nine and three months ended January 31, 2011. The total gross amount due to the Company from Elcom under notes receivable is $1.9 million and is included in investments in and loans receivable from affiliates. (See also Note H- Subsequent Event- Acquisition of Elcom.)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H – SUBSEQUENT EVENT- ACQUISITION OF ELCOM</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February 2012, the Company acquired the remaining outstanding shares of Elcom that it did not previously own. The Company paid a total of $5.1 million including repayment of Elcom’s outstanding indebtedness to certain other shareholders of Elcom. The Company’s notes receivable from Elcom, discussed in Note G above, were added to the Company’s investment in Elcom. Transaction costs are estimated to be between $250,000 and $300,000 of which approximately $109,000 were incurred during the nine and three months ended January 31, 2012 and are included in other expense, net. As part of the acquisition process, the Company is conducting a review of Elcom’s assets for the purpose of determining the allocation of the purchase price to tangible and intangible assets. Such allocation will be reflected in the Company’s consolidated financial statements as of the date of acquisition. Elcom’s operating results will be included in operations from that date forward.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2012 and April 30, 2011 are as follows (in thousands):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color w:val="auto"/>
              </w:rPr>
              <w:t>January 31, 2012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9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Market</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3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12,098</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17,451</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18,077</w:t>
            </w:r>
          </w:p>
        </w:tc>
        <w:tc>
          <w:tcPr>
            <w:tcW w:w="80" w:type="dxa"/>
            <w:vAlign w:val="bottom"/>
            <w:shd w:val="clear" w:color="auto" w:fill="CCFFC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April 30, 2011</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9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Market</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3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11,741</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11,995</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14,757</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602</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15,357</w:t>
            </w:r>
          </w:p>
        </w:tc>
        <w:tc>
          <w:tcPr>
            <w:tcW w:w="80" w:type="dxa"/>
            <w:vAlign w:val="bottom"/>
            <w:shd w:val="clear" w:color="auto" w:fill="CCFFC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8"/>
                <w:szCs w:val="18"/>
                <w:color w:val="auto"/>
              </w:rPr>
              <w:t>12 Months or more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600"/>
              <w:spacing w:after="0" w:line="195"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620"/>
              <w:spacing w:after="0" w:line="195" w:lineRule="exact"/>
              <w:rPr>
                <w:sz w:val="20"/>
                <w:szCs w:val="20"/>
                <w:color w:val="auto"/>
              </w:rPr>
            </w:pPr>
            <w:r>
              <w:rPr>
                <w:rFonts w:ascii="Arial" w:cs="Arial" w:eastAsia="Arial" w:hAnsi="Arial"/>
                <w:sz w:val="18"/>
                <w:szCs w:val="18"/>
                <w:color w:val="auto"/>
              </w:rPr>
              <w:t>Fair</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Unrealized</w:t>
            </w: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Value</w:t>
            </w:r>
          </w:p>
        </w:tc>
        <w:tc>
          <w:tcPr>
            <w:tcW w:w="980" w:type="dxa"/>
            <w:vAlign w:val="bottom"/>
          </w:tcPr>
          <w:p>
            <w:pPr>
              <w:jc w:val="right"/>
              <w:ind w:right="12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Losses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28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January 31, 2012</w:t>
            </w:r>
          </w:p>
        </w:tc>
        <w:tc>
          <w:tcPr>
            <w:tcW w:w="700" w:type="dxa"/>
            <w:vAlign w:val="bottom"/>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6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60" w:type="dxa"/>
            <w:vAlign w:val="bottom"/>
            <w:tcBorders>
              <w:top w:val="single" w:sz="8" w:color="auto"/>
            </w:tcBorders>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300" w:type="dxa"/>
            <w:vAlign w:val="bottom"/>
            <w:tcBorders>
              <w:top w:val="single" w:sz="8" w:color="auto"/>
            </w:tcBorders>
            <w:shd w:val="clear" w:color="auto" w:fill="CCFFCC"/>
          </w:tcPr>
          <w:p>
            <w:pPr>
              <w:spacing w:after="0"/>
              <w:rPr>
                <w:sz w:val="14"/>
                <w:szCs w:val="14"/>
                <w:color w:val="auto"/>
              </w:rPr>
            </w:pPr>
          </w:p>
        </w:tc>
        <w:tc>
          <w:tcPr>
            <w:tcW w:w="7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040" w:type="dxa"/>
            <w:vAlign w:val="bottom"/>
            <w:tcBorders>
              <w:bottom w:val="single" w:sz="8" w:color="auto"/>
            </w:tcBorders>
            <w:shd w:val="clear" w:color="auto" w:fill="CCFFCC"/>
          </w:tcPr>
          <w:p>
            <w:pPr>
              <w:spacing w:after="0" w:line="156" w:lineRule="exact"/>
              <w:rPr>
                <w:sz w:val="20"/>
                <w:szCs w:val="20"/>
                <w:color w:val="auto"/>
              </w:rPr>
            </w:pPr>
            <w:r>
              <w:rPr>
                <w:rFonts w:ascii="Arial" w:cs="Arial" w:eastAsia="Arial" w:hAnsi="Arial"/>
                <w:sz w:val="18"/>
                <w:szCs w:val="18"/>
                <w:color w:val="auto"/>
                <w:w w:val="91"/>
              </w:rPr>
              <w:t>April 30, 2011</w:t>
            </w:r>
          </w:p>
        </w:tc>
        <w:tc>
          <w:tcPr>
            <w:tcW w:w="1240" w:type="dxa"/>
            <w:vAlign w:val="bottom"/>
            <w:tcBorders>
              <w:bottom w:val="single" w:sz="8" w:color="CCFFCC"/>
            </w:tcBorders>
            <w:gridSpan w:val="2"/>
            <w:shd w:val="clear" w:color="auto" w:fill="CCFFCC"/>
          </w:tcPr>
          <w:p>
            <w:pPr>
              <w:spacing w:after="0"/>
              <w:rPr>
                <w:sz w:val="15"/>
                <w:szCs w:val="15"/>
                <w:color w:val="auto"/>
              </w:rPr>
            </w:pPr>
          </w:p>
        </w:tc>
        <w:tc>
          <w:tcPr>
            <w:tcW w:w="70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86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20" w:type="dxa"/>
            <w:vAlign w:val="bottom"/>
            <w:tcBorders>
              <w:bottom w:val="single" w:sz="8" w:color="CCFFCC"/>
            </w:tcBorders>
            <w:shd w:val="clear" w:color="auto" w:fill="CCFFCC"/>
          </w:tcPr>
          <w:p>
            <w:pPr>
              <w:spacing w:after="0"/>
              <w:rPr>
                <w:sz w:val="15"/>
                <w:szCs w:val="15"/>
                <w:color w:val="auto"/>
              </w:rPr>
            </w:pPr>
          </w:p>
        </w:tc>
        <w:tc>
          <w:tcPr>
            <w:tcW w:w="96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300" w:type="dxa"/>
            <w:vAlign w:val="bottom"/>
            <w:tcBorders>
              <w:bottom w:val="single" w:sz="8" w:color="CCFFCC"/>
            </w:tcBorders>
            <w:shd w:val="clear" w:color="auto" w:fill="CCFFCC"/>
          </w:tcPr>
          <w:p>
            <w:pPr>
              <w:spacing w:after="0"/>
              <w:rPr>
                <w:sz w:val="15"/>
                <w:szCs w:val="15"/>
                <w:color w:val="auto"/>
              </w:rPr>
            </w:pPr>
          </w:p>
        </w:tc>
        <w:tc>
          <w:tcPr>
            <w:tcW w:w="78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98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12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98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 of 25</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2012 are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and three months ended January 31, 2012, the Company redeemed available-for-sale securities in the amounts of $6,100,000 and $1,000,000, respectively, and realized gains of $19,000 and $11,500, respectively, which amounts are included in the determination of net income for those periods. During the nine and three months ended January 31, 2011, the Company redeemed available-for-sale securities in the amounts of $3,000,000 and $1,500,000, respectively, and realized losses of $47,600 and $19,800, respectively, which amounts are included in the determination of net income for those periods of fiscal year 2011.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January 31, 2012 are as follows, at cost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FFC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9,126</w:t>
            </w:r>
          </w:p>
        </w:tc>
        <w:tc>
          <w:tcPr>
            <w:tcW w:w="60" w:type="dxa"/>
            <w:vAlign w:val="bottom"/>
          </w:tcPr>
          <w:p>
            <w:pPr>
              <w:spacing w:after="0"/>
              <w:rPr>
                <w:sz w:val="18"/>
                <w:szCs w:val="18"/>
                <w:color w:val="auto"/>
              </w:rPr>
            </w:pPr>
          </w:p>
        </w:tc>
      </w:tr>
      <w:tr>
        <w:trPr>
          <w:trHeight w:val="216"/>
        </w:trPr>
        <w:tc>
          <w:tcPr>
            <w:tcW w:w="5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tcBorders>
              <w:bottom w:val="single" w:sz="8" w:color="auto"/>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969</w:t>
            </w:r>
          </w:p>
        </w:tc>
        <w:tc>
          <w:tcPr>
            <w:tcW w:w="60" w:type="dxa"/>
            <w:vAlign w:val="bottom"/>
            <w:tcBorders>
              <w:bottom w:val="single" w:sz="8" w:color="CCFFCC"/>
            </w:tcBorders>
            <w:shd w:val="clear" w:color="auto" w:fill="CCFFCC"/>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620" w:hanging="153"/>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620" w:hanging="153"/>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620" w:hanging="153"/>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620" w:hanging="153"/>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3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J - RECENTLY ISSUED ACCOUNTING PRONOUNCEMENTS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June 2011, the FASB issued standards which require entities to present net income and other comprehensive income in either a single continuous statement or in two separate, but consecutive, statements of net income and other comprehensive income. The option to present items of other comprehensive income in the statement of changes in equity is eliminated. The new standard is effective as of the beginning of a fiscal year beginning after December 15, 2011 with earlier adoption permitted. This standard, upon adoption by the Company at the beginning of its fiscal year 2013, will have no impact on the Company’s financial condition, results of operations and cash flows but will require the Company to present comprehensive income in a different manner than it currently does in interim and annual financial reports.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INCOME TAXES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of the end of fiscal year 2011, the Company reduced the valuation allowance on the deferred tax assets of its U.S. subsidiaries. Consequently, for the nine and three months ended January 31, 2012, the Company recorded a provision for income taxes based on both current taxes due in the United States as well as the tax provision or benefit to be realized from temporary tax differences. In the same periods of fiscal year 2011, the provision for income taxes consisted solely of taxes currently due to taxing authorities in the United States because of the full valuation allowance against deferred tax assets in effect at that time. As of January 31, 2012 and April 30, 2011, the remaining deferred tax asset valuation allowance is approximately $4.6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L – TREASURY STOCK TRANSACTIONS</w:t>
      </w:r>
    </w:p>
    <w:p>
      <w:pPr>
        <w:spacing w:after="0" w:line="2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During the nine month period ended January 31, 2012, the Company made contributions of 30,101</w:t>
      </w:r>
      <w:r>
        <w:rPr>
          <w:sz w:val="1"/>
          <w:szCs w:val="1"/>
          <w:color w:val="auto"/>
        </w:rPr>
        <w:drawing>
          <wp:inline distT="0" distB="0" distL="0" distR="0">
            <wp:extent cx="2603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3,066 shares from treasury upon the</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exercise of stock options and SARs by certain employees. In December 2011, in celebration of the Company’s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50 shares of its common stock was awarded to each of its employees in the United States and Europe or a total of 15,250 shares from treasury. An expense of approximately $119,000 was recorded for the nine and three months ended January 31, 2012, in connection with this stock award.</w:t>
      </w:r>
    </w:p>
    <w:p>
      <w:pPr>
        <w:spacing w:after="0" w:line="20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2011.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2012 and 2011 (which end on April 30, 2012 and 2011, respectively) the percentage of consolidated revenues represented by certain items in the Company’s consolidated statements of operations: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8"/>
                <w:szCs w:val="18"/>
                <w:color w:val="auto"/>
              </w:rPr>
              <w:t>Nine months</w:t>
            </w:r>
          </w:p>
        </w:tc>
        <w:tc>
          <w:tcPr>
            <w:tcW w:w="2440" w:type="dxa"/>
            <w:vAlign w:val="bottom"/>
            <w:gridSpan w:val="4"/>
          </w:tcPr>
          <w:p>
            <w:pPr>
              <w:jc w:val="right"/>
              <w:ind w:right="800"/>
              <w:spacing w:after="0"/>
              <w:rPr>
                <w:sz w:val="20"/>
                <w:szCs w:val="20"/>
                <w:color w:val="auto"/>
              </w:rPr>
            </w:pPr>
            <w:r>
              <w:rPr>
                <w:rFonts w:ascii="Arial" w:cs="Arial" w:eastAsia="Arial" w:hAnsi="Arial"/>
                <w:sz w:val="18"/>
                <w:szCs w:val="18"/>
                <w:color w:val="auto"/>
              </w:rPr>
              <w:t>Three months</w:t>
            </w:r>
          </w:p>
        </w:tc>
      </w:tr>
      <w:tr>
        <w:trPr>
          <w:trHeight w:val="216"/>
        </w:trPr>
        <w:tc>
          <w:tcPr>
            <w:tcW w:w="5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right"/>
              <w:ind w:right="440"/>
              <w:spacing w:after="0"/>
              <w:rPr>
                <w:sz w:val="20"/>
                <w:szCs w:val="20"/>
                <w:color w:val="auto"/>
              </w:rPr>
            </w:pPr>
            <w:r>
              <w:rPr>
                <w:rFonts w:ascii="Arial" w:cs="Arial" w:eastAsia="Arial" w:hAnsi="Arial"/>
                <w:sz w:val="18"/>
                <w:szCs w:val="18"/>
                <w:color w:val="auto"/>
                <w:w w:val="95"/>
              </w:rPr>
              <w:t>Periods ended January 31,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3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r>
      <w:tr>
        <w:trPr>
          <w:trHeight w:val="210"/>
        </w:trPr>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FEI-NY</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r>
      <w:tr>
        <w:trPr>
          <w:trHeight w:val="216"/>
        </w:trPr>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15.2</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23.6</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w:t>
            </w: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r>
      <w:tr>
        <w:trPr>
          <w:trHeight w:val="216"/>
        </w:trPr>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r>
      <w:tr>
        <w:trPr>
          <w:trHeight w:val="20"/>
        </w:trPr>
        <w:tc>
          <w:tcPr>
            <w:tcW w:w="53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59.8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61.6</w:t>
            </w:r>
          </w:p>
        </w:tc>
      </w:tr>
      <w:tr>
        <w:trPr>
          <w:trHeight w:val="20"/>
        </w:trPr>
        <w:tc>
          <w:tcPr>
            <w:tcW w:w="53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300" w:type="dxa"/>
            <w:vAlign w:val="bottom"/>
          </w:tcPr>
          <w:p>
            <w:pPr>
              <w:ind w:left="640"/>
              <w:spacing w:after="0"/>
              <w:rPr>
                <w:sz w:val="20"/>
                <w:szCs w:val="20"/>
                <w:color w:val="auto"/>
              </w:rPr>
            </w:pPr>
            <w:r>
              <w:rPr>
                <w:rFonts w:ascii="Arial" w:cs="Arial" w:eastAsia="Arial" w:hAnsi="Arial"/>
                <w:sz w:val="18"/>
                <w:szCs w:val="18"/>
                <w:color w:val="auto"/>
              </w:rPr>
              <w:t>Gross Margin</w:t>
            </w: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r>
      <w:tr>
        <w:trPr>
          <w:trHeight w:val="216"/>
        </w:trPr>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21.5</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22.5</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0"/>
        </w:trPr>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Operating Profit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12.6</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Pretax Income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10.2</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0"/>
        </w:trPr>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3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5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Dollar amounts in the narratives are in approximate actual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rPr>
              <w:t>Nine months</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5"/>
          </w:tcPr>
          <w:p>
            <w:pPr>
              <w:jc w:val="right"/>
              <w:ind w:right="72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8"/>
                <w:szCs w:val="18"/>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rPr>
              <w:t>Three months</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6"/>
          </w:tcPr>
          <w:p>
            <w:pPr>
              <w:jc w:val="right"/>
              <w:ind w:right="220"/>
              <w:spacing w:after="0" w:line="195" w:lineRule="exact"/>
              <w:rPr>
                <w:sz w:val="20"/>
                <w:szCs w:val="20"/>
                <w:color w:val="auto"/>
              </w:rPr>
            </w:pPr>
            <w:r>
              <w:rPr>
                <w:rFonts w:ascii="Arial" w:cs="Arial" w:eastAsia="Arial" w:hAnsi="Arial"/>
                <w:sz w:val="18"/>
                <w:szCs w:val="18"/>
                <w:color w:val="auto"/>
                <w:w w:val="96"/>
              </w:rPr>
              <w:t>Periods ended January 31,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9.9</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0.8</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900" w:type="dxa"/>
            <w:vAlign w:val="bottom"/>
            <w:gridSpan w:val="2"/>
          </w:tcPr>
          <w:p>
            <w:pPr>
              <w:jc w:val="right"/>
              <w:ind w:right="45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46.4</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9.1</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2"/>
        <w:spacing w:after="0" w:line="288" w:lineRule="auto"/>
        <w:rPr>
          <w:sz w:val="20"/>
          <w:szCs w:val="20"/>
          <w:color w:val="auto"/>
        </w:rPr>
      </w:pPr>
      <w:r>
        <w:rPr>
          <w:rFonts w:ascii="Arial" w:cs="Arial" w:eastAsia="Arial" w:hAnsi="Arial"/>
          <w:sz w:val="16"/>
          <w:szCs w:val="16"/>
          <w:u w:val="single" w:color="auto"/>
          <w:color w:val="auto"/>
        </w:rPr>
        <w:t>Fiscal year 2012 compared to fiscal year 2011:</w:t>
      </w:r>
      <w:r>
        <w:rPr>
          <w:rFonts w:ascii="Arial" w:cs="Arial" w:eastAsia="Arial" w:hAnsi="Arial"/>
          <w:sz w:val="16"/>
          <w:szCs w:val="16"/>
          <w:color w:val="auto"/>
        </w:rPr>
        <w:t xml:space="preserve"> The 25% and 22% increases in consolidated revenues for the nine and three months ended January 31, 2012, respectively, compared to the same periods of fiscal year 2011, were generated primarily from the FEI-NY segment’s satellite payload programs. In the fiscal year 2012 periods, revenues from commercial and U.S. Government satellite programs accounted for approximately half of consolidated revenues compared to approximately 30% during the same periods of fiscal year 2011. Revenues on these long-term contracts are recognized primarily under the percentage of completion method. Increased network infrastructure revenues generated by the FEI-Zyfer segment were offset by declines in that business area in the Gillam-FEI segment and lower wireless infrastructure sales in the FEI-NY segment. Network infrastructure revenues were less than 20% of consolidated revenues for the nine months ended January 31, 2012 compared to approximately 25% for the same period of fiscal year 2011. In the fiscal year 2012 periods, revenues from the U.S. Government/DOD business area, which are recorded in the FEI-NY and FEI-Zyfer segments, were approximately 20% of consolidated revenues compared to more than 25% for the same periods of fiscal year 2011. The lower ratio of U.S. Government/DOD revenues to consolidated revenues in fiscal year 2012 is due mostly to higher satellite payload revenues in the current fiscal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u w:val="single" w:color="auto"/>
          <w:color w:val="auto"/>
        </w:rPr>
        <w:t>Fiscal year 2011 compared to fiscal year 2010:</w:t>
      </w:r>
      <w:r>
        <w:rPr>
          <w:rFonts w:ascii="Arial" w:cs="Arial" w:eastAsia="Arial" w:hAnsi="Arial"/>
          <w:sz w:val="16"/>
          <w:szCs w:val="16"/>
          <w:color w:val="auto"/>
        </w:rPr>
        <w:t xml:space="preserve"> The increase in revenues for the nine months ended January 31, 2011 compared to the same period of fiscal year 2010, was the result of increased revenue from both U.S. Government/DOD satellite and non-satellite programs partially offset by continuing declines in revenue from wireless infrastructure products recorded in the FEI-NY and FEI-Zyfer segments. Revenues for the three month periods ended January 31, 2011 and 2010, were approximately the same but network infrastructure revenues increased substantially due to increased sales to certain wireless infrastructure OEM’s. Revenues from satellite payload programs, which are recorded in the FEI-NY segment, and recognized primarily under the percentage of completion method, accounted for one-third of the Company’s revenues with U.S. Government space programs increasing 10% year-over-year. However, for the third quarter ended January 31, 2011, the Company recognized less satellite payload revenue than it did in the prior year period. This decrease was primarily attributable to program funding limitations on certain U.S. Government programs. The Company recognizes revenue only to the amounts funded even though it has firm contracts for higher amounts. Revenues from U.S. Government/DOD non-space programs, which are recorded in the FEI-NY and FEI-Zyfer segments, increased approximately 10% year-over-year for the nine months ended January 31, 2011 but decreased by 7% in the third quarter of fiscal year 2011 due to delays in booking new U.S. Government business in FEI-Zyfer.</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remainder of fiscal year 2012, the Company expects to realize increased revenues from both U.S. Government and commercial satellite payload programs as compared to the previous fiscal year. Similarly, the Company expects to realize continued sales growth in U.S. Government/DOD non-space programs and from wireline telecommunication infrastructure products.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4"/>
          </w:tcPr>
          <w:p>
            <w:pPr>
              <w:jc w:val="right"/>
              <w:ind w:right="1620"/>
              <w:spacing w:after="0"/>
              <w:rPr>
                <w:sz w:val="20"/>
                <w:szCs w:val="20"/>
                <w:color w:val="auto"/>
              </w:rPr>
            </w:pPr>
            <w:r>
              <w:rPr>
                <w:rFonts w:ascii="Arial" w:cs="Arial" w:eastAsia="Arial" w:hAnsi="Arial"/>
                <w:sz w:val="18"/>
                <w:szCs w:val="18"/>
                <w:b w:val="1"/>
                <w:bCs w:val="1"/>
                <w:color w:val="auto"/>
                <w:w w:val="88"/>
              </w:rPr>
              <w:t>Gross margin</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Nine months</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rPr>
              <w:t>Three months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vMerge w:val="continue"/>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jc w:val="right"/>
              <w:ind w:right="240"/>
              <w:spacing w:after="0"/>
              <w:rPr>
                <w:sz w:val="20"/>
                <w:szCs w:val="20"/>
                <w:color w:val="auto"/>
              </w:rPr>
            </w:pPr>
            <w:r>
              <w:rPr>
                <w:rFonts w:ascii="Arial" w:cs="Arial" w:eastAsia="Arial" w:hAnsi="Arial"/>
                <w:sz w:val="18"/>
                <w:szCs w:val="18"/>
                <w:color w:val="auto"/>
              </w:rPr>
              <w:t>Periods ended January 31,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1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18,472</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14,399</w:t>
            </w: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w w:val="97"/>
              </w:rPr>
              <w:t>4,073</w:t>
            </w:r>
          </w:p>
        </w:tc>
        <w:tc>
          <w:tcPr>
            <w:tcW w:w="170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28% $    6,215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4,849</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w w:val="93"/>
              </w:rPr>
              <w:t>1,366</w:t>
            </w: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180" w:type="dxa"/>
            <w:vAlign w:val="bottom"/>
            <w:gridSpan w:val="3"/>
            <w:shd w:val="clear" w:color="auto" w:fill="CCFFCC"/>
          </w:tcPr>
          <w:p>
            <w:pPr>
              <w:jc w:val="right"/>
              <w:ind w:right="1520"/>
              <w:spacing w:after="0"/>
              <w:rPr>
                <w:sz w:val="20"/>
                <w:szCs w:val="20"/>
                <w:color w:val="auto"/>
              </w:rPr>
            </w:pPr>
            <w:r>
              <w:rPr>
                <w:rFonts w:ascii="Arial" w:cs="Arial" w:eastAsia="Arial" w:hAnsi="Arial"/>
                <w:sz w:val="18"/>
                <w:szCs w:val="18"/>
                <w:color w:val="auto"/>
                <w:w w:val="88"/>
              </w:rPr>
              <w:t>GM Rate</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70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38.4%</w:t>
            </w: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improvement in gross margins and gross margin rates for the nine and three months ended January 31, 2012 compared to the same periods a year ago reflect the more than 20% increase in sales and the change in product mix. Of the Company’s three segments, the FEI-NY segment experienced the largest gross margin rate improvement as the higher volume of business covered more of that segment’s fixed costs. The gross margin rates recorded in the fiscal year 2012 and 2011 periods are in the range of the Company’s targeted rate of 40%. The Company anticipates that its gross margin rates for the remainder of fiscal year 2012 will reach or exceed its target rate and total gross margin will be greater than the prior fiscal year on higher sales volume.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9"/>
          </w:tcPr>
          <w:p>
            <w:pPr>
              <w:spacing w:after="0"/>
              <w:rPr>
                <w:sz w:val="20"/>
                <w:szCs w:val="20"/>
                <w:color w:val="auto"/>
              </w:rPr>
            </w:pPr>
            <w:r>
              <w:rPr>
                <w:rFonts w:ascii="Arial" w:cs="Arial" w:eastAsia="Arial" w:hAnsi="Arial"/>
                <w:sz w:val="18"/>
                <w:szCs w:val="18"/>
                <w:b w:val="1"/>
                <w:bCs w:val="1"/>
                <w:color w:val="auto"/>
              </w:rPr>
              <w:t>Selling and administrative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4"/>
              </w:rPr>
              <w:t>Nine months</w:t>
            </w:r>
          </w:p>
        </w:tc>
        <w:tc>
          <w:tcPr>
            <w:tcW w:w="9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Three months</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5"/>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8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Periods ended January 31,</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10,017</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8,380</w:t>
            </w:r>
          </w:p>
        </w:tc>
        <w:tc>
          <w:tcPr>
            <w:tcW w:w="6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1,637</w:t>
            </w: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20% $</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3,390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2,820</w:t>
            </w:r>
          </w:p>
        </w:tc>
        <w:tc>
          <w:tcPr>
            <w:tcW w:w="70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570</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For the nine and three months ended January 31, 2012, selling and administrative expenses were approximately 22% of consolidated revenues, similar to the ratios in the same periods of fiscal year 2011. The increase in expenses for the nine and three months ended January 31, 2012 compared to the same periods of fiscal year 2011 is due to increased accruals for incentive compensation resulting from greater profitability as well as increased stock-based compensation and deferred compensation expenses. Expenses during the fiscal year 2012 periods also include approximately $119,000 related to a stock</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award to its employees in celebration of the Company’s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For the remainder of fiscal year 2012, the Company expects selling and administrative expenses to be incurred at approximately the same rate and may exceed the Company’s target of 20% of revenues or less.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left="378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(Continued)</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7"/>
        </w:trPr>
        <w:tc>
          <w:tcPr>
            <w:tcW w:w="3220" w:type="dxa"/>
            <w:vAlign w:val="bottom"/>
            <w:gridSpan w:val="10"/>
          </w:tcPr>
          <w:p>
            <w:pPr>
              <w:jc w:val="right"/>
              <w:ind w:right="500"/>
              <w:spacing w:after="0"/>
              <w:rPr>
                <w:sz w:val="20"/>
                <w:szCs w:val="20"/>
                <w:color w:val="auto"/>
              </w:rPr>
            </w:pPr>
            <w:r>
              <w:rPr>
                <w:rFonts w:ascii="Arial" w:cs="Arial" w:eastAsia="Arial" w:hAnsi="Arial"/>
                <w:sz w:val="18"/>
                <w:szCs w:val="18"/>
                <w:b w:val="1"/>
                <w:bCs w:val="1"/>
                <w:color w:val="auto"/>
                <w:w w:val="86"/>
              </w:rPr>
              <w:t>Research and development expense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4"/>
              </w:rPr>
              <w:t>Nine months</w:t>
            </w:r>
          </w:p>
        </w:tc>
        <w:tc>
          <w:tcPr>
            <w:tcW w:w="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Three months</w:t>
            </w: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5"/>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2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Periods ended January 31,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2,954</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3,622</w:t>
            </w:r>
          </w:p>
        </w:tc>
        <w:tc>
          <w:tcPr>
            <w:tcW w:w="6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(668)</w:t>
            </w:r>
          </w:p>
        </w:tc>
        <w:tc>
          <w:tcPr>
            <w:tcW w:w="14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(18)% $</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1,233</w:t>
            </w:r>
          </w:p>
        </w:tc>
        <w:tc>
          <w:tcPr>
            <w:tcW w:w="560" w:type="dxa"/>
            <w:vAlign w:val="bottom"/>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(351)</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Research and development expenditures represent investments intended to keep the Company’s products at the leading edge of time and frequency technology and enhance competitiveness for future revenues. Research and development (“R&amp;D”) spending for the nine and three month periods ended January 31, 2012 was approximately 6% of revenues compared to approximately 10% of revenues for the same periods of fiscal year 2011. R&amp;D spending in the fiscal year 2012 periods continued to facilitate development of new satellite payload products from DC to Ka band, development and improvement of miniaturized rubidium atomic clocks, development of new GPS-based synchronization products and further enhancement of the capabilities of its line of low g-sensitivity and ruggedized rubidium oscillators. The lower rate and lower R&amp;D expenditures in the fiscal year 2012 periods are due primarily to the dedication of resources to customer-funded programs rather than to internal research and development programs. The cost of this customer-funded development effort appears in cost of revenues, thus reducing the level of internal research and development spending. Although funding is obtained from customers, the rights to any products developed are retained by the Company. The Company will continue to devote significant resources to develop new products, enhance existing products and implement efficient manufacturing processes. For the remainder of fiscal year 2012, the Company anticipates that internal research and development spending will be less than 10% of revenues. The Company believes that internally generated cash and cash reserves are adequate to fund these development efforts.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Nine months</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5"/>
        </w:trPr>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8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Periods ended January 31,</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5,501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2,397</w:t>
            </w:r>
          </w:p>
        </w:tc>
        <w:tc>
          <w:tcPr>
            <w:tcW w:w="6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3,104</w:t>
            </w: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129% $</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w:t>
            </w:r>
          </w:p>
        </w:tc>
        <w:tc>
          <w:tcPr>
            <w:tcW w:w="6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1,147</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Increased revenues and improved gross margin rates enabled the Company to realize operating profits in the nine and three month periods ended January 31, 2012, that were more than double operating profits for the same periods of fiscal year 2011. The Company anticipates that at the current increased level of business and having implemented certain operational efficiencies, that it can achieve operating profit in excess of 10% of revenues. The Company anticipates that its operating profit for the full fiscal year 2012 will exceed that of fiscal year 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Nine months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vMerge w:val="restart"/>
          </w:tcPr>
          <w:p>
            <w:pPr>
              <w:jc w:val="right"/>
              <w:ind w:right="25"/>
              <w:spacing w:after="0"/>
              <w:rPr>
                <w:sz w:val="20"/>
                <w:szCs w:val="20"/>
                <w:color w:val="auto"/>
              </w:rPr>
            </w:pPr>
            <w:r>
              <w:rPr>
                <w:rFonts w:ascii="Arial" w:cs="Arial" w:eastAsia="Arial" w:hAnsi="Arial"/>
                <w:sz w:val="18"/>
                <w:szCs w:val="18"/>
                <w:color w:val="auto"/>
              </w:rPr>
              <w:t>Three months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80" w:type="dxa"/>
            <w:vAlign w:val="bottom"/>
            <w:gridSpan w:val="6"/>
          </w:tcPr>
          <w:p>
            <w:pPr>
              <w:jc w:val="right"/>
              <w:ind w:right="340"/>
              <w:spacing w:after="0" w:line="195" w:lineRule="exact"/>
              <w:rPr>
                <w:sz w:val="20"/>
                <w:szCs w:val="20"/>
                <w:color w:val="auto"/>
              </w:rPr>
            </w:pPr>
            <w:r>
              <w:rPr>
                <w:rFonts w:ascii="Arial" w:cs="Arial" w:eastAsia="Arial" w:hAnsi="Arial"/>
                <w:sz w:val="18"/>
                <w:szCs w:val="18"/>
                <w:color w:val="auto"/>
              </w:rPr>
              <w:t>Periods ended January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269</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530"/>
              <w:spacing w:after="0"/>
              <w:rPr>
                <w:sz w:val="20"/>
                <w:szCs w:val="20"/>
                <w:color w:val="auto"/>
              </w:rPr>
            </w:pPr>
            <w:r>
              <w:rPr>
                <w:rFonts w:ascii="Arial" w:cs="Arial" w:eastAsia="Arial" w:hAnsi="Arial"/>
                <w:sz w:val="18"/>
                <w:szCs w:val="18"/>
                <w:color w:val="auto"/>
              </w:rPr>
              <w:t>204</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125</w:t>
            </w:r>
          </w:p>
        </w:tc>
        <w:tc>
          <w:tcPr>
            <w:tcW w:w="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470"/>
              <w:spacing w:after="0"/>
              <w:rPr>
                <w:sz w:val="20"/>
                <w:szCs w:val="20"/>
                <w:color w:val="auto"/>
              </w:rPr>
            </w:pPr>
            <w:r>
              <w:rPr>
                <w:rFonts w:ascii="Arial" w:cs="Arial" w:eastAsia="Arial" w:hAnsi="Arial"/>
                <w:sz w:val="18"/>
                <w:szCs w:val="18"/>
                <w:color w:val="auto"/>
              </w:rPr>
              <w:t>(472)</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(328)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(350)</w:t>
            </w:r>
          </w:p>
        </w:tc>
        <w:tc>
          <w:tcPr>
            <w:tcW w:w="84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w:t>
            </w: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(40)</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(219)</w:t>
            </w: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182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34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70"/>
              <w:spacing w:after="0"/>
              <w:rPr>
                <w:sz w:val="20"/>
                <w:szCs w:val="20"/>
                <w:color w:val="auto"/>
              </w:rPr>
            </w:pPr>
            <w:r>
              <w:rPr>
                <w:rFonts w:ascii="Arial" w:cs="Arial" w:eastAsia="Arial" w:hAnsi="Arial"/>
                <w:sz w:val="18"/>
                <w:szCs w:val="18"/>
                <w:color w:val="auto"/>
              </w:rPr>
              <w:t>(644)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(421)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and dividend levels and the timing of purchases or sales of securities. Redemption of marketable securities during the nine months ended January 31, 2012, resulted in a realized gain of approximately $19,000 compared to a loss of approximately $48,000 from redemptions in the same period of fiscal year 2011.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378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Equity (loss) or income in the nine and three months ended January 31, 2012 and 2011 represents the Company’s share of the quarterly income or loss recorded by Elcom Technologies, Inc. (“Elcom”) in which the Company owned a 25% interest. In addition, based on comparisons to comparable companies as well as Elcom’s recent financial results and forecasts of future results, for the nine months ended January 31, 2012, the Company recorded an impairment charge against its investment in the amount of $200,000 and also increased an allowance against notes receivable in the amount of $150,000. In February 2012, the Company acquired the remaining shares of Elcom it did not previously own. (See Recent Development and Subsequent Event below.)</w:t>
      </w:r>
    </w:p>
    <w:p>
      <w:pPr>
        <w:spacing w:after="0" w:line="1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interest expense for the nine and three months ended January 31, 2012 compared to the same periods of fiscal year 2011 is due to lower levels of lease obligations in the fiscal year 2012 periods.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expense in the nine and three months ended January 31, 2012 resulted from certain transaction costs related to the acquisition of Elcom and the amortization of certain non-operating assets. During the nine month period of fiscal year 2012, such expenses were partially offset by gains of approximately $137,000 derived from the excess of proceeds over the cash values of life insurance policies covering a former employee. During the Company’s fourth quarter of fiscal year 2012, it will incur additional non-operating expenses, primarily for professional fees related to its acquisition of Elcom. (See Recent Development and Subsequent Event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8"/>
              </w:rPr>
              <w:t>Income tax provision</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Nine months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3"/>
            <w:vMerge w:val="restart"/>
          </w:tcPr>
          <w:p>
            <w:pPr>
              <w:jc w:val="right"/>
              <w:ind w:right="65"/>
              <w:spacing w:after="0"/>
              <w:rPr>
                <w:sz w:val="20"/>
                <w:szCs w:val="20"/>
                <w:color w:val="auto"/>
              </w:rPr>
            </w:pPr>
            <w:r>
              <w:rPr>
                <w:rFonts w:ascii="Arial" w:cs="Arial" w:eastAsia="Arial" w:hAnsi="Arial"/>
                <w:sz w:val="18"/>
                <w:szCs w:val="18"/>
                <w:color w:val="auto"/>
              </w:rPr>
              <w:t>Three months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6"/>
          </w:tcPr>
          <w:p>
            <w:pPr>
              <w:jc w:val="right"/>
              <w:ind w:right="320"/>
              <w:spacing w:after="0" w:line="195" w:lineRule="exact"/>
              <w:rPr>
                <w:sz w:val="20"/>
                <w:szCs w:val="20"/>
                <w:color w:val="auto"/>
              </w:rPr>
            </w:pPr>
            <w:r>
              <w:rPr>
                <w:rFonts w:ascii="Arial" w:cs="Arial" w:eastAsia="Arial" w:hAnsi="Arial"/>
                <w:sz w:val="18"/>
                <w:szCs w:val="18"/>
                <w:color w:val="auto"/>
              </w:rPr>
              <w:t>Periods ended January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1,770</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610</w:t>
            </w:r>
          </w:p>
        </w:tc>
        <w:tc>
          <w:tcPr>
            <w:tcW w:w="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53% $</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340</w:t>
            </w: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160</w:t>
            </w: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500" w:type="dxa"/>
            <w:vAlign w:val="bottom"/>
            <w:gridSpan w:val="9"/>
            <w:shd w:val="clear" w:color="auto" w:fill="CCFFCC"/>
          </w:tcPr>
          <w:p>
            <w:pPr>
              <w:jc w:val="right"/>
              <w:ind w:right="460"/>
              <w:spacing w:after="0"/>
              <w:rPr>
                <w:sz w:val="20"/>
                <w:szCs w:val="20"/>
                <w:color w:val="auto"/>
              </w:rPr>
            </w:pPr>
            <w:r>
              <w:rPr>
                <w:rFonts w:ascii="Arial" w:cs="Arial" w:eastAsia="Arial" w:hAnsi="Arial"/>
                <w:sz w:val="18"/>
                <w:szCs w:val="18"/>
                <w:color w:val="auto"/>
                <w:w w:val="90"/>
              </w:rPr>
              <w:t>Effective tax rate on pre-tax book income:</w:t>
            </w:r>
          </w:p>
        </w:tc>
        <w:tc>
          <w:tcPr>
            <w:tcW w:w="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provision for income taxes for the nine and three months ended January 31, 2012 increased over the same period of fiscal year 2011 due to the similar increase in pretax income. However, the effective tax rate in fiscal year 2012 is expected to be lower than that recorded in the first three quarters of fiscal year 2011 primarily due to the reduction of the previous full valuation allowance on the deferred tax assets of the Company’s U.S. subsidiaries during the fourth quarter of fiscal year 2011. In addition, the tax rate for fiscal year 2012 is reduced by utilization of research and development tax credits and domestic production credits. For the nine and three months ended January 31, 2012, the Company recorded provisions for income taxes based on both current taxes due in the United States as well as the tax provision or benefit to be realized from temporary tax differences. In the same periods of fiscal year 2011, the provision for income taxes consisted solely of taxes currently due to taxing authorities in the United States because of the full valuation allowance against deferred tax assets in place at January 31, 2011. As of January 31, 2012 and April 30, 2011, the remaining deferred tax asset valuation allowance is approximately $4.6 million.</w:t>
      </w:r>
    </w:p>
    <w:p>
      <w:pPr>
        <w:spacing w:after="0" w:line="19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subject to taxation in several countries as well as the states of New York and California. The statutory federal rates are 34% in the United States and Belgium. The effective rate is impacted by pretax losses incurred by the Company’s European and Asian subsidiaries and the Company’s impairment charges related to Elcom for which no current tax benefits are derived. In addition, the Company utilizes the availability of research and development tax credits and domestic production credits in the United States to lower its tax rate. The Company’s effective tax rate is affected by the expected utilization of certain state net operating loss carryforwards. As of April 30, 2011, the Company’s European subsidiaries had available net operating loss carryforwards of approximately $1.3 million, which will offset future foreign taxable income. As of April 30, 2011, the domestic U.S. tax loss carryforward for state income tax purposes is approximately $1.9 million in New York and $2.3 million in California.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Net income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92"/>
              </w:rPr>
              <w:t>Nine months</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Three months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gridSpan w:val="6"/>
          </w:tcPr>
          <w:p>
            <w:pPr>
              <w:ind w:left="120"/>
              <w:spacing w:after="0" w:line="195" w:lineRule="exact"/>
              <w:rPr>
                <w:sz w:val="20"/>
                <w:szCs w:val="20"/>
                <w:color w:val="auto"/>
              </w:rPr>
            </w:pPr>
            <w:r>
              <w:rPr>
                <w:rFonts w:ascii="Arial" w:cs="Arial" w:eastAsia="Arial" w:hAnsi="Arial"/>
                <w:sz w:val="18"/>
                <w:szCs w:val="18"/>
                <w:color w:val="auto"/>
                <w:w w:val="92"/>
              </w:rPr>
              <w:t>Periods ended January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3,194</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76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1,850</w:t>
            </w:r>
          </w:p>
        </w:tc>
        <w:tc>
          <w:tcPr>
            <w:tcW w:w="120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138% $</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1,074</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508</w:t>
            </w:r>
          </w:p>
        </w:tc>
        <w:tc>
          <w:tcPr>
            <w:tcW w:w="72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566</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As detailed above, for the nine and three months ended January 31, 2012, higher revenues accompanied by only moderately higher expenses and a lower effective tax rate, enabled the Company to more than double its net income compared to the same periods of fiscal year 2011. The Company expects to record higher revenue and to realize improved gross and operating margins in the final quarter of fiscal year 2012 and anticipates that it will report higher profits than that achieved in fiscal year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$64 million at January 31, 2012, compared to working capital of $60 million at April 30, 2011. Included in working capital at January 31, 2012 is $22.6 million of cash, cash equivalents and marketable securities. The Company’s current ratio at January 31, 2012 is 8.2 to 1.</w:t>
      </w:r>
    </w:p>
    <w:p>
      <w:pPr>
        <w:spacing w:after="0" w:line="18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For the nine months ended January 31, 2012, the Company had positive cash flow from operating activities of $1.3 million compared to $2.0 million provided by operations in the comparable fiscal year 2011 period. The primary sources of cash in the fiscal year 2012 period were profitable operations, collection of billed accounts receivable and reduced estimated tax payments. These inflows were partially offset by increases in inventory, costs and estimated earnings in excess of billings (unbilled receivables) and accrued expenses. The increase in costs and estimated earnings in excess of billings is due to the increase in the Company’s long-term satellite payload contracts which are accounted for using the percentage of completion method. Under this method revenue was recognized but contractual milestones were not yet billed in accordance with the terms of the contracts. For the nine months ended January 31, 2012 and 2011, the Company incurred approximately $4.9 million and $3.0 million, respectively, of non-cash operating expenses, such as depreciation and amortization, impairment charges on its investment in Elcom and accruals for employee benefit programs. For the balance of fiscal year 2012, the Company expects to generate positive cash flow from operating activities.</w:t>
      </w:r>
    </w:p>
    <w:p>
      <w:pPr>
        <w:spacing w:after="0" w:line="18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Net cash used in investing activities for the nine months ended January 31, 2012, was $3.9 million compared to $4.3 million used by such activity for the same period of fiscal year 2011. During the fiscal year 2012 period, marketable securities were redeemed in the amount of $6.1 million compared to $3.0 million of such redemptions during the fiscal year 2011 period. These proceeds and other cash was reinvested in additional marketable securities for the periods ended January 31, 2012 and 2011 in the amount of $8.8 million and $6.1 million, respectively. In both fiscal years 2012 and 2011, the Company acquired property, plant and equipment in the amount of approximately $1.1 million. During the nine months ended January 31, 2012, the Company provided an additional loan to Elcom in the amount of $92,000. In February 2012, this additional loan plus the previous loans from the Company to Elcom were converted to the Company’s investment in Elcom upon consummation of the acquisition of the remaining shares of Elcom that the Company did not previously own. (See Recent Development and Subsequent Event below.) The Company may continue to acquire or sell marketable securities as dictated by its investment strategies as well as by the cash requirements for its development activities. Capital equipment purchases for all of fiscal year 2012 are expected to be less than $2.0 million. Internally generated cash is adequate to acquire this level of capital equipment.</w:t>
      </w:r>
    </w:p>
    <w:p>
      <w:pPr>
        <w:spacing w:after="0" w:line="169" w:lineRule="exact"/>
        <w:rPr>
          <w:sz w:val="20"/>
          <w:szCs w:val="20"/>
          <w:color w:val="auto"/>
        </w:rPr>
      </w:pPr>
    </w:p>
    <w:p>
      <w:pPr>
        <w:jc w:val="both"/>
        <w:ind w:firstLine="492"/>
        <w:spacing w:after="0" w:line="293" w:lineRule="auto"/>
        <w:rPr>
          <w:sz w:val="20"/>
          <w:szCs w:val="20"/>
          <w:color w:val="auto"/>
        </w:rPr>
      </w:pPr>
      <w:r>
        <w:rPr>
          <w:rFonts w:ascii="Arial" w:cs="Arial" w:eastAsia="Arial" w:hAnsi="Arial"/>
          <w:sz w:val="16"/>
          <w:szCs w:val="16"/>
          <w:color w:val="auto"/>
        </w:rPr>
        <w:t>Net cash provided by financing activities for the nine months ended January 31, 2012, was $2.2 million compared to $166,000 used by financing activities during the comparable fiscal year 2011 period. During 2012, the Company borrowed $2.3 million under its lines of credit with financial institutions. Rather than liquidate a portion of its investment portfolio to fund the acquisition of Elcom, the Company chooses to borrow money at short-term interest rates that are lower than the current yield on its investment portfolio. For the nine months ended January 31, 2012 and 2011, the Company made payments of $203,000 and $181,000, respectively, against capital lease obligations. In addition, during the nine months ended January 31, 2012 and 2011, cash of $13,000 and $15,000, respectively, was received upon exercise of employee stock options or completion of a restricted stock transaction.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fourth quarter of fiscal year 2012, the Company borrowed additional monies under its line of credit to complete the Elcom acquisition.</w:t>
      </w:r>
    </w:p>
    <w:p>
      <w:pPr>
        <w:spacing w:after="0" w:line="237" w:lineRule="exact"/>
        <w:rPr>
          <w:sz w:val="20"/>
          <w:szCs w:val="20"/>
          <w:color w:val="auto"/>
        </w:rPr>
      </w:pPr>
    </w:p>
    <w:p>
      <w:pPr>
        <w:jc w:val="both"/>
        <w:ind w:firstLine="492"/>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2012, the Company has repurchased approximately $4 million of its common stock out of the $5 million authorization.</w:t>
      </w:r>
    </w:p>
    <w:p>
      <w:pPr>
        <w:spacing w:after="0" w:line="166" w:lineRule="exact"/>
        <w:rPr>
          <w:sz w:val="20"/>
          <w:szCs w:val="20"/>
          <w:color w:val="auto"/>
        </w:rPr>
      </w:pPr>
    </w:p>
    <w:p>
      <w:pPr>
        <w:jc w:val="both"/>
        <w:ind w:firstLine="492"/>
        <w:spacing w:after="0" w:line="291"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2012,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January 31, 2012, the Company's consolidated backlog is approximately $58 million. Approximately 60% of this backlog is expected to be realized in the next twelve months. Included in the backlog at January 31, 2012 is approximately $2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January 31, 2012, was in excess of $7 million. The Company expects these contracts to become fully funded over time and will be added to its backlog at that time.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January 31, 2013.</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Recent Development and Subsequent Event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21, 2012, the Company purchased all of the outstanding capital stock of Elcom that was not previously owned by the Company, resulting in 100% ownership. The Company paid a total of $5.1 million including repayment of outstanding indebtedness of Elcom due and owing to certain other shareholders of Elcom. The amounts due to the Company under notes receivable from Elcom were contributed to the Company’s investment in Elcom. Transaction costs are expected to be between $250,000 and $300,000 of which $109,000 was incurred during the nine and three month periods ended January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for the reasons discussed below, as of January 31, 2012,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disclosed in its Annual Report on Form 10-K for the year ended April 30, 2011, the Company has identified several material weaknesses in its internal control over financial reporting. While the Company did not conduct a full assessment of the effectiveness of internal controls over financial reporting at January 31, 2012, for the first nine months of fiscal year 2012 there were no substantial changes made to the Company’s internal control over financial reporting since management’s assessment of April 30, 2011, and therefore the weaknesses previously identified by management continued to exist at January 31, 2012. In order to remediate the material weaknesses, during fiscal year 2012, management will continue to review and document the policies and procedures at its Gillam-FEI and FEI-Zyfer subsidiaries and ensure that testing of their internal controls are completed during fiscal year 2012. Please refer to the Company’s Annual Report on Form 10-K for the year ended April 30, 2011 for a more detailed discussion of the weaknesses previously identified by management.</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nine months ended January 31, 2012 to which this report relates that have materially affected, or are reasonably likely to materially affect, the Company’s internal control over financial reporting.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25" w:lineRule="exact"/>
        <w:rPr>
          <w:sz w:val="20"/>
          <w:szCs w:val="20"/>
          <w:color w:val="auto"/>
        </w:rPr>
      </w:pPr>
    </w:p>
    <w:p>
      <w:pPr>
        <w:ind w:left="1720" w:right="120" w:hanging="796"/>
        <w:spacing w:after="0" w:line="277" w:lineRule="auto"/>
        <w:tabs>
          <w:tab w:leader="none" w:pos="170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Certification by the Chief Executive Officer pursuant to Rule 13a-14(a) or 15d-14(a) under the Securities Exchange Act of 1934, as adopted pursuant to Section 302 of the Sarbanes-Oxley Act of 2002.</w:t>
      </w:r>
    </w:p>
    <w:p>
      <w:pPr>
        <w:spacing w:after="0" w:line="170" w:lineRule="exact"/>
        <w:rPr>
          <w:sz w:val="20"/>
          <w:szCs w:val="20"/>
          <w:color w:val="auto"/>
        </w:rPr>
      </w:pPr>
    </w:p>
    <w:p>
      <w:pPr>
        <w:ind w:left="1720" w:right="180" w:hanging="796"/>
        <w:spacing w:after="0" w:line="277" w:lineRule="auto"/>
        <w:tabs>
          <w:tab w:leader="none" w:pos="170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Certification by the Chief Financial Officer pursuant to Rule 13a-14(a) or 15d-14(a) under the Securities Exchange Act of 1934, as adopted pursuant to Section 302 of the Sarbanes-Oxley Act of 2002.</w:t>
      </w:r>
    </w:p>
    <w:p>
      <w:pPr>
        <w:spacing w:after="0" w:line="170" w:lineRule="exact"/>
        <w:rPr>
          <w:sz w:val="20"/>
          <w:szCs w:val="20"/>
          <w:color w:val="auto"/>
        </w:rPr>
      </w:pPr>
    </w:p>
    <w:p>
      <w:pPr>
        <w:ind w:left="1720" w:right="40" w:hanging="796"/>
        <w:spacing w:after="0" w:line="277" w:lineRule="auto"/>
        <w:tabs>
          <w:tab w:leader="none" w:pos="170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8"/>
          <w:szCs w:val="18"/>
          <w:color w:val="auto"/>
        </w:rPr>
        <w:t>Certifications by the Chief Executive Officer and Chief Financial Officer pursuant to 18 U.S.C. Section 1350, as adopted pursuant to Section 906 of the Sarbanes-Oxley Act of 2002.</w:t>
      </w:r>
    </w:p>
    <w:p>
      <w:pPr>
        <w:spacing w:after="0" w:line="170" w:lineRule="exact"/>
        <w:rPr>
          <w:sz w:val="20"/>
          <w:szCs w:val="20"/>
          <w:color w:val="auto"/>
        </w:rPr>
      </w:pPr>
    </w:p>
    <w:p>
      <w:pPr>
        <w:ind w:left="1720" w:hanging="796"/>
        <w:spacing w:after="0" w:line="259" w:lineRule="auto"/>
        <w:tabs>
          <w:tab w:leader="none" w:pos="1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January 31, 2012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920" w:type="dxa"/>
            <w:vAlign w:val="bottom"/>
            <w:gridSpan w:val="3"/>
          </w:tcPr>
          <w:p>
            <w:pPr>
              <w:ind w:left="2780"/>
              <w:spacing w:after="0"/>
              <w:rPr>
                <w:sz w:val="20"/>
                <w:szCs w:val="20"/>
                <w:color w:val="auto"/>
              </w:rPr>
            </w:pPr>
            <w:r>
              <w:rPr>
                <w:rFonts w:ascii="Arial" w:cs="Arial" w:eastAsia="Arial" w:hAnsi="Arial"/>
                <w:sz w:val="18"/>
                <w:szCs w:val="18"/>
                <w:color w:val="auto"/>
              </w:rPr>
              <w:t>FREQUENCY ELECTRONICS, INC.</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80" w:type="dxa"/>
            <w:vAlign w:val="bottom"/>
            <w:gridSpan w:val="2"/>
          </w:tcPr>
          <w:p>
            <w:pPr>
              <w:ind w:left="1680"/>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March 16, 2012</w:t>
            </w:r>
          </w:p>
        </w:tc>
        <w:tc>
          <w:tcPr>
            <w:tcW w:w="7920" w:type="dxa"/>
            <w:vAlign w:val="bottom"/>
            <w:gridSpan w:val="3"/>
          </w:tcPr>
          <w:p>
            <w:pPr>
              <w:ind w:left="2780"/>
              <w:spacing w:after="0"/>
              <w:rPr>
                <w:sz w:val="20"/>
                <w:szCs w:val="20"/>
                <w:color w:val="auto"/>
              </w:rPr>
            </w:pPr>
            <w:r>
              <w:rPr>
                <w:rFonts w:ascii="Arial" w:cs="Arial" w:eastAsia="Arial" w:hAnsi="Arial"/>
                <w:sz w:val="18"/>
                <w:szCs w:val="18"/>
                <w:color w:val="auto"/>
              </w:rPr>
              <w:t>BY   /s/ Alan Miller</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8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Alan Miller</w:t>
            </w:r>
          </w:p>
        </w:tc>
        <w:tc>
          <w:tcPr>
            <w:tcW w:w="170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8"/>
              </w:rPr>
              <w:t>Signing on behalf of the registrant and as principal financial</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officer</w:t>
            </w:r>
          </w:p>
        </w:tc>
      </w:tr>
      <w:tr>
        <w:trPr>
          <w:trHeight w:val="648"/>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ind w:left="1920"/>
              <w:spacing w:after="0"/>
              <w:rPr>
                <w:sz w:val="20"/>
                <w:szCs w:val="20"/>
                <w:color w:val="auto"/>
              </w:rPr>
            </w:pPr>
            <w:r>
              <w:rPr>
                <w:rFonts w:ascii="Arial" w:cs="Arial" w:eastAsia="Arial" w:hAnsi="Arial"/>
                <w:sz w:val="18"/>
                <w:szCs w:val="18"/>
                <w:color w:val="auto"/>
              </w:rPr>
              <w:t>22 of 25</w:t>
            </w:r>
          </w:p>
        </w:tc>
      </w:tr>
    </w:tbl>
    <w:p>
      <w:pPr>
        <w:sectPr>
          <w:pgSz w:w="11900" w:h="16838" w:orient="portrait"/>
          <w:cols w:equalWidth="0" w:num="1">
            <w:col w:w="11420"/>
          </w:cols>
          <w:pgMar w:left="240" w:top="88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6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4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63"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107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10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10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7520" w:type="dxa"/>
            <w:vAlign w:val="bottom"/>
          </w:tcPr>
          <w:p>
            <w:pPr>
              <w:ind w:left="3760"/>
              <w:spacing w:after="0"/>
              <w:rPr>
                <w:sz w:val="20"/>
                <w:szCs w:val="20"/>
                <w:color w:val="auto"/>
              </w:rPr>
            </w:pPr>
            <w:r>
              <w:rPr>
                <w:rFonts w:ascii="Arial" w:cs="Arial" w:eastAsia="Arial" w:hAnsi="Arial"/>
                <w:sz w:val="18"/>
                <w:szCs w:val="18"/>
                <w:color w:val="auto"/>
              </w:rPr>
              <w:t>March 16, 2012</w:t>
            </w:r>
          </w:p>
        </w:tc>
      </w:tr>
      <w:tr>
        <w:trPr>
          <w:trHeight w:val="195"/>
        </w:trPr>
        <w:tc>
          <w:tcPr>
            <w:tcW w:w="3900" w:type="dxa"/>
            <w:vAlign w:val="bottom"/>
          </w:tcPr>
          <w:p>
            <w:pPr>
              <w:ind w:left="240"/>
              <w:spacing w:after="0" w:line="195" w:lineRule="exact"/>
              <w:rPr>
                <w:sz w:val="20"/>
                <w:szCs w:val="20"/>
                <w:color w:val="auto"/>
              </w:rPr>
            </w:pPr>
            <w:r>
              <w:rPr>
                <w:rFonts w:ascii="Arial" w:cs="Arial" w:eastAsia="Arial" w:hAnsi="Arial"/>
                <w:sz w:val="18"/>
                <w:szCs w:val="18"/>
                <w:color w:val="auto"/>
              </w:rPr>
              <w:t>Alan Miller</w:t>
            </w:r>
          </w:p>
        </w:tc>
        <w:tc>
          <w:tcPr>
            <w:tcW w:w="7520" w:type="dxa"/>
            <w:vAlign w:val="bottom"/>
          </w:tcPr>
          <w:p>
            <w:pPr>
              <w:spacing w:after="0"/>
              <w:rPr>
                <w:sz w:val="16"/>
                <w:szCs w:val="16"/>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7520" w:type="dxa"/>
            <w:vAlign w:val="bottom"/>
          </w:tcPr>
          <w:p>
            <w:pPr>
              <w:spacing w:after="0"/>
              <w:rPr>
                <w:sz w:val="20"/>
                <w:szCs w:val="20"/>
                <w:color w:val="auto"/>
              </w:rPr>
            </w:pPr>
          </w:p>
        </w:tc>
      </w:tr>
      <w:tr>
        <w:trPr>
          <w:trHeight w:val="648"/>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2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6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4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63"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107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6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7520" w:type="dxa"/>
            <w:vAlign w:val="bottom"/>
          </w:tcPr>
          <w:p>
            <w:pPr>
              <w:ind w:left="3760"/>
              <w:spacing w:after="0"/>
              <w:rPr>
                <w:sz w:val="20"/>
                <w:szCs w:val="20"/>
                <w:color w:val="auto"/>
              </w:rPr>
            </w:pPr>
            <w:r>
              <w:rPr>
                <w:rFonts w:ascii="Arial" w:cs="Arial" w:eastAsia="Arial" w:hAnsi="Arial"/>
                <w:sz w:val="18"/>
                <w:szCs w:val="18"/>
                <w:color w:val="auto"/>
              </w:rPr>
              <w:t>March 16, 2012</w:t>
            </w:r>
          </w:p>
        </w:tc>
      </w:tr>
      <w:tr>
        <w:trPr>
          <w:trHeight w:val="195"/>
        </w:trPr>
        <w:tc>
          <w:tcPr>
            <w:tcW w:w="3900" w:type="dxa"/>
            <w:vAlign w:val="bottom"/>
          </w:tcPr>
          <w:p>
            <w:pPr>
              <w:ind w:left="260"/>
              <w:spacing w:after="0" w:line="195" w:lineRule="exact"/>
              <w:rPr>
                <w:sz w:val="20"/>
                <w:szCs w:val="20"/>
                <w:color w:val="auto"/>
              </w:rPr>
            </w:pPr>
            <w:r>
              <w:rPr>
                <w:rFonts w:ascii="Arial" w:cs="Arial" w:eastAsia="Arial" w:hAnsi="Arial"/>
                <w:sz w:val="18"/>
                <w:szCs w:val="18"/>
                <w:color w:val="auto"/>
              </w:rPr>
              <w:t>Martin Bloch</w:t>
            </w:r>
          </w:p>
        </w:tc>
        <w:tc>
          <w:tcPr>
            <w:tcW w:w="7520" w:type="dxa"/>
            <w:vAlign w:val="bottom"/>
          </w:tcPr>
          <w:p>
            <w:pPr>
              <w:spacing w:after="0"/>
              <w:rPr>
                <w:sz w:val="16"/>
                <w:szCs w:val="16"/>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7520" w:type="dxa"/>
            <w:vAlign w:val="bottom"/>
          </w:tcPr>
          <w:p>
            <w:pPr>
              <w:spacing w:after="0"/>
              <w:rPr>
                <w:sz w:val="20"/>
                <w:szCs w:val="20"/>
                <w:color w:val="auto"/>
              </w:rPr>
            </w:pPr>
          </w:p>
        </w:tc>
      </w:tr>
      <w:tr>
        <w:trPr>
          <w:trHeight w:val="648"/>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2012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4920" w:type="dxa"/>
            <w:vAlign w:val="bottom"/>
          </w:tcPr>
          <w:p>
            <w:pPr>
              <w:ind w:left="3760"/>
              <w:spacing w:after="0"/>
              <w:rPr>
                <w:sz w:val="20"/>
                <w:szCs w:val="20"/>
                <w:color w:val="auto"/>
              </w:rPr>
            </w:pPr>
            <w:r>
              <w:rPr>
                <w:rFonts w:ascii="Arial" w:cs="Arial" w:eastAsia="Arial" w:hAnsi="Arial"/>
                <w:sz w:val="18"/>
                <w:szCs w:val="18"/>
                <w:color w:val="auto"/>
                <w:w w:val="91"/>
              </w:rPr>
              <w:t>March 16, 2012</w:t>
            </w:r>
          </w:p>
        </w:tc>
      </w:tr>
      <w:tr>
        <w:trPr>
          <w:trHeight w:val="195"/>
        </w:trPr>
        <w:tc>
          <w:tcPr>
            <w:tcW w:w="3900" w:type="dxa"/>
            <w:vAlign w:val="bottom"/>
          </w:tcPr>
          <w:p>
            <w:pPr>
              <w:ind w:left="260"/>
              <w:spacing w:after="0" w:line="195" w:lineRule="exact"/>
              <w:rPr>
                <w:sz w:val="20"/>
                <w:szCs w:val="20"/>
                <w:color w:val="auto"/>
              </w:rPr>
            </w:pPr>
            <w:r>
              <w:rPr>
                <w:rFonts w:ascii="Arial" w:cs="Arial" w:eastAsia="Arial" w:hAnsi="Arial"/>
                <w:sz w:val="18"/>
                <w:szCs w:val="18"/>
                <w:color w:val="auto"/>
              </w:rPr>
              <w:t>Martin Bloch</w:t>
            </w:r>
          </w:p>
        </w:tc>
        <w:tc>
          <w:tcPr>
            <w:tcW w:w="4920" w:type="dxa"/>
            <w:vAlign w:val="bottom"/>
          </w:tcPr>
          <w:p>
            <w:pPr>
              <w:spacing w:after="0"/>
              <w:rPr>
                <w:sz w:val="16"/>
                <w:szCs w:val="16"/>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49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2012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4920" w:type="dxa"/>
            <w:vAlign w:val="bottom"/>
          </w:tcPr>
          <w:p>
            <w:pPr>
              <w:ind w:left="3760"/>
              <w:spacing w:after="0"/>
              <w:rPr>
                <w:sz w:val="20"/>
                <w:szCs w:val="20"/>
                <w:color w:val="auto"/>
              </w:rPr>
            </w:pPr>
            <w:r>
              <w:rPr>
                <w:rFonts w:ascii="Arial" w:cs="Arial" w:eastAsia="Arial" w:hAnsi="Arial"/>
                <w:sz w:val="18"/>
                <w:szCs w:val="18"/>
                <w:color w:val="auto"/>
                <w:w w:val="91"/>
              </w:rPr>
              <w:t>March 16, 2012</w:t>
            </w:r>
          </w:p>
        </w:tc>
      </w:tr>
      <w:tr>
        <w:trPr>
          <w:trHeight w:val="195"/>
        </w:trPr>
        <w:tc>
          <w:tcPr>
            <w:tcW w:w="3900" w:type="dxa"/>
            <w:vAlign w:val="bottom"/>
          </w:tcPr>
          <w:p>
            <w:pPr>
              <w:ind w:left="240"/>
              <w:spacing w:after="0" w:line="195" w:lineRule="exact"/>
              <w:rPr>
                <w:sz w:val="20"/>
                <w:szCs w:val="20"/>
                <w:color w:val="auto"/>
              </w:rPr>
            </w:pPr>
            <w:r>
              <w:rPr>
                <w:rFonts w:ascii="Arial" w:cs="Arial" w:eastAsia="Arial" w:hAnsi="Arial"/>
                <w:sz w:val="18"/>
                <w:szCs w:val="18"/>
                <w:color w:val="auto"/>
              </w:rPr>
              <w:t>Alan Miller</w:t>
            </w:r>
          </w:p>
        </w:tc>
        <w:tc>
          <w:tcPr>
            <w:tcW w:w="4920" w:type="dxa"/>
            <w:vAlign w:val="bottom"/>
          </w:tcPr>
          <w:p>
            <w:pPr>
              <w:spacing w:after="0"/>
              <w:rPr>
                <w:sz w:val="16"/>
                <w:szCs w:val="16"/>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4920" w:type="dxa"/>
            <w:vAlign w:val="bottom"/>
          </w:tcPr>
          <w:p>
            <w:pPr>
              <w:spacing w:after="0"/>
              <w:rPr>
                <w:sz w:val="20"/>
                <w:szCs w:val="20"/>
                <w:color w:val="auto"/>
              </w:rPr>
            </w:pPr>
          </w:p>
        </w:tc>
      </w:tr>
    </w:tbl>
    <w:p>
      <w:pPr>
        <w:spacing w:after="0" w:line="20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6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2019-12-09T07:43:18Z</dcterms:created>
  <dcterms:modified xsi:type="dcterms:W3CDTF">2019-12-09T07:43:18Z</dcterms:modified>
</cp:coreProperties>
</file>