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526415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193675</wp:posOffset>
            </wp:positionV>
            <wp:extent cx="866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3195320</wp:posOffset>
            </wp:positionH>
            <wp:positionV relativeFrom="paragraph">
              <wp:posOffset>198120</wp:posOffset>
            </wp:positionV>
            <wp:extent cx="866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2"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 (d) 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July 31, 2017</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ind w:left="3600" w:right="1920" w:hanging="2944"/>
        <w:spacing w:after="0" w:line="462" w:lineRule="auto"/>
        <w:tabs>
          <w:tab w:leader="none" w:pos="85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 (d) OF THE SECURITIES EXCHANGE ACT OF 1934 For the transition period from __________ to __________</w:t>
      </w: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No. 1-8061</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760" w:type="dxa"/>
            <w:vAlign w:val="bottom"/>
            <w:gridSpan w:val="3"/>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11-1986657</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2040" w:type="dxa"/>
            <w:vAlign w:val="bottom"/>
            <w:vMerge w:val="restart"/>
          </w:tcPr>
          <w:p>
            <w:pPr>
              <w:ind w:left="1360"/>
              <w:spacing w:after="0"/>
              <w:rPr>
                <w:sz w:val="20"/>
                <w:szCs w:val="20"/>
                <w:color w:val="auto"/>
              </w:rPr>
            </w:pPr>
            <w:r>
              <w:rPr>
                <w:rFonts w:ascii="Times New Roman" w:cs="Times New Roman" w:eastAsia="Times New Roman" w:hAnsi="Times New Roman"/>
                <w:sz w:val="18"/>
                <w:szCs w:val="18"/>
                <w:color w:val="auto"/>
              </w:rPr>
              <w:t>(State or</w:t>
            </w:r>
          </w:p>
        </w:tc>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vMerge w:val="continue"/>
          </w:tcPr>
          <w:p>
            <w:pPr>
              <w:spacing w:after="0"/>
              <w:rPr>
                <w:sz w:val="16"/>
                <w:szCs w:val="16"/>
                <w:color w:val="auto"/>
              </w:rPr>
            </w:pPr>
          </w:p>
        </w:tc>
        <w:tc>
          <w:tcPr>
            <w:tcW w:w="2040" w:type="dxa"/>
            <w:vAlign w:val="bottom"/>
            <w:vMerge w:val="continue"/>
          </w:tcPr>
          <w:p>
            <w:pPr>
              <w:spacing w:after="0"/>
              <w:rPr>
                <w:sz w:val="16"/>
                <w:szCs w:val="16"/>
                <w:color w:val="auto"/>
              </w:rPr>
            </w:pPr>
          </w:p>
        </w:tc>
        <w:tc>
          <w:tcPr>
            <w:tcW w:w="37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other jurisdiction of</w:t>
            </w:r>
          </w:p>
        </w:tc>
        <w:tc>
          <w:tcPr>
            <w:tcW w:w="3620" w:type="dxa"/>
            <w:vAlign w:val="bottom"/>
            <w:gridSpan w:val="5"/>
          </w:tcPr>
          <w:p>
            <w:pPr>
              <w:jc w:val="center"/>
              <w:ind w:left="910"/>
              <w:spacing w:after="0" w:line="191"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580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580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55 CHARLES LINDBERGH BLVD., MITCHEL FIELD, N.Y.</w:t>
            </w:r>
          </w:p>
        </w:tc>
        <w:tc>
          <w:tcPr>
            <w:tcW w:w="27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11553</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00" w:type="dxa"/>
            <w:vAlign w:val="bottom"/>
            <w:gridSpan w:val="3"/>
            <w:shd w:val="clear" w:color="auto" w:fill="000000"/>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60" w:type="dxa"/>
            <w:vAlign w:val="bottom"/>
          </w:tcPr>
          <w:p>
            <w:pPr>
              <w:spacing w:after="0"/>
              <w:rPr>
                <w:sz w:val="19"/>
                <w:szCs w:val="19"/>
                <w:color w:val="auto"/>
              </w:rPr>
            </w:pPr>
          </w:p>
        </w:tc>
        <w:tc>
          <w:tcPr>
            <w:tcW w:w="4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1740" w:type="dxa"/>
            <w:vAlign w:val="bottom"/>
            <w:gridSpan w:val="4"/>
          </w:tcPr>
          <w:p>
            <w:pPr>
              <w:jc w:val="center"/>
              <w:ind w:right="88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400"/>
        </w:trPr>
        <w:tc>
          <w:tcPr>
            <w:tcW w:w="6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516-794-4500</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3"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3"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939" w:right="239" w:bottom="1440" w:gutter="0" w:footer="0" w:header="0"/>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(Do not check if a smaller reporting company)</w:t>
      </w:r>
    </w:p>
    <w:p>
      <w:pPr>
        <w:spacing w:after="0" w:line="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92" w:lineRule="exact"/>
        <w:rPr>
          <w:sz w:val="24"/>
          <w:szCs w:val="24"/>
          <w:color w:val="auto"/>
        </w:rPr>
      </w:pPr>
    </w:p>
    <w:p>
      <w:pPr>
        <w:sectPr>
          <w:pgSz w:w="11900" w:h="16838" w:orient="portrait"/>
          <w:cols w:equalWidth="0" w:num="2">
            <w:col w:w="5660" w:space="720"/>
            <w:col w:w="5040"/>
          </w:cols>
          <w:pgMar w:left="240" w:top="939" w:right="239" w:bottom="1440" w:gutter="0" w:footer="0" w:header="0"/>
          <w:type w:val="continuous"/>
        </w:sectPr>
      </w:pPr>
    </w:p>
    <w:p>
      <w:pPr>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2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Registrant's Common Stock, par value $1.00 as of September 8, 2017 – 8,729,682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60" w:type="dxa"/>
            <w:vAlign w:val="bottom"/>
            <w:gridSpan w:val="7"/>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tc>
        <w:tc>
          <w:tcPr>
            <w:tcW w:w="780" w:type="dxa"/>
            <w:vAlign w:val="bottom"/>
          </w:tcPr>
          <w:p>
            <w:pPr>
              <w:spacing w:after="0"/>
              <w:rPr>
                <w:sz w:val="20"/>
                <w:szCs w:val="20"/>
                <w:color w:val="auto"/>
              </w:rPr>
            </w:pPr>
          </w:p>
        </w:tc>
      </w:tr>
      <w:tr>
        <w:trPr>
          <w:trHeight w:val="405"/>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60" w:type="dxa"/>
            <w:vAlign w:val="bottom"/>
            <w:gridSpan w:val="7"/>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80" w:type="dxa"/>
            <w:vAlign w:val="bottom"/>
          </w:tcPr>
          <w:p>
            <w:pPr>
              <w:spacing w:after="0"/>
              <w:rPr>
                <w:sz w:val="24"/>
                <w:szCs w:val="24"/>
                <w:color w:val="auto"/>
              </w:rPr>
            </w:pPr>
          </w:p>
        </w:tc>
      </w:tr>
      <w:tr>
        <w:trPr>
          <w:trHeight w:val="399"/>
        </w:trPr>
        <w:tc>
          <w:tcPr>
            <w:tcW w:w="106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378"/>
        </w:trPr>
        <w:tc>
          <w:tcPr>
            <w:tcW w:w="500" w:type="dxa"/>
            <w:vAlign w:val="bottom"/>
          </w:tcPr>
          <w:p>
            <w:pPr>
              <w:spacing w:after="0"/>
              <w:rPr>
                <w:sz w:val="24"/>
                <w:szCs w:val="24"/>
                <w:color w:val="auto"/>
              </w:rPr>
            </w:pPr>
          </w:p>
        </w:tc>
        <w:tc>
          <w:tcPr>
            <w:tcW w:w="10140" w:type="dxa"/>
            <w:vAlign w:val="bottom"/>
            <w:gridSpan w:val="1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 Financial Statements:</w:t>
              </w:r>
            </w:hyperlink>
          </w:p>
        </w:tc>
        <w:tc>
          <w:tcPr>
            <w:tcW w:w="78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60" w:type="dxa"/>
            <w:vAlign w:val="bottom"/>
            <w:gridSpan w:val="1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 July 31, 2017 (unaudited) and April 30, 2017</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60" w:type="dxa"/>
            <w:vAlign w:val="bottom"/>
            <w:gridSpan w:val="1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Income and Comprehensive Income (Loss) (unaudited) Three Months Ended July 31, 2017</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183"/>
        </w:trPr>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40" w:type="dxa"/>
            <w:vAlign w:val="bottom"/>
            <w:tcBorders>
              <w:top w:val="single" w:sz="8" w:color="0000EE"/>
            </w:tcBorders>
            <w:gridSpan w:val="11"/>
          </w:tcPr>
          <w:p>
            <w:pPr>
              <w:spacing w:after="0" w:line="18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2016</w:t>
              </w:r>
            </w:hyperlink>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60" w:type="dxa"/>
            <w:vAlign w:val="bottom"/>
            <w:gridSpan w:val="12"/>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 (unaudited) Three Months Ended July 31, 2017 and 2016</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385"/>
        </w:trPr>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8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Condensed Consolidated Financial Statements (unaudited)</w:t>
              </w:r>
            </w:hyperlink>
          </w:p>
        </w:tc>
        <w:tc>
          <w:tcPr>
            <w:tcW w:w="1780" w:type="dxa"/>
            <w:vAlign w:val="bottom"/>
            <w:gridSpan w:val="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6-12</w:t>
            </w: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480" w:type="dxa"/>
            <w:vAlign w:val="bottom"/>
            <w:tcBorders>
              <w:bottom w:val="single" w:sz="8" w:color="0000EE"/>
            </w:tcBorders>
          </w:tcPr>
          <w:p>
            <w:pPr>
              <w:spacing w:after="0"/>
              <w:rPr>
                <w:rFonts w:ascii="Times New Roman" w:cs="Times New Roman" w:eastAsia="Times New Roman" w:hAnsi="Times New Roman"/>
                <w:sz w:val="18"/>
                <w:szCs w:val="18"/>
                <w:color w:val="0000EE"/>
                <w:w w:val="98"/>
              </w:rPr>
            </w:pPr>
            <w:hyperlink w:anchor="page13">
              <w:r>
                <w:rPr>
                  <w:rFonts w:ascii="Times New Roman" w:cs="Times New Roman" w:eastAsia="Times New Roman" w:hAnsi="Times New Roman"/>
                  <w:sz w:val="18"/>
                  <w:szCs w:val="18"/>
                  <w:color w:val="0000EE"/>
                  <w:w w:val="98"/>
                </w:rPr>
                <w:t>Item 2</w:t>
              </w:r>
            </w:hyperlink>
          </w:p>
        </w:tc>
        <w:tc>
          <w:tcPr>
            <w:tcW w:w="6580" w:type="dxa"/>
            <w:vAlign w:val="bottom"/>
            <w:tcBorders>
              <w:bottom w:val="single" w:sz="8" w:color="0000EE"/>
            </w:tcBorders>
            <w:gridSpan w:val="9"/>
          </w:tcPr>
          <w:p>
            <w:pPr>
              <w:ind w:left="20"/>
              <w:spacing w:after="0"/>
              <w:rPr>
                <w:rFonts w:ascii="Times New Roman" w:cs="Times New Roman" w:eastAsia="Times New Roman" w:hAnsi="Times New Roman"/>
                <w:sz w:val="18"/>
                <w:szCs w:val="18"/>
                <w:color w:val="0000EE"/>
                <w:w w:val="99"/>
              </w:rPr>
            </w:pPr>
            <w:hyperlink w:anchor="page13">
              <w:r>
                <w:rPr>
                  <w:rFonts w:ascii="Times New Roman" w:cs="Times New Roman" w:eastAsia="Times New Roman" w:hAnsi="Times New Roman"/>
                  <w:sz w:val="18"/>
                  <w:szCs w:val="18"/>
                  <w:color w:val="0000EE"/>
                  <w:w w:val="99"/>
                </w:rPr>
                <w:t>- Management's Discussion and Analysis of Financial Condition and Results of Operations</w:t>
              </w:r>
            </w:hyperlink>
          </w:p>
        </w:tc>
        <w:tc>
          <w:tcPr>
            <w:tcW w:w="308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13-18</w:t>
            </w:r>
          </w:p>
        </w:tc>
      </w:tr>
      <w:tr>
        <w:trPr>
          <w:trHeight w:val="385"/>
        </w:trPr>
        <w:tc>
          <w:tcPr>
            <w:tcW w:w="500" w:type="dxa"/>
            <w:vAlign w:val="bottom"/>
          </w:tcPr>
          <w:p>
            <w:pPr>
              <w:spacing w:after="0"/>
              <w:rPr>
                <w:sz w:val="24"/>
                <w:szCs w:val="24"/>
                <w:color w:val="auto"/>
              </w:rPr>
            </w:pPr>
          </w:p>
        </w:tc>
        <w:tc>
          <w:tcPr>
            <w:tcW w:w="480" w:type="dxa"/>
            <w:vAlign w:val="bottom"/>
          </w:tcPr>
          <w:p>
            <w:pPr>
              <w:spacing w:after="0"/>
              <w:rPr>
                <w:rFonts w:ascii="Times New Roman" w:cs="Times New Roman" w:eastAsia="Times New Roman" w:hAnsi="Times New Roman"/>
                <w:sz w:val="18"/>
                <w:szCs w:val="18"/>
                <w:color w:val="0000EE"/>
                <w:w w:val="98"/>
              </w:rPr>
            </w:pPr>
            <w:hyperlink w:anchor="page19">
              <w:r>
                <w:rPr>
                  <w:rFonts w:ascii="Times New Roman" w:cs="Times New Roman" w:eastAsia="Times New Roman" w:hAnsi="Times New Roman"/>
                  <w:sz w:val="18"/>
                  <w:szCs w:val="18"/>
                  <w:color w:val="0000EE"/>
                  <w:w w:val="98"/>
                </w:rPr>
                <w:t>Item 3</w:t>
              </w:r>
            </w:hyperlink>
          </w:p>
        </w:tc>
        <w:tc>
          <w:tcPr>
            <w:tcW w:w="9660" w:type="dxa"/>
            <w:vAlign w:val="bottom"/>
            <w:gridSpan w:val="12"/>
          </w:tcPr>
          <w:p>
            <w:pPr>
              <w:ind w:left="20"/>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 Quantitative and Qualitative Disclosures About Market Risk</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385"/>
        </w:trPr>
        <w:tc>
          <w:tcPr>
            <w:tcW w:w="500" w:type="dxa"/>
            <w:vAlign w:val="bottom"/>
          </w:tcPr>
          <w:p>
            <w:pPr>
              <w:spacing w:after="0"/>
              <w:rPr>
                <w:sz w:val="24"/>
                <w:szCs w:val="24"/>
                <w:color w:val="auto"/>
              </w:rPr>
            </w:pPr>
          </w:p>
        </w:tc>
        <w:tc>
          <w:tcPr>
            <w:tcW w:w="48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8"/>
              </w:rPr>
            </w:pPr>
            <w:hyperlink w:anchor="page19">
              <w:r>
                <w:rPr>
                  <w:rFonts w:ascii="Times New Roman" w:cs="Times New Roman" w:eastAsia="Times New Roman" w:hAnsi="Times New Roman"/>
                  <w:sz w:val="18"/>
                  <w:szCs w:val="18"/>
                  <w:color w:val="0000EE"/>
                  <w:w w:val="98"/>
                </w:rPr>
                <w:t>Item 4</w:t>
              </w:r>
            </w:hyperlink>
          </w:p>
        </w:tc>
        <w:tc>
          <w:tcPr>
            <w:tcW w:w="1900" w:type="dxa"/>
            <w:vAlign w:val="bottom"/>
            <w:tcBorders>
              <w:top w:val="single" w:sz="8" w:color="0000EE"/>
              <w:bottom w:val="single" w:sz="8" w:color="0000EE"/>
            </w:tcBorders>
            <w:gridSpan w:val="5"/>
          </w:tcPr>
          <w:p>
            <w:pPr>
              <w:ind w:left="20"/>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 Controls and Procedures</w:t>
              </w:r>
            </w:hyperlink>
          </w:p>
        </w:tc>
        <w:tc>
          <w:tcPr>
            <w:tcW w:w="2580" w:type="dxa"/>
            <w:vAlign w:val="bottom"/>
            <w:tcBorders>
              <w:top w:val="single" w:sz="8" w:color="0000EE"/>
            </w:tcBorders>
          </w:tcPr>
          <w:p>
            <w:pPr>
              <w:spacing w:after="0"/>
              <w:rPr>
                <w:sz w:val="24"/>
                <w:szCs w:val="24"/>
                <w:color w:val="auto"/>
              </w:rPr>
            </w:pPr>
          </w:p>
        </w:tc>
        <w:tc>
          <w:tcPr>
            <w:tcW w:w="5180" w:type="dxa"/>
            <w:vAlign w:val="bottom"/>
            <w:gridSpan w:val="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426"/>
        </w:trPr>
        <w:tc>
          <w:tcPr>
            <w:tcW w:w="106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r>
      <w:tr>
        <w:trPr>
          <w:trHeight w:val="365"/>
        </w:trPr>
        <w:tc>
          <w:tcPr>
            <w:tcW w:w="500" w:type="dxa"/>
            <w:vAlign w:val="bottom"/>
          </w:tcPr>
          <w:p>
            <w:pPr>
              <w:spacing w:after="0"/>
              <w:rPr>
                <w:sz w:val="24"/>
                <w:szCs w:val="24"/>
                <w:color w:val="auto"/>
              </w:rPr>
            </w:pPr>
          </w:p>
        </w:tc>
        <w:tc>
          <w:tcPr>
            <w:tcW w:w="480" w:type="dxa"/>
            <w:vAlign w:val="bottom"/>
          </w:tcPr>
          <w:p>
            <w:pPr>
              <w:spacing w:after="0"/>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Item 6</w:t>
              </w:r>
            </w:hyperlink>
          </w:p>
        </w:tc>
        <w:tc>
          <w:tcPr>
            <w:tcW w:w="9660" w:type="dxa"/>
            <w:vAlign w:val="bottom"/>
            <w:gridSpan w:val="12"/>
          </w:tcPr>
          <w:p>
            <w:pPr>
              <w:ind w:left="20"/>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 Exhibits</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385"/>
        </w:trPr>
        <w:tc>
          <w:tcPr>
            <w:tcW w:w="500" w:type="dxa"/>
            <w:vAlign w:val="bottom"/>
          </w:tcPr>
          <w:p>
            <w:pPr>
              <w:spacing w:after="0"/>
              <w:rPr>
                <w:sz w:val="24"/>
                <w:szCs w:val="24"/>
                <w:color w:val="auto"/>
              </w:rPr>
            </w:pPr>
          </w:p>
        </w:tc>
        <w:tc>
          <w:tcPr>
            <w:tcW w:w="120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Signatures</w:t>
              </w:r>
            </w:hyperlink>
          </w:p>
        </w:tc>
        <w:tc>
          <w:tcPr>
            <w:tcW w:w="894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1013"/>
        </w:trPr>
        <w:tc>
          <w:tcPr>
            <w:tcW w:w="500" w:type="dxa"/>
            <w:vAlign w:val="bottom"/>
            <w:tcBorders>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2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gridSpan w:val="5"/>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592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1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92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920" w:type="dxa"/>
            <w:vAlign w:val="bottom"/>
          </w:tcPr>
          <w:p>
            <w:pPr>
              <w:jc w:val="center"/>
              <w:ind w:left="890"/>
              <w:spacing w:after="0" w:line="202" w:lineRule="exact"/>
              <w:rPr>
                <w:sz w:val="20"/>
                <w:szCs w:val="20"/>
                <w:color w:val="auto"/>
              </w:rPr>
            </w:pPr>
            <w:r>
              <w:rPr>
                <w:rFonts w:ascii="Times New Roman" w:cs="Times New Roman" w:eastAsia="Times New Roman" w:hAnsi="Times New Roman"/>
                <w:sz w:val="18"/>
                <w:szCs w:val="18"/>
                <w:color w:val="auto"/>
              </w:rPr>
              <w:t>Condensed Consolidated Balance Sheets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92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(In thousands except par value)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22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920" w:type="dxa"/>
            <w:vAlign w:val="bottom"/>
            <w:vMerge w:val="restart"/>
          </w:tcPr>
          <w:p>
            <w:pPr>
              <w:jc w:val="center"/>
              <w:ind w:right="2110"/>
              <w:spacing w:after="0"/>
              <w:rPr>
                <w:sz w:val="20"/>
                <w:szCs w:val="20"/>
                <w:color w:val="auto"/>
              </w:rPr>
            </w:pPr>
            <w:r>
              <w:rPr>
                <w:rFonts w:ascii="Times New Roman" w:cs="Times New Roman" w:eastAsia="Times New Roman" w:hAnsi="Times New Roman"/>
                <w:sz w:val="18"/>
                <w:szCs w:val="18"/>
                <w:b w:val="1"/>
                <w:bCs w:val="1"/>
                <w:color w:val="auto"/>
                <w:w w:val="98"/>
              </w:rPr>
              <w:t>ASSETS: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540" w:type="dxa"/>
            <w:vAlign w:val="bottom"/>
            <w:gridSpan w:val="3"/>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5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$187 at July 31, 2017 and at April 30, 2017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in excess of billings, net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30,457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16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Property, plant and equipment, at cost, net of</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14,641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surrender value of life insurance and cash held in trust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114,072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113,319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900" w:type="dxa"/>
            <w:vAlign w:val="bottom"/>
            <w:gridSpan w:val="2"/>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Accounts payable - trade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rent and other liabilities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24,181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 $1.00 par value authorized 600 shares, no shares issued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54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 $1.00 par value; authorized 20,000 shares, 9,164 shares issued and</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8,831 outstanding at July 31, 2017; 8,817 outstanding at April 30, 2017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55,985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24,326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89,475</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54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stock reacquired and held in treasury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at cost (333 shares at July 31, 2017 and 347 shares at April 30, 2017)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(1,525)</w:t>
            </w:r>
          </w:p>
        </w:tc>
        <w:tc>
          <w:tcPr>
            <w:tcW w:w="2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89,891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89,332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114,072</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113,319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180" w:type="dxa"/>
            <w:vAlign w:val="bottom"/>
            <w:gridSpan w:val="5"/>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900" w:type="dxa"/>
            <w:vAlign w:val="bottom"/>
            <w:gridSpan w:val="3"/>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960" w:type="dxa"/>
            <w:vAlign w:val="bottom"/>
            <w:gridSpan w:val="5"/>
          </w:tcPr>
          <w:p>
            <w:pPr>
              <w:jc w:val="center"/>
              <w:ind w:left="81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Income and Comprehensive Income (Loss)</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560" w:type="dxa"/>
            <w:vAlign w:val="bottom"/>
            <w:gridSpan w:val="2"/>
          </w:tcPr>
          <w:p>
            <w:pPr>
              <w:jc w:val="center"/>
              <w:ind w:right="380"/>
              <w:spacing w:after="0" w:line="202" w:lineRule="exact"/>
              <w:rPr>
                <w:sz w:val="20"/>
                <w:szCs w:val="20"/>
                <w:color w:val="auto"/>
              </w:rPr>
            </w:pPr>
            <w:r>
              <w:rPr>
                <w:rFonts w:ascii="Times New Roman" w:cs="Times New Roman" w:eastAsia="Times New Roman" w:hAnsi="Times New Roman"/>
                <w:sz w:val="18"/>
                <w:szCs w:val="18"/>
                <w:color w:val="auto"/>
              </w:rPr>
              <w:t>Three Months Ended July 31,</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560" w:type="dxa"/>
            <w:vAlign w:val="bottom"/>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color w:val="auto"/>
              </w:rPr>
              <w:t>(In thousands except per share data)</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5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(Unaudited)</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1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56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12,023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Operating profit (loss)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Investment income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Borders>
              <w:bottom w:val="single" w:sz="8" w:color="CCEEFF"/>
            </w:tcBorders>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gridSpan w:val="2"/>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
        </w:trPr>
        <w:tc>
          <w:tcPr>
            <w:tcW w:w="12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6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Basic earnings (loss) from continued operations</w:t>
            </w:r>
          </w:p>
        </w:tc>
        <w:tc>
          <w:tcPr>
            <w:tcW w:w="1060" w:type="dxa"/>
            <w:vAlign w:val="bottom"/>
            <w:gridSpan w:val="2"/>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Basic loss from discontinued operations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60" w:type="dxa"/>
            <w:vAlign w:val="bottom"/>
            <w:tcBorders>
              <w:bottom w:val="single" w:sz="8" w:color="CCEEFF"/>
            </w:tcBorders>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Diluted earnings (loss) from continued operations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60" w:type="dxa"/>
            <w:vAlign w:val="bottom"/>
            <w:tcBorders>
              <w:bottom w:val="single" w:sz="8" w:color="CCEEFF"/>
            </w:tcBorders>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Diluted loss from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060" w:type="dxa"/>
            <w:vAlign w:val="bottom"/>
            <w:gridSpan w:val="2"/>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
        </w:trPr>
        <w:tc>
          <w:tcPr>
            <w:tcW w:w="12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tcBorders>
              <w:bottom w:val="single" w:sz="8" w:color="CCEEFF"/>
            </w:tcBorders>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8,762</w:t>
            </w:r>
          </w:p>
        </w:tc>
        <w:tc>
          <w:tcPr>
            <w:tcW w:w="0" w:type="dxa"/>
            <w:vAlign w:val="bottom"/>
          </w:tcPr>
          <w:p>
            <w:pPr>
              <w:spacing w:after="0"/>
              <w:rPr>
                <w:sz w:val="1"/>
                <w:szCs w:val="1"/>
                <w:color w:val="auto"/>
              </w:rPr>
            </w:pPr>
          </w:p>
        </w:tc>
      </w:tr>
      <w:tr>
        <w:trPr>
          <w:trHeight w:val="21"/>
        </w:trPr>
        <w:tc>
          <w:tcPr>
            <w:tcW w:w="12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Borders>
              <w:bottom w:val="single" w:sz="8" w:color="auto"/>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shd w:val="clear" w:color="auto" w:fill="CCEEFF"/>
              </w:rPr>
              <w:t>Condensed Consolidated Statements of Comprehensive Income (Loss)</w:t>
            </w:r>
          </w:p>
        </w:tc>
        <w:tc>
          <w:tcPr>
            <w:tcW w:w="2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gridSpan w:val="2"/>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160" w:type="dxa"/>
            <w:vAlign w:val="bottom"/>
            <w:gridSpan w:val="4"/>
          </w:tcPr>
          <w:p>
            <w:pPr>
              <w:ind w:left="640"/>
              <w:spacing w:after="0" w:line="184" w:lineRule="exact"/>
              <w:rPr>
                <w:sz w:val="20"/>
                <w:szCs w:val="20"/>
                <w:color w:val="auto"/>
              </w:rPr>
            </w:pPr>
            <w:r>
              <w:rPr>
                <w:rFonts w:ascii="Times New Roman" w:cs="Times New Roman" w:eastAsia="Times New Roman" w:hAnsi="Times New Roman"/>
                <w:sz w:val="18"/>
                <w:szCs w:val="18"/>
                <w:color w:val="auto"/>
              </w:rPr>
              <w:t>Change in market value of marketable securities before</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6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reclassification, net of tax of ($19) and ($161)</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160" w:type="dxa"/>
            <w:vAlign w:val="bottom"/>
            <w:gridSpan w:val="4"/>
            <w:shd w:val="clear" w:color="auto" w:fill="CCEEFF"/>
          </w:tcPr>
          <w:p>
            <w:pPr>
              <w:ind w:left="64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realized gains included in</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income, net of tax of $355 in 2017</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(689)</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Total unrealized (loss) gain on marketable securities, net of tax</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(655)</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60" w:type="dxa"/>
            <w:vAlign w:val="bottom"/>
            <w:tcBorders>
              <w:bottom w:val="single" w:sz="8" w:color="CCEEFF"/>
            </w:tcBorders>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08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80" w:type="dxa"/>
            <w:vAlign w:val="bottom"/>
          </w:tcPr>
          <w:p>
            <w:pPr>
              <w:jc w:val="center"/>
              <w:ind w:left="171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80" w:type="dxa"/>
            <w:vAlign w:val="bottom"/>
          </w:tcPr>
          <w:p>
            <w:pPr>
              <w:jc w:val="center"/>
              <w:ind w:left="1690"/>
              <w:spacing w:after="0" w:line="202" w:lineRule="exact"/>
              <w:rPr>
                <w:sz w:val="20"/>
                <w:szCs w:val="20"/>
                <w:color w:val="auto"/>
              </w:rPr>
            </w:pPr>
            <w:r>
              <w:rPr>
                <w:rFonts w:ascii="Times New Roman" w:cs="Times New Roman" w:eastAsia="Times New Roman" w:hAnsi="Times New Roman"/>
                <w:sz w:val="18"/>
                <w:szCs w:val="18"/>
                <w:color w:val="auto"/>
              </w:rPr>
              <w:t>Three Months Ended July 31,</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080" w:type="dxa"/>
            <w:vAlign w:val="bottom"/>
          </w:tcPr>
          <w:p>
            <w:pPr>
              <w:jc w:val="center"/>
              <w:ind w:left="1710"/>
              <w:spacing w:after="0" w:line="202" w:lineRule="exact"/>
              <w:rPr>
                <w:sz w:val="20"/>
                <w:szCs w:val="20"/>
                <w:color w:val="auto"/>
              </w:rPr>
            </w:pPr>
            <w:r>
              <w:rPr>
                <w:rFonts w:ascii="Times New Roman" w:cs="Times New Roman" w:eastAsia="Times New Roman" w:hAnsi="Times New Roman"/>
                <w:sz w:val="18"/>
                <w:szCs w:val="18"/>
                <w:color w:val="auto"/>
              </w:rPr>
              <w:t>(In thousands)</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8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w w:val="98"/>
              </w:rPr>
              <w:t>(Unaudited)</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Non-cash charges to earnings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0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provided by (used in) operating activities – continuing operations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 – discontinued operations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Proceeds on redemption of marketable securities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Purchase of fixed assets and other assets</w:t>
            </w: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 investing activities – continuing operations</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used in investing activities – discontinued operations</w:t>
            </w:r>
          </w:p>
        </w:tc>
        <w:tc>
          <w:tcPr>
            <w:tcW w:w="8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Tax benefit from exercise of stock-based compensation</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financing activities – continuing operations</w:t>
            </w:r>
          </w:p>
        </w:tc>
        <w:tc>
          <w:tcPr>
            <w:tcW w:w="8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used in financing activities – discontinued operations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before effect of exchange rate changes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708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12,028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Less cash and equivalents of discontinued operations at end of period</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Cash and cash equivalents of continuing operations at end of period</w:t>
            </w:r>
          </w:p>
        </w:tc>
        <w:tc>
          <w:tcPr>
            <w:tcW w:w="88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10,910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spacing w:after="0"/>
              <w:rPr>
                <w:sz w:val="18"/>
                <w:szCs w:val="18"/>
                <w:color w:val="auto"/>
              </w:rPr>
            </w:pPr>
          </w:p>
        </w:tc>
        <w:tc>
          <w:tcPr>
            <w:tcW w:w="7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Interest</w:t>
            </w:r>
          </w:p>
        </w:tc>
        <w:tc>
          <w:tcPr>
            <w:tcW w:w="88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Income Taxes</w:t>
            </w:r>
          </w:p>
        </w:tc>
        <w:tc>
          <w:tcPr>
            <w:tcW w:w="88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ind w:left="5280"/>
        <w:spacing w:after="0"/>
        <w:rPr>
          <w:sz w:val="20"/>
          <w:szCs w:val="20"/>
          <w:color w:val="auto"/>
        </w:rPr>
      </w:pPr>
      <w:r>
        <w:rPr>
          <w:rFonts w:ascii="Times New Roman" w:cs="Times New Roman" w:eastAsia="Times New Roman" w:hAnsi="Times New Roman"/>
          <w:sz w:val="18"/>
          <w:szCs w:val="18"/>
          <w:color w:val="auto"/>
        </w:rPr>
        <w:t>(Unaudited)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CONDENSED CONSOLIDATED FINANCIAL STATEMENTS</w:t>
      </w:r>
    </w:p>
    <w:p>
      <w:pPr>
        <w:spacing w:after="0" w:line="19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consolidated financial position of the Company as of July 31, 2017 and the results of its operations and cash flows for the three months ended July 31, 2017 and 2016. The April 30, 2017 condensed consolidated balance sheet was derived from audited financial statements. Certain information and footnote disclosures normally included in financial statements prepared in accordance with generally accepted accounting principles have been condensed or omitted. It is suggested that these condensed consolidated financial statements be read in conjunction with the Company's Annual Report on Form 10-K for the year ended April 30, 2017, filed on July 31, 2017, and the financial statements and notes thereto. The results of operations for such interim periods are not necessarily indicative of the operating results for the full fiscal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DISCONTINUED OPERATIONS</w:t>
      </w:r>
    </w:p>
    <w:p>
      <w:pPr>
        <w:spacing w:after="0" w:line="19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In December 2016, the Company entered into a share purchase agreement with certain foreign counterparties with respect to a potential sale of Gillam-FEI, the Company’s Belgian subsidiary. However, these counterparties have not yet performed their obligations under that agreement. Because the counterparties have failed to perform their obligations under the share purchase agreement the Company has a right to terminate that share purchase agreement. The Company continues to negotiate with these counterparties to effectuate a closing of the transaction contemplated by the share purchase agreement, but the Company is also discussing a sale of the Gilliam business with other potential buyers. In April 2017, the Company decided to sell its Gillam business as soon as practicable, and began contacting potential buyers other than the counterparty to the stock purchase agreement. The Company believes that the divestment is on a path to completion by the end of fiscal year 2018. Accordingly, the Company determined that the assets and liabilities of this reportable segment met the discontinued operations criteria in Accounting Standards Codification 205-20-45 for the year ended April 30, 2017, and Gillam’s results have been classified as discontinued operations in the accompanying Consolidated Statements of Operations and Comprehensive Income (Loss).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Summarized operating results for the Gillam discontinued operations, for the three months ended July 31, 2017 and 2016 respectively, are 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ectPr>
          <w:pgSz w:w="11900" w:h="16838" w:orient="portrait"/>
          <w:cols w:equalWidth="0" w:num="1">
            <w:col w:w="11420"/>
          </w:cols>
          <w:pgMar w:left="240" w:top="121" w:right="239" w:bottom="1440" w:gutter="0" w:footer="0" w:header="0"/>
        </w:sectPr>
      </w:pPr>
    </w:p>
    <w:p>
      <w:pPr>
        <w:spacing w:after="0" w:line="188"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11430</wp:posOffset>
            </wp:positionV>
            <wp:extent cx="9347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34720" cy="17145"/>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11430</wp:posOffset>
            </wp:positionV>
            <wp:extent cx="9347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34720" cy="17145"/>
                    </a:xfrm>
                    <a:prstGeom prst="rect">
                      <a:avLst/>
                    </a:prstGeom>
                    <a:noFill/>
                  </pic:spPr>
                </pic:pic>
              </a:graphicData>
            </a:graphic>
          </wp:anchor>
        </w:drawing>
      </w:r>
    </w:p>
    <w:p>
      <w:pPr>
        <w:spacing w:after="0" w:line="20"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11430</wp:posOffset>
            </wp:positionV>
            <wp:extent cx="9518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51865" cy="17145"/>
                    </a:xfrm>
                    <a:prstGeom prst="rect">
                      <a:avLst/>
                    </a:prstGeom>
                    <a:noFill/>
                  </pic:spPr>
                </pic:pic>
              </a:graphicData>
            </a:graphic>
          </wp:anchor>
        </w:drawing>
      </w:r>
    </w:p>
    <w:p>
      <w:pPr>
        <w:spacing w:after="0" w:line="16"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11430</wp:posOffset>
            </wp:positionV>
            <wp:extent cx="9518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51865" cy="17145"/>
                    </a:xfrm>
                    <a:prstGeom prst="rect">
                      <a:avLst/>
                    </a:prstGeom>
                    <a:noFill/>
                  </pic:spPr>
                </pic:pic>
              </a:graphicData>
            </a:graphic>
          </wp:anchor>
        </w:drawing>
      </w:r>
    </w:p>
    <w:p>
      <w:pPr>
        <w:spacing w:after="0" w:line="20" w:lineRule="exact"/>
        <w:rPr>
          <w:sz w:val="20"/>
          <w:szCs w:val="20"/>
          <w:color w:val="auto"/>
        </w:rPr>
      </w:pPr>
    </w:p>
    <w:p>
      <w:pPr>
        <w:jc w:val="center"/>
        <w:ind w:right="1700"/>
        <w:spacing w:after="0"/>
        <w:rPr>
          <w:sz w:val="20"/>
          <w:szCs w:val="20"/>
          <w:color w:val="auto"/>
        </w:rPr>
      </w:pPr>
      <w:r>
        <w:rPr>
          <w:rFonts w:ascii="Times New Roman" w:cs="Times New Roman" w:eastAsia="Times New Roman" w:hAnsi="Times New Roman"/>
          <w:sz w:val="18"/>
          <w:szCs w:val="18"/>
          <w:color w:val="auto"/>
        </w:rPr>
        <w:t>(UNAUDITED)</w:t>
      </w:r>
    </w:p>
    <w:p>
      <w:pPr>
        <w:spacing w:after="0" w:line="34" w:lineRule="exact"/>
        <w:rPr>
          <w:sz w:val="20"/>
          <w:szCs w:val="20"/>
          <w:color w:val="auto"/>
        </w:rPr>
      </w:pPr>
    </w:p>
    <w:p>
      <w:pPr>
        <w:sectPr>
          <w:pgSz w:w="11900" w:h="16838" w:orient="portrait"/>
          <w:cols w:equalWidth="0" w:num="2">
            <w:col w:w="8040" w:space="500"/>
            <w:col w:w="288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4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00" w:type="dxa"/>
            <w:vAlign w:val="bottom"/>
            <w:gridSpan w:val="4"/>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(In thousands except par value)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Gross Margin</w:t>
            </w:r>
          </w:p>
        </w:tc>
        <w:tc>
          <w:tcPr>
            <w:tcW w:w="17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Loss</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(loss) income</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5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w:t>
            </w:r>
          </w:p>
        </w:tc>
        <w:tc>
          <w:tcPr>
            <w:tcW w:w="11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40" w:type="dxa"/>
            <w:vAlign w:val="bottom"/>
            <w:vMerge w:val="restart"/>
          </w:tcPr>
          <w:p>
            <w:pPr>
              <w:jc w:val="right"/>
              <w:ind w:right="879"/>
              <w:spacing w:after="0"/>
              <w:rPr>
                <w:sz w:val="20"/>
                <w:szCs w:val="20"/>
                <w:color w:val="auto"/>
              </w:rPr>
            </w:pPr>
            <w:r>
              <w:rPr>
                <w:rFonts w:ascii="Times New Roman" w:cs="Times New Roman" w:eastAsia="Times New Roman" w:hAnsi="Times New Roman"/>
                <w:sz w:val="14"/>
                <w:szCs w:val="14"/>
                <w:color w:val="auto"/>
              </w:rPr>
              <w:t>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14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44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42"/>
        </w:trPr>
        <w:tc>
          <w:tcPr>
            <w:tcW w:w="12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040" w:type="dxa"/>
            <w:vAlign w:val="bottom"/>
            <w:gridSpan w:val="5"/>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20" w:type="dxa"/>
            <w:vAlign w:val="bottom"/>
            <w:gridSpan w:val="3"/>
          </w:tcPr>
          <w:p>
            <w:pPr>
              <w:jc w:val="center"/>
              <w:ind w:left="2050"/>
              <w:spacing w:after="0" w:line="202"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20" w:type="dxa"/>
            <w:vAlign w:val="bottom"/>
          </w:tcPr>
          <w:p>
            <w:pPr>
              <w:jc w:val="center"/>
              <w:ind w:left="3030"/>
              <w:spacing w:after="0"/>
              <w:rPr>
                <w:sz w:val="20"/>
                <w:szCs w:val="20"/>
                <w:color w:val="auto"/>
              </w:rPr>
            </w:pPr>
            <w:r>
              <w:rPr>
                <w:rFonts w:ascii="Times New Roman" w:cs="Times New Roman" w:eastAsia="Times New Roman" w:hAnsi="Times New Roman"/>
                <w:sz w:val="18"/>
                <w:szCs w:val="18"/>
                <w:color w:val="auto"/>
                <w:w w:val="98"/>
              </w:rPr>
              <w:t>(Unaudited)</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5"/>
        </w:trPr>
        <w:tc>
          <w:tcPr>
            <w:tcW w:w="7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The carrying amounts of assets and liabilities for the Gillam discontinued operations are as follows:</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2"/>
        </w:trPr>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22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23"/>
        </w:trPr>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3,202</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4,382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3,980</w:t>
            </w:r>
          </w:p>
        </w:tc>
      </w:tr>
      <w:tr>
        <w:trPr>
          <w:trHeight w:val="223"/>
        </w:trPr>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w:t>
            </w:r>
          </w:p>
        </w:tc>
      </w:tr>
      <w:tr>
        <w:trPr>
          <w:trHeight w:val="223"/>
        </w:trPr>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assets of discontinued operations</w:t>
            </w:r>
          </w:p>
        </w:tc>
        <w:tc>
          <w:tcPr>
            <w:tcW w:w="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8,412</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84"/>
        </w:trPr>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2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Property, plant and equipment, at cost, net of accumulated depreciation</w:t>
            </w: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1"/>
        </w:trPr>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amortization</w:t>
            </w:r>
          </w:p>
        </w:tc>
        <w:tc>
          <w:tcPr>
            <w:tcW w:w="10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w:t>
            </w: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r>
      <w:tr>
        <w:trPr>
          <w:trHeight w:val="223"/>
        </w:trPr>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 – non-current</w:t>
            </w:r>
          </w:p>
        </w:tc>
        <w:tc>
          <w:tcPr>
            <w:tcW w:w="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non-current assets of discontinued operations</w:t>
            </w:r>
          </w:p>
        </w:tc>
        <w:tc>
          <w:tcPr>
            <w:tcW w:w="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 – trade</w:t>
            </w:r>
          </w:p>
        </w:tc>
        <w:tc>
          <w:tcPr>
            <w:tcW w:w="10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949</w:t>
            </w:r>
          </w:p>
        </w:tc>
      </w:tr>
      <w:tr>
        <w:trPr>
          <w:trHeight w:val="223"/>
        </w:trPr>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1,300</w:t>
            </w:r>
          </w:p>
        </w:tc>
      </w:tr>
      <w:tr>
        <w:trPr>
          <w:trHeight w:val="223"/>
        </w:trPr>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2,276</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23"/>
        </w:trPr>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rent and other liabilities</w:t>
            </w: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1,316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1,215</w:t>
            </w:r>
          </w:p>
        </w:tc>
      </w:tr>
      <w:tr>
        <w:trPr>
          <w:trHeight w:val="223"/>
        </w:trPr>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non-current liabilities of discontinued operations</w:t>
            </w:r>
          </w:p>
        </w:tc>
        <w:tc>
          <w:tcPr>
            <w:tcW w:w="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1,316</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C – EARNINGS PER SHARE</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05"/>
        </w:trPr>
        <w:tc>
          <w:tcPr>
            <w:tcW w:w="89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Reconciliation of the weighted average shares outstanding for basic and diluted Earnings Per Share are as follows: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2"/>
        </w:trPr>
        <w:tc>
          <w:tcPr>
            <w:tcW w:w="14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120" w:type="dxa"/>
            <w:vAlign w:val="bottom"/>
          </w:tcPr>
          <w:p>
            <w:pPr>
              <w:spacing w:after="0"/>
              <w:rPr>
                <w:sz w:val="24"/>
                <w:szCs w:val="24"/>
                <w:color w:val="auto"/>
              </w:rPr>
            </w:pPr>
          </w:p>
        </w:tc>
      </w:tr>
      <w:tr>
        <w:trPr>
          <w:trHeight w:val="439"/>
        </w:trPr>
        <w:tc>
          <w:tcPr>
            <w:tcW w:w="14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8,826,026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8,762,355</w:t>
            </w:r>
          </w:p>
        </w:tc>
        <w:tc>
          <w:tcPr>
            <w:tcW w:w="120" w:type="dxa"/>
            <w:vAlign w:val="bottom"/>
            <w:shd w:val="clear" w:color="auto" w:fill="CCEEFF"/>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54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141,281</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57"/>
        </w:trPr>
        <w:tc>
          <w:tcPr>
            <w:tcW w:w="1440" w:type="dxa"/>
            <w:vAlign w:val="bottom"/>
          </w:tcPr>
          <w:p>
            <w:pPr>
              <w:spacing w:after="0"/>
              <w:rPr>
                <w:sz w:val="22"/>
                <w:szCs w:val="22"/>
                <w:color w:val="auto"/>
              </w:rPr>
            </w:pPr>
          </w:p>
        </w:tc>
        <w:tc>
          <w:tcPr>
            <w:tcW w:w="54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8,967,307</w:t>
            </w: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8,762,355</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84" w:lineRule="exact"/>
        <w:rPr>
          <w:sz w:val="20"/>
          <w:szCs w:val="20"/>
          <w:color w:val="auto"/>
        </w:rPr>
      </w:pPr>
    </w:p>
    <w:p>
      <w:pPr>
        <w:ind w:firstLine="656"/>
        <w:spacing w:after="0" w:line="266" w:lineRule="auto"/>
        <w:tabs>
          <w:tab w:leader="none" w:pos="8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three-month period ended July 31, 2016, dilutive securities are excluded since the inclusion of such shares would be antidilutive due to the net loss for the period. The exercisable shares excluded are 1,200,625. The effect of dilutive securities for the period would have been 179,001.</w:t>
      </w:r>
    </w:p>
    <w:p>
      <w:pPr>
        <w:spacing w:after="0" w:line="1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computation of diluted earnings per share in the other fiscal periods excludes those options and stock appreciation rights (“SARS”) with an exercise price in excess of the average market price of the Company’s common shares during the periods presented. The inclusion of such options and SARS in the computation of earnings per share would have been antidilutive. The number of excluded options and SARS were:</w:t>
      </w:r>
    </w:p>
    <w:p>
      <w:pPr>
        <w:spacing w:after="0" w:line="173"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11430</wp:posOffset>
            </wp:positionV>
            <wp:extent cx="18440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44040" cy="17145"/>
                    </a:xfrm>
                    <a:prstGeom prst="rect">
                      <a:avLst/>
                    </a:prstGeom>
                    <a:noFill/>
                  </pic:spPr>
                </pic:pic>
              </a:graphicData>
            </a:graphic>
          </wp:anchor>
        </w:drawing>
      </w:r>
    </w:p>
    <w:p>
      <w:pPr>
        <w:spacing w:after="0" w:line="232" w:lineRule="exact"/>
        <w:rPr>
          <w:sz w:val="20"/>
          <w:szCs w:val="20"/>
          <w:color w:val="auto"/>
        </w:rPr>
      </w:pPr>
    </w:p>
    <w:p>
      <w:pPr>
        <w:ind w:left="7340"/>
        <w:spacing w:after="0"/>
        <w:tabs>
          <w:tab w:leader="none" w:pos="8880" w:val="left"/>
        </w:tabs>
        <w:rPr>
          <w:sz w:val="20"/>
          <w:szCs w:val="20"/>
          <w:color w:val="auto"/>
        </w:rPr>
      </w:pPr>
      <w:r>
        <w:rPr>
          <w:rFonts w:ascii="Times New Roman" w:cs="Times New Roman" w:eastAsia="Times New Roman" w:hAnsi="Times New Roman"/>
          <w:sz w:val="18"/>
          <w:szCs w:val="18"/>
          <w:b w:val="1"/>
          <w:bCs w:val="1"/>
          <w:color w:val="auto"/>
        </w:rPr>
        <w:t>2017</w:t>
      </w:r>
      <w:r>
        <w:rPr>
          <w:sz w:val="20"/>
          <w:szCs w:val="20"/>
          <w:color w:val="auto"/>
        </w:rPr>
        <w:tab/>
      </w:r>
      <w:r>
        <w:rPr>
          <w:rFonts w:ascii="Times New Roman" w:cs="Times New Roman" w:eastAsia="Times New Roman" w:hAnsi="Times New Roman"/>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11430</wp:posOffset>
            </wp:positionV>
            <wp:extent cx="184404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4040" cy="17145"/>
                    </a:xfrm>
                    <a:prstGeom prst="rect">
                      <a:avLst/>
                    </a:prstGeom>
                    <a:noFill/>
                  </pic:spPr>
                </pic:pic>
              </a:graphicData>
            </a:graphic>
          </wp:anchor>
        </w:drawing>
      </w:r>
    </w:p>
    <w:p>
      <w:pPr>
        <w:spacing w:after="0" w:line="20" w:lineRule="exact"/>
        <w:rPr>
          <w:sz w:val="20"/>
          <w:szCs w:val="20"/>
          <w:color w:val="auto"/>
        </w:rPr>
      </w:pPr>
    </w:p>
    <w:p>
      <w:pPr>
        <w:ind w:left="1440"/>
        <w:spacing w:after="0"/>
        <w:tabs>
          <w:tab w:leader="none" w:pos="7580" w:val="left"/>
          <w:tab w:leader="none" w:pos="9740" w:val="left"/>
        </w:tabs>
        <w:rPr>
          <w:sz w:val="20"/>
          <w:szCs w:val="20"/>
          <w:color w:val="auto"/>
        </w:rPr>
      </w:pPr>
      <w:r>
        <w:rPr>
          <w:rFonts w:ascii="Times New Roman" w:cs="Times New Roman" w:eastAsia="Times New Roman" w:hAnsi="Times New Roman"/>
          <w:sz w:val="18"/>
          <w:szCs w:val="18"/>
          <w:color w:val="auto"/>
        </w:rPr>
        <w:t>Outstanding options and SARS excluded</w:t>
      </w:r>
      <w:r>
        <w:rPr>
          <w:sz w:val="20"/>
          <w:szCs w:val="20"/>
          <w:color w:val="auto"/>
        </w:rPr>
        <w:tab/>
      </w:r>
      <w:r>
        <w:rPr>
          <w:rFonts w:ascii="Times New Roman" w:cs="Times New Roman" w:eastAsia="Times New Roman" w:hAnsi="Times New Roman"/>
          <w:sz w:val="18"/>
          <w:szCs w:val="18"/>
          <w:color w:val="auto"/>
        </w:rPr>
        <w:t>893,500</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-127635</wp:posOffset>
            </wp:positionV>
            <wp:extent cx="542861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COSTS AND ESTIMATED EARNINGS IN EXCESS OF BILLINGS, NET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July 31, 2017 and April 30, 2017, costs and estimated earnings in excess of billings, net, consist of the following:</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232"/>
        </w:trPr>
        <w:tc>
          <w:tcPr>
            <w:tcW w:w="4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July 31, 2017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April 30, 2017</w:t>
            </w:r>
          </w:p>
        </w:tc>
        <w:tc>
          <w:tcPr>
            <w:tcW w:w="120" w:type="dxa"/>
            <w:vAlign w:val="bottom"/>
          </w:tcPr>
          <w:p>
            <w:pPr>
              <w:spacing w:after="0"/>
              <w:rPr>
                <w:sz w:val="20"/>
                <w:szCs w:val="20"/>
                <w:color w:val="auto"/>
              </w:rPr>
            </w:pPr>
          </w:p>
        </w:tc>
      </w:tr>
      <w:tr>
        <w:trPr>
          <w:trHeight w:val="216"/>
        </w:trPr>
        <w:tc>
          <w:tcPr>
            <w:tcW w:w="4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580" w:type="dxa"/>
            <w:vAlign w:val="bottom"/>
            <w:gridSpan w:val="3"/>
          </w:tcPr>
          <w:p>
            <w:pPr>
              <w:jc w:val="right"/>
              <w:ind w:right="870"/>
              <w:spacing w:after="0"/>
              <w:rPr>
                <w:sz w:val="20"/>
                <w:szCs w:val="20"/>
                <w:color w:val="auto"/>
              </w:rPr>
            </w:pPr>
            <w:r>
              <w:rPr>
                <w:rFonts w:ascii="Times New Roman" w:cs="Times New Roman" w:eastAsia="Times New Roman" w:hAnsi="Times New Roman"/>
                <w:sz w:val="18"/>
                <w:szCs w:val="18"/>
                <w:color w:val="auto"/>
                <w:w w:val="76"/>
              </w:rPr>
              <w:t>thousands)</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8,890</w:t>
            </w:r>
          </w:p>
        </w:tc>
      </w:tr>
      <w:tr>
        <w:trPr>
          <w:trHeight w:val="22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costs and estimated earnings</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(926)</w:t>
            </w:r>
          </w:p>
        </w:tc>
      </w:tr>
      <w:tr>
        <w:trPr>
          <w:trHeight w:val="257"/>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w:t>
            </w: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7,964</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18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Such amounts represent revenue recognized on long-term contracts that had not been billed at the balance sheet dates or represent a liability for amounts billed in excess of the revenue recognized. Amounts are billed to customers pursuant to contract terms, whereas the related revenue is recognized on the percentage of completion basis at the measurement date. In general, the recorded amounts will be billed and collected or revenue recognized within twelve months of the balance sheet date. Revenue on these long-term contracts is accounted for on the percentage of completion basis. During the three months ended July 31, 2017 and 2016, revenue recognized under percentage of completion contracts was approximately $6.4 million and $7.3 million, respectively. If contract losses are anticipated, costs and estimated earnings in excess of billings are reduced for the full amount of such losses when they are determinable.</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TREASURY STOCK TRANSACTIONS</w:t>
      </w:r>
    </w:p>
    <w:p>
      <w:pPr>
        <w:spacing w:after="0" w:line="19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During the three month period ended July 31, 2017, the Company made contributions of 13,740 shares of its common stock held in treasury to the Company’s profit sharing plan and trust under Section 401(k) of the Internal Revenue Code. Such contributions are in accordance with the Company’s discretionary match of employee voluntary contributions to this plan. During the same period, the Company issued 844 shares from treasury upon the exercise of SARS by certain officers and employees of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INVENTORIES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which are reported at the lower of cost or market, consist of the following:</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232"/>
        </w:trPr>
        <w:tc>
          <w:tcPr>
            <w:tcW w:w="5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July 31, 2017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2017</w:t>
            </w:r>
          </w:p>
        </w:tc>
        <w:tc>
          <w:tcPr>
            <w:tcW w:w="120" w:type="dxa"/>
            <w:vAlign w:val="bottom"/>
          </w:tcPr>
          <w:p>
            <w:pPr>
              <w:spacing w:after="0"/>
              <w:rPr>
                <w:sz w:val="20"/>
                <w:szCs w:val="20"/>
                <w:color w:val="auto"/>
              </w:rPr>
            </w:pPr>
          </w:p>
        </w:tc>
      </w:tr>
      <w:tr>
        <w:trPr>
          <w:trHeight w:val="216"/>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 Parts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17,702</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7,340</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4,009</w:t>
            </w:r>
          </w:p>
        </w:tc>
      </w:tr>
      <w:tr>
        <w:trPr>
          <w:trHeight w:val="27"/>
        </w:trPr>
        <w:tc>
          <w:tcPr>
            <w:tcW w:w="54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29,051</w:t>
            </w:r>
          </w:p>
        </w:tc>
      </w:tr>
      <w:tr>
        <w:trPr>
          <w:trHeight w:val="21"/>
        </w:trPr>
        <w:tc>
          <w:tcPr>
            <w:tcW w:w="5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July 31, 2017 and April 30, 2017, approximately $29.5 million and $28.2 million, respectively, of total inventory is located in the United States and $0.9 million and $0.8 million, respectively, is located in China. The Company buys inventory in bulk quantities which may be used over significant time periods; due to its nature the inventory does not deteriorate.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SEGMENT INFORMATION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operates under two reportable segments based on the geographic locations of its subsidiaries:</w:t>
      </w:r>
    </w:p>
    <w:p>
      <w:pPr>
        <w:spacing w:after="0" w:line="198" w:lineRule="exact"/>
        <w:rPr>
          <w:sz w:val="20"/>
          <w:szCs w:val="20"/>
          <w:color w:val="auto"/>
        </w:rPr>
      </w:pPr>
    </w:p>
    <w:p>
      <w:pPr>
        <w:jc w:val="both"/>
        <w:ind w:left="660" w:hanging="490"/>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62" w:lineRule="exact"/>
        <w:rPr>
          <w:rFonts w:ascii="Times New Roman" w:cs="Times New Roman" w:eastAsia="Times New Roman" w:hAnsi="Times New Roman"/>
          <w:sz w:val="18"/>
          <w:szCs w:val="18"/>
          <w:color w:val="auto"/>
        </w:rPr>
      </w:pPr>
    </w:p>
    <w:p>
      <w:pPr>
        <w:jc w:val="both"/>
        <w:ind w:left="660" w:hanging="490"/>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FEI-NY segment also includes the operations of the Company’s wholly-owned subsidiaries, FEI-Elcom and FEI-Asia. FEI-Asia functions as a manufacturing facility for the FEI-NY segment with historically minimal sales to outside customers. Beginning in late fiscal year 2014, FEI-Asia began shipping higher volumes of product to third parties as a contract manufacturer. FEI-Elcom, in addition to its own product line, provides design and technical support for the FEI-NY segment’s satellite business.</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Company’s Chief Executive Officer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tables below present information about reported segments with reconciliation of segment amounts to consolidated amounts as reported in the statement of income or the balance sheet for each of the periods (in thousands):</w:t>
      </w:r>
    </w:p>
    <w:p>
      <w:pPr>
        <w:spacing w:after="0" w:line="158" w:lineRule="exact"/>
        <w:rPr>
          <w:sz w:val="20"/>
          <w:szCs w:val="20"/>
          <w:color w:val="auto"/>
        </w:rPr>
      </w:pPr>
    </w:p>
    <w:tbl>
      <w:tblPr>
        <w:tblLayout w:type="fixed"/>
        <w:tblInd w:w="1440" w:type="dxa"/>
        <w:tblCellMar>
          <w:top w:w="0" w:type="dxa"/>
          <w:left w:w="0" w:type="dxa"/>
          <w:bottom w:w="0" w:type="dxa"/>
          <w:right w:w="0" w:type="dxa"/>
        </w:tblCellMar>
      </w:tblPr>
      <w:tr>
        <w:trPr>
          <w:trHeight w:val="232"/>
        </w:trPr>
        <w:tc>
          <w:tcPr>
            <w:tcW w:w="4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439"/>
        </w:trPr>
        <w:tc>
          <w:tcPr>
            <w:tcW w:w="4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FEI-NY</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9,982</w:t>
            </w:r>
          </w:p>
        </w:tc>
        <w:tc>
          <w:tcPr>
            <w:tcW w:w="0" w:type="dxa"/>
            <w:vAlign w:val="bottom"/>
          </w:tcPr>
          <w:p>
            <w:pPr>
              <w:spacing w:after="0"/>
              <w:rPr>
                <w:sz w:val="1"/>
                <w:szCs w:val="1"/>
                <w:color w:val="auto"/>
              </w:rPr>
            </w:pPr>
          </w:p>
        </w:tc>
      </w:tr>
      <w:tr>
        <w:trPr>
          <w:trHeight w:val="216"/>
        </w:trPr>
        <w:tc>
          <w:tcPr>
            <w:tcW w:w="4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FEI-Zyfer</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2,346</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less intercompany revenues</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tcPr>
          <w:p>
            <w:pPr>
              <w:ind w:left="640"/>
              <w:spacing w:after="0"/>
              <w:rPr>
                <w:sz w:val="20"/>
                <w:szCs w:val="20"/>
                <w:color w:val="auto"/>
              </w:rPr>
            </w:pPr>
            <w:r>
              <w:rPr>
                <w:rFonts w:ascii="Times New Roman" w:cs="Times New Roman" w:eastAsia="Times New Roman" w:hAnsi="Times New Roman"/>
                <w:sz w:val="18"/>
                <w:szCs w:val="18"/>
                <w:color w:val="auto"/>
              </w:rPr>
              <w:t>Consolidated revenues</w:t>
            </w: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11,562</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(loss) profit :</w:t>
            </w: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7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FEI-NY</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4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FEI-Zyfer</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Corporate</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47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Consolidated operating (loss) profit</w:t>
            </w:r>
          </w:p>
        </w:tc>
        <w:tc>
          <w:tcPr>
            <w:tcW w:w="7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4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July 31, 2017</w:t>
            </w:r>
          </w:p>
        </w:tc>
        <w:tc>
          <w:tcPr>
            <w:tcW w:w="12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April 30, 2017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7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FEI-NY (approximately $1.7 million in China)</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64,828</w:t>
            </w:r>
          </w:p>
        </w:tc>
        <w:tc>
          <w:tcPr>
            <w:tcW w:w="0" w:type="dxa"/>
            <w:vAlign w:val="bottom"/>
          </w:tcPr>
          <w:p>
            <w:pPr>
              <w:spacing w:after="0"/>
              <w:rPr>
                <w:sz w:val="1"/>
                <w:szCs w:val="1"/>
                <w:color w:val="auto"/>
              </w:rPr>
            </w:pPr>
          </w:p>
        </w:tc>
      </w:tr>
      <w:tr>
        <w:trPr>
          <w:trHeight w:val="216"/>
        </w:trPr>
        <w:tc>
          <w:tcPr>
            <w:tcW w:w="4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FEI-Zyfer</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10,427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less intersegment balances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(12,577)</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(11,992)</w:t>
            </w:r>
          </w:p>
        </w:tc>
        <w:tc>
          <w:tcPr>
            <w:tcW w:w="0" w:type="dxa"/>
            <w:vAlign w:val="bottom"/>
          </w:tcPr>
          <w:p>
            <w:pPr>
              <w:spacing w:after="0"/>
              <w:rPr>
                <w:sz w:val="1"/>
                <w:szCs w:val="1"/>
                <w:color w:val="auto"/>
              </w:rPr>
            </w:pPr>
          </w:p>
        </w:tc>
      </w:tr>
      <w:tr>
        <w:trPr>
          <w:trHeight w:val="223"/>
        </w:trPr>
        <w:tc>
          <w:tcPr>
            <w:tcW w:w="47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Corporate</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50,056</w:t>
            </w:r>
          </w:p>
        </w:tc>
        <w:tc>
          <w:tcPr>
            <w:tcW w:w="0" w:type="dxa"/>
            <w:vAlign w:val="bottom"/>
          </w:tcPr>
          <w:p>
            <w:pPr>
              <w:spacing w:after="0"/>
              <w:rPr>
                <w:sz w:val="1"/>
                <w:szCs w:val="1"/>
                <w:color w:val="auto"/>
              </w:rPr>
            </w:pPr>
          </w:p>
        </w:tc>
      </w:tr>
      <w:tr>
        <w:trPr>
          <w:trHeight w:val="257"/>
        </w:trPr>
        <w:tc>
          <w:tcPr>
            <w:tcW w:w="47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Consolidated identifiable assets</w:t>
            </w: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114,072</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113,319</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INVESTMENT IN MORION, INC.</w:t>
      </w:r>
    </w:p>
    <w:p>
      <w:pPr>
        <w:spacing w:after="0" w:line="19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Company has an investment in Morion, Inc., (“Morion”)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 During the three months ended July 31, 2017 and 2016, the Company acquired product from Morion in the aggregate amount of approximately $64,000 and $81,000, respectively, and the Company sold product and training services to Morion in the aggregate amount of approximately $182,000 and $10,000, respectively. (See discussion of revenues recognized under the license agreement in the paragraph below.) At July 31, 2017 there were neither amounts owed nor receivable related to Morion. During the three months ended July 31, 2017 the Company received a dividend from Morion in the amount of approximately $51,000, and no dividend was received for the comparable period of the previous fiscal year.</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On October 22, 2012, the Company entered into an agreement to license its rubidium oscillator production technology to Morion. The agreement required the Company to sell certain fully-depreciated production equipment previously owned by the Company and to provide training to Morion employees to enable Morion to produce a minimum of 5,000 rubidium oscillators per year. Morion will pay the Company approximately $2.7 million for the license and the equipment plus 5% royalties on third party sales for a 5-year period following an initial production run. During the same 5-year period, the Company commits to purchase from Morion a minimum of approximately $400,000 worth of rubidium oscillators per year although Morion is not obligated to sell that amount to the Company. During the fiscal year ended April 30, 2016, sales to Morion included $375,000 for product and training services under this agreement. Per the amended agreement, the balance of $1 million for the transfer of the license will be due once the United States Department of State (“the State Department”) approves the removal of certain provisions of the original agreement. The State Department has approved the technology transfer called for under the agreement.</w:t>
      </w:r>
    </w:p>
    <w:p>
      <w:pPr>
        <w:spacing w:after="0" w:line="1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March 29, 2016, the Company renegotiated the $1 million amendment under the original agreement dated October 22, 2012 to $602,000 due to the U.S. Government easing of export regulations. Of this amount $392,500 was billed and paid during fiscal year 2016 and the balance of $210,000 was billed during fiscal year 2017 and was subsequently collected.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FAIR VALUE OF FINANCIAL INSTRUMENTS</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cost, gross unrealized gains, gross unrealized losses and fair market value of available-for-sale securities at July 31, 2017 and April 30, 2017, respectively are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July 31, 2017</w:t>
            </w: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0"/>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560" w:type="dxa"/>
            <w:vAlign w:val="bottom"/>
            <w:gridSpan w:val="3"/>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40" w:type="dxa"/>
            <w:vAlign w:val="bottom"/>
          </w:tcPr>
          <w:p>
            <w:pPr>
              <w:spacing w:after="0"/>
              <w:rPr>
                <w:sz w:val="15"/>
                <w:szCs w:val="15"/>
                <w:color w:val="auto"/>
              </w:rPr>
            </w:pPr>
          </w:p>
        </w:tc>
        <w:tc>
          <w:tcPr>
            <w:tcW w:w="122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rPr>
              <w:t>Fair Market</w:t>
            </w:r>
          </w:p>
        </w:tc>
        <w:tc>
          <w:tcPr>
            <w:tcW w:w="100" w:type="dxa"/>
            <w:vAlign w:val="bottom"/>
          </w:tcPr>
          <w:p>
            <w:pPr>
              <w:spacing w:after="0"/>
              <w:rPr>
                <w:sz w:val="15"/>
                <w:szCs w:val="15"/>
                <w:color w:val="auto"/>
              </w:rPr>
            </w:pPr>
          </w:p>
        </w:tc>
      </w:tr>
      <w:tr>
        <w:trPr>
          <w:trHeight w:val="232"/>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380" w:type="dxa"/>
            <w:vAlign w:val="bottom"/>
          </w:tcPr>
          <w:p>
            <w:pPr>
              <w:spacing w:after="0"/>
              <w:rPr>
                <w:sz w:val="20"/>
                <w:szCs w:val="20"/>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92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April 30, 2017</w:t>
            </w: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0"/>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560" w:type="dxa"/>
            <w:vAlign w:val="bottom"/>
            <w:gridSpan w:val="3"/>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40" w:type="dxa"/>
            <w:vAlign w:val="bottom"/>
          </w:tcPr>
          <w:p>
            <w:pPr>
              <w:spacing w:after="0"/>
              <w:rPr>
                <w:sz w:val="15"/>
                <w:szCs w:val="15"/>
                <w:color w:val="auto"/>
              </w:rPr>
            </w:pPr>
          </w:p>
        </w:tc>
        <w:tc>
          <w:tcPr>
            <w:tcW w:w="122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rPr>
              <w:t>Fair Market</w:t>
            </w:r>
          </w:p>
        </w:tc>
        <w:tc>
          <w:tcPr>
            <w:tcW w:w="100" w:type="dxa"/>
            <w:vAlign w:val="bottom"/>
          </w:tcPr>
          <w:p>
            <w:pPr>
              <w:spacing w:after="0"/>
              <w:rPr>
                <w:sz w:val="15"/>
                <w:szCs w:val="15"/>
                <w:color w:val="auto"/>
              </w:rPr>
            </w:pPr>
          </w:p>
        </w:tc>
      </w:tr>
      <w:tr>
        <w:trPr>
          <w:trHeight w:val="232"/>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400" w:type="dxa"/>
            <w:vAlign w:val="bottom"/>
          </w:tcPr>
          <w:p>
            <w:pPr>
              <w:spacing w:after="0"/>
              <w:rPr>
                <w:sz w:val="20"/>
                <w:szCs w:val="20"/>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92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1,248</w:t>
            </w:r>
          </w:p>
        </w:tc>
        <w:tc>
          <w:tcPr>
            <w:tcW w:w="4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6,239</w:t>
            </w:r>
          </w:p>
        </w:tc>
      </w:tr>
      <w:tr>
        <w:trPr>
          <w:trHeight w:val="257"/>
        </w:trPr>
        <w:tc>
          <w:tcPr>
            <w:tcW w:w="2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2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fair value and unrealized losses, aggregated by investment type and length of time that individual securities have been in a continuous unrealized loss position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8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0"/>
                <w:szCs w:val="20"/>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Borders>
              <w:bottom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July 31, 2017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 w:type="dxa"/>
            <w:vAlign w:val="bottom"/>
            <w:tcBorders>
              <w:bottom w:val="single" w:sz="8" w:color="CCEEFF"/>
              <w:right w:val="single" w:sz="8" w:color="CCEEFF"/>
            </w:tcBorders>
            <w:shd w:val="clear" w:color="auto" w:fill="CCEEFF"/>
          </w:tcPr>
          <w:p>
            <w:pPr>
              <w:spacing w:after="0"/>
              <w:rPr>
                <w:sz w:val="22"/>
                <w:szCs w:val="22"/>
                <w:color w:val="auto"/>
              </w:rPr>
            </w:pPr>
          </w:p>
        </w:tc>
        <w:tc>
          <w:tcPr>
            <w:tcW w:w="1020" w:type="dxa"/>
            <w:vAlign w:val="bottom"/>
            <w:tcBorders>
              <w:bottom w:val="single" w:sz="8" w:color="CCEEFF"/>
              <w:right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40" w:type="dxa"/>
            <w:vAlign w:val="bottom"/>
            <w:gridSpan w:val="3"/>
          </w:tcPr>
          <w:p>
            <w:pPr>
              <w:jc w:val="center"/>
              <w:ind w:right="20"/>
              <w:spacing w:after="0" w:line="182" w:lineRule="exact"/>
              <w:rPr>
                <w:sz w:val="20"/>
                <w:szCs w:val="20"/>
                <w:color w:val="auto"/>
              </w:rPr>
            </w:pPr>
            <w:r>
              <w:rPr>
                <w:rFonts w:ascii="Times New Roman" w:cs="Times New Roman" w:eastAsia="Times New Roman" w:hAnsi="Times New Roman"/>
                <w:sz w:val="18"/>
                <w:szCs w:val="18"/>
                <w:color w:val="auto"/>
              </w:rPr>
              <w:t>April 30, 2017</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20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219</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1,024</w:t>
            </w:r>
          </w:p>
        </w:tc>
        <w:tc>
          <w:tcPr>
            <w:tcW w:w="1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1,243</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20" w:type="dxa"/>
            <w:vAlign w:val="bottom"/>
            <w:tcBorders>
              <w:right w:val="single" w:sz="8" w:color="CCEEFF"/>
            </w:tcBorders>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219</w:t>
            </w: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51"/>
        </w:trPr>
        <w:tc>
          <w:tcPr>
            <w:tcW w:w="20" w:type="dxa"/>
            <w:vAlign w:val="bottom"/>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color w:val="auto"/>
              </w:rPr>
              <w:t>10</w:t>
            </w: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regularly reviews its investment portfolio to identify and evaluate investments that have indications of possible impairment. The Company does not believe that its investments in marketable securities with unrealized losses at July 31, 2017 are other-than-temporary due to market volatility of the security’s fair value, analysts’ expectations and the Company’s ability to hold the securities for a period of time sufficient to allow for any anticipated recoveries in market value.</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July 31, 2017 the Company sold or redeemed available-for-sale securities in the amounts of $6.3 million, realizing gains of approximately $1 million. During the three months ended July 31, 2016, the Company neither sold nor redeemed available-for-sale securities.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fixed income securities classified as available-for-sale at July 31, 2017 are as follows, at cost (in thousands):</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r>
      <w:tr>
        <w:trPr>
          <w:trHeight w:val="223"/>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tcPr>
          <w:p>
            <w:pPr>
              <w:spacing w:after="0"/>
              <w:rPr>
                <w:sz w:val="18"/>
                <w:szCs w:val="18"/>
                <w:color w:val="auto"/>
              </w:rPr>
            </w:pPr>
          </w:p>
        </w:tc>
      </w:tr>
      <w:tr>
        <w:trPr>
          <w:trHeight w:val="21"/>
        </w:trPr>
        <w:tc>
          <w:tcPr>
            <w:tcW w:w="7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Level 1 Inputs to the valuation methodology are unadjusted quoted prices for identical assets or liabilities in active markets that the Company has the ability to access.</w:t>
      </w:r>
    </w:p>
    <w:p>
      <w:pPr>
        <w:spacing w:after="0" w:line="149"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to the valuation methodology include:</w:t>
      </w:r>
    </w:p>
    <w:p>
      <w:pPr>
        <w:spacing w:after="0" w:line="11" w:lineRule="exact"/>
        <w:rPr>
          <w:sz w:val="20"/>
          <w:szCs w:val="20"/>
          <w:color w:val="auto"/>
        </w:rPr>
      </w:pPr>
    </w:p>
    <w:p>
      <w:pPr>
        <w:ind w:left="860" w:hanging="114"/>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ind w:left="860" w:hanging="114"/>
        <w:spacing w:after="0" w:line="234"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w:t>
      </w:r>
    </w:p>
    <w:p>
      <w:pPr>
        <w:ind w:left="860" w:hanging="114"/>
        <w:spacing w:after="0" w:line="234"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 and</w:t>
      </w:r>
    </w:p>
    <w:p>
      <w:pPr>
        <w:spacing w:after="0" w:line="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Inputs that are derived principally from or corroborated by observable market data by correlation or other  means.</w:t>
      </w:r>
    </w:p>
    <w:p>
      <w:pPr>
        <w:spacing w:after="0" w:line="178" w:lineRule="exact"/>
        <w:rPr>
          <w:sz w:val="20"/>
          <w:szCs w:val="20"/>
          <w:color w:val="auto"/>
        </w:rPr>
      </w:pPr>
    </w:p>
    <w:p>
      <w:pPr>
        <w:ind w:left="660"/>
        <w:spacing w:after="0"/>
        <w:tabs>
          <w:tab w:leader="none" w:pos="15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Inputs to the valuation methodology are unobservable and significant to the fair value measurement.</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valued on a Level 1 basis.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RECENT ACCOUNTING PRONOUNCEMENTS</w:t>
      </w:r>
    </w:p>
    <w:p>
      <w:pPr>
        <w:spacing w:after="0" w:line="19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 xml:space="preserve">In January 2017, the Financial Accounting Standards Board (“the FASB”) issued Accounting Standards Update (“ASU”) 2017-04, </w:t>
      </w:r>
      <w:r>
        <w:rPr>
          <w:rFonts w:ascii="Times New Roman" w:cs="Times New Roman" w:eastAsia="Times New Roman" w:hAnsi="Times New Roman"/>
          <w:sz w:val="18"/>
          <w:szCs w:val="18"/>
          <w:i w:val="1"/>
          <w:iCs w:val="1"/>
          <w:color w:val="auto"/>
        </w:rPr>
        <w:t>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Goodwill and Other (Topic 350): Simplifying the Test for Goodwill Impairment </w:t>
      </w:r>
      <w:r>
        <w:rPr>
          <w:rFonts w:ascii="Times New Roman" w:cs="Times New Roman" w:eastAsia="Times New Roman" w:hAnsi="Times New Roman"/>
          <w:sz w:val="18"/>
          <w:szCs w:val="18"/>
          <w:color w:val="auto"/>
        </w:rPr>
        <w:t>(“ASU 2017-04”), which simplifies how an entity is required to test goodwill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impairment by eliminating Step 2 from the goodwill impairment test. Under ASU 2017-04 goodwill impairment will be tested by comparing the fair value of a reporting unit with its carrying amount, and recognizing an impairment charge for the amount by which the carrying amount exceeds the reporting unit’s fair value. The new guidance must be applied on a prospective basis and is effective for periods beginning after December 15, 2019, with early adoption permitted. The Company will not be adopting ASU 2017-04 early, and is in the process of determining the effect that ASU 2017-04 may have, however, the Company expects the new standard to have an immaterial effect on its financial statements.</w:t>
      </w:r>
    </w:p>
    <w:p>
      <w:pPr>
        <w:spacing w:after="0" w:line="17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 xml:space="preserve">In March 2016, the FASB amended the existing accounting standards for stock-based compensation, ASU 2016-09,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(Topic 718): Improvements to Employee Share-Based Payment Accounting</w:t>
      </w:r>
      <w:r>
        <w:rPr>
          <w:rFonts w:ascii="Times New Roman" w:cs="Times New Roman" w:eastAsia="Times New Roman" w:hAnsi="Times New Roman"/>
          <w:sz w:val="18"/>
          <w:szCs w:val="18"/>
          <w:color w:val="auto"/>
        </w:rPr>
        <w:t>. The amendments impact several aspects of accounting for share-based payment transactions, including the income tax consequences, forfeitures, classification of awards as either equity or liabilities, and classification on the statement of cash flows. This guidance requires a mix of prospective, modified retrospective, and retrospective transition to all annual and interim periods presented and is effective for the Company in the next fiscal year. The Company has adopted this pronouncement starting in the quarter ending July 31, 2017.</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(“ASU 2016-02”). The objective of the update is to increase transparency and comparability among organizations by recognizing lease assets and lease liabilities on the balance sheet and disclosing key information about leasing arrangements. The standard requires a modified retrospective transition approach for existing leases. The amendments of ASU 2016-02 are effective for fiscal years beginning after December 31, 2018 and early adoption is permitted. The Company is currently evaluating the impact of this standard on our consolidated financial statements, however the Company has minimal leases and expects that when adopted beginning in fiscal year 2019, the new standard to have an immaterial effect on the Company’s financials.</w:t>
      </w:r>
    </w:p>
    <w:p>
      <w:pPr>
        <w:spacing w:after="0" w:line="17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 xml:space="preserve">In July 2015, the FASB issued ASU 2015-11, </w:t>
      </w:r>
      <w:r>
        <w:rPr>
          <w:rFonts w:ascii="Times New Roman" w:cs="Times New Roman" w:eastAsia="Times New Roman" w:hAnsi="Times New Roman"/>
          <w:sz w:val="18"/>
          <w:szCs w:val="18"/>
          <w:i w:val="1"/>
          <w:iCs w:val="1"/>
          <w:color w:val="auto"/>
        </w:rPr>
        <w:t>Inventory (Topic 330): Simplifying the Measurement of Inventory</w:t>
      </w:r>
      <w:r>
        <w:rPr>
          <w:rFonts w:ascii="Times New Roman" w:cs="Times New Roman" w:eastAsia="Times New Roman" w:hAnsi="Times New Roman"/>
          <w:sz w:val="18"/>
          <w:szCs w:val="18"/>
          <w:color w:val="auto"/>
        </w:rPr>
        <w:t xml:space="preserve"> (“ASU 2015-11”) which changes the measurement principle for inventory from the lower of cost or market to the lower of cost or net realizable value. ASU 2015-11 defines net realizable value as estimated selling prices in the ordinary course of business, less reasonably predictable costs of completion, disposal and transportation. The new guidance must be applied on a prospective basis and is effective for periods beginning after December 15, 2016, with early adoption permitted. The Company is currently evaluating the effect that the new guidance will have on its consolidated financial statements, however based upon the preliminary work that has been done when adopted this pronouncement is expected to have minimal, if any effect, on the financial statements. This pronouncement will be adopted for the Company’s next fiscal year.</w:t>
      </w:r>
    </w:p>
    <w:p>
      <w:pPr>
        <w:spacing w:after="0" w:line="17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May 2014, the FASB issued ASU No. 2014-09</w:t>
      </w:r>
      <w:r>
        <w:rPr>
          <w:rFonts w:ascii="Times New Roman" w:cs="Times New Roman" w:eastAsia="Times New Roman" w:hAnsi="Times New Roman"/>
          <w:sz w:val="18"/>
          <w:szCs w:val="18"/>
          <w:i w:val="1"/>
          <w:iCs w:val="1"/>
          <w:color w:val="auto"/>
        </w:rPr>
        <w:t>, Revenue from Contracts with Customers (Topic 606)</w:t>
      </w:r>
      <w:r>
        <w:rPr>
          <w:rFonts w:ascii="Times New Roman" w:cs="Times New Roman" w:eastAsia="Times New Roman" w:hAnsi="Times New Roman"/>
          <w:sz w:val="18"/>
          <w:szCs w:val="18"/>
          <w:color w:val="auto"/>
        </w:rPr>
        <w:t>. (“ASU 2014-09”) ASU 2014-09 eliminates most of the existing industry-specific revenue recognition guidance and significantly 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In July 2015, the FASB approved a one-year deferral of the effective date of ASU 2014-09. ASU 2014-09 is effective for public companies for annual reporting periods beginning on or after December 15, 2017, and for the Company, must be adopted for its fiscal year 2019 beginning on May 1, 2018. The Company is currently evaluating the impact that ASU 2014-09 may have on its financial statements when the statement is adopted for its fiscal year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CREDIT FACILITY</w:t>
      </w:r>
    </w:p>
    <w:p>
      <w:pPr>
        <w:spacing w:after="0" w:line="19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January 30, 2017, the Company repaid the principal balance due on its credit facility, dated June 6, 2013, with JPMorgan Chase Bank, N.A. Subsequently, the Company voluntarily terminated this credit facility with JPMorgan Chase Bank, N.A to reduce the fees and expenses associated with maintaining that facility. The Company did not incur any early termination fees associated with its voluntary termination of this credit facility. If, in the future, the Company determines that it would be beneficial to have a credit facility in place, the Company believes that alternative facilities are available. As at July 31, 2017, the Company had available credit at variable terms based on its securities holdings under an advisory arrangement, under which no borrowings have been made.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L – VALUATION ALLOWANCE ON DEFERRED TAX ASSETS</w:t>
      </w:r>
    </w:p>
    <w:p>
      <w:pPr>
        <w:spacing w:after="0" w:line="19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 In evaluating our ability to recover deferred tax assets in the jurisdiction from which they arise, we consider all positive and negative evidence, including the reversal of deferred tax liabilities, projected future taxable income, tax planning strategies, and results of recent operations. The carrying value of the Company’s net deferred tax assets, assumes that the Company will be able to generate sufficient future taxable income in certain jurisdictions, based on estimates and assumptions. If these estimates and assumptions change in the future, the Company may be required to record an additional valuation allowances against its deferred tax assets resulting in additional income tax expense in the consolidated statement of operations, or conversely to further reduce its existing valuation allowance resulting in less income tax expense. The Company evaluates the realizability of deferred tax assets and assesses the need for additional valuation allowance quarterly. The valuation allowance of approximately $3.3 million as of July 31, 2017 is intended to provide for uncertainty regarding the ultimate realization of U.S. state investment credits carryovers, and foreign net operating loss and tax credit carryovers.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6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 Statement under the Private Securities Litigation Reform Act of 1995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statements in this quarterly report on Form 10-Q regarding future earnings and operations and other statements relating to the future constitute "forward-looking" statements within the meaning of Section 27A of the Securities Act of 1933, Section 21E of the Securities Exchange Act of 1933 or the safe harbor provisions of the Private Securities Litigation Reform Act of 1995. The words "believe," "may," "will," "could," "should," "would," "anticipate," "estimate," "expect," "project," "intend," "objective," "seek," "strive," "might," "likely result," "build," "grow," "plan," "goal," "expand," "position," or similar words, or the negatives of these words, or similar terminology, identify forward-looking statements. All statements by the Company that address activities, events or developments that the Company expects or anticipates will occur in the future, including all statements by the Company regarding our expected financial position, revenues, cash flows and other operating results, business position, legal proceedings or similar matters, are forward-looking statements. These statements are based on assumptions that the Company believes are reasonable, but are subject to a wide range of risks and uncertainties, and a number of factors could cause the Company's actual results to differ materially from those expressed in the forward-looking statements referred to above. Factors that would cause or contribute to such differences include, but are not limited to, continued acceptance of the Company's products in the marketplace, competitive factors, new products and technological changes, product prices and raw material costs, dependence upon third-party vendors, competitive developments, changes in manufacturing and transportation costs, changes in contractual terms, the availability of capital, and other risks detailed in the Company's periodic report filings with the Securities and Exchange Commission. Readers are cautioned not to place undue reliance on these forward-looking statements, which relate only to events as of the date on which the statements are made and which reflect management's analysis, judgments, belief, or expectation only as of such date. By making these forward-looking statements, the Company undertakes no obligation to update these statements after the date such statement was first made.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1 to the consolidated financial statements included in the Company’s Annual Report on Form 10-K for the year ended April 30, 2017, filed on July 31, 2017. The Company believes its most critical accounting policies to be the recognition of revenue and costs on production contracts and the valuation of inventory. Each of these areas requires the Company to make use of reasoned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9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the full amount of anticipated losses on contracts are made in the period in which they become determinable.</w:t>
      </w:r>
    </w:p>
    <w:p>
      <w:pPr>
        <w:spacing w:after="0" w:line="17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production-type orders, revenue is recorded as units are delivered with the related cost of sales recognized on each shipment based upon a percentage of estimated final program costs.</w:t>
      </w:r>
    </w:p>
    <w:p>
      <w:pPr>
        <w:spacing w:after="0" w:line="1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6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For customer orders in the Company’s FEI-Zyfer segment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(Continued)</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Costs and Expenses</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19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obsolete items and costs incurred on programs for which production-level orders cannot be determined as probable. Such write downs are based upon management’s experience and expectations for future business. Any changes arising from revised expectations are reflected in cost of sales in the period the revision is made.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Marketable Securities</w:t>
      </w:r>
    </w:p>
    <w:p>
      <w:pPr>
        <w:spacing w:after="0" w:line="19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for the respective three month periods ended July 31, 2017 and 2016 the percentage of consolidated revenues represented by certain items in the Company’s consolidated statements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4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9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4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80" w:type="dxa"/>
            <w:vAlign w:val="bottom"/>
          </w:tcPr>
          <w:p>
            <w:pPr>
              <w:spacing w:after="0"/>
              <w:rPr>
                <w:sz w:val="24"/>
                <w:szCs w:val="24"/>
                <w:color w:val="auto"/>
              </w:rPr>
            </w:pP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5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FEI-NY</w:t>
            </w:r>
          </w:p>
        </w:tc>
        <w:tc>
          <w:tcPr>
            <w:tcW w:w="3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76.2%</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FEI-Zyfer</w:t>
            </w:r>
          </w:p>
        </w:tc>
        <w:tc>
          <w:tcPr>
            <w:tcW w:w="3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35.5</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5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5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66.9</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Gross margin</w:t>
            </w:r>
          </w:p>
        </w:tc>
        <w:tc>
          <w:tcPr>
            <w:tcW w:w="1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22.6</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Operating profit (loss)</w:t>
            </w:r>
          </w:p>
        </w:tc>
        <w:tc>
          <w:tcPr>
            <w:tcW w:w="15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5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5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Pr>
          <w:p>
            <w:pPr>
              <w:spacing w:after="0"/>
              <w:rPr>
                <w:sz w:val="18"/>
                <w:szCs w:val="18"/>
                <w:color w:val="auto"/>
              </w:rPr>
            </w:pPr>
          </w:p>
        </w:tc>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income (loss)</w:t>
            </w:r>
          </w:p>
        </w:tc>
        <w:tc>
          <w:tcPr>
            <w:tcW w:w="154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vMerge w:val="restart"/>
          </w:tcPr>
          <w:p>
            <w:pPr>
              <w:jc w:val="right"/>
              <w:ind w:right="913"/>
              <w:spacing w:after="0"/>
              <w:rPr>
                <w:sz w:val="20"/>
                <w:szCs w:val="20"/>
                <w:color w:val="auto"/>
              </w:rPr>
            </w:pPr>
            <w:r>
              <w:rPr>
                <w:rFonts w:ascii="Times New Roman" w:cs="Times New Roman" w:eastAsia="Times New Roman" w:hAnsi="Times New Roman"/>
                <w:sz w:val="14"/>
                <w:szCs w:val="14"/>
                <w:color w:val="auto"/>
              </w:rPr>
              <w:t>14</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3"/>
        </w:trPr>
        <w:tc>
          <w:tcPr>
            <w:tcW w:w="14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44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gridSpan w:val="4"/>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569"/>
        </w:trPr>
        <w:tc>
          <w:tcPr>
            <w:tcW w:w="7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940" w:type="dxa"/>
            <w:vAlign w:val="bottom"/>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4"/>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(Continued)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65"/>
        </w:trPr>
        <w:tc>
          <w:tcPr>
            <w:tcW w:w="3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90"/>
        </w:trPr>
        <w:tc>
          <w:tcPr>
            <w:tcW w:w="7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60" w:type="dxa"/>
            <w:vAlign w:val="bottom"/>
            <w:gridSpan w:val="9"/>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2"/>
        </w:trPr>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439"/>
        </w:trPr>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(822)</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(1,409)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(767)</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(642)</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216"/>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20" w:type="dxa"/>
            <w:vAlign w:val="bottom"/>
            <w:gridSpan w:val="2"/>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12,023</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11,562</w:t>
            </w:r>
          </w:p>
        </w:tc>
        <w:tc>
          <w:tcPr>
            <w:tcW w:w="2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461</w:t>
            </w:r>
          </w:p>
        </w:tc>
        <w:tc>
          <w:tcPr>
            <w:tcW w:w="4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For the three months ended July 31, 2017, revenues from commercial and U.S. Government satellite programs decreased approximately $1.1 million over the same period of fiscal year 2017, and accounted for approximately 43% of consolidated revenues compared to approximately 55% in fiscal 2017. Revenues on these contracts are recognized primarily under the percentage of completion method. Revenues from the satellite market are recorded in the FEI-NY segment. Revenues from non-space U.S. Government/Department of Defense (“DOD”) customers, which are recorded in both the FEI-NY and FEI-Zyfer segments, increased $1.2 million over the same period of fiscal 2017, and accounted for approximately 38% of consolidated revenues compared to approximately 29% in fiscal 2017. Other commercial and industrial revenues in the fiscal year 2018 period accounted for approximately 19% of consolidated revenues compared to 16% in the prior year. Intersegment revenues are eliminated in consolidation.</w:t>
      </w:r>
    </w:p>
    <w:p>
      <w:pPr>
        <w:spacing w:after="0" w:line="17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Based on the Company’s current backlog, satellite payload business revenues for fiscal year 2018 are expected to be lower for the full year compared to the prior fiscal year, however satellite payload revenues will remain the dominant portion of the Company’s business during the current year with substantial revenue growth to follow when previously delayed and new satellite programs are released. Revenues from non-space U.S. Government/DOD customers are expected to increase going forward as additional funding is received for several significant U.S. Government programs.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margin</w:t>
      </w:r>
    </w:p>
    <w:p>
      <w:pPr>
        <w:spacing w:after="0" w:line="21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18" w:lineRule="exact"/>
        <w:rPr>
          <w:sz w:val="20"/>
          <w:szCs w:val="20"/>
          <w:color w:val="auto"/>
        </w:rPr>
      </w:pPr>
    </w:p>
    <w:tbl>
      <w:tblPr>
        <w:tblLayout w:type="fixed"/>
        <w:tblInd w:w="1440" w:type="dxa"/>
        <w:tblCellMar>
          <w:top w:w="0" w:type="dxa"/>
          <w:left w:w="0" w:type="dxa"/>
          <w:bottom w:w="0" w:type="dxa"/>
          <w:right w:w="0" w:type="dxa"/>
        </w:tblCellMar>
      </w:tblPr>
      <w:tr>
        <w:trPr>
          <w:trHeight w:val="214"/>
        </w:trPr>
        <w:tc>
          <w:tcPr>
            <w:tcW w:w="33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32"/>
        </w:trPr>
        <w:tc>
          <w:tcPr>
            <w:tcW w:w="33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3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696</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4200" w:type="dxa"/>
            <w:vAlign w:val="bottom"/>
            <w:gridSpan w:val="2"/>
          </w:tcPr>
          <w:p>
            <w:pPr>
              <w:jc w:val="right"/>
              <w:ind w:right="3450"/>
              <w:spacing w:after="0"/>
              <w:rPr>
                <w:sz w:val="20"/>
                <w:szCs w:val="20"/>
                <w:color w:val="auto"/>
              </w:rPr>
            </w:pPr>
            <w:r>
              <w:rPr>
                <w:rFonts w:ascii="Times New Roman" w:cs="Times New Roman" w:eastAsia="Times New Roman" w:hAnsi="Times New Roman"/>
                <w:sz w:val="18"/>
                <w:szCs w:val="18"/>
                <w:color w:val="auto"/>
                <w:w w:val="96"/>
              </w:rPr>
              <w:t>GM Rate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w:t>
            </w:r>
          </w:p>
        </w:tc>
        <w:tc>
          <w:tcPr>
            <w:tcW w:w="9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6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 period ended July 31, 2017 gross margin and gross margin rate increased over the same period in fiscal 2017 primarily due to increase in secure communication product sales, favorable product mix and effective cost management.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and administrative expenses</w:t>
      </w:r>
    </w:p>
    <w:p>
      <w:pPr>
        <w:spacing w:after="0" w:line="21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11430</wp:posOffset>
            </wp:positionV>
            <wp:extent cx="3439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39160" cy="17145"/>
                    </a:xfrm>
                    <a:prstGeom prst="rect">
                      <a:avLst/>
                    </a:prstGeom>
                    <a:noFill/>
                  </pic:spPr>
                </pic:pic>
              </a:graphicData>
            </a:graphic>
          </wp:anchor>
        </w:drawing>
      </w:r>
    </w:p>
    <w:p>
      <w:pPr>
        <w:spacing w:after="0" w:line="232" w:lineRule="exact"/>
        <w:rPr>
          <w:sz w:val="20"/>
          <w:szCs w:val="20"/>
          <w:color w:val="auto"/>
        </w:rPr>
      </w:pPr>
    </w:p>
    <w:tbl>
      <w:tblPr>
        <w:tblLayout w:type="fixed"/>
        <w:tblInd w:w="286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(120)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bl>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three-month periods ended July 31, 2017 and 2016, selling and administrative ("SG&amp;A”) expenses were approximately 23% and 25%, respectively, of consolidated revenues. Reductions in corporate deferred compensation expense and reductions in multiple other SG&amp;A were offset by increases in costs, consistent with higher revenues, in the FEI-Zyfer segment.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(Continued)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w:t>
      </w:r>
    </w:p>
    <w:p>
      <w:pPr>
        <w:spacing w:after="0" w:line="21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11430</wp:posOffset>
            </wp:positionV>
            <wp:extent cx="34734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232" w:lineRule="exact"/>
        <w:rPr>
          <w:sz w:val="20"/>
          <w:szCs w:val="20"/>
          <w:color w:val="auto"/>
        </w:rPr>
      </w:pPr>
    </w:p>
    <w:tbl>
      <w:tblPr>
        <w:tblLayout w:type="fixed"/>
        <w:tblInd w:w="286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2017</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228</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8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Research and development (“R&amp;D”) expenditures represent investments intended to keep the Company’s products at the leading edge of time and frequency technology and enhance competitiveness for future revenues. R&amp;D spending for the three months ended July 31, 2017, increased due to accelerated development of products addressing secure communications/command and control and next generation satellite payload product. The R&amp;D rate for the period ending July 31, 2017 was 14% compared to 12% of sales for the same period of the previous fiscal year. The Company expects the accelerated level of R&amp;D activity both internally and customer funded will continue over the current year and beyond to address new large opportunities in secure communications/command and control applications, next generation satellite payload product and additional DOD markets.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profit (loss)</w:t>
      </w:r>
    </w:p>
    <w:p>
      <w:pPr>
        <w:spacing w:after="0" w:line="2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11430</wp:posOffset>
            </wp:positionV>
            <wp:extent cx="35420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42030" cy="17145"/>
                    </a:xfrm>
                    <a:prstGeom prst="rect">
                      <a:avLst/>
                    </a:prstGeom>
                    <a:noFill/>
                  </pic:spPr>
                </pic:pic>
              </a:graphicData>
            </a:graphic>
          </wp:anchor>
        </w:drawing>
      </w:r>
    </w:p>
    <w:p>
      <w:pPr>
        <w:spacing w:after="0" w:line="232" w:lineRule="exact"/>
        <w:rPr>
          <w:sz w:val="20"/>
          <w:szCs w:val="20"/>
          <w:color w:val="auto"/>
        </w:rPr>
      </w:pPr>
    </w:p>
    <w:tbl>
      <w:tblPr>
        <w:tblLayout w:type="fixed"/>
        <w:tblInd w:w="2860" w:type="dxa"/>
        <w:tblCellMar>
          <w:top w:w="0" w:type="dxa"/>
          <w:left w:w="0" w:type="dxa"/>
          <w:bottom w:w="0" w:type="dxa"/>
          <w:right w:w="0" w:type="dxa"/>
        </w:tblCellMar>
      </w:tblPr>
      <w:tr>
        <w:trPr>
          <w:trHeight w:val="232"/>
        </w:trPr>
        <w:tc>
          <w:tcPr>
            <w:tcW w:w="11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2017</w:t>
            </w:r>
          </w:p>
        </w:tc>
        <w:tc>
          <w:tcPr>
            <w:tcW w:w="440" w:type="dxa"/>
            <w:vAlign w:val="bottom"/>
          </w:tcPr>
          <w:p>
            <w:pPr>
              <w:spacing w:after="0"/>
              <w:rPr>
                <w:sz w:val="20"/>
                <w:szCs w:val="20"/>
                <w:color w:val="auto"/>
              </w:rPr>
            </w:pPr>
          </w:p>
        </w:tc>
        <w:tc>
          <w:tcPr>
            <w:tcW w:w="1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2016</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120" w:type="dxa"/>
            <w:vAlign w:val="bottom"/>
            <w:tcBorders>
              <w:top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588</w:t>
            </w:r>
          </w:p>
        </w:tc>
        <w:tc>
          <w:tcPr>
            <w:tcW w:w="5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9"/>
              </w:rPr>
              <w:t>NM</w:t>
            </w:r>
          </w:p>
        </w:tc>
        <w:tc>
          <w:tcPr>
            <w:tcW w:w="140" w:type="dxa"/>
            <w:vAlign w:val="bottom"/>
            <w:shd w:val="clear" w:color="auto" w:fill="CCEEFF"/>
          </w:tcPr>
          <w:p>
            <w:pPr>
              <w:spacing w:after="0"/>
              <w:rPr>
                <w:sz w:val="18"/>
                <w:szCs w:val="18"/>
                <w:color w:val="auto"/>
              </w:rPr>
            </w:pPr>
          </w:p>
        </w:tc>
      </w:tr>
    </w:tbl>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achieved higher gross margins on increased consolidated revenues and experienced decreased SG&amp;A expenses in the first quarter ending July 31, 2017 compared to the same period in the previous fiscal year. The result was higher operating profit in spite of increased R&amp;D spending year over year.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33"/>
        </w:trPr>
        <w:tc>
          <w:tcPr>
            <w:tcW w:w="1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w w:val="98"/>
              </w:rPr>
              <w:t>Three months ended July 31,</w:t>
            </w:r>
          </w:p>
        </w:tc>
        <w:tc>
          <w:tcPr>
            <w:tcW w:w="4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439"/>
        </w:trPr>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60" w:type="dxa"/>
            <w:vAlign w:val="bottom"/>
          </w:tcPr>
          <w:p>
            <w:pPr>
              <w:spacing w:after="0"/>
              <w:rPr>
                <w:sz w:val="24"/>
                <w:szCs w:val="24"/>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6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1,062</w:t>
            </w:r>
          </w:p>
        </w:tc>
        <w:tc>
          <w:tcPr>
            <w:tcW w:w="4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9"/>
              </w:rPr>
              <w:t>NM</w:t>
            </w:r>
          </w:p>
        </w:tc>
        <w:tc>
          <w:tcPr>
            <w:tcW w:w="20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0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44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1440" w:type="dxa"/>
            <w:vAlign w:val="bottom"/>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34"/>
        </w:trPr>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00" w:type="dxa"/>
            <w:vAlign w:val="bottom"/>
          </w:tcPr>
          <w:p>
            <w:pPr>
              <w:spacing w:after="0"/>
              <w:rPr>
                <w:sz w:val="20"/>
                <w:szCs w:val="20"/>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1,084</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NM</w:t>
            </w:r>
          </w:p>
        </w:tc>
      </w:tr>
    </w:tbl>
    <w:p>
      <w:pPr>
        <w:spacing w:after="0" w:line="16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Investment income is derived primarily from the Company’s holdings of marketable securities. Earnings on these securities may vary based on fluctuating interest rates and dividend payout levels and the timing of purchases or sales of securities. In the quarter ending July 31, 2017 the Company divested of all its holdings in equities securities in its investment account, and is in the process of evaluating its future cash management strategies. As a result, the Company recorded gains of approximately $1.0 million during the three months ended July 31, 2017 as compared to no gain or loss in the same period of fiscal year 2017.</w:t>
      </w:r>
    </w:p>
    <w:p>
      <w:pPr>
        <w:spacing w:after="0" w:line="1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for the three months ended July 31, 2017 compared to the same period of fiscal year 2017 is the result of there being no credit line borrowings during the quarter ending July 31, 2017.</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(Continued)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 provision (benefit)</w:t>
      </w:r>
    </w:p>
    <w:p>
      <w:pPr>
        <w:spacing w:after="0" w:line="212" w:lineRule="exact"/>
        <w:rPr>
          <w:sz w:val="20"/>
          <w:szCs w:val="20"/>
          <w:color w:val="auto"/>
        </w:rPr>
      </w:pPr>
    </w:p>
    <w:tbl>
      <w:tblPr>
        <w:tblLayout w:type="fixed"/>
        <w:tblInd w:w="1440" w:type="dxa"/>
        <w:tblCellMar>
          <w:top w:w="0" w:type="dxa"/>
          <w:left w:w="0" w:type="dxa"/>
          <w:bottom w:w="0" w:type="dxa"/>
          <w:right w:w="0" w:type="dxa"/>
        </w:tblCellMar>
      </w:tblPr>
      <w:tr>
        <w:trPr>
          <w:trHeight w:val="232"/>
        </w:trPr>
        <w:tc>
          <w:tcPr>
            <w:tcW w:w="3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439"/>
        </w:trPr>
        <w:tc>
          <w:tcPr>
            <w:tcW w:w="3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3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525</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9"/>
              </w:rPr>
              <w:t>NM</w:t>
            </w:r>
          </w:p>
        </w:tc>
        <w:tc>
          <w:tcPr>
            <w:tcW w:w="120" w:type="dxa"/>
            <w:vAlign w:val="bottom"/>
            <w:shd w:val="clear" w:color="auto" w:fill="CCEEFF"/>
          </w:tcPr>
          <w:p>
            <w:pPr>
              <w:spacing w:after="0"/>
              <w:rPr>
                <w:sz w:val="18"/>
                <w:szCs w:val="18"/>
                <w:color w:val="auto"/>
              </w:rPr>
            </w:pPr>
          </w:p>
        </w:tc>
      </w:tr>
      <w:tr>
        <w:trPr>
          <w:trHeight w:val="216"/>
        </w:trPr>
        <w:tc>
          <w:tcPr>
            <w:tcW w:w="36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w w:val="99"/>
              </w:rPr>
              <w:t>Effective tax rate on pre-tax book income:</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bl>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effective tax rate for the quarter ended July 31, 2017 is 36.9% compared to 11.2% in the quarter ended July 31, 2016. The current and prior year effective tax rates primarily reflect the impact of deductible permanent differences included in the computation of taxable income and state income taxes. The Company utilizes the availability of R&amp;D credits and the Domestic Productions Activity deduction in the U.S. to lower its effective tax rate.</w:t>
      </w:r>
    </w:p>
    <w:p>
      <w:pPr>
        <w:spacing w:after="0" w:line="1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increase in the effective tax rate includes a discrete income tax provision primarily related to stock compensation in connection with the accounting guidance recently adopted by the Company. Consequently, for the three months ended July 31, 2017 and 2016, the Company recorded a continuing operations income tax provision of $485 and an income tax benefit of $(40), respectively.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33"/>
        </w:trPr>
        <w:tc>
          <w:tcPr>
            <w:tcW w:w="14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9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439"/>
        </w:trPr>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173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bl>
    <w:p>
      <w:pPr>
        <w:spacing w:after="0" w:line="18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above table represents the net loss for the Gillam segment accounted for as discontinued operations as presented in Note B to the financial statements. For the period ended July 31, 2017, as compared to the same periods of fiscal year 2017, sales increased approximately 20%, however the gross margin percentage decreased. SG&amp;A expenses and R&amp;D expenses decreased by approximately $137,000 and $33,000 respectively, compared to the prior fiscal year. These factors allowed Gillam to record a smaller loss for the period ended July 31, 2017 compared to the same period of fiscal year 2017.</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Company’s balance sheet continues to reflect a strong working capital position of $62.4 million at July 31, 2017 and $61.7 million at April 30, 2017. Included in working capital at July 31, 2017 and April 30 2017, is $12.5 million and $10.0 million, respectively, consisting of cash, cash equivalents and marketable securities. The Company’s current ratio at July 31, 2017 is 8.7 to 1.</w:t>
      </w:r>
    </w:p>
    <w:p>
      <w:pPr>
        <w:spacing w:after="0" w:line="16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Cash provided by operations for the three months ended July 31, 2017 were $3.2 million compared to the use of cash from operating activities of $571,000 in the comparable fiscal year 2017 period. The increase cash flow in the fiscal year 2018 period resulted primarily from decrease in accounts receivable compared to the balances as of the end of the previous fiscal year. For the three-month periods ended July 31, 2017 and 2016, the Company incurred approximately $144,000 and $1.2 million, respectively, of non-cash operating expenses including depreciation and amortization, accruals for employee benefit programs and gain on sale of marketable securities.</w:t>
      </w:r>
    </w:p>
    <w:p>
      <w:pPr>
        <w:spacing w:after="0" w:line="17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July 31, 2017, was $5.8 million compared to $1.1 million used in the same period of fiscal year 2017. Sales and redemptions of marketable securities totaled $6.3 million for the three months ended July 31, 2017. There were no sales or redemptions of marketable securities during the three months ended July 31, 2016. In the fiscal quarters ended July 31, 2017 and 2016, the Company acquired property, plant and equipment in the amount of approximately $450,000 and $1.1 million, respectively. The Company may continue to invest cash equivalents as dictated by its investment and acquisition strategies.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(Continued)</w:t>
      </w:r>
    </w:p>
    <w:p>
      <w:pPr>
        <w:spacing w:after="0" w:line="1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July 31, 2017 and 2016 was $1,000 for each period. For the three months ended July 31, 2017 and 2016, the Company realized $1,000, for each period, from the tax benefits arising from the exercise of stock-based awards.</w:t>
      </w:r>
    </w:p>
    <w:p>
      <w:pPr>
        <w:spacing w:after="0" w:line="14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July 31, 2017, the Company has repurchased approximately $4 million of its common stock out of the $5 million authorization. For the three months ended July 31, 2017 and 2016, there were no repurchase of shares.</w:t>
      </w:r>
    </w:p>
    <w:p>
      <w:pPr>
        <w:spacing w:after="0" w:line="16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Company will continue to expend resources to develop, improve and acquire products for space applications, guidance and targeting systems, and communication systems which management believes will result in future growth and profitability. During fiscal year 2017, the Company secured partial customer funding for a portion of its R&amp;D efforts. The customer funds received in connection therewith appear in revenues and are not included in R&amp;D expenses. For fiscal year 2018, the Company anticipates securing additional customer funding for a portion of its research and development activities, and will allocate internal funds depending on market conditions and identification of new opportunities as in fiscal 2017. The Company expects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7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As of July 31, 2017, the Company's consolidated funded backlog is approximately $23 million compared to $28 million at April 30, 2017, the end of fiscal year 2017. Approximately 80% of this backlog is expected to be realized in the next twelve months. Included in the backlog at July 31, 2017 is approximately $9.4 million under cost-plus-fee contracts which the Company believes represent firm commitments from its customers for which the Company has not received full funding to-date. The Company excludes from backlog any contracts or awards for which it has not received authorization to proceed and on fixed price contracts excludes any unfunded portion. The Company expects these contracts to become fully funded over time and will add to its backlog at that time.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believes that its liquidity is adequate to meet its operating and investment needs through at least September 14, 2018.</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the Company’s decision to sell its Gillam business and the associated presentation as Discontinued Operations, the Company believes that the effect on cash flow will be neutral, however it is expected to have a positive cash effect when the intended sale is concluded.</w:t>
      </w:r>
    </w:p>
    <w:p>
      <w:pPr>
        <w:spacing w:after="0" w:line="14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international business is subject to changes in demand or pricing resulting from fluctuations in currency exchange rates, primarily in the Euro to U.S. Dollar exchange rate and in the Chinese Renminbi to U.S. Dollar exchange rate.</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0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July 31, 2017, the Company’s disclosure controls and procedures were effective to ensure that information relating to the Company, including its consolidated subsidiaries, required to be included in its reports that it filed or submitted under the Exchange Act are recorded, processed, summarized and reported within the time periods specified in Securities and Exchange Commission rules and forms.</w:t>
      </w:r>
    </w:p>
    <w:p>
      <w:pPr>
        <w:spacing w:after="0" w:line="1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 There were no changes in the Company’s internal control over financial reporting (as such term is defined in Rules 13a-15(f) and 15d-15(f) under the Exchange Act) during the three months ended July 31, 2017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202" w:lineRule="exact"/>
        <w:rPr>
          <w:sz w:val="20"/>
          <w:szCs w:val="20"/>
          <w:color w:val="auto"/>
        </w:rPr>
      </w:pPr>
    </w:p>
    <w:p>
      <w:pPr>
        <w:jc w:val="both"/>
        <w:ind w:left="1260" w:hanging="607"/>
        <w:spacing w:after="0" w:line="266"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31.1 -</w:t>
      </w:r>
      <w:r>
        <w:rPr>
          <w:sz w:val="20"/>
          <w:szCs w:val="20"/>
          <w:color w:val="auto"/>
        </w:rPr>
        <w:tab/>
      </w:r>
      <w:hyperlink w:anchor="page22">
        <w:r>
          <w:rPr>
            <w:rFonts w:ascii="Times New Roman" w:cs="Times New Roman" w:eastAsia="Times New Roman" w:hAnsi="Times New Roman"/>
            <w:sz w:val="18"/>
            <w:szCs w:val="18"/>
            <w:u w:val="single" w:color="auto"/>
            <w:color w:val="0000EE"/>
          </w:rPr>
          <w:t>Certification by the Chief Executive Officer pursuant to Rule 13a-14(a) or 15d-14(a) under the Securities Exchange Act of 1934, as adopted</w:t>
        </w:r>
      </w:hyperlink>
      <w:r>
        <w:rPr>
          <w:rFonts w:ascii="Times New Roman" w:cs="Times New Roman" w:eastAsia="Times New Roman" w:hAnsi="Times New Roman"/>
          <w:sz w:val="18"/>
          <w:szCs w:val="18"/>
          <w:u w:val="single" w:color="auto"/>
          <w:color w:val="0000EE"/>
        </w:rPr>
        <w:t xml:space="preserve"> </w:t>
      </w:r>
      <w:hyperlink w:anchor="page22">
        <w:r>
          <w:rPr>
            <w:rFonts w:ascii="Times New Roman" w:cs="Times New Roman" w:eastAsia="Times New Roman" w:hAnsi="Times New Roman"/>
            <w:sz w:val="18"/>
            <w:szCs w:val="18"/>
            <w:u w:val="single" w:color="auto"/>
            <w:color w:val="0000EE"/>
          </w:rPr>
          <w:t>pursuant to Section 302 of the Sarbanes-Oxley Act of 2002.</w:t>
        </w:r>
      </w:hyperlink>
    </w:p>
    <w:p>
      <w:pPr>
        <w:spacing w:after="0" w:line="149" w:lineRule="exact"/>
        <w:rPr>
          <w:sz w:val="20"/>
          <w:szCs w:val="20"/>
          <w:color w:val="auto"/>
        </w:rPr>
      </w:pPr>
    </w:p>
    <w:p>
      <w:pPr>
        <w:jc w:val="both"/>
        <w:ind w:left="1260" w:hanging="607"/>
        <w:spacing w:after="0" w:line="266" w:lineRule="auto"/>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31.2 -</w:t>
      </w:r>
      <w:r>
        <w:rPr>
          <w:sz w:val="20"/>
          <w:szCs w:val="20"/>
          <w:color w:val="auto"/>
        </w:rPr>
        <w:tab/>
      </w:r>
      <w:hyperlink w:anchor="page23">
        <w:r>
          <w:rPr>
            <w:rFonts w:ascii="Times New Roman" w:cs="Times New Roman" w:eastAsia="Times New Roman" w:hAnsi="Times New Roman"/>
            <w:sz w:val="18"/>
            <w:szCs w:val="18"/>
            <w:u w:val="single" w:color="auto"/>
            <w:color w:val="0000EE"/>
          </w:rPr>
          <w:t>Certification by the Chief Financial Officer pursuant to Rule 13a-14(a) or 15d-14(a) under the Securities Exchange Act of 1934, as adopted</w:t>
        </w:r>
      </w:hyperlink>
      <w:r>
        <w:rPr>
          <w:rFonts w:ascii="Times New Roman" w:cs="Times New Roman" w:eastAsia="Times New Roman" w:hAnsi="Times New Roman"/>
          <w:sz w:val="18"/>
          <w:szCs w:val="18"/>
          <w:u w:val="single" w:color="auto"/>
          <w:color w:val="0000EE"/>
        </w:rPr>
        <w:t xml:space="preserve"> </w:t>
      </w:r>
      <w:hyperlink w:anchor="page23">
        <w:r>
          <w:rPr>
            <w:rFonts w:ascii="Times New Roman" w:cs="Times New Roman" w:eastAsia="Times New Roman" w:hAnsi="Times New Roman"/>
            <w:sz w:val="18"/>
            <w:szCs w:val="18"/>
            <w:u w:val="single" w:color="auto"/>
            <w:color w:val="0000EE"/>
          </w:rPr>
          <w:t>pursuant to Section 302 of the Sarbanes-Oxley Act of 2002.</w:t>
        </w:r>
      </w:hyperlink>
    </w:p>
    <w:p>
      <w:pPr>
        <w:spacing w:after="0" w:line="149" w:lineRule="exact"/>
        <w:rPr>
          <w:sz w:val="20"/>
          <w:szCs w:val="20"/>
          <w:color w:val="auto"/>
        </w:rPr>
      </w:pPr>
    </w:p>
    <w:p>
      <w:pPr>
        <w:ind w:left="660"/>
        <w:spacing w:after="0"/>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32 -</w:t>
      </w:r>
      <w:r>
        <w:rPr>
          <w:sz w:val="20"/>
          <w:szCs w:val="20"/>
          <w:color w:val="auto"/>
        </w:rPr>
        <w:tab/>
      </w:r>
      <w:hyperlink w:anchor="page24">
        <w:r>
          <w:rPr>
            <w:rFonts w:ascii="Times New Roman" w:cs="Times New Roman" w:eastAsia="Times New Roman" w:hAnsi="Times New Roman"/>
            <w:sz w:val="18"/>
            <w:szCs w:val="18"/>
            <w:u w:val="single" w:color="auto"/>
            <w:color w:val="0000EE"/>
          </w:rPr>
          <w:t>Certifications by the Chief Executive Officer and Chief Financial Officer pursuant to 18 U.S.C. Section 1350, as adopted pursuant to Section</w:t>
        </w:r>
      </w:hyperlink>
    </w:p>
    <w:p>
      <w:pPr>
        <w:spacing w:after="0" w:line="16"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906 of the Sarbanes-Oxley Act of 2002.</w:t>
        </w:r>
      </w:hyperlink>
    </w:p>
    <w:p>
      <w:pPr>
        <w:spacing w:after="0" w:line="178" w:lineRule="exact"/>
        <w:rPr>
          <w:sz w:val="20"/>
          <w:szCs w:val="20"/>
          <w:color w:val="auto"/>
        </w:rPr>
      </w:pPr>
    </w:p>
    <w:p>
      <w:pPr>
        <w:jc w:val="both"/>
        <w:ind w:left="1260" w:hanging="607"/>
        <w:spacing w:after="0" w:line="245" w:lineRule="auto"/>
        <w:tabs>
          <w:tab w:leader="none" w:pos="1240" w:val="left"/>
        </w:tabs>
        <w:rPr>
          <w:sz w:val="20"/>
          <w:szCs w:val="20"/>
          <w:color w:val="auto"/>
        </w:rPr>
      </w:pPr>
      <w:r>
        <w:rPr>
          <w:rFonts w:ascii="Times New Roman" w:cs="Times New Roman" w:eastAsia="Times New Roman" w:hAnsi="Times New Roman"/>
          <w:sz w:val="18"/>
          <w:szCs w:val="18"/>
          <w:color w:val="auto"/>
        </w:rPr>
        <w:t>101-</w:t>
        <w:tab/>
        <w:t>The following materials from the Frequency Electronics, Inc. Quarterly Report on Form 10-Q for the quarter ended July 31, 2017 formatted in eXtensible Business Reporting Language (XBRL): (i) Condensed Consolidated Balance Sheets, (ii) Condensed Consolidated Statements of Income and Comprehensive Income (Loss), (iii) Condensed Consolidated Statements of Cash Flows and (iv)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6660" w:type="dxa"/>
            <w:vAlign w:val="bottom"/>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tc>
      </w:tr>
      <w:tr>
        <w:trPr>
          <w:trHeight w:val="234"/>
        </w:trPr>
        <w:tc>
          <w:tcPr>
            <w:tcW w:w="2980" w:type="dxa"/>
            <w:vAlign w:val="bottom"/>
          </w:tcPr>
          <w:p>
            <w:pPr>
              <w:spacing w:after="0"/>
              <w:rPr>
                <w:sz w:val="20"/>
                <w:szCs w:val="20"/>
                <w:color w:val="auto"/>
              </w:rPr>
            </w:pPr>
          </w:p>
        </w:tc>
        <w:tc>
          <w:tcPr>
            <w:tcW w:w="666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(Registrant)</w:t>
            </w:r>
          </w:p>
        </w:tc>
      </w:tr>
      <w:tr>
        <w:trPr>
          <w:trHeight w:val="365"/>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14, 2017</w:t>
            </w:r>
          </w:p>
        </w:tc>
        <w:tc>
          <w:tcPr>
            <w:tcW w:w="666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BY  /s/  Steven L. Bernstein</w:t>
            </w:r>
          </w:p>
        </w:tc>
      </w:tr>
      <w:tr>
        <w:trPr>
          <w:trHeight w:val="191"/>
        </w:trPr>
        <w:tc>
          <w:tcPr>
            <w:tcW w:w="29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Steven L. Bernstein</w:t>
            </w:r>
          </w:p>
        </w:tc>
        <w:tc>
          <w:tcPr>
            <w:tcW w:w="1600" w:type="dxa"/>
            <w:vAlign w:val="bottom"/>
          </w:tcPr>
          <w:p>
            <w:pPr>
              <w:spacing w:after="0"/>
              <w:rPr>
                <w:sz w:val="16"/>
                <w:szCs w:val="16"/>
                <w:color w:val="auto"/>
              </w:rPr>
            </w:pPr>
          </w:p>
        </w:tc>
      </w:tr>
      <w:tr>
        <w:trPr>
          <w:trHeight w:val="203"/>
        </w:trPr>
        <w:tc>
          <w:tcPr>
            <w:tcW w:w="29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8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9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Signing on behalf of the registrant and as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400"/>
          </w:cols>
          <w:pgMar w:left="240" w:top="121" w:right="25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Bloch, certify that:</w:t>
      </w:r>
    </w:p>
    <w:p>
      <w:pPr>
        <w:spacing w:after="0" w:line="198"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198" w:lineRule="exact"/>
        <w:rPr>
          <w:rFonts w:ascii="Times New Roman" w:cs="Times New Roman" w:eastAsia="Times New Roman" w:hAnsi="Times New Roman"/>
          <w:sz w:val="18"/>
          <w:szCs w:val="18"/>
          <w:color w:val="auto"/>
        </w:rPr>
      </w:pPr>
    </w:p>
    <w:p>
      <w:pPr>
        <w:ind w:right="20" w:firstLine="8"/>
        <w:spacing w:after="0" w:line="266" w:lineRule="auto"/>
        <w:tabs>
          <w:tab w:leader="none" w:pos="2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firstLine="8"/>
        <w:spacing w:after="0" w:line="266" w:lineRule="auto"/>
        <w:tabs>
          <w:tab w:leader="none" w:pos="2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firstLine="8"/>
        <w:spacing w:after="0" w:line="250" w:lineRule="auto"/>
        <w:tabs>
          <w:tab w:leader="none" w:pos="2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sz w:val="20"/>
          <w:szCs w:val="20"/>
          <w:color w:val="auto"/>
        </w:rPr>
      </w:pPr>
    </w:p>
    <w:p>
      <w:pPr>
        <w:jc w:val="both"/>
        <w:ind w:firstLine="8"/>
        <w:spacing w:after="0" w:line="250" w:lineRule="auto"/>
        <w:tabs>
          <w:tab w:leader="none" w:pos="2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8"/>
          <w:szCs w:val="18"/>
          <w:color w:val="auto"/>
        </w:rPr>
      </w:pPr>
    </w:p>
    <w:p>
      <w:pPr>
        <w:jc w:val="both"/>
        <w:ind w:firstLine="8"/>
        <w:spacing w:after="0" w:line="250" w:lineRule="auto"/>
        <w:tabs>
          <w:tab w:leader="none" w:pos="3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8"/>
          <w:szCs w:val="18"/>
          <w:color w:val="auto"/>
        </w:rPr>
      </w:pPr>
    </w:p>
    <w:p>
      <w:pPr>
        <w:ind w:right="20" w:firstLine="8"/>
        <w:spacing w:after="0" w:line="266" w:lineRule="auto"/>
        <w:tabs>
          <w:tab w:leader="none" w:pos="3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jc w:val="both"/>
        <w:ind w:firstLine="8"/>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sz w:val="20"/>
          <w:szCs w:val="20"/>
          <w:color w:val="auto"/>
        </w:rPr>
      </w:pPr>
    </w:p>
    <w:p>
      <w:pPr>
        <w:ind w:right="20" w:firstLine="8"/>
        <w:spacing w:after="0" w:line="266" w:lineRule="auto"/>
        <w:tabs>
          <w:tab w:leader="none" w:pos="2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sz w:val="20"/>
          <w:szCs w:val="20"/>
          <w:color w:val="auto"/>
        </w:rPr>
      </w:pPr>
    </w:p>
    <w:p>
      <w:pPr>
        <w:ind w:firstLine="8"/>
        <w:spacing w:after="0" w:line="266" w:lineRule="auto"/>
        <w:tabs>
          <w:tab w:leader="none" w:pos="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firstLine="8"/>
        <w:spacing w:after="0" w:line="266"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Martin Bloch</w:t>
            </w:r>
          </w:p>
        </w:tc>
        <w:tc>
          <w:tcPr>
            <w:tcW w:w="4700" w:type="dxa"/>
            <w:vAlign w:val="bottom"/>
          </w:tcPr>
          <w:p>
            <w:pPr>
              <w:ind w:left="3240"/>
              <w:spacing w:after="0"/>
              <w:rPr>
                <w:sz w:val="20"/>
                <w:szCs w:val="20"/>
                <w:color w:val="auto"/>
              </w:rPr>
            </w:pPr>
            <w:r>
              <w:rPr>
                <w:rFonts w:ascii="Times New Roman" w:cs="Times New Roman" w:eastAsia="Times New Roman" w:hAnsi="Times New Roman"/>
                <w:sz w:val="18"/>
                <w:szCs w:val="18"/>
                <w:color w:val="auto"/>
                <w:w w:val="99"/>
              </w:rPr>
              <w:t>September 14, 2017</w:t>
            </w:r>
          </w:p>
        </w:tc>
      </w:tr>
      <w:tr>
        <w:trPr>
          <w:trHeight w:val="191"/>
        </w:trPr>
        <w:tc>
          <w:tcPr>
            <w:tcW w:w="60" w:type="dxa"/>
            <w:vAlign w:val="bottom"/>
          </w:tcPr>
          <w:p>
            <w:pPr>
              <w:spacing w:after="0"/>
              <w:rPr>
                <w:sz w:val="16"/>
                <w:szCs w:val="16"/>
                <w:color w:val="auto"/>
              </w:rPr>
            </w:pPr>
          </w:p>
        </w:tc>
        <w:tc>
          <w:tcPr>
            <w:tcW w:w="22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Martin Bloch</w:t>
            </w:r>
          </w:p>
        </w:tc>
        <w:tc>
          <w:tcPr>
            <w:tcW w:w="4700" w:type="dxa"/>
            <w:vAlign w:val="bottom"/>
          </w:tcPr>
          <w:p>
            <w:pPr>
              <w:spacing w:after="0"/>
              <w:rPr>
                <w:sz w:val="16"/>
                <w:szCs w:val="16"/>
                <w:color w:val="auto"/>
              </w:rPr>
            </w:pP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700" w:type="dxa"/>
            <w:vAlign w:val="bottom"/>
          </w:tcPr>
          <w:p>
            <w:pPr>
              <w:spacing w:after="0"/>
              <w:rPr>
                <w:sz w:val="20"/>
                <w:szCs w:val="20"/>
                <w:color w:val="auto"/>
              </w:rPr>
            </w:pPr>
          </w:p>
        </w:tc>
      </w:tr>
    </w:tbl>
    <w:p>
      <w:pPr>
        <w:sectPr>
          <w:pgSz w:w="11900" w:h="16838" w:orient="portrait"/>
          <w:cols w:equalWidth="0" w:num="1">
            <w:col w:w="11420"/>
          </w:cols>
          <w:pgMar w:left="240" w:top="607" w:right="2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Bernstein, certify that</w:t>
      </w:r>
    </w:p>
    <w:p>
      <w:pPr>
        <w:spacing w:after="0" w:line="198" w:lineRule="exact"/>
        <w:rPr>
          <w:sz w:val="20"/>
          <w:szCs w:val="20"/>
          <w:color w:val="auto"/>
        </w:rPr>
      </w:pPr>
    </w:p>
    <w:p>
      <w:pPr>
        <w:ind w:left="240" w:hanging="232"/>
        <w:spacing w:after="0"/>
        <w:tabs>
          <w:tab w:leader="none" w:pos="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198" w:lineRule="exact"/>
        <w:rPr>
          <w:rFonts w:ascii="Times New Roman" w:cs="Times New Roman" w:eastAsia="Times New Roman" w:hAnsi="Times New Roman"/>
          <w:sz w:val="18"/>
          <w:szCs w:val="18"/>
          <w:color w:val="auto"/>
        </w:rPr>
      </w:pPr>
    </w:p>
    <w:p>
      <w:pPr>
        <w:ind w:right="20" w:firstLine="8"/>
        <w:spacing w:after="0" w:line="266" w:lineRule="auto"/>
        <w:tabs>
          <w:tab w:leader="none" w:pos="2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firstLine="8"/>
        <w:spacing w:after="0" w:line="266" w:lineRule="auto"/>
        <w:tabs>
          <w:tab w:leader="none" w:pos="2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Times New Roman" w:cs="Times New Roman" w:eastAsia="Times New Roman" w:hAnsi="Times New Roman"/>
          <w:sz w:val="18"/>
          <w:szCs w:val="18"/>
          <w:color w:val="auto"/>
        </w:rPr>
      </w:pPr>
    </w:p>
    <w:p>
      <w:pPr>
        <w:jc w:val="both"/>
        <w:ind w:firstLine="8"/>
        <w:spacing w:after="0" w:line="250" w:lineRule="auto"/>
        <w:tabs>
          <w:tab w:leader="none" w:pos="2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sz w:val="20"/>
          <w:szCs w:val="20"/>
          <w:color w:val="auto"/>
        </w:rPr>
      </w:pPr>
    </w:p>
    <w:p>
      <w:pPr>
        <w:jc w:val="both"/>
        <w:ind w:firstLine="8"/>
        <w:spacing w:after="0" w:line="250" w:lineRule="auto"/>
        <w:tabs>
          <w:tab w:leader="none" w:pos="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8"/>
          <w:szCs w:val="18"/>
          <w:color w:val="auto"/>
        </w:rPr>
      </w:pPr>
    </w:p>
    <w:p>
      <w:pPr>
        <w:jc w:val="both"/>
        <w:ind w:firstLine="8"/>
        <w:spacing w:after="0" w:line="250" w:lineRule="auto"/>
        <w:tabs>
          <w:tab w:leader="none" w:pos="3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8"/>
          <w:szCs w:val="18"/>
          <w:color w:val="auto"/>
        </w:rPr>
      </w:pPr>
    </w:p>
    <w:p>
      <w:pPr>
        <w:ind w:right="20" w:firstLine="8"/>
        <w:spacing w:after="0" w:line="266" w:lineRule="auto"/>
        <w:tabs>
          <w:tab w:leader="none" w:pos="3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jc w:val="both"/>
        <w:ind w:firstLine="8"/>
        <w:spacing w:after="0" w:line="250"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sz w:val="20"/>
          <w:szCs w:val="20"/>
          <w:color w:val="auto"/>
        </w:rPr>
      </w:pPr>
    </w:p>
    <w:p>
      <w:pPr>
        <w:ind w:right="20" w:firstLine="8"/>
        <w:spacing w:after="0" w:line="266" w:lineRule="auto"/>
        <w:tabs>
          <w:tab w:leader="none" w:pos="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sz w:val="20"/>
          <w:szCs w:val="20"/>
          <w:color w:val="auto"/>
        </w:rPr>
      </w:pPr>
    </w:p>
    <w:p>
      <w:pPr>
        <w:ind w:firstLine="8"/>
        <w:spacing w:after="0" w:line="266" w:lineRule="auto"/>
        <w:tabs>
          <w:tab w:leader="none" w:pos="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firstLine="8"/>
        <w:spacing w:after="0" w:line="266" w:lineRule="auto"/>
        <w:tabs>
          <w:tab w:leader="none" w:pos="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2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Steven L. Bernstein</w:t>
            </w:r>
          </w:p>
        </w:tc>
        <w:tc>
          <w:tcPr>
            <w:tcW w:w="4460" w:type="dxa"/>
            <w:vAlign w:val="bottom"/>
          </w:tcPr>
          <w:p>
            <w:pPr>
              <w:ind w:left="3020"/>
              <w:spacing w:after="0"/>
              <w:rPr>
                <w:sz w:val="20"/>
                <w:szCs w:val="20"/>
                <w:color w:val="auto"/>
              </w:rPr>
            </w:pPr>
            <w:r>
              <w:rPr>
                <w:rFonts w:ascii="Times New Roman" w:cs="Times New Roman" w:eastAsia="Times New Roman" w:hAnsi="Times New Roman"/>
                <w:sz w:val="18"/>
                <w:szCs w:val="18"/>
                <w:color w:val="auto"/>
                <w:w w:val="98"/>
              </w:rPr>
              <w:t>September 14, 2017</w:t>
            </w:r>
          </w:p>
        </w:tc>
      </w:tr>
      <w:tr>
        <w:trPr>
          <w:trHeight w:val="191"/>
        </w:trPr>
        <w:tc>
          <w:tcPr>
            <w:tcW w:w="60" w:type="dxa"/>
            <w:vAlign w:val="bottom"/>
          </w:tcPr>
          <w:p>
            <w:pPr>
              <w:spacing w:after="0"/>
              <w:rPr>
                <w:sz w:val="16"/>
                <w:szCs w:val="16"/>
                <w:color w:val="auto"/>
              </w:rPr>
            </w:pPr>
          </w:p>
        </w:tc>
        <w:tc>
          <w:tcPr>
            <w:tcW w:w="2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L. Bernstein</w:t>
            </w:r>
          </w:p>
        </w:tc>
        <w:tc>
          <w:tcPr>
            <w:tcW w:w="4460" w:type="dxa"/>
            <w:vAlign w:val="bottom"/>
          </w:tcPr>
          <w:p>
            <w:pPr>
              <w:spacing w:after="0"/>
              <w:rPr>
                <w:sz w:val="16"/>
                <w:szCs w:val="16"/>
                <w:color w:val="auto"/>
              </w:rPr>
            </w:pP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460" w:type="dxa"/>
            <w:vAlign w:val="bottom"/>
          </w:tcPr>
          <w:p>
            <w:pPr>
              <w:spacing w:after="0"/>
              <w:rPr>
                <w:sz w:val="20"/>
                <w:szCs w:val="20"/>
                <w:color w:val="auto"/>
              </w:rPr>
            </w:pPr>
          </w:p>
        </w:tc>
      </w:tr>
    </w:tbl>
    <w:p>
      <w:pPr>
        <w:sectPr>
          <w:pgSz w:w="11900" w:h="16838" w:orient="portrait"/>
          <w:cols w:equalWidth="0" w:num="1">
            <w:col w:w="11420"/>
          </w:cols>
          <w:pgMar w:left="240" w:top="607" w:right="2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ADOPTED PURSUANT TO</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CEO</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July 31, 2017 as filed with the Securities and Exchange Commission on the date hereof (the “Report”), I, Martin Bloch, Chief Executive Officer of the Company, certify, pursuant to 18 U.S.C. Section 1350, as adopted pursuant to Section 906 of the Sarbanes-Oxley Act of 2002, that to my knowledge:</w:t>
      </w:r>
    </w:p>
    <w:p>
      <w:pPr>
        <w:spacing w:after="0" w:line="163" w:lineRule="exact"/>
        <w:rPr>
          <w:sz w:val="20"/>
          <w:szCs w:val="20"/>
          <w:color w:val="auto"/>
        </w:rPr>
      </w:pPr>
    </w:p>
    <w:p>
      <w:pPr>
        <w:ind w:left="960" w:hanging="30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Martin Bloch</w:t>
            </w:r>
          </w:p>
        </w:tc>
        <w:tc>
          <w:tcPr>
            <w:tcW w:w="4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14, 2017</w:t>
            </w:r>
          </w:p>
        </w:tc>
        <w:tc>
          <w:tcPr>
            <w:tcW w:w="0" w:type="dxa"/>
            <w:vAlign w:val="bottom"/>
          </w:tcPr>
          <w:p>
            <w:pPr>
              <w:spacing w:after="0"/>
              <w:rPr>
                <w:sz w:val="1"/>
                <w:szCs w:val="1"/>
                <w:color w:val="auto"/>
              </w:rPr>
            </w:pPr>
          </w:p>
        </w:tc>
      </w:tr>
      <w:tr>
        <w:trPr>
          <w:trHeight w:val="191"/>
        </w:trPr>
        <w:tc>
          <w:tcPr>
            <w:tcW w:w="2980" w:type="dxa"/>
            <w:vAlign w:val="bottom"/>
          </w:tcPr>
          <w:p>
            <w:pPr>
              <w:ind w:left="600"/>
              <w:spacing w:after="0" w:line="191" w:lineRule="exact"/>
              <w:rPr>
                <w:sz w:val="20"/>
                <w:szCs w:val="20"/>
                <w:color w:val="auto"/>
              </w:rPr>
            </w:pPr>
            <w:r>
              <w:rPr>
                <w:rFonts w:ascii="Times New Roman" w:cs="Times New Roman" w:eastAsia="Times New Roman" w:hAnsi="Times New Roman"/>
                <w:sz w:val="18"/>
                <w:szCs w:val="18"/>
                <w:color w:val="auto"/>
              </w:rPr>
              <w:t>Martin Bloch</w:t>
            </w: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Chief Executive Officer</w:t>
            </w:r>
          </w:p>
        </w:tc>
        <w:tc>
          <w:tcPr>
            <w:tcW w:w="40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4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CFO</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July 31, 2017 as filed with the Securities and Exchange Commission on the date hereof (the “Report”), I, Steven L. Bernstein, Chief Financial Officer of the Company, certify, pursuant to 18 U.S.C. Section 1350, as adopted pursuant to Section 906 of the Sarbanes-Oxley Act of 2002, that to my knowledge:</w:t>
      </w:r>
    </w:p>
    <w:p>
      <w:pPr>
        <w:spacing w:after="0" w:line="163" w:lineRule="exact"/>
        <w:rPr>
          <w:sz w:val="20"/>
          <w:szCs w:val="20"/>
          <w:color w:val="auto"/>
        </w:rPr>
      </w:pPr>
    </w:p>
    <w:p>
      <w:pPr>
        <w:ind w:left="960" w:hanging="30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Steven L. Bernstein</w:t>
            </w:r>
          </w:p>
        </w:tc>
        <w:tc>
          <w:tcPr>
            <w:tcW w:w="4000" w:type="dxa"/>
            <w:vAlign w:val="bottom"/>
          </w:tcPr>
          <w:p>
            <w:pPr>
              <w:ind w:left="2560"/>
              <w:spacing w:after="0"/>
              <w:rPr>
                <w:sz w:val="20"/>
                <w:szCs w:val="20"/>
                <w:color w:val="auto"/>
              </w:rPr>
            </w:pPr>
            <w:r>
              <w:rPr>
                <w:rFonts w:ascii="Times New Roman" w:cs="Times New Roman" w:eastAsia="Times New Roman" w:hAnsi="Times New Roman"/>
                <w:sz w:val="18"/>
                <w:szCs w:val="18"/>
                <w:color w:val="auto"/>
                <w:w w:val="98"/>
              </w:rPr>
              <w:t>September 14, 2017</w:t>
            </w:r>
          </w:p>
        </w:tc>
      </w:tr>
      <w:tr>
        <w:trPr>
          <w:trHeight w:val="191"/>
        </w:trPr>
        <w:tc>
          <w:tcPr>
            <w:tcW w:w="2900" w:type="dxa"/>
            <w:vAlign w:val="bottom"/>
          </w:tcPr>
          <w:p>
            <w:pPr>
              <w:ind w:left="600"/>
              <w:spacing w:after="0" w:line="191" w:lineRule="exact"/>
              <w:rPr>
                <w:sz w:val="20"/>
                <w:szCs w:val="20"/>
                <w:color w:val="auto"/>
              </w:rPr>
            </w:pPr>
            <w:r>
              <w:rPr>
                <w:rFonts w:ascii="Times New Roman" w:cs="Times New Roman" w:eastAsia="Times New Roman" w:hAnsi="Times New Roman"/>
                <w:sz w:val="18"/>
                <w:szCs w:val="18"/>
                <w:color w:val="auto"/>
              </w:rPr>
              <w:t>Steven L. Bernstein</w:t>
            </w:r>
          </w:p>
        </w:tc>
        <w:tc>
          <w:tcPr>
            <w:tcW w:w="4000" w:type="dxa"/>
            <w:vAlign w:val="bottom"/>
          </w:tcPr>
          <w:p>
            <w:pPr>
              <w:spacing w:after="0"/>
              <w:rPr>
                <w:sz w:val="16"/>
                <w:szCs w:val="16"/>
                <w:color w:val="auto"/>
              </w:rPr>
            </w:pPr>
          </w:p>
        </w:tc>
      </w:tr>
      <w:tr>
        <w:trPr>
          <w:trHeight w:val="234"/>
        </w:trPr>
        <w:tc>
          <w:tcPr>
            <w:tcW w:w="2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00" w:type="dxa"/>
            <w:vAlign w:val="bottom"/>
          </w:tcPr>
          <w:p>
            <w:pPr>
              <w:spacing w:after="0"/>
              <w:rPr>
                <w:sz w:val="20"/>
                <w:szCs w:val="20"/>
                <w:color w:val="auto"/>
              </w:rPr>
            </w:pPr>
          </w:p>
        </w:tc>
      </w:tr>
    </w:tbl>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 w:cs="Times New Roman" w:eastAsia="Times New Roman" w:hAnsi="Times New Roman"/>
          <w:sz w:val="18"/>
          <w:szCs w:val="18"/>
          <w:b w:val="1"/>
          <w:bCs w:val="1"/>
          <w:color w:val="auto"/>
        </w:rPr>
        <w:t>.</w:t>
      </w:r>
    </w:p>
    <w:p>
      <w:pPr>
        <w:spacing w:after="0" w:line="1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5"/>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2019-12-29T04:49:21Z</dcterms:created>
  <dcterms:modified xsi:type="dcterms:W3CDTF">2019-12-29T04:49:21Z</dcterms:modified>
</cp:coreProperties>
</file>