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160020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6"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QUARTERLY REPORT PURSUANT TO SECTION 13 or 15(d) OF THE SECURITIES EXCHANGE ACT OF 1934</w:t>
      </w:r>
    </w:p>
    <w:p>
      <w:pPr>
        <w:spacing w:after="0" w:line="26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For the Quarterly Period ended January 31, 2021</w:t>
      </w:r>
    </w:p>
    <w:p>
      <w:pPr>
        <w:spacing w:after="0" w:line="23"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TRANSITION REPORT PURSUANT TO SECTION 13 or 15(d) OF THE SECURITIES EXCHANGE ACT OF 1934</w:t>
      </w:r>
    </w:p>
    <w:p>
      <w:pPr>
        <w:spacing w:after="0" w:line="227"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gridSpan w:val="2"/>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w w:val="87"/>
              </w:rPr>
              <w:t>11-1986657</w:t>
            </w:r>
          </w:p>
        </w:tc>
      </w:tr>
      <w:tr>
        <w:trPr>
          <w:trHeight w:val="20"/>
        </w:trPr>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5740" w:type="dxa"/>
            <w:vAlign w:val="bottom"/>
            <w:gridSpan w:val="4"/>
          </w:tcPr>
          <w:p>
            <w:pPr>
              <w:jc w:val="center"/>
              <w:ind w:right="940"/>
              <w:spacing w:after="0"/>
              <w:rPr>
                <w:sz w:val="20"/>
                <w:szCs w:val="20"/>
                <w:color w:val="auto"/>
              </w:rPr>
            </w:pPr>
            <w:r>
              <w:rPr>
                <w:rFonts w:ascii="Arial" w:cs="Arial" w:eastAsia="Arial" w:hAnsi="Arial"/>
                <w:sz w:val="18"/>
                <w:szCs w:val="18"/>
                <w:color w:val="auto"/>
                <w:w w:val="92"/>
              </w:rPr>
              <w:t>(State or other jurisdiction of</w:t>
            </w:r>
          </w:p>
        </w:tc>
        <w:tc>
          <w:tcPr>
            <w:tcW w:w="3580" w:type="dxa"/>
            <w:vAlign w:val="bottom"/>
            <w:gridSpan w:val="5"/>
          </w:tcPr>
          <w:p>
            <w:pPr>
              <w:jc w:val="center"/>
              <w:ind w:left="8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20" w:type="dxa"/>
            <w:vAlign w:val="bottom"/>
          </w:tcPr>
          <w:p>
            <w:pPr>
              <w:spacing w:after="0"/>
              <w:rPr>
                <w:sz w:val="20"/>
                <w:szCs w:val="20"/>
                <w:color w:val="auto"/>
              </w:rPr>
            </w:pPr>
          </w:p>
        </w:tc>
        <w:tc>
          <w:tcPr>
            <w:tcW w:w="5740" w:type="dxa"/>
            <w:vAlign w:val="bottom"/>
            <w:gridSpan w:val="4"/>
          </w:tcPr>
          <w:p>
            <w:pPr>
              <w:jc w:val="center"/>
              <w:ind w:right="940"/>
              <w:spacing w:after="0"/>
              <w:rPr>
                <w:sz w:val="20"/>
                <w:szCs w:val="20"/>
                <w:color w:val="auto"/>
              </w:rPr>
            </w:pPr>
            <w:r>
              <w:rPr>
                <w:rFonts w:ascii="Arial" w:cs="Arial" w:eastAsia="Arial" w:hAnsi="Arial"/>
                <w:sz w:val="18"/>
                <w:szCs w:val="18"/>
                <w:color w:val="auto"/>
                <w:w w:val="92"/>
              </w:rPr>
              <w:t>incorporation or organization)</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940" w:type="dxa"/>
            <w:vAlign w:val="bottom"/>
          </w:tcPr>
          <w:p>
            <w:pPr>
              <w:spacing w:after="0"/>
              <w:rPr>
                <w:sz w:val="24"/>
                <w:szCs w:val="24"/>
                <w:color w:val="auto"/>
              </w:rPr>
            </w:pPr>
          </w:p>
        </w:tc>
        <w:tc>
          <w:tcPr>
            <w:tcW w:w="27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48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432"/>
        </w:trPr>
        <w:tc>
          <w:tcPr>
            <w:tcW w:w="61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377" w:right="339" w:bottom="1440" w:gutter="0" w:footer="0" w:header="0"/>
        </w:sectPr>
      </w:pPr>
    </w:p>
    <w:p>
      <w:pPr>
        <w:spacing w:after="0" w:line="239" w:lineRule="exact"/>
        <w:rPr>
          <w:sz w:val="24"/>
          <w:szCs w:val="24"/>
          <w:color w:val="auto"/>
        </w:rPr>
      </w:pPr>
    </w:p>
    <w:p>
      <w:pPr>
        <w:jc w:val="center"/>
        <w:ind w:left="44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440"/>
        <w:spacing w:after="0"/>
        <w:rPr>
          <w:sz w:val="20"/>
          <w:szCs w:val="20"/>
          <w:color w:val="auto"/>
        </w:rPr>
      </w:pPr>
      <w:r>
        <w:rPr>
          <w:rFonts w:ascii="Arial" w:cs="Arial" w:eastAsia="Arial" w:hAnsi="Arial"/>
          <w:sz w:val="16"/>
          <w:szCs w:val="16"/>
          <w:b w:val="1"/>
          <w:bCs w:val="1"/>
          <w:color w:val="auto"/>
        </w:rPr>
        <w:t>Common Stock (par value $1.00 per share)</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6"/>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FEIM</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-2625090</wp:posOffset>
            </wp:positionH>
            <wp:positionV relativeFrom="paragraph">
              <wp:posOffset>-301625</wp:posOffset>
            </wp:positionV>
            <wp:extent cx="7134225" cy="302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pacing w:after="0" w:line="198" w:lineRule="exact"/>
        <w:rPr>
          <w:sz w:val="24"/>
          <w:szCs w:val="24"/>
          <w:color w:val="auto"/>
        </w:rPr>
      </w:pPr>
    </w:p>
    <w:p>
      <w:pPr>
        <w:sectPr>
          <w:pgSz w:w="11900" w:h="16838" w:orient="portrait"/>
          <w:cols w:equalWidth="0" w:num="2">
            <w:col w:w="3720" w:space="420"/>
            <w:col w:w="7100"/>
          </w:cols>
          <w:pgMar w:left="320" w:top="377"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spacing w:after="0" w:line="207" w:lineRule="exact"/>
        <w:tabs>
          <w:tab w:leader="none" w:pos="6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626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per share as of March 10, 2021 – 9,199,625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Page No.</w:t>
            </w:r>
          </w:p>
        </w:tc>
        <w:tc>
          <w:tcPr>
            <w:tcW w:w="0" w:type="dxa"/>
            <w:vAlign w:val="bottom"/>
          </w:tcPr>
          <w:p>
            <w:pPr>
              <w:spacing w:after="0"/>
              <w:rPr>
                <w:sz w:val="1"/>
                <w:szCs w:val="1"/>
                <w:color w:val="auto"/>
              </w:rPr>
            </w:pPr>
          </w:p>
        </w:tc>
      </w:tr>
      <w:tr>
        <w:trPr>
          <w:trHeight w:val="210"/>
        </w:trPr>
        <w:tc>
          <w:tcPr>
            <w:tcW w:w="10460" w:type="dxa"/>
            <w:vAlign w:val="bottom"/>
            <w:gridSpan w:val="6"/>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460" w:type="dxa"/>
            <w:vAlign w:val="bottom"/>
            <w:gridSpan w:val="6"/>
          </w:tcPr>
          <w:p>
            <w:pPr>
              <w:ind w:left="5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 Financial Statements:</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962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 January 31, 2021 (unaudited) and April 30, 2020</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4"/>
                <w:szCs w:val="24"/>
                <w:color w:val="auto"/>
              </w:rPr>
            </w:pPr>
          </w:p>
        </w:tc>
        <w:tc>
          <w:tcPr>
            <w:tcW w:w="9620" w:type="dxa"/>
            <w:vAlign w:val="bottom"/>
            <w:gridSpan w:val="5"/>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Loss Three and Nine Months Ended January 31, 2021 and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2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2020 (unaudited)</w:t>
              </w:r>
            </w:hyperlink>
          </w:p>
        </w:tc>
        <w:tc>
          <w:tcPr>
            <w:tcW w:w="840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40" w:type="dxa"/>
            <w:vAlign w:val="bottom"/>
          </w:tcPr>
          <w:p>
            <w:pPr>
              <w:spacing w:after="0"/>
              <w:rPr>
                <w:sz w:val="24"/>
                <w:szCs w:val="24"/>
                <w:color w:val="auto"/>
              </w:rPr>
            </w:pPr>
          </w:p>
        </w:tc>
        <w:tc>
          <w:tcPr>
            <w:tcW w:w="962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Nine Months Ended January 31, 2021 and 2020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4"/>
                <w:szCs w:val="24"/>
                <w:color w:val="auto"/>
              </w:rPr>
            </w:pPr>
          </w:p>
        </w:tc>
        <w:tc>
          <w:tcPr>
            <w:tcW w:w="9620" w:type="dxa"/>
            <w:vAlign w:val="bottom"/>
            <w:gridSpan w:val="5"/>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Changes in Stockholders’ Equity Three and Nine Months Ended January 31, 2021</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96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9620" w:type="dxa"/>
            <w:vAlign w:val="bottom"/>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8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9620" w:type="dxa"/>
            <w:vAlign w:val="bottom"/>
            <w:gridSpan w:val="5"/>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Statements of Changes in Stockholders’ Equity Three and Nine Months Ended January 31, 2020</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96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9620" w:type="dxa"/>
            <w:vAlign w:val="bottom"/>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8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40" w:type="dxa"/>
            <w:vAlign w:val="bottom"/>
          </w:tcPr>
          <w:p>
            <w:pPr>
              <w:spacing w:after="0"/>
              <w:rPr>
                <w:sz w:val="24"/>
                <w:szCs w:val="24"/>
                <w:color w:val="auto"/>
              </w:rPr>
            </w:pPr>
          </w:p>
        </w:tc>
        <w:tc>
          <w:tcPr>
            <w:tcW w:w="962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4"/>
              </w:rPr>
              <w:t>8-17</w:t>
            </w:r>
          </w:p>
        </w:tc>
        <w:tc>
          <w:tcPr>
            <w:tcW w:w="0" w:type="dxa"/>
            <w:vAlign w:val="bottom"/>
          </w:tcPr>
          <w:p>
            <w:pPr>
              <w:spacing w:after="0"/>
              <w:rPr>
                <w:sz w:val="1"/>
                <w:szCs w:val="1"/>
                <w:color w:val="auto"/>
              </w:rPr>
            </w:pPr>
          </w:p>
        </w:tc>
      </w:tr>
      <w:tr>
        <w:trPr>
          <w:trHeight w:val="432"/>
        </w:trPr>
        <w:tc>
          <w:tcPr>
            <w:tcW w:w="10460" w:type="dxa"/>
            <w:vAlign w:val="bottom"/>
            <w:gridSpan w:val="6"/>
          </w:tcPr>
          <w:p>
            <w:pPr>
              <w:ind w:left="5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2 - 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18-24</w:t>
            </w:r>
          </w:p>
        </w:tc>
        <w:tc>
          <w:tcPr>
            <w:tcW w:w="0" w:type="dxa"/>
            <w:vAlign w:val="bottom"/>
          </w:tcPr>
          <w:p>
            <w:pPr>
              <w:spacing w:after="0"/>
              <w:rPr>
                <w:sz w:val="1"/>
                <w:szCs w:val="1"/>
                <w:color w:val="auto"/>
              </w:rPr>
            </w:pPr>
          </w:p>
        </w:tc>
      </w:tr>
      <w:tr>
        <w:trPr>
          <w:trHeight w:val="432"/>
        </w:trPr>
        <w:tc>
          <w:tcPr>
            <w:tcW w:w="10460" w:type="dxa"/>
            <w:vAlign w:val="bottom"/>
            <w:gridSpan w:val="6"/>
          </w:tcPr>
          <w:p>
            <w:pPr>
              <w:ind w:left="5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3 - Quantitative and Qualitative Disclosures About Market Risk</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32"/>
        </w:trPr>
        <w:tc>
          <w:tcPr>
            <w:tcW w:w="10460" w:type="dxa"/>
            <w:vAlign w:val="bottom"/>
            <w:gridSpan w:val="6"/>
          </w:tcPr>
          <w:p>
            <w:pPr>
              <w:ind w:left="5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4 - Controls and Procedures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32"/>
        </w:trPr>
        <w:tc>
          <w:tcPr>
            <w:tcW w:w="10460" w:type="dxa"/>
            <w:vAlign w:val="bottom"/>
            <w:gridSpan w:val="6"/>
          </w:tcPr>
          <w:p>
            <w:pPr>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gridSpan w:val="6"/>
          </w:tcPr>
          <w:p>
            <w:pPr>
              <w:ind w:left="5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1 - Legal Proceedings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432"/>
        </w:trPr>
        <w:tc>
          <w:tcPr>
            <w:tcW w:w="10460" w:type="dxa"/>
            <w:vAlign w:val="bottom"/>
            <w:gridSpan w:val="6"/>
          </w:tcPr>
          <w:p>
            <w:pPr>
              <w:ind w:left="5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6 - Exhibits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432"/>
        </w:trPr>
        <w:tc>
          <w:tcPr>
            <w:tcW w:w="10460" w:type="dxa"/>
            <w:vAlign w:val="bottom"/>
            <w:gridSpan w:val="6"/>
          </w:tcPr>
          <w:p>
            <w:pPr>
              <w:ind w:left="5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Signatures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006"/>
        </w:trPr>
        <w:tc>
          <w:tcPr>
            <w:tcW w:w="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January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0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7,255</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10,480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10,570</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$183 at January 31, 2021 and April 30,</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Costs and estimated earnings in excess of billings, net</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22,958</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46,340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51,235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life insurance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 operating leases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84,535</w:t>
            </w: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91,276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96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Accounts payable – trade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Loss provision accrual</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Current debt</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14,484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14,258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lease liability – non-current</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8,656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30,574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37,040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tcPr>
          <w:p>
            <w:pPr>
              <w:ind w:left="360"/>
              <w:spacing w:after="0" w:line="201" w:lineRule="exact"/>
              <w:rPr>
                <w:sz w:val="20"/>
                <w:szCs w:val="20"/>
                <w:color w:val="auto"/>
              </w:rPr>
            </w:pPr>
            <w:r>
              <w:rPr>
                <w:rFonts w:ascii="Arial" w:cs="Arial" w:eastAsia="Arial" w:hAnsi="Arial"/>
                <w:sz w:val="18"/>
                <w:szCs w:val="18"/>
                <w:color w:val="auto"/>
                <w:w w:val="96"/>
              </w:rPr>
              <w:t>Common stock - $1.00 par value; authorized 20,000 shares, 9,194 shares issued and 9,193 shares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w w:val="92"/>
              </w:rPr>
              <w:t>outstanding at January 31, 2021; 9,164 shares issued and 9,121 shares outstanding at April 30, 2020</w:t>
            </w: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9,194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56,914</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(12,870)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(12,137)</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Common stock reacquired and held in treasury - at cost (1 share at January 31, 2021 and 43 shares at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April 30, 2020)</w:t>
            </w:r>
          </w:p>
        </w:tc>
        <w:tc>
          <w:tcPr>
            <w:tcW w:w="1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84,535</w:t>
            </w: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91,276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Three Months Ended January 31,</w:t>
            </w:r>
          </w:p>
        </w:tc>
        <w:tc>
          <w:tcPr>
            <w:tcW w:w="260" w:type="dxa"/>
            <w:vAlign w:val="bottom"/>
          </w:tcPr>
          <w:p>
            <w:pPr>
              <w:spacing w:after="0"/>
              <w:rPr>
                <w:sz w:val="20"/>
                <w:szCs w:val="20"/>
                <w:color w:val="auto"/>
              </w:rPr>
            </w:pPr>
          </w:p>
        </w:tc>
        <w:tc>
          <w:tcPr>
            <w:tcW w:w="29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2"/>
              </w:rPr>
              <w:t>Nine Months Ended January 31,</w:t>
            </w:r>
          </w:p>
        </w:tc>
        <w:tc>
          <w:tcPr>
            <w:tcW w:w="0" w:type="dxa"/>
            <w:vAlign w:val="bottom"/>
          </w:tcPr>
          <w:p>
            <w:pPr>
              <w:spacing w:after="0"/>
              <w:rPr>
                <w:sz w:val="1"/>
                <w:szCs w:val="1"/>
                <w:color w:val="auto"/>
              </w:rPr>
            </w:pPr>
          </w:p>
        </w:tc>
      </w:tr>
      <w:tr>
        <w:trPr>
          <w:trHeight w:val="209"/>
        </w:trPr>
        <w:tc>
          <w:tcPr>
            <w:tcW w:w="46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20" w:type="dxa"/>
            <w:vAlign w:val="bottom"/>
            <w:gridSpan w:val="4"/>
            <w:vMerge w:val="continue"/>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35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11,672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38,612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31,270</w:t>
            </w:r>
          </w:p>
        </w:tc>
        <w:tc>
          <w:tcPr>
            <w:tcW w:w="0" w:type="dxa"/>
            <w:vAlign w:val="bottom"/>
          </w:tcPr>
          <w:p>
            <w:pPr>
              <w:spacing w:after="0"/>
              <w:rPr>
                <w:sz w:val="1"/>
                <w:szCs w:val="1"/>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margin</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3,140</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5,912</w:t>
            </w:r>
          </w:p>
        </w:tc>
        <w:tc>
          <w:tcPr>
            <w:tcW w:w="0" w:type="dxa"/>
            <w:vAlign w:val="bottom"/>
          </w:tcPr>
          <w:p>
            <w:pPr>
              <w:spacing w:after="0"/>
              <w:rPr>
                <w:sz w:val="1"/>
                <w:szCs w:val="1"/>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Selling and administrative expenses</w:t>
            </w:r>
          </w:p>
        </w:tc>
        <w:tc>
          <w:tcPr>
            <w:tcW w:w="9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3,619</w:t>
            </w: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9,805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9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(1,561)</w:t>
            </w:r>
          </w:p>
        </w:tc>
        <w:tc>
          <w:tcPr>
            <w:tcW w:w="2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4"/>
          </w:tcPr>
          <w:p>
            <w:pPr>
              <w:spacing w:after="0"/>
              <w:rPr>
                <w:sz w:val="20"/>
                <w:szCs w:val="20"/>
                <w:color w:val="auto"/>
              </w:rPr>
            </w:pPr>
            <w:r>
              <w:rPr>
                <w:rFonts w:ascii="Arial" w:cs="Arial" w:eastAsia="Arial" w:hAnsi="Arial"/>
                <w:sz w:val="18"/>
                <w:szCs w:val="18"/>
                <w:color w:val="auto"/>
              </w:rPr>
              <w:t>Loss before provision for income taxes</w:t>
            </w:r>
          </w:p>
        </w:tc>
        <w:tc>
          <w:tcPr>
            <w:tcW w:w="9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(1,527)</w:t>
            </w:r>
          </w:p>
        </w:tc>
        <w:tc>
          <w:tcPr>
            <w:tcW w:w="2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(1,546)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(733)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Net loss per common share: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60" w:type="dxa"/>
            <w:vAlign w:val="bottom"/>
            <w:shd w:val="clear" w:color="auto" w:fill="CCEEFF"/>
          </w:tcPr>
          <w:p>
            <w:pPr>
              <w:spacing w:after="0"/>
              <w:rPr>
                <w:sz w:val="22"/>
                <w:szCs w:val="22"/>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97"/>
        </w:trPr>
        <w:tc>
          <w:tcPr>
            <w:tcW w:w="360" w:type="dxa"/>
            <w:vAlign w:val="bottom"/>
            <w:tcBorders>
              <w:top w:val="single" w:sz="8" w:color="CCEEFF"/>
            </w:tcBorders>
          </w:tcPr>
          <w:p>
            <w:pPr>
              <w:spacing w:after="0"/>
              <w:rPr>
                <w:sz w:val="17"/>
                <w:szCs w:val="17"/>
                <w:color w:val="auto"/>
              </w:rPr>
            </w:pPr>
          </w:p>
        </w:tc>
        <w:tc>
          <w:tcPr>
            <w:tcW w:w="35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Basic and Diluted</w:t>
            </w:r>
          </w:p>
        </w:tc>
        <w:tc>
          <w:tcPr>
            <w:tcW w:w="9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9,104</w:t>
            </w: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9,165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Condensed Consolidated Statements of Comprehensive</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0"/>
              </w:rPr>
              <w:t>Loss</w:t>
            </w:r>
          </w:p>
        </w:tc>
        <w:tc>
          <w:tcPr>
            <w:tcW w:w="388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(1,546)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(733)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Unrealized (loss) gain on marketable securities: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Change in market value of marketable securities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before reclassification, net of tax</w:t>
            </w:r>
          </w:p>
        </w:tc>
        <w:tc>
          <w:tcPr>
            <w:tcW w:w="9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2"/>
        </w:trPr>
        <w:tc>
          <w:tcPr>
            <w:tcW w:w="462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8"/>
              </w:rPr>
              <w:t>Reclassification adjustment for realized gains included</w:t>
            </w:r>
          </w:p>
        </w:tc>
        <w:tc>
          <w:tcPr>
            <w:tcW w:w="940" w:type="dxa"/>
            <w:vAlign w:val="bottom"/>
          </w:tcPr>
          <w:p>
            <w:pPr>
              <w:spacing w:after="0"/>
              <w:rPr>
                <w:sz w:val="17"/>
                <w:szCs w:val="17"/>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4620" w:type="dxa"/>
            <w:vAlign w:val="bottom"/>
            <w:gridSpan w:val="4"/>
          </w:tcPr>
          <w:p>
            <w:pPr>
              <w:ind w:left="340"/>
              <w:spacing w:after="0"/>
              <w:rPr>
                <w:sz w:val="20"/>
                <w:szCs w:val="20"/>
                <w:color w:val="auto"/>
              </w:rPr>
            </w:pPr>
            <w:r>
              <w:rPr>
                <w:rFonts w:ascii="Arial" w:cs="Arial" w:eastAsia="Arial" w:hAnsi="Arial"/>
                <w:sz w:val="18"/>
                <w:szCs w:val="18"/>
                <w:color w:val="auto"/>
              </w:rPr>
              <w:t>in net income, net of tax</w:t>
            </w:r>
          </w:p>
        </w:tc>
        <w:tc>
          <w:tcPr>
            <w:tcW w:w="9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20" w:type="dxa"/>
            <w:vAlign w:val="bottom"/>
            <w:gridSpan w:val="4"/>
            <w:shd w:val="clear" w:color="auto" w:fill="CCEEFF"/>
          </w:tcPr>
          <w:p>
            <w:pPr>
              <w:ind w:left="340"/>
              <w:spacing w:after="0" w:line="195" w:lineRule="exact"/>
              <w:rPr>
                <w:sz w:val="20"/>
                <w:szCs w:val="20"/>
                <w:color w:val="auto"/>
              </w:rPr>
            </w:pPr>
            <w:r>
              <w:rPr>
                <w:rFonts w:ascii="Arial" w:cs="Arial" w:eastAsia="Arial" w:hAnsi="Arial"/>
                <w:sz w:val="18"/>
                <w:szCs w:val="18"/>
                <w:color w:val="auto"/>
                <w:w w:val="94"/>
              </w:rPr>
              <w:t>Total unrealized (loss) gain on marketable securities, net</w:t>
            </w:r>
          </w:p>
        </w:tc>
        <w:tc>
          <w:tcPr>
            <w:tcW w:w="9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of tax</w:t>
            </w:r>
          </w:p>
        </w:tc>
        <w:tc>
          <w:tcPr>
            <w:tcW w:w="9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 w:type="dxa"/>
            <w:vAlign w:val="bottom"/>
            <w:shd w:val="clear" w:color="auto" w:fill="CCEEFF"/>
          </w:tcPr>
          <w:p>
            <w:pPr>
              <w:spacing w:after="0"/>
              <w:rPr>
                <w:sz w:val="20"/>
                <w:szCs w:val="20"/>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tcPr>
          <w:p>
            <w:pPr>
              <w:spacing w:after="0"/>
              <w:rPr>
                <w:sz w:val="24"/>
                <w:szCs w:val="24"/>
                <w:color w:val="auto"/>
              </w:rPr>
            </w:pPr>
          </w:p>
        </w:tc>
        <w:tc>
          <w:tcPr>
            <w:tcW w:w="7920" w:type="dxa"/>
            <w:vAlign w:val="bottom"/>
            <w:gridSpan w:val="11"/>
          </w:tcPr>
          <w:p>
            <w:pPr>
              <w:ind w:left="264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Non-cash charges to earnings</w:t>
            </w:r>
          </w:p>
        </w:tc>
        <w:tc>
          <w:tcPr>
            <w:tcW w:w="10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3,411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changes in operating assets and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9,333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Proceeds on redemption of marketable securities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Purchase of fixed assets and other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Repayment of PPP Loan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Proceeds from UBS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Repayment of UBS line of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during the period for: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1000" w:type="dxa"/>
        <w:tblCellMar>
          <w:top w:w="0" w:type="dxa"/>
          <w:left w:w="0" w:type="dxa"/>
          <w:bottom w:w="0" w:type="dxa"/>
          <w:right w:w="0" w:type="dxa"/>
        </w:tblCellMar>
      </w:tblPr>
      <w:tr>
        <w:trPr>
          <w:trHeight w:val="216"/>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1,998</w:t>
            </w:r>
          </w:p>
        </w:tc>
        <w:tc>
          <w:tcPr>
            <w:tcW w:w="1100" w:type="dxa"/>
            <w:vAlign w:val="bottom"/>
          </w:tcPr>
          <w:p>
            <w:pPr>
              <w:jc w:val="right"/>
              <w:spacing w:after="0"/>
              <w:rPr>
                <w:sz w:val="20"/>
                <w:szCs w:val="20"/>
                <w:color w:val="auto"/>
              </w:rPr>
            </w:pPr>
            <w:r>
              <w:rPr>
                <w:rFonts w:ascii="Arial" w:cs="Arial" w:eastAsia="Arial" w:hAnsi="Arial"/>
                <w:sz w:val="18"/>
                <w:szCs w:val="18"/>
                <w:color w:val="auto"/>
              </w:rPr>
              <w:t>3,037</w:t>
            </w:r>
          </w:p>
        </w:tc>
      </w:tr>
      <w:tr>
        <w:trPr>
          <w:trHeight w:val="230"/>
        </w:trPr>
        <w:tc>
          <w:tcPr>
            <w:tcW w:w="1100" w:type="dxa"/>
            <w:vAlign w:val="bottom"/>
          </w:tcPr>
          <w:p>
            <w:pPr>
              <w:jc w:val="right"/>
              <w:ind w:right="470"/>
              <w:spacing w:after="0"/>
              <w:rPr>
                <w:sz w:val="20"/>
                <w:szCs w:val="20"/>
                <w:color w:val="auto"/>
              </w:rPr>
            </w:pPr>
            <w:r>
              <w:rPr>
                <w:rFonts w:ascii="Arial" w:cs="Arial" w:eastAsia="Arial" w:hAnsi="Arial"/>
                <w:sz w:val="18"/>
                <w:szCs w:val="18"/>
                <w:color w:val="auto"/>
                <w:w w:val="91"/>
              </w:rPr>
              <w:t>(1,948)</w:t>
            </w:r>
          </w:p>
        </w:tc>
        <w:tc>
          <w:tcPr>
            <w:tcW w:w="1100" w:type="dxa"/>
            <w:vAlign w:val="bottom"/>
          </w:tcPr>
          <w:p>
            <w:pPr>
              <w:jc w:val="right"/>
              <w:spacing w:after="0"/>
              <w:rPr>
                <w:sz w:val="20"/>
                <w:szCs w:val="20"/>
                <w:color w:val="auto"/>
              </w:rPr>
            </w:pPr>
            <w:r>
              <w:rPr>
                <w:rFonts w:ascii="Arial" w:cs="Arial" w:eastAsia="Arial" w:hAnsi="Arial"/>
                <w:sz w:val="18"/>
                <w:szCs w:val="18"/>
                <w:color w:val="auto"/>
              </w:rPr>
              <w:t>(4,049)</w:t>
            </w:r>
          </w:p>
        </w:tc>
      </w:tr>
    </w:tbl>
    <w:p>
      <w:pPr>
        <w:ind w:left="2660" w:hanging="1518"/>
        <w:spacing w:after="0"/>
        <w:tabs>
          <w:tab w:leader="none" w:pos="2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(1,641)</w:t>
      </w:r>
    </w:p>
    <w:p>
      <w:pPr>
        <w:spacing w:after="0" w:line="21" w:lineRule="exact"/>
        <w:rPr>
          <w:sz w:val="20"/>
          <w:szCs w:val="20"/>
          <w:color w:val="auto"/>
        </w:rPr>
      </w:pPr>
    </w:p>
    <w:p>
      <w:pPr>
        <w:ind w:left="2660" w:hanging="1518"/>
        <w:spacing w:after="0"/>
        <w:tabs>
          <w:tab w:leader="none" w:pos="2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(2,653)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988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(4,965)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26"/>
        </w:trPr>
        <w:tc>
          <w:tcPr>
            <w:tcW w:w="5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(3,413)</w:t>
            </w:r>
          </w:p>
        </w:tc>
      </w:tr>
      <w:tr>
        <w:trPr>
          <w:trHeight w:val="432"/>
        </w:trPr>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60" w:type="dxa"/>
            <w:vAlign w:val="bottom"/>
          </w:tcPr>
          <w:p>
            <w:pPr>
              <w:spacing w:after="0"/>
              <w:rPr>
                <w:sz w:val="24"/>
                <w:szCs w:val="24"/>
                <w:color w:val="auto"/>
              </w:rPr>
            </w:pPr>
          </w:p>
        </w:tc>
      </w:tr>
      <w:tr>
        <w:trPr>
          <w:trHeight w:val="425"/>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7,255</w:t>
            </w:r>
          </w:p>
        </w:tc>
        <w:tc>
          <w:tcPr>
            <w:tcW w:w="100" w:type="dxa"/>
            <w:vAlign w:val="bottom"/>
          </w:tcPr>
          <w:p>
            <w:pPr>
              <w:spacing w:after="0"/>
              <w:rPr>
                <w:sz w:val="24"/>
                <w:szCs w:val="24"/>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72"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196"/>
        </w:trPr>
        <w:tc>
          <w:tcPr>
            <w:tcW w:w="8000" w:type="dxa"/>
            <w:vAlign w:val="bottom"/>
            <w:tcBorders>
              <w:top w:val="single" w:sz="8" w:color="CCEEFF"/>
            </w:tcBorders>
          </w:tcPr>
          <w:p>
            <w:pPr>
              <w:ind w:left="360"/>
              <w:spacing w:after="0" w:line="196" w:lineRule="exact"/>
              <w:rPr>
                <w:sz w:val="20"/>
                <w:szCs w:val="20"/>
                <w:color w:val="auto"/>
              </w:rPr>
            </w:pPr>
            <w:r>
              <w:rPr>
                <w:rFonts w:ascii="Arial" w:cs="Arial" w:eastAsia="Arial" w:hAnsi="Arial"/>
                <w:sz w:val="18"/>
                <w:szCs w:val="18"/>
                <w:color w:val="auto"/>
              </w:rPr>
              <w:t>Cash refunded during the period for:</w:t>
            </w:r>
          </w:p>
        </w:tc>
        <w:tc>
          <w:tcPr>
            <w:tcW w:w="6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and Nine Months Ended January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Treasury stock</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22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600" w:type="dxa"/>
            <w:vAlign w:val="bottom"/>
            <w:gridSpan w:val="3"/>
          </w:tcPr>
          <w:p>
            <w:pPr>
              <w:jc w:val="right"/>
              <w:ind w:right="224"/>
              <w:spacing w:after="0"/>
              <w:rPr>
                <w:sz w:val="20"/>
                <w:szCs w:val="20"/>
                <w:color w:val="auto"/>
              </w:rPr>
            </w:pPr>
            <w:r>
              <w:rPr>
                <w:rFonts w:ascii="Arial" w:cs="Arial" w:eastAsia="Arial" w:hAnsi="Arial"/>
                <w:sz w:val="18"/>
                <w:szCs w:val="18"/>
                <w:b w:val="1"/>
                <w:bCs w:val="1"/>
                <w:color w:val="auto"/>
              </w:rPr>
              <w:t>(at cost)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comprehensive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Income (loss)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2020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42,696</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(195)</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54,236</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(14,926)</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and stock appreciation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rights - net of shares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tendered for exercise price</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(23,808)</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income, net of tax</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r>
      <w:tr>
        <w:trPr>
          <w:trHeight w:val="20"/>
        </w:trPr>
        <w:tc>
          <w:tcPr>
            <w:tcW w:w="2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9,163,940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(12,399)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54,335</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401(k) plan</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and stock appreciation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rights - net of shares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tendered for exercise price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(2,586)</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loss, net of tax</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0"/>
        </w:trPr>
        <w:tc>
          <w:tcPr>
            <w:tcW w:w="2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at October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9,176,090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54,656</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401(k) plan</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and stock appreciation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rights - net of shares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tendered for exercise price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loss, net of tax</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r>
      <w:tr>
        <w:trPr>
          <w:trHeight w:val="20"/>
        </w:trPr>
        <w:tc>
          <w:tcPr>
            <w:tcW w:w="2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at January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9,193,769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53,961</w:t>
            </w: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and Nine Months Ended January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Treasury stock</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2200" w:type="dxa"/>
            <w:vAlign w:val="bottom"/>
            <w:gridSpan w:val="5"/>
          </w:tcPr>
          <w:p>
            <w:pPr>
              <w:ind w:left="4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600" w:type="dxa"/>
            <w:vAlign w:val="bottom"/>
            <w:gridSpan w:val="3"/>
          </w:tcPr>
          <w:p>
            <w:pPr>
              <w:jc w:val="right"/>
              <w:ind w:right="224"/>
              <w:spacing w:after="0"/>
              <w:rPr>
                <w:sz w:val="20"/>
                <w:szCs w:val="20"/>
                <w:color w:val="auto"/>
              </w:rPr>
            </w:pPr>
            <w:r>
              <w:rPr>
                <w:rFonts w:ascii="Arial" w:cs="Arial" w:eastAsia="Arial" w:hAnsi="Arial"/>
                <w:sz w:val="18"/>
                <w:szCs w:val="18"/>
                <w:b w:val="1"/>
                <w:bCs w:val="1"/>
                <w:color w:val="auto"/>
              </w:rPr>
              <w:t>(at cost)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comprehensive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18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Income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2019</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9,163,940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183,661</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(841)</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63,089</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(10,906)</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and stock appreciation</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rights - net of shares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tendered for exercise price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(41,325)</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income, net of tax</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r>
      <w:tr>
        <w:trPr>
          <w:trHeight w:val="20"/>
        </w:trPr>
        <w:tc>
          <w:tcPr>
            <w:tcW w:w="2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31, 2019</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9,163,940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131,430</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(602)</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62,836</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(8,703)</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and stock appreciation</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rights - net of shares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tendered for exercise price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(58,387)</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income, net of tax</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(4,909)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(4,909)</w:t>
            </w:r>
          </w:p>
        </w:tc>
      </w:tr>
      <w:tr>
        <w:trPr>
          <w:trHeight w:val="20"/>
        </w:trPr>
        <w:tc>
          <w:tcPr>
            <w:tcW w:w="2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at October 31, 2019</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9,163,940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56,658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64,340</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(295)</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58,168</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(6,109)</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Stock-based</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compensation expense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(1,850)</w:t>
            </w:r>
          </w:p>
        </w:tc>
        <w:tc>
          <w:tcPr>
            <w:tcW w:w="5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and stock appreciation</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rights - net of shares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tendered for exercise price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income, net of tax</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w:t>
            </w:r>
          </w:p>
        </w:tc>
      </w:tr>
      <w:tr>
        <w:trPr>
          <w:trHeight w:val="20"/>
        </w:trPr>
        <w:tc>
          <w:tcPr>
            <w:tcW w:w="2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w w:val="94"/>
              </w:rPr>
              <w:t>Balance at January 31, 2020</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9,163,940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56,772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(9,157)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56,381</w:t>
            </w: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56,825</w:t>
            </w:r>
          </w:p>
        </w:tc>
      </w:tr>
      <w:tr>
        <w:trPr>
          <w:trHeight w:val="20"/>
        </w:trPr>
        <w:tc>
          <w:tcPr>
            <w:tcW w:w="2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2021 and the results of its operations, changes in Stockholders’ Equity for the three and nine months ended January 31, 2021 and 2020, and cash flows for the nine months ended January 31, 2021 and 2020. The April 30, 2020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financial statements should be read in conjunction with the annual consolidated financial statements included in the Company’s Annual Report on Form 10-K for the fiscal year ended April 30, 2020, filed on July 29, 2020 with the Securities and Exchange Commission. The results of operations for such interim periods are not necessarily indicative of the operating results for the full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and the CARES Act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originating in Wuhan, China (the “COVID-19 outbreak”) and the risks to the international community as the virus spread globally beyond its point of origin. In March 2020, the WHO classified the COVID-19 outbreak as a pandemic, based on the rapid increase in exposure globally.</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full impact of the COVID-19 outbreak continues to evolve as of the date of this report. As such, it is uncertain as to the full magnitude that the pandemic may have on the Company’s financial condition, liquidity, and future results of operations. For the three months ended January 31, 2021, the Company was impacted by employee absenteeism related to direct or indirect effects of the COVID pandemic and delays in the receipt of anticipated new contracts from customers administratively affected by the pandemic, particularly in Zyfer’s operations as evidenced by the related decrease in sales and gross margin during the quarter. Management is actively monitoring the impact of the global situation on its financial condition, liquidity, operations, suppliers, industry, and workforce. Given the daily evolution of the COVID-19 outbreak and the global responses to curb its spread, the Company is not able to estimate the potential adverse effects of the COVID-19 outbreak on its results of operations, financial condition, or liquidity for fiscal year 2021.</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faces various risks related to COVID-19 outbreak. The Company is dependent on its workforce to design and manufacture its products. If significant portions of the Company’s workforce are unable to work effectively, or if the U.S. Government, state and/or other customers or supplier operations are curtailed due to illness, quarantines, government actions, facility closures, or other restrictions in connection with the COVID-19 pandemic, the Company’s operations may be impacted. In this scenario, the Company may be unable to perform fully on its contracts and costs may increase as a result of the COVID-19 outbreak. These cost increases may not be fully recoverable or adequately covered by insurance. The Company did experience some disruption due to the need to vacate certain areas of the facilities as some employees had been potentially exposed to COVID or following positive COVID test results to allow for cleaning and disinfecting. Certain of the Company’s vendors have been unable to deliver materials on time due to the COVID-19 outbreak. Such delays have had a minor impact on the Company’s production schedules to date, but vendor delivery performance is being closely monitored and alternate sources of supply are generally available if necessary.</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the COVID-19 outbreak. The Company received a loan under the Paycheck Protection Program (“PPP”) in April 2020, which it repaid in full in May 2020. For more detail regarding the Company’s PPP Loan, see Note K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Reconciliation of the weighted average shares outstanding for basic and diluted loss per share for the three and nine months ended January 31, 2021 and 2020, respectively, were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Basic EPS Shares outstanding (weighted average)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Effect of Dilutive Securities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Periods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00" w:type="dxa"/>
            <w:vAlign w:val="bottom"/>
            <w:tcBorders>
              <w:top w:val="single" w:sz="8" w:color="auto"/>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94"/>
              </w:rPr>
              <w:t>Three months</w:t>
            </w:r>
          </w:p>
        </w:tc>
        <w:tc>
          <w:tcPr>
            <w:tcW w:w="10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20" w:type="dxa"/>
            <w:vAlign w:val="bottom"/>
            <w:tcBorders>
              <w:top w:val="single" w:sz="8" w:color="auto"/>
              <w:bottom w:val="single" w:sz="8" w:color="auto"/>
            </w:tcBorders>
            <w:gridSpan w:val="3"/>
          </w:tcPr>
          <w:p>
            <w:pPr>
              <w:ind w:left="1080"/>
              <w:spacing w:after="0"/>
              <w:rPr>
                <w:sz w:val="20"/>
                <w:szCs w:val="20"/>
                <w:color w:val="auto"/>
              </w:rPr>
            </w:pPr>
            <w:r>
              <w:rPr>
                <w:rFonts w:ascii="Arial" w:cs="Arial" w:eastAsia="Arial" w:hAnsi="Arial"/>
                <w:sz w:val="18"/>
                <w:szCs w:val="18"/>
                <w:b w:val="1"/>
                <w:bCs w:val="1"/>
                <w:color w:val="auto"/>
                <w:w w:val="93"/>
              </w:rPr>
              <w:t>Nine months</w:t>
            </w:r>
          </w:p>
        </w:tc>
        <w:tc>
          <w:tcPr>
            <w:tcW w:w="10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411"/>
        </w:trPr>
        <w:tc>
          <w:tcPr>
            <w:tcW w:w="1480" w:type="dxa"/>
            <w:vAlign w:val="bottom"/>
          </w:tcPr>
          <w:p>
            <w:pPr>
              <w:jc w:val="right"/>
              <w:spacing w:after="0"/>
              <w:rPr>
                <w:sz w:val="20"/>
                <w:szCs w:val="20"/>
                <w:color w:val="auto"/>
              </w:rPr>
            </w:pPr>
            <w:r>
              <w:rPr>
                <w:rFonts w:ascii="Arial" w:cs="Arial" w:eastAsia="Arial" w:hAnsi="Arial"/>
                <w:sz w:val="18"/>
                <w:szCs w:val="18"/>
                <w:color w:val="auto"/>
              </w:rPr>
              <w:t>9,185,235</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9,104,228</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9,164,714</w:t>
            </w:r>
          </w:p>
        </w:tc>
        <w:tc>
          <w:tcPr>
            <w:tcW w:w="4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9,059,251</w:t>
            </w:r>
          </w:p>
        </w:tc>
      </w:tr>
      <w:tr>
        <w:trPr>
          <w:trHeight w:val="230"/>
        </w:trPr>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9,185,235</w:t>
            </w:r>
          </w:p>
        </w:tc>
        <w:tc>
          <w:tcPr>
            <w:tcW w:w="24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9,104,228</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9,164,713</w:t>
            </w: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9,059,251</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480"/>
            <w:col w:w="6620"/>
          </w:cols>
          <w:pgMar w:left="320" w:top="125" w:right="339" w:bottom="1440" w:gutter="0" w:footer="0" w:header="0"/>
          <w:type w:val="continuous"/>
        </w:sectPr>
      </w:pP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nine-month periods ended January 31, 2021 and 2020 dilutive securities are excluded from the calculation of earnings per share since the inclusion of such shares would be antidilutive due to the net loss for those periods. The exercisable shares excluded for the three and nine months ended January 31, 2021 are 229,000 and 331,000 options, respectively. The effect of dilutive securities would have been 74,684 options and 59,154 options for the three- and nine-month periods ended January 31,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January 31, 2021 and April 30, 2020, costs and estimated earnings in excess of billings, net,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January 31, 2021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2020</w:t>
            </w: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6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11,265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10,460</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Billings in excess of costs and estimated earnings</w:t>
            </w:r>
          </w:p>
        </w:tc>
        <w:tc>
          <w:tcPr>
            <w:tcW w:w="100" w:type="dxa"/>
            <w:vAlign w:val="bottom"/>
          </w:tcPr>
          <w:p>
            <w:pPr>
              <w:spacing w:after="0"/>
              <w:rPr>
                <w:sz w:val="18"/>
                <w:szCs w:val="18"/>
                <w:color w:val="auto"/>
              </w:rPr>
            </w:pP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(10,978)</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(3,507)</w:t>
            </w:r>
          </w:p>
        </w:tc>
      </w:tr>
      <w:tr>
        <w:trPr>
          <w:trHeight w:val="20"/>
        </w:trPr>
        <w:tc>
          <w:tcPr>
            <w:tcW w:w="5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6,953</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Such amounts represent revenue recognized on long-term contracts that had not been billed at the balance sheet dates or represent a liability for amounts billed in excess of the revenue earned. Amounts are billed to customers pursuant to contract terms. In general, the recorded amounts will be billed and collected and revenue recognized within twelve months of the balance sheet date. Revenue on these long-term contracts is accounted for on the percentage of completion (“POC”) basis. During the three and nine months ended January 31, 2021, revenue recognized under POC contracts was approximately $10.8 million and $35.6 million, respectively. During the three and nine months ended January 31, 2020, revenue recognized under POC contracts was approximately $8.5 million and $28.5 million, respectively. If contract losses are anticipated, costs and estimated earnings in excess of billings are reduced for the full amount of such losses when they are determinable. Contract losses of approximately $144,000 and $876,000 were recorded for the three and nine months ended January 31, 2021, respectively. Contract losses recognized for the three and nine months ended January 31, 2020 were approximately $290,000 and $2.4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nine-month period ended January 31, 2021, the Company made contributions of 30,538 shares of its common stock and common stock held in treasury to the Company’s profit-sharing plan and trust under Section 401(k) of the Internal Revenue Code. Commencing in the second quarter of the current fiscal year the Company began issuing newly issued shares to satisfy contributions to the 401(k). Previously the Company issued treasury stock to satisfy these contributions. Such contributions are in accordance with the Company’s discretionary match of employee voluntary contributions to this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E – INVENTORIES,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which are reported at the lower of cost and net realizable value,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January 31, 2021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2020</w:t>
            </w: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6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Component Parts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15,470</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6,104</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1,384</w:t>
            </w:r>
          </w:p>
        </w:tc>
      </w:tr>
      <w:tr>
        <w:trPr>
          <w:trHeight w:val="20"/>
        </w:trPr>
        <w:tc>
          <w:tcPr>
            <w:tcW w:w="5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20,974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22,958</w:t>
            </w: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above are net of reserves of $7.2 million and $6.6 million as of January 31, 2021 and April 30,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F – RIGHT-OF-USE ASSETS AND LEASE LIABILITIES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leases primarily represent offices, warehouses, vehicles, and manufacturing and research and development facilities which expire at various times through 2029 and are generally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 value of future lease payments which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elected the practical expedient for short-term leases which allows leases with terms of twelve months or less to be recorded on a straight-line basis over the lease term without being recognized on the balance sheet.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May 1, 2019, the Company adopted ASU 2016-02. The table below presents ROU assets and liabilities recorded on the respective consolidated balance sheets, related to ASU 2016-02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220" w:type="dxa"/>
            <w:vAlign w:val="bottom"/>
          </w:tcPr>
          <w:p>
            <w:pPr>
              <w:ind w:left="1080"/>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Pr>
          <w:p>
            <w:pPr>
              <w:spacing w:after="0"/>
              <w:rPr>
                <w:sz w:val="20"/>
                <w:szCs w:val="20"/>
                <w:color w:val="auto"/>
              </w:rPr>
            </w:pPr>
          </w:p>
        </w:tc>
        <w:tc>
          <w:tcPr>
            <w:tcW w:w="148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January 31, 2021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30, 2020</w:t>
            </w:r>
          </w:p>
        </w:tc>
        <w:tc>
          <w:tcPr>
            <w:tcW w:w="0" w:type="dxa"/>
            <w:vAlign w:val="bottom"/>
          </w:tcPr>
          <w:p>
            <w:pPr>
              <w:spacing w:after="0"/>
              <w:rPr>
                <w:sz w:val="1"/>
                <w:szCs w:val="1"/>
                <w:color w:val="auto"/>
              </w:rPr>
            </w:pPr>
          </w:p>
        </w:tc>
      </w:tr>
      <w:tr>
        <w:trPr>
          <w:trHeight w:val="228"/>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(unaudited)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80" w:type="dxa"/>
            <w:vAlign w:val="bottom"/>
            <w:vMerge w:val="continue"/>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ROU assets</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leases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Operating lease liabilities (short-term)</w:t>
            </w:r>
          </w:p>
        </w:tc>
        <w:tc>
          <w:tcPr>
            <w:tcW w:w="3220" w:type="dxa"/>
            <w:vAlign w:val="bottom"/>
          </w:tcPr>
          <w:p>
            <w:pPr>
              <w:spacing w:after="0"/>
              <w:rPr>
                <w:sz w:val="20"/>
                <w:szCs w:val="20"/>
                <w:color w:val="auto"/>
              </w:rPr>
            </w:pPr>
            <w:r>
              <w:rPr>
                <w:rFonts w:ascii="Arial" w:cs="Arial" w:eastAsia="Arial" w:hAnsi="Arial"/>
                <w:sz w:val="18"/>
                <w:szCs w:val="18"/>
                <w:color w:val="auto"/>
              </w:rPr>
              <w:t>Lease liability, 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(long-term)</w:t>
            </w: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 non-current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322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10,407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operating lease expense was $500,000 and $1.5 million for the three and nine months ended January 31, 2021, respectively, the majority of which is included in cost of revenues and the remaining amount in selling and administrative expenses in the unaudited condensed consolidated statements of operations. Total operating lease expense was approximately $504,000 and $1.5 million for the three and nine months, ended January 31, 2020, respectively, the majority of which is included in cost of revenues and the remaining amount in selling and administrative expenses on the unaudited condensed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unaudited consolidated balance sheet as of January 31, 2021:</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486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w w:val="92"/>
              </w:rPr>
              <w:t>Fiscal Year Ending April 30,</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486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w w:val="91"/>
              </w:rPr>
              <w:t>(</w:t>
            </w:r>
            <w:r>
              <w:rPr>
                <w:rFonts w:ascii="Arial" w:cs="Arial" w:eastAsia="Arial" w:hAnsi="Arial"/>
                <w:sz w:val="18"/>
                <w:szCs w:val="18"/>
                <w:color w:val="auto"/>
                <w:w w:val="91"/>
              </w:rPr>
              <w:t>in thousands</w:t>
            </w:r>
            <w:r>
              <w:rPr>
                <w:rFonts w:ascii="Arial" w:cs="Arial" w:eastAsia="Arial" w:hAnsi="Arial"/>
                <w:sz w:val="18"/>
                <w:szCs w:val="18"/>
                <w:b w:val="1"/>
                <w:bCs w:val="1"/>
                <w:color w:val="auto"/>
                <w:w w:val="91"/>
              </w:rPr>
              <w:t>)</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0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4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2022</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1,952</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1,802</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2024</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1,834</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1,723</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5,533</w:t>
            </w:r>
          </w:p>
        </w:tc>
      </w:tr>
      <w:tr>
        <w:trPr>
          <w:trHeight w:val="20"/>
        </w:trPr>
        <w:tc>
          <w:tcPr>
            <w:tcW w:w="3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13,152</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(2,745)</w:t>
            </w:r>
          </w:p>
        </w:tc>
      </w:tr>
      <w:tr>
        <w:trPr>
          <w:trHeight w:val="20"/>
        </w:trPr>
        <w:tc>
          <w:tcPr>
            <w:tcW w:w="3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Present value of future lease payments</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10,407</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(1,751)</w:t>
            </w:r>
          </w:p>
        </w:tc>
      </w:tr>
      <w:tr>
        <w:trPr>
          <w:trHeight w:val="20"/>
        </w:trPr>
        <w:tc>
          <w:tcPr>
            <w:tcW w:w="3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4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8,656</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As of January 31, 2021, the weighted-average remaining lease term for all operating leases was 7.6 years. The Company does not generally have access to the rate implicit in the leases and therefore utilized the Company’s borrowing rate as the discount rate. The weighted average discount rate for operating leases as of January 31, 2021 was 6.17%.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040" w:hanging="587"/>
        <w:spacing w:after="0" w:line="25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satellites (both commercial and U.S. Government-funded); terrestrial cellular telephone or other ground-based telecommunication stations; and other components and systems for the U.S. military.</w:t>
      </w:r>
    </w:p>
    <w:p>
      <w:pPr>
        <w:spacing w:after="0" w:line="2" w:lineRule="exact"/>
        <w:rPr>
          <w:rFonts w:ascii="Arial" w:cs="Arial" w:eastAsia="Arial" w:hAnsi="Arial"/>
          <w:sz w:val="18"/>
          <w:szCs w:val="18"/>
          <w:color w:val="auto"/>
        </w:rPr>
      </w:pPr>
    </w:p>
    <w:p>
      <w:pPr>
        <w:ind w:left="1040"/>
        <w:spacing w:after="0" w:line="260" w:lineRule="auto"/>
        <w:rPr>
          <w:rFonts w:ascii="Arial" w:cs="Arial" w:eastAsia="Arial" w:hAnsi="Arial"/>
          <w:sz w:val="18"/>
          <w:szCs w:val="18"/>
          <w:color w:val="auto"/>
        </w:rPr>
      </w:pPr>
      <w:r>
        <w:rPr>
          <w:rFonts w:ascii="Arial" w:cs="Arial" w:eastAsia="Arial" w:hAnsi="Arial"/>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85" w:lineRule="exact"/>
        <w:rPr>
          <w:rFonts w:ascii="Arial" w:cs="Arial" w:eastAsia="Arial" w:hAnsi="Arial"/>
          <w:sz w:val="18"/>
          <w:szCs w:val="18"/>
          <w:color w:val="auto"/>
        </w:rPr>
      </w:pPr>
    </w:p>
    <w:p>
      <w:pPr>
        <w:jc w:val="both"/>
        <w:ind w:left="1040" w:hanging="587"/>
        <w:spacing w:after="0" w:line="275"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FEI-Zyfer’s products also incorporate precision time references for terrestrial secure communications and command and control, and frequency products that incorporate GPS. FEI-Zyfer’s GPS capability complements the Company’s existing technologies and permits the combined entities to provide a broader range of embedded systems for a variety of timing functions and anti-spoofing (“SAASM”) applications.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accounting policies of the two segments are the same as those described in the “Summary of Significant Accounting Policies” in the fiscal year-end financial statements included in the Company’s Annual Report on Form 10-K for the fiscal year ended April 30, 2020, filed on July 29, 2020 with the Securities and Exchange Commission.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tables below present information about reported segments with reconciliation of segment amounts to consolidated amounts as reported in the condensed consolidated statements of operations or the condensed consolidated balance sheets for each of the periods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b w:val="1"/>
                <w:bCs w:val="1"/>
                <w:color w:val="auto"/>
                <w:w w:val="91"/>
              </w:rPr>
              <w:t>Periods ended January 31,</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7"/>
              </w:rPr>
              <w:t>Three months</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Nine months</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9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ind w:right="306"/>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30,406</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2,787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960" w:type="dxa"/>
            <w:vAlign w:val="bottom"/>
            <w:gridSpan w:val="2"/>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11,672</w:t>
            </w:r>
          </w:p>
        </w:tc>
        <w:tc>
          <w:tcPr>
            <w:tcW w:w="200" w:type="dxa"/>
            <w:vAlign w:val="bottom"/>
          </w:tcPr>
          <w:p>
            <w:pPr>
              <w:spacing w:after="0"/>
              <w:rPr>
                <w:sz w:val="18"/>
                <w:szCs w:val="18"/>
                <w:color w:val="auto"/>
              </w:rPr>
            </w:pPr>
          </w:p>
        </w:tc>
        <w:tc>
          <w:tcPr>
            <w:tcW w:w="440" w:type="dxa"/>
            <w:vAlign w:val="bottom"/>
          </w:tcPr>
          <w:p>
            <w:pPr>
              <w:jc w:val="right"/>
              <w:ind w:right="306"/>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9,628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38,612</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31,270</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Operating (loss)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w:t>
            </w:r>
          </w:p>
        </w:tc>
        <w:tc>
          <w:tcPr>
            <w:tcW w:w="440" w:type="dxa"/>
            <w:vAlign w:val="bottom"/>
            <w:shd w:val="clear" w:color="auto" w:fill="CCEEFF"/>
          </w:tcPr>
          <w:p>
            <w:pPr>
              <w:jc w:val="right"/>
              <w:ind w:right="26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color w:val="auto"/>
              </w:rPr>
              <w:t>Consolidated operating loss</w:t>
            </w:r>
          </w:p>
        </w:tc>
        <w:tc>
          <w:tcPr>
            <w:tcW w:w="8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(939)</w:t>
            </w:r>
          </w:p>
        </w:tc>
        <w:tc>
          <w:tcPr>
            <w:tcW w:w="440" w:type="dxa"/>
            <w:vAlign w:val="bottom"/>
          </w:tcPr>
          <w:p>
            <w:pPr>
              <w:jc w:val="right"/>
              <w:ind w:right="26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(1,561)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(1,057)</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Identifiable assets: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0"/>
              </w:rPr>
              <w:t>January 31, 2021</w:t>
            </w:r>
          </w:p>
        </w:tc>
        <w:tc>
          <w:tcPr>
            <w:tcW w:w="16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April 30, 2020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FEI-NY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35,319</w:t>
            </w:r>
          </w:p>
        </w:tc>
        <w:tc>
          <w:tcPr>
            <w:tcW w:w="1040" w:type="dxa"/>
            <w:vAlign w:val="bottom"/>
            <w:tcBorders>
              <w:right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3"/>
              </w:rPr>
              <w:t>44,599</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FEI-Zyfer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4"/>
          </w:tcPr>
          <w:p>
            <w:pPr>
              <w:jc w:val="right"/>
              <w:ind w:right="160"/>
              <w:spacing w:after="0"/>
              <w:rPr>
                <w:sz w:val="20"/>
                <w:szCs w:val="20"/>
                <w:color w:val="auto"/>
              </w:rPr>
            </w:pPr>
            <w:r>
              <w:rPr>
                <w:rFonts w:ascii="Arial" w:cs="Arial" w:eastAsia="Arial" w:hAnsi="Arial"/>
                <w:sz w:val="18"/>
                <w:szCs w:val="18"/>
                <w:color w:val="auto"/>
              </w:rPr>
              <w:t>12,207</w:t>
            </w:r>
          </w:p>
        </w:tc>
        <w:tc>
          <w:tcPr>
            <w:tcW w:w="104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w w:val="83"/>
              </w:rPr>
              <w:t>13,344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intersegment balances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(8,586)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4"/>
          </w:tcPr>
          <w:p>
            <w:pPr>
              <w:jc w:val="right"/>
              <w:ind w:right="160"/>
              <w:spacing w:after="0"/>
              <w:rPr>
                <w:sz w:val="20"/>
                <w:szCs w:val="20"/>
                <w:color w:val="auto"/>
              </w:rPr>
            </w:pPr>
            <w:r>
              <w:rPr>
                <w:rFonts w:ascii="Arial" w:cs="Arial" w:eastAsia="Arial" w:hAnsi="Arial"/>
                <w:sz w:val="18"/>
                <w:szCs w:val="18"/>
                <w:color w:val="auto"/>
              </w:rPr>
              <w:t>37,009</w:t>
            </w:r>
          </w:p>
        </w:tc>
        <w:tc>
          <w:tcPr>
            <w:tcW w:w="104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w w:val="83"/>
              </w:rPr>
              <w:t>41,919</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identifiable assets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84,535</w:t>
            </w:r>
          </w:p>
        </w:tc>
        <w:tc>
          <w:tcPr>
            <w:tcW w:w="1040" w:type="dxa"/>
            <w:vAlign w:val="bottom"/>
            <w:tcBorders>
              <w:right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3"/>
              </w:rPr>
              <w:t>91,276</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Total revenue recognized over time as POC and Passage of Title (“POT”) were approximately $35.6 million and $3.1 million, respectively, for the nine months ended January 31, 2021. The amounts recognized over time as POC and POT were approximately $28.5 million and $2.8 million, respectively, for the nine months ended January 31, 2020. The amounts by segment and product line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91"/>
              </w:rPr>
              <w:t>Three Months Ended January 31,</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400"/>
              <w:spacing w:after="0" w:line="191" w:lineRule="exact"/>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line="191" w:lineRule="exact"/>
              <w:rPr>
                <w:sz w:val="20"/>
                <w:szCs w:val="20"/>
                <w:color w:val="auto"/>
              </w:rPr>
            </w:pPr>
            <w:r>
              <w:rPr>
                <w:rFonts w:ascii="Arial" w:cs="Arial" w:eastAsia="Arial" w:hAnsi="Arial"/>
                <w:sz w:val="18"/>
                <w:szCs w:val="18"/>
                <w:color w:val="auto"/>
                <w:w w:val="88"/>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POC</w:t>
            </w:r>
          </w:p>
        </w:tc>
        <w:tc>
          <w:tcPr>
            <w:tcW w:w="1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POT</w:t>
            </w: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POC</w:t>
            </w: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POT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34"/>
        </w:trPr>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r>
      <w:tr>
        <w:trPr>
          <w:trHeight w:val="209"/>
        </w:trPr>
        <w:tc>
          <w:tcPr>
            <w:tcW w:w="16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8"/>
              </w:rPr>
              <w:t>FEI-NY</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7,234</w:t>
            </w:r>
          </w:p>
        </w:tc>
      </w:tr>
      <w:tr>
        <w:trPr>
          <w:trHeight w:val="216"/>
        </w:trPr>
        <w:tc>
          <w:tcPr>
            <w:tcW w:w="1660" w:type="dxa"/>
            <w:vAlign w:val="bottom"/>
          </w:tcPr>
          <w:p>
            <w:pPr>
              <w:jc w:val="center"/>
              <w:ind w:left="70"/>
              <w:spacing w:after="0"/>
              <w:rPr>
                <w:sz w:val="20"/>
                <w:szCs w:val="20"/>
                <w:color w:val="auto"/>
              </w:rPr>
            </w:pPr>
            <w:r>
              <w:rPr>
                <w:rFonts w:ascii="Arial" w:cs="Arial" w:eastAsia="Arial" w:hAnsi="Arial"/>
                <w:sz w:val="18"/>
                <w:szCs w:val="18"/>
                <w:color w:val="auto"/>
                <w:w w:val="98"/>
              </w:rPr>
              <w:t>FEI-Zyfer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2,481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2,787</w:t>
            </w:r>
          </w:p>
        </w:tc>
      </w:tr>
      <w:tr>
        <w:trPr>
          <w:trHeight w:val="216"/>
        </w:trPr>
        <w:tc>
          <w:tcPr>
            <w:tcW w:w="16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Intersegment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r>
      <w:tr>
        <w:trPr>
          <w:trHeight w:val="20"/>
        </w:trPr>
        <w:tc>
          <w:tcPr>
            <w:tcW w:w="1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660" w:type="dxa"/>
            <w:vAlign w:val="bottom"/>
          </w:tcPr>
          <w:p>
            <w:pPr>
              <w:jc w:val="center"/>
              <w:ind w:left="70"/>
              <w:spacing w:after="0"/>
              <w:rPr>
                <w:sz w:val="20"/>
                <w:szCs w:val="20"/>
                <w:color w:val="auto"/>
              </w:rPr>
            </w:pPr>
            <w:r>
              <w:rPr>
                <w:rFonts w:ascii="Arial" w:cs="Arial" w:eastAsia="Arial" w:hAnsi="Arial"/>
                <w:sz w:val="18"/>
                <w:szCs w:val="18"/>
                <w:color w:val="auto"/>
                <w:w w:val="85"/>
              </w:rPr>
              <w:t>Revenue</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10,815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857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11,672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1,086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9,628</w:t>
            </w:r>
          </w:p>
        </w:tc>
      </w:tr>
      <w:tr>
        <w:trPr>
          <w:trHeight w:val="20"/>
        </w:trPr>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67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6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8"/>
                <w:szCs w:val="18"/>
                <w:b w:val="1"/>
                <w:bCs w:val="1"/>
                <w:color w:val="auto"/>
                <w:w w:val="91"/>
              </w:rPr>
              <w:t>Nine Months Ended January 31,</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jc w:val="center"/>
              <w:ind w:right="400"/>
              <w:spacing w:after="0" w:line="191" w:lineRule="exact"/>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240"/>
              <w:spacing w:after="0" w:line="191" w:lineRule="exact"/>
              <w:rPr>
                <w:sz w:val="20"/>
                <w:szCs w:val="20"/>
                <w:color w:val="auto"/>
              </w:rPr>
            </w:pPr>
            <w:r>
              <w:rPr>
                <w:rFonts w:ascii="Arial" w:cs="Arial" w:eastAsia="Arial" w:hAnsi="Arial"/>
                <w:sz w:val="18"/>
                <w:szCs w:val="18"/>
                <w:color w:val="auto"/>
                <w:w w:val="88"/>
              </w:rPr>
              <w:t>(In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POC</w:t>
            </w:r>
          </w:p>
        </w:tc>
        <w:tc>
          <w:tcPr>
            <w:tcW w:w="120" w:type="dxa"/>
            <w:vAlign w:val="bottom"/>
          </w:tcPr>
          <w:p>
            <w:pPr>
              <w:spacing w:after="0"/>
              <w:rPr>
                <w:sz w:val="20"/>
                <w:szCs w:val="20"/>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rPr>
              <w:t>POT</w:t>
            </w:r>
          </w:p>
        </w:tc>
        <w:tc>
          <w:tcPr>
            <w:tcW w:w="120" w:type="dxa"/>
            <w:vAlign w:val="bottom"/>
          </w:tcPr>
          <w:p>
            <w:pPr>
              <w:spacing w:after="0"/>
              <w:rPr>
                <w:sz w:val="20"/>
                <w:szCs w:val="20"/>
                <w:color w:val="auto"/>
              </w:rPr>
            </w:pPr>
          </w:p>
        </w:tc>
        <w:tc>
          <w:tcPr>
            <w:tcW w:w="9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POC</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rPr>
              <w:t>POT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0"/>
              </w:rPr>
              <w:t>Revenue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FEI-NY</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30,406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2,814</w:t>
            </w: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24,029</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8"/>
              </w:rPr>
              <w:t>FEI-Zyfer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7,569</w:t>
            </w:r>
          </w:p>
        </w:tc>
        <w:tc>
          <w:tcPr>
            <w:tcW w:w="12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8"/>
                <w:szCs w:val="18"/>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8"/>
                <w:szCs w:val="18"/>
                <w:color w:val="auto"/>
              </w:rPr>
              <w:t>9,833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1,139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Intersegment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(1,617)</w:t>
            </w:r>
          </w:p>
        </w:tc>
        <w:tc>
          <w:tcPr>
            <w:tcW w:w="12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(1,627)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tcPr>
          <w:p>
            <w:pPr>
              <w:jc w:val="center"/>
              <w:spacing w:after="0"/>
              <w:rPr>
                <w:sz w:val="20"/>
                <w:szCs w:val="20"/>
                <w:color w:val="auto"/>
              </w:rPr>
            </w:pPr>
            <w:r>
              <w:rPr>
                <w:rFonts w:ascii="Arial" w:cs="Arial" w:eastAsia="Arial" w:hAnsi="Arial"/>
                <w:sz w:val="18"/>
                <w:szCs w:val="18"/>
                <w:color w:val="auto"/>
                <w:w w:val="85"/>
              </w:rPr>
              <w:t>Revenue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35,556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3,056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5"/>
          </w:tcPr>
          <w:p>
            <w:pPr>
              <w:jc w:val="right"/>
              <w:ind w:right="140"/>
              <w:spacing w:after="0"/>
              <w:rPr>
                <w:sz w:val="20"/>
                <w:szCs w:val="20"/>
                <w:color w:val="auto"/>
              </w:rPr>
            </w:pPr>
            <w:r>
              <w:rPr>
                <w:rFonts w:ascii="Arial" w:cs="Arial" w:eastAsia="Arial" w:hAnsi="Arial"/>
                <w:sz w:val="18"/>
                <w:szCs w:val="18"/>
                <w:color w:val="auto"/>
              </w:rPr>
              <w:t>38,612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28,482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2,788</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31,270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8"/>
                <w:szCs w:val="18"/>
                <w:b w:val="1"/>
                <w:bCs w:val="1"/>
                <w:color w:val="auto"/>
                <w:w w:val="90"/>
              </w:rPr>
              <w:t>Periods ended January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7"/>
            <w:vMerge w:val="restart"/>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1680" w:type="dxa"/>
            <w:vAlign w:val="bottom"/>
            <w:gridSpan w:val="6"/>
            <w:vMerge w:val="restart"/>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7"/>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vMerge w:val="continue"/>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60" w:type="dxa"/>
            <w:vAlign w:val="bottom"/>
            <w:gridSpan w:val="3"/>
            <w:vMerge w:val="restart"/>
          </w:tcPr>
          <w:p>
            <w:pPr>
              <w:spacing w:after="0"/>
              <w:rPr>
                <w:sz w:val="20"/>
                <w:szCs w:val="20"/>
                <w:color w:val="auto"/>
              </w:rPr>
            </w:pPr>
            <w:r>
              <w:rPr>
                <w:rFonts w:ascii="Arial" w:cs="Arial" w:eastAsia="Arial" w:hAnsi="Arial"/>
                <w:sz w:val="18"/>
                <w:szCs w:val="18"/>
                <w:color w:val="auto"/>
                <w:w w:val="99"/>
              </w:rPr>
              <w:t>Revenues by Product Line: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Satellite Revenue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20,050</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14,704</w:t>
            </w:r>
          </w:p>
        </w:tc>
        <w:tc>
          <w:tcPr>
            <w:tcW w:w="0" w:type="dxa"/>
            <w:vAlign w:val="bottom"/>
          </w:tcPr>
          <w:p>
            <w:pPr>
              <w:spacing w:after="0"/>
              <w:rPr>
                <w:sz w:val="1"/>
                <w:szCs w:val="1"/>
                <w:color w:val="auto"/>
              </w:rPr>
            </w:pPr>
          </w:p>
        </w:tc>
      </w:tr>
      <w:tr>
        <w:trPr>
          <w:trHeight w:val="216"/>
        </w:trPr>
        <w:tc>
          <w:tcPr>
            <w:tcW w:w="3540" w:type="dxa"/>
            <w:vAlign w:val="bottom"/>
            <w:gridSpan w:val="5"/>
          </w:tcPr>
          <w:p>
            <w:pPr>
              <w:spacing w:after="0"/>
              <w:rPr>
                <w:sz w:val="20"/>
                <w:szCs w:val="20"/>
                <w:color w:val="auto"/>
              </w:rPr>
            </w:pPr>
            <w:r>
              <w:rPr>
                <w:rFonts w:ascii="Arial" w:cs="Arial" w:eastAsia="Arial" w:hAnsi="Arial"/>
                <w:sz w:val="18"/>
                <w:szCs w:val="18"/>
                <w:color w:val="auto"/>
              </w:rPr>
              <w:t>Government Non-Space Revenue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16,324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12,680</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Commercial &amp; Industrial Revenue</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Pr>
          <w:p>
            <w:pPr>
              <w:spacing w:after="0"/>
              <w:rPr>
                <w:sz w:val="20"/>
                <w:szCs w:val="20"/>
                <w:color w:val="auto"/>
              </w:rPr>
            </w:pPr>
            <w:r>
              <w:rPr>
                <w:rFonts w:ascii="Arial" w:cs="Arial" w:eastAsia="Arial" w:hAnsi="Arial"/>
                <w:sz w:val="18"/>
                <w:szCs w:val="18"/>
                <w:color w:val="auto"/>
                <w:w w:val="96"/>
              </w:rPr>
              <w:t>Consolidated revenues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11,672</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9,628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38,612</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31,270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an investment in Morion, Inc. (“Morion”), a privately-held Russian company, which manufactures high precision quartz resonators and crystal oscillators. The Company has also licensed certain technology to Morion.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investment consists of 4.6% of Morion’s outstanding shares, accordingly, the Company accounts for its investment in Morion on the cost basis. This investment of approximately $800,000 is included in other assets in the accompanying condensed consolidated balance sheets. During the three months ended January 31, 2021 and 2020, the Company acquired product from Morion in the aggregate amount of approximately $199,000 and $332,000, respectively, included in cost of revenues in the condensed consolidated statements of operations as part of the FEI-NY segment. During the nine months ended January 31, 2021 and 2020, the Company acquired product from Morion in the aggregate amount of approximately $467,000 and $712,000, respectively, and during the nine months ended January 31, 2020, the Company sold product and training services to Morion in the aggregate amount of approximately $49,000, included in revenues in the condensed consolidated statements of operations as part of the FEI-NY segment. The Company did not receive dividends from Morion during the three months ended January 31, 2021. During the three months ended January 31, 2020, the Company received a dividend from Morion in the amount of approximately 125,000, which is included in other income, net in the condensed consolidated statements of operations as part of the FEI-NY segment. During the nine months ended January 31, 2021 and 2020, the Company received dividends from Morion in the amount of approximately $105,000 and $250,000, respectively, which is included in other income, net in the condensed consolidated statements of operations as part of the FEI-NY segment.</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disclosed, in light of Morion’s relationship with Gazprombank, in 2020, the Company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related solely to delays in collection of accounts receivable that exceeded then-applicable payment windows set forth in sanctions regulations and did not relate to any other type of payment or transaction. On February 17, 2021, the Company received a Cautionary Letter from OFAC indicating that OFAC has completed its review of the matter. According to OFAC, the Cautionary Letter was issued instead of pursuing a civil monetary penalty or taking other enforcement action.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2021 and April 30, 2020,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January 31, 2021</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15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Fair Market Value</w:t>
            </w:r>
          </w:p>
        </w:tc>
        <w:tc>
          <w:tcPr>
            <w:tcW w:w="100" w:type="dxa"/>
            <w:vAlign w:val="bottom"/>
          </w:tcPr>
          <w:p>
            <w:pPr>
              <w:spacing w:after="0"/>
              <w:rPr>
                <w:sz w:val="20"/>
                <w:szCs w:val="20"/>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10,029</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April 30, 2020</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15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Fair Market Value</w:t>
            </w:r>
          </w:p>
        </w:tc>
        <w:tc>
          <w:tcPr>
            <w:tcW w:w="100" w:type="dxa"/>
            <w:vAlign w:val="bottom"/>
          </w:tcPr>
          <w:p>
            <w:pPr>
              <w:spacing w:after="0"/>
              <w:rPr>
                <w:sz w:val="20"/>
                <w:szCs w:val="20"/>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10,081</w:t>
            </w: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Less than 12 months</w:t>
            </w:r>
          </w:p>
        </w:tc>
        <w:tc>
          <w:tcPr>
            <w:tcW w:w="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12 Months or more</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87"/>
              </w:rPr>
              <w:t>January 31, 2021</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4"/>
        </w:trPr>
        <w:tc>
          <w:tcPr>
            <w:tcW w:w="1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3"/>
              </w:rPr>
              <w:t>Fixed Income Securities</w:t>
            </w: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378</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3"/>
        </w:trPr>
        <w:tc>
          <w:tcPr>
            <w:tcW w:w="182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8"/>
                <w:szCs w:val="18"/>
                <w:color w:val="auto"/>
                <w:w w:val="95"/>
              </w:rPr>
              <w:t>April 30, 2020</w:t>
            </w:r>
          </w:p>
        </w:tc>
        <w:tc>
          <w:tcPr>
            <w:tcW w:w="1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3"/>
              </w:rPr>
              <w:t>Fixed Income Securities</w:t>
            </w: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380</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3"/>
        </w:trPr>
        <w:tc>
          <w:tcPr>
            <w:tcW w:w="18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nine months ended January 31, 2021, the Company sold or redeemed available-for-sale securities of approximately $477,000 and $2.0 million, respectively, realizing gains of approximately $15,000 and $26,000,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January 31, 2021 were as follows, at cost (in thousands):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4,109</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years</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10,029</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levels of the fair value hierarchy are described below:</w:t>
      </w:r>
    </w:p>
    <w:p>
      <w:pPr>
        <w:spacing w:after="0" w:line="225" w:lineRule="exact"/>
        <w:rPr>
          <w:sz w:val="20"/>
          <w:szCs w:val="20"/>
          <w:color w:val="auto"/>
        </w:rPr>
      </w:pPr>
    </w:p>
    <w:p>
      <w:pPr>
        <w:ind w:left="1040" w:hanging="809"/>
        <w:spacing w:after="0" w:line="277" w:lineRule="auto"/>
        <w:tabs>
          <w:tab w:leader="none" w:pos="1020"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are valued on a Level 1 basis. The Company’s fixed income corporate debt securities and certificates of deposit are valued on a Level 2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J – RECENT ACCOUNTING PRONOUNCEMENTS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 (Topic 350): Simplifying the Test for Goodwill Impairment</w:t>
      </w:r>
      <w:r>
        <w:rPr>
          <w:rFonts w:ascii="Arial" w:cs="Arial" w:eastAsia="Arial" w:hAnsi="Arial"/>
          <w:sz w:val="18"/>
          <w:szCs w:val="18"/>
          <w:color w:val="auto"/>
        </w:rPr>
        <w:t xml:space="preserve"> (“ASU 2017-04”), which simplifies how an entity is required to test goodwill 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in current U.S. GAAP with a methodology that reflects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K – CREDIT FACILITY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January 31, 2021, the Company had available credit with UBS Bank USA at variable terms based on its securities holdings under an advisory arrangement. On May 6, 2020 the Company borrowed $3 million under this arrangement and on January 4, 2021 this loan was repaid in full. On April 12, 2020, the Company received proceeds from a PPP Loan in the amount of $4,964,810 from JPMorgan Chase Bank, N.A. as the Lender, pursuant to the SBA Paycheck Protection Program under the CARES Act. The PPP Loan was repaid in full on May 6,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L – VALUATION ALLOWANCE ON DEFERRED TAX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January 31, 2021, and April 30, 2020,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NOTE M – COMMITMENTS AND CONTINGENCIES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On January 28, 2020, Martin B. Bloch, the former Chief Scientist of the Company and a former member of the Company’s Board of Directors (the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7"/>
          <w:szCs w:val="17"/>
          <w:i w:val="1"/>
          <w:iCs w:val="1"/>
          <w:color w:val="auto"/>
        </w:rPr>
        <w:t>Bloch v. Frequency Electronics, Inc., et al</w:t>
      </w:r>
      <w:r>
        <w:rPr>
          <w:rFonts w:ascii="Arial" w:cs="Arial" w:eastAsia="Arial" w:hAnsi="Arial"/>
          <w:sz w:val="17"/>
          <w:szCs w:val="17"/>
          <w:color w:val="auto"/>
        </w:rPr>
        <w:t>., Index No. 601369/2020 (N.Y. Sup. Ct. filed Jan. 28, 2020)). Mr. Bloch seeks compensatory damages and costs and attorney’s fees, among other things, based on allegations that he was wrongfully terminated “for cause” pursuant to his employment agreement, dated March 17, 2008, and that the Company and the Director Defendants discriminated against him based on his age. Mr. Bloch had originally also sought a declaratory judgment and claims for damage to his reputation and a derivative claim on behalf of the Company alleging that the Director Defendants breached their fiduciary duty in rendering their decision to terminate Mr. Bloch’s employment with the Company. However, Mr. Bloch removed those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which the Company and the Director Defendants opposed on July 10, 2020. Mr. Bloch’s motion seeks an order that the Company is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On September 23, 2020, the Court denied Mr. Bloch’s motion for summary judgment. It also granted the Company and the Director Defendants’ motion for summary judgment as to all claims, except for one claim for breach of contract against the Company. On October 23, 2020, the Company filed a brief with the Appellate Division, Second Department, seeking a reversal of the lower court’s order to the extent that it denied the Company’s summary judgment motion on the breach of contract claim. Mr. Bloch filed its responsive brief on November 20, 2020. The appeal is currently pending. The Company believes that the Board was justified in its decision to terminate Mr. Bloch “for cause” and that Mr. Bloch’s single surviving claim is entirely without merit. The Company intends to vigorously defend against all of Mr. Bloch’s allegations. At this time, the Company does not have sufficient information to determine whether liability, if any, arising out of these matters is probable or the possible loss, if any, which could result from an unfavorable outcome arising out of these matters.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Mr. Bloch sought to initiate two arbitration proceedings under the AAA Rules (</w:t>
      </w:r>
      <w:r>
        <w:rPr>
          <w:rFonts w:ascii="Arial" w:cs="Arial" w:eastAsia="Arial" w:hAnsi="Arial"/>
          <w:sz w:val="16"/>
          <w:szCs w:val="16"/>
          <w:i w:val="1"/>
          <w:iCs w:val="1"/>
          <w:color w:val="auto"/>
        </w:rPr>
        <w:t>Bloch v. Frequency Electronics, Inc., the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Committee of the Board of Directors of Frequency Electronics, Inc., and the Deferred Compensation Plan Agreement Dated March 7, 2008</w:t>
      </w:r>
      <w:r>
        <w:rPr>
          <w:rFonts w:ascii="Arial" w:cs="Arial" w:eastAsia="Arial" w:hAnsi="Arial"/>
          <w:sz w:val="16"/>
          <w:szCs w:val="16"/>
          <w:color w:val="auto"/>
        </w:rPr>
        <w:t>). One arbitration is brought under a deferred compensation agreement dated March 27, 1980 and the other under a second amended and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compensation agreement, dated March 7, 2008. Bloch submitted his Statements of Claim in both arbitrations on May 4, 2020. In both proceedings, Mr. Bloch claims that defendants violated ERISA rules by denying him deferred compensation benefits. He seeks an award for allegedly past due deferred compensation benefits plus interest, clarification as to his future rights to deferred compensation benefits, and attorneys’ fees and costs.</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June 2, 2020, the Company filed a petition for a stay of arbitration and related declaratory relief against Mr. Bloch, in the Supreme Court of the State of New York, New York County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652191/2020 (N.Y. Sup. Ct. filed June 2, 2020)). The Company claims that Mr. Bloch may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Court granted Mr. Bloch’s motion on September 8, 2020. The case was therefore transferred to the County of Nassau, and assigned to the same Judge hearing the other cases between the parties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611405/2020). In its order dated February 10, 2021 and entered on February 16, 2021, the Court denied the Company’s petition for a stay of arbitration and ordered the parties to proceed to arbitration. On February 16, 2021, the Company filed a Notice of Appeal of that order. The Company intends to perfect its appeal in the coming months. At this time, the Company does not have sufficient information to determine the likelihood of success of this appeal.</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On June 5, 2020, Mr. Bloch filed a petition against the Company, the Compensation Committee of the Company’s Board of Directors, and the Deferred Compensation Plan Agreement Dated March 7, 2008, as amended (“Respondents”), for the appointment of an arbitrator in one of the arbitration proceedings that Mr. Bloch sought to initiate. The petition was filed in the Supreme Court of the State of New York, County of Nassau </w:t>
      </w:r>
      <w:r>
        <w:rPr>
          <w:rFonts w:ascii="Arial" w:cs="Arial" w:eastAsia="Arial" w:hAnsi="Arial"/>
          <w:sz w:val="17"/>
          <w:szCs w:val="17"/>
          <w:i w:val="1"/>
          <w:iCs w:val="1"/>
          <w:color w:val="auto"/>
        </w:rPr>
        <w:t>(Bloch v. Frequency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Electronics, Inc. et al., </w:t>
      </w:r>
      <w:r>
        <w:rPr>
          <w:rFonts w:ascii="Arial" w:cs="Arial" w:eastAsia="Arial" w:hAnsi="Arial"/>
          <w:sz w:val="17"/>
          <w:szCs w:val="17"/>
          <w:color w:val="auto"/>
        </w:rPr>
        <w:t>Index No. 605380/2020 (N.Y. Sup. Ct. filed June 5, 2020)). On June 22, 2020, Respondents moved to dismiss Mr. Bloch’s 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he opposed the motion on July 2, 2020. In its orders dated February 10, 2021 and entered on February 16, 2021, the Court granted Mr. Bloch’s petition for the appointment of an arbitrator, denied the Company’s motion to dismiss that petition, and denied a motion previously filed by the Company for an interim stay of arbitration. On February 16, 2021, the Company filed a Notice of Appeal of those orders. The Company intends to perfect its appeal in the coming months. Respondents dispute all of Bloch’s claims and intend to continue to vigorously defend the Company in the appeal process. The likelihood of any outcome of this appeal cannot be determined at this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w:t>
      </w:r>
      <w:r>
        <w:rPr>
          <w:rFonts w:ascii="Arial" w:cs="Arial" w:eastAsia="Arial" w:hAnsi="Arial"/>
          <w:sz w:val="18"/>
          <w:szCs w:val="18"/>
          <w:color w:val="auto"/>
        </w:rPr>
        <w:t>”</w:t>
      </w:r>
      <w:r>
        <w:rPr>
          <w:rFonts w:ascii="Arial" w:cs="Arial" w:eastAsia="Arial" w:hAnsi="Arial"/>
          <w:sz w:val="18"/>
          <w:szCs w:val="18"/>
          <w:i w:val="1"/>
          <w:iCs w:val="1"/>
          <w:color w:val="auto"/>
        </w:rPr>
        <w:t xml:space="preserve">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the Company’s Annual Report on Form 10-K for the fiscal year ended April 30, 2020, filed on July 29, 2020 with the Securities and Exchange Commission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significant accounting policies are described in Note 1 to the consolidated financial statements included in the Company’s Annual Report on Form 10-K for the fiscal year ended April 30, 2020, filed on July 29, 2020 with the Securities and Exchange Commission.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nine and three months ended January 31, 2021.</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Contract costs include all direct material, direct labor costs, manufacturing overhead and other direct costs related to contract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costs are charged to expense as incurred.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Marketable securities consist of corporate debt securities, certificates-of-deposit, and debt securities of U.S. Government agencies. All marketable securities were held in the custody of one financial institution at January 31, 2021 and April 30, 2020. Investments in debt securities are categorized as available-for-sale and are carried at fair value, with unrealized gains and losses excluded from income and recorded directly to stockholders’ equity. The Company recognizes gains or losses when securities are sold using the specific identification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Outbreak Update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originating in Wuhan, China (the “COVID-19 outbreak”) and the risks to the international community as the virus spread globally beyond its point of origin. In March 2020, the WHO classified the COVID-19 outbreak as a pandemic, based on the rapid increase in exposure globally.</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priority during the COVID-19 outbreak has been to protect the health and safety of its employees while remaining operational. Within the limitations imposed by governmental health and safety procedures, the Company has continued to manufacture its full range of products at its facilities. The Company has educated employees about COVID-19 symptoms and hygiene best practices. The Company’s policies also include taking an employee’s temperature before entering facilities; mandating handwashing and use of hand sanitizer; requiring social distancing and, requiring face coverings; encouraging, and in some cases, requiring remote work for those employees who can work from home; and disinfecting facilities.</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March 15, 2021, the Company was aware of fourteen employees that have had confirmed cases of COVID-19 since the COVID-19 outbreak began, with one fatality. Additional employees have been absent or self-quarantined due to possible COVID exposure, although not having tested positive. Since the COVID-19 outbreak began, facilities have remained open except for needing to temporarily vacate certain areas for cleaning and disinfecting) following employees either testing positive for COVID or because they had been exposed or possibly exposed to third parties who were positive. Certain of the Company’s vendors have been unable to deliver materials on time due to the COVID-19 outbreak. Such delays have negatively impacted the Company’s production, and the Company plans to continue to monitor these and its other vendors and, if necessary, seek alternative suppliers. The Company also believes the pandemic has impacted customers, resulting in delays with respect to anticipated new orders.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full impact of the COVID-19 outbreak continues to evolve as of the date of this report. As such, it is uncertain as to the full magnitude that the pandemic may have on the Company’s financial condition, liquidity, and future results of operations. Management is actively monitoring the impact of the global situation on its financial condition, liquidity, operations, suppliers, industry, and workforce. Given the daily evolution of the COVID-19 outbreak and the global responses to curb its spread, the Company is not able to estimate the future effects of the COVID-19 outbreak on its results of operations, financial condition, or liquidity.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the COVID-19 outbreak. The Company received a loan under the Paycheck Protection Program in April 2020, which it repaid in full in May 2020. For more detail regarding the Company’s PPP Loan, see Note K in Part I, Item I of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sets forth for the three and nine months ended January 31, 2021 and 2020, respectively, the percentage of consolidated revenues represented by certain items in the Company’s condensed consolidated statements of operations or notes to the condensed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8"/>
                <w:szCs w:val="18"/>
                <w:b w:val="1"/>
                <w:bCs w:val="1"/>
                <w:color w:val="auto"/>
                <w:w w:val="95"/>
              </w:rPr>
              <w:t>Nine months</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w w:val="92"/>
              </w:rPr>
              <w:t>Periods ended January 31,</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80.6%</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8"/>
                <w:szCs w:val="18"/>
                <w:color w:val="auto"/>
              </w:rPr>
              <w:t>21.3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w w:val="84"/>
              </w:rPr>
              <w:t>100.0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76.0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8"/>
                <w:szCs w:val="18"/>
                <w:color w:val="auto"/>
              </w:rPr>
              <w:t>24.0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Selling and administrative expenses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21.0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w w:val="86"/>
              </w:rPr>
              <w:t>Research and development expenses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3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4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right"/>
              <w:ind w:right="1140"/>
              <w:spacing w:after="0"/>
              <w:rPr>
                <w:sz w:val="20"/>
                <w:szCs w:val="20"/>
                <w:color w:val="auto"/>
              </w:rPr>
            </w:pPr>
            <w:r>
              <w:rPr>
                <w:rFonts w:ascii="Arial" w:cs="Arial" w:eastAsia="Arial" w:hAnsi="Arial"/>
                <w:sz w:val="18"/>
                <w:szCs w:val="18"/>
                <w:b w:val="1"/>
                <w:bCs w:val="1"/>
                <w:color w:val="auto"/>
              </w:rPr>
              <w:t>Three months</w:t>
            </w:r>
          </w:p>
        </w:tc>
        <w:tc>
          <w:tcPr>
            <w:tcW w:w="4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8"/>
          </w:tcPr>
          <w:p>
            <w:pPr>
              <w:jc w:val="right"/>
              <w:ind w:right="120"/>
              <w:spacing w:after="0" w:line="191" w:lineRule="exact"/>
              <w:rPr>
                <w:sz w:val="20"/>
                <w:szCs w:val="20"/>
                <w:color w:val="auto"/>
              </w:rPr>
            </w:pPr>
            <w:r>
              <w:rPr>
                <w:rFonts w:ascii="Arial" w:cs="Arial" w:eastAsia="Arial" w:hAnsi="Arial"/>
                <w:sz w:val="18"/>
                <w:szCs w:val="18"/>
                <w:b w:val="1"/>
                <w:bCs w:val="1"/>
                <w:color w:val="auto"/>
                <w:w w:val="89"/>
              </w:rPr>
              <w:t>Periods ended January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Segment</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30,406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6,377</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26.5%</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9,833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1,346</w:t>
            </w:r>
          </w:p>
        </w:tc>
        <w:tc>
          <w:tcPr>
            <w:tcW w:w="38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11,672</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9,628</w:t>
            </w:r>
          </w:p>
        </w:tc>
        <w:tc>
          <w:tcPr>
            <w:tcW w:w="1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21.2%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38,612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31,270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7,342</w:t>
            </w:r>
          </w:p>
        </w:tc>
        <w:tc>
          <w:tcPr>
            <w:tcW w:w="38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w w:val="90"/>
              </w:rPr>
              <w:t>23.5%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 months ended January 31, 2021 revenues from commercial and U.S. Government satellite programs increased approximately $0.5 million, as compared to the same period of fiscal year 2020, and accounted for approximately 50% of consolidated revenues compared to approximately 55% of consolidated revenues during this same period in fiscal year 2020. The change in revenue is related to timing of contract awards. Revenues on these contracts are recognized primarily under the POC method. Revenues from the satellite market are recorded in the FEI-NY segment. Revenues from non-space U.S. Government/Department of Defense (“DOD”) customers, which are recorded in both the FEI-NY and FEI-Zyfer segments, increased $2.3 million as compared to the same period of fiscal year 2020, and accounted for approximately 47% of consolidated revenues compared to approximately 33% of consolidated revenues during this same period in fiscal year 2020. Other commercial and industrial revenues for the three months ended January 31, 2021 were $0.4 million and represented approximately 3% of consolidated revenues compared to $1.2 million, or 12% of consolidated revenues, in the same period of the prior fiscal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nine months ended January 31, 2021 revenues from commercial and U.S. Government satellite programs increased approximately $5.3 million, as compared to the same period of fiscal year 2020, and accounted for approximately 52% of consolidated revenues compared to approximately 47% of consolidated revenues during this same period in fiscal year 2020. The change in revenue is related to timing of contract awards. Revenues on these contracts are recognized primarily under the POC method. Revenues from the satellite market are recorded in the FEI-NY segment. Revenues from non-space U.S. Government/DOD customers, which are recorded in both the FEI-NY and FEI-Zyfer segments, increased $3.6 million as compared to the same period of fiscal year 2020, and accounted for approximately 42% of consolidated revenues compared to approximately 41% of consolidated revenues during this same period in fiscal year 2020. Other commercial and industrial revenues for the nine months ended January 31, 2021 were $2.2 million and represented approximately 6% of consolidated revenues compared to $3.9 million, or 12% of consolidated revenues, in the same period of the prior fiscal year.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Gross Margin</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08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Nine months</w:t>
            </w: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rPr>
              <w:t>Periods ended January 31,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 $</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5,912</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6,302</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NM</w:t>
            </w: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GM rate for the three-month period ended January 31, 2021, was impacted by engineering cost increases on programs in the development phase and correction of technical issues discovered during testing, as well as COVID related delays in production that impacted revenue, particularly in our Zyfer segment. The December holiday season also affected revenue during the three-month period ended January 31, 2021. For the nine-month period ended January 31, 2021, gross margin and GM Rate increased significantly as compared to the same periods in fiscal year 2020. The increase in gross margin and GM Rate was due to several programs identified in prior periods that had higher engineering costs incurred that were in the development phase that have since been completed or are near completion.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9"/>
              </w:rPr>
              <w:t>Three months</w:t>
            </w:r>
          </w:p>
        </w:tc>
        <w:tc>
          <w:tcPr>
            <w:tcW w:w="1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Nine months</w:t>
            </w: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Periods ended January 31,</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3,619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(1,165)</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8,362</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1,443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the three months ended January 31, 2021 and 2020, selling and administrative (“SG&amp;A”) expenses were approximately 21% and 38%, respectively, of consolidated revenues. For the nine months ended January 31, 2021 and 2020, SG&amp;A expenses were approximately 25% and 27%, respectively, of consolidated revenues. The decrease in SG&amp;A expenses for the three-month period ended January 31, 2021 was mainly due to decreased professional fees, depreciation expense and other expenses. For the nine-month period ended January 31, 2021, the increase in SG&amp;A expenses was mainly due to increase in professional fees (relating to litigation for which the Company has received insurance reimbursement for a portion of such legal fees).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Nine months</w:t>
            </w:r>
          </w:p>
        </w:tc>
        <w:tc>
          <w:tcPr>
            <w:tcW w:w="1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w w:val="92"/>
              </w:rPr>
              <w:t>Periods ended January 31,</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1,082</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207</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19.1%  $</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4,813</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(1,347)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(“R&amp;D”) expenditures represent investments intended to keep the Company’s products at the leading edge of time and frequency technology and enhance future competitiveness. The R&amp;D rate for the three-month period ended January 31, 2021 and 2020 was 11% of sales. The R&amp;D rate for the nine-month period ended January 31, 2021 was 9% of sales, compared to 15% of sales for the same period of the previous fiscal year. The Company’s R&amp;D expense decreased year over year as previous R&amp;D efforts have ended and turned into production; however, the Company plans to continue to invest in R&amp;D to keep its products at the state of the art.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Three months</w:t>
            </w:r>
          </w:p>
        </w:tc>
        <w:tc>
          <w:tcPr>
            <w:tcW w:w="10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Nine months</w:t>
            </w:r>
          </w:p>
        </w:tc>
        <w:tc>
          <w:tcPr>
            <w:tcW w:w="1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w w:val="92"/>
              </w:rPr>
              <w:t>Periods ended January 31,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(1,561)</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622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(7,263)</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6,206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w:t>
            </w: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results for the three and nine-month periods ended January 31, 2021 reflect improvements in revenues, gross margin and GM rate. As referenced above by the percentages for the three and nine-month periods ended January 31, 2021, operating loss has made a significant improvement from the same period of the prior fiscal year. Based upon our bookings and backlog we are expecting the improving trend to continue. Operating loss for the quarter reflects the confluence of several factors. COVID related delays in expected bookings was significant and resulted from both delays in the award of anticipated orders by several customers, as well as employee absenteeism related to either direct or indirect effects of COVID. Certain technical issues resulted in increased engineering costs in the three-months period ended January 31, 2021, as well.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 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Nine months</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2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90"/>
              </w:rPr>
              <w:t>Periods ended January 31,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5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9"/>
              </w:rPr>
              <w:t>Other income (expense), net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2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344.1%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r>
      <w:tr>
        <w:trPr>
          <w:trHeight w:val="20"/>
        </w:trPr>
        <w:tc>
          <w:tcPr>
            <w:tcW w:w="2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securities may vary based on fluctuating interest rates, dividend payout levels, and the timing of purchases, sales, redemptions or maturities of securities. For the nine-month period ended January 31, 2021 investment income included a $105,000 dividend from Morion, compared to a $250,000 dividend from Morion in the same period in fiscal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rPr>
              <w:t>Three months</w:t>
            </w:r>
          </w:p>
        </w:tc>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w w:val="91"/>
              </w:rPr>
              <w:t>Periods ended January 31,</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Change</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r>
      <w:tr>
        <w:trPr>
          <w:trHeight w:val="648"/>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5"/>
              </w:rPr>
              <w:t>Nine months</w:t>
            </w: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8"/>
                <w:szCs w:val="18"/>
                <w:b w:val="1"/>
                <w:bCs w:val="1"/>
                <w:color w:val="auto"/>
                <w:w w:val="94"/>
              </w:rPr>
              <w:t>Periods ended January 31,</w:t>
            </w: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2020</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62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4"/>
              </w:rPr>
              <w:t>Effective tax rate on pre-tax book income (loss):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(1.5%)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estimated annual effective tax rate for the fiscal year ending April 30, 2021 is 0%.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months ended January 31, 2021, the Company recorded an income tax provision of $12,000, which included a discrete income tax provision of $12,000 primarily related to an accrual of interest for unrecognized tax benefits. For the three months ended January 31, 2020, the Company also recorded a discrete income tax provision of $19,000, which primarily consisted of an accrual of interest for unrecognized tax benefits.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January 31, 2021, the Company recorded a discrete income tax provision of $37,000, which primarily consisted of an accrual of interest for unrecognized tax benefits. For the nine months ended January 31, 2020, the Company also recorded a discrete income tax provision of $48,000, which primarily consisted of an accrual of interest for unrecognized tax benefits.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effective tax rate for the three months ended January 31, 2021 is an income tax provision of (1.5)% on pretax loss of $788,000 compared to an income tax provision of (1.3) % on a pretax loss of $1,527,000 in the comparable prior fiscal year period. The effective tax rate for the three months ended January 31, 2021 differs from the U.S. statutory rate of 21% primarily due to state taxes, a discrete income tax provision related to the accrual of interest for unrecognized tax benefits, and domestic losses for which the Company is not recognizing an income tax benefit.</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effective tax rate for the nine months ended January 31, 2021 is an income tax provision of (5.4)% on pretax loss of $696,000 compared to an income tax provision of (0.7)% on a pretax loss of $6,998,000 in the comparable prior fiscal year period. The effective tax rate for the nine months ended January 31, 2021 differs from the U.S. statutory rate of 21% primarily due to state taxes, a discrete income tax provision related to the accrual of interest for unrecognized tax benefits, and domestic losses for which the Company is not recognizing an income tax benefit.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consolidated balance sheet continues to reflect a strong working capital position of $39.3 million at January 31, 2021 and $38.3 million at April 30, 2020. Included in working capital at January 31, 2021 and April 30, 2020 is $17.7 million and $14.4 million, respectively, consisting of cash, cash equivalents, and marketable securities. The Company’s current ratio at January 31, 2021 was 6.6 to 1 compared to 3.9 to 1 as of April 30, 2020.</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Net cash provided by operating activities for the nine months ended January 31, 2021 was $9.3 million compared to net cash used in operating activities of $760,000 in the comparable prior fiscal 2020 period. The increase cash flow in the fiscal 2021 period resulted mainly due to a decrease in net loss, accounts receivable, and inventory amounts. For the nine-month periods ended January 31, 2021 and 2020, the Company incurred approximately $3.4 million and $6.0 million, respectively, of non-cash operating expenses including ROU assets and liabilities for leases, loss provision accrual, depreciation and amortization, inventory reserve adjustments, and accruals for employee benefit programs.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used in investing activities for the nine months ended January 31, 2021 was $921,000 compared to $2.7 million for the nine months ended January 31, 2020. During the nine months ended January 31, 2021 marketable securities were sold or redeemed in the amount of $2.0 million compared to $3.0 million for the same period of fiscal 2020. During the nine months ended January 31, 2021 approximately $1.9 million of marketable securities were purchased compared to $4.1 million for the same period of fiscal 2020. The Company acquired property, plant and equipment in the amount of approximately $971,000 for the nine-month period ended January 31, 2021 compared to $1.6 million for the nine-month period ended January 31, 2020. The Company may continue to invest in cash equivalents as dictated by its investment strategy.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for the nine months ended January 31, 2021 was approximately $5.0 million related to the repayment of the PPP Loan. There was no cash used in financing activities for the nine months ended January 31, 2020.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been authorized by its Board to repurchase up to $5 million worth of shares of its common stock when appropriate opportunities arise. As of January 31, 2021, the Company has repurchased approximately $4 million of its common stock out of the $5 million authorization. For the nine months ended January 31, 2021 and 2020 there were no repurchases of shares.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continue to expend resources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January 31, 2021, the Company’s consolidated funded backlog was approximately $41 million compared to $36 million at April 30, 2020, the end of fiscal 2020. Approximately 80% of this backlog is expected to be realized in the next twelve months. As of January 31, 2021, there are no amounts included in backlog under cost-plus fixed-fee (“CPFF”)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believes that its liquidity is adequate to meet its operating and investment needs through at least March 12, 2022 and the foreseeable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January 31, 2021, the Company’s disclosure controls and procedures were effective at a reasonable assurance level.</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during the three months ended January 31, 2021 to which this report relates that have materially affected, or are reasonably likely to materially affect, the Company’s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January 28, 2020, Martin B. Bloch, the former Chief Scientist of the Company and a former member of the Company’s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6"/>
          <w:szCs w:val="16"/>
          <w:i w:val="1"/>
          <w:iCs w:val="1"/>
          <w:color w:val="auto"/>
        </w:rPr>
        <w:t>Bloch v. Frequency</w:t>
      </w:r>
      <w:r>
        <w:rPr>
          <w:rFonts w:ascii="Arial" w:cs="Arial" w:eastAsia="Arial" w:hAnsi="Arial"/>
          <w:sz w:val="16"/>
          <w:szCs w:val="16"/>
          <w:color w:val="auto"/>
        </w:rPr>
        <w:t xml:space="preserve"> </w:t>
      </w:r>
      <w:r>
        <w:rPr>
          <w:rFonts w:ascii="Arial" w:cs="Arial" w:eastAsia="Arial" w:hAnsi="Arial"/>
          <w:sz w:val="16"/>
          <w:szCs w:val="16"/>
          <w:i w:val="1"/>
          <w:iCs w:val="1"/>
          <w:color w:val="auto"/>
        </w:rPr>
        <w:t>Electronics, Inc., et al</w:t>
      </w:r>
      <w:r>
        <w:rPr>
          <w:rFonts w:ascii="Arial" w:cs="Arial" w:eastAsia="Arial" w:hAnsi="Arial"/>
          <w:sz w:val="16"/>
          <w:szCs w:val="16"/>
          <w:color w:val="auto"/>
        </w:rPr>
        <w:t>., Index No. 601369/2020 (N.Y. Sup. Ct. filed Jan. 28, 2020)). Mr. Bloch seeks compensatory damages and costs and attorney’s fees,</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based on allegations that he was wrongfully terminated “for cause” pursuant to his employment agreement, dated March 17, 2008, and that the Company and the Director Defendants discriminated against him based on his age. Mr. Bloch had originally also sought a declaratory judgment and claims for damage to his reputation and a derivative claim on behalf of the Company alleging that the Director Defendants breached their fiduciary duty in rendering their decision to terminate Mr. Bloch’s employment with the Company. However, Mr. Bloch removed those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which the Company and the Director Defendants opposed on July 10, 2020. Mr. Bloch’s motion seeks an order that the Company is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On September 23, 2020, the Court denied Mr. Bloch’s motion for summary judgment. It also granted the Company and the Director Defendants’ motion for summary judgment as to all claims, except for one claim for breach of contract against the Company. On October 23, 2020, the Company filed a brief with the Appellate Division, Second Department, seeking a reversal of the lower court’s order to the extent that it denied the Company’s summary judgment motion on the breach of contract claim. Mr. Bloch filed its responsive brief on November 20, 2020. The appeal is currently pending. The Company believes that the Board was justified in its decision to terminate Mr. Bloch “for cause” and that Mr. Bloch’s single surviving claim is entirely without merit. The Company intends to vigorously defend against all of Mr. Bloch’s allegations. At this time, the Company does not have sufficient information to determine whether liability, if any, arising out of these matters is probable or the possible loss, if any, which could result from an unfavorable outcome arising out of these matters.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Mr. Bloch sought to initiate two arbitration proceedings under the AAA Rules (</w:t>
      </w:r>
      <w:r>
        <w:rPr>
          <w:rFonts w:ascii="Arial" w:cs="Arial" w:eastAsia="Arial" w:hAnsi="Arial"/>
          <w:sz w:val="16"/>
          <w:szCs w:val="16"/>
          <w:i w:val="1"/>
          <w:iCs w:val="1"/>
          <w:color w:val="auto"/>
        </w:rPr>
        <w:t>Bloch v. Frequency Electronics, Inc., the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Committee of the Board of Directors of Frequency Electronics, Inc., and the Deferred Compensation Plan Agreement Dated March 7, 2008</w:t>
      </w:r>
      <w:r>
        <w:rPr>
          <w:rFonts w:ascii="Arial" w:cs="Arial" w:eastAsia="Arial" w:hAnsi="Arial"/>
          <w:sz w:val="16"/>
          <w:szCs w:val="16"/>
          <w:color w:val="auto"/>
        </w:rPr>
        <w:t>). One arbitration is brought under a deferred compensation agreement dated March 27, 1980 and the other under a second amended and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compensation agreement, dated March 7, 2008. Bloch submitted his Statements of Claim in both arbitrations on May 4, 2020. In both proceedings, Mr. Bloch claims that defendants violated ERISA rules by denying him deferred compensation benefits. He seeks an award for allegedly past due deferred compensation benefits plus interest, clarification as to his future rights to deferred compensation benefits, and attorneys’ fees and costs.</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 2020, the Company filed a petition for a stay of arbitration and related declaratory relief against Mr. Bloch, in the Supreme Court of the State of New York, New York County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652191/2020 (N.Y. Sup. Ct. filed June 2, 2020)). The Company claims that Mr. Bloch may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Court granted Mr. Bloch’s motion on September 8, 2020. The case was therefore transferred to the County of Nassau, and assigned to the same Judge hearing the other cases between the parties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xml:space="preserve"> Index No. 611405/2020). In its order dated February 10, 2021 and entered on February 16, 2021, the Company filed a Notice of Appeal of that order. The Company intends to perfect its appeal in the coming months. At this time, the Company does not have sufficient information to determine the likelihood of success of this appeal.</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On June 5, 2020, Mr. Bloch filed a petition against the Company, the Compensation Committee of the Company’s Board of Directors, and the Deferred Compensation Plan Agreement Dated March 7, 2008, as amended (“Respondents”), for the appointment of an arbitrator in one of the arbitration proceedings that Mr. Bloch sought to initiate. The petition was filed in the Supreme Court of the State of New York, County of Nassau </w:t>
      </w:r>
      <w:r>
        <w:rPr>
          <w:rFonts w:ascii="Arial" w:cs="Arial" w:eastAsia="Arial" w:hAnsi="Arial"/>
          <w:sz w:val="17"/>
          <w:szCs w:val="17"/>
          <w:i w:val="1"/>
          <w:iCs w:val="1"/>
          <w:color w:val="auto"/>
        </w:rPr>
        <w:t>(Bloch v. Frequency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Electronics, Inc. et al., </w:t>
      </w:r>
      <w:r>
        <w:rPr>
          <w:rFonts w:ascii="Arial" w:cs="Arial" w:eastAsia="Arial" w:hAnsi="Arial"/>
          <w:sz w:val="17"/>
          <w:szCs w:val="17"/>
          <w:color w:val="auto"/>
        </w:rPr>
        <w:t>Index No. 605380/2020 (N.Y. Sup. Ct. filed June 5, 2020)). On June 22, 2020, Respondents moved to dismiss Mr. Bloch’s 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he opposed the Company’s motion on July 2, 2020. In its orders dated February 10, 2021 and entered on February 16, 2021, the Court granted Mr. Bloch’s petition for the appointment of an arbitrator, denied the Company’s motion to dismiss that petition, and denied a motion previously filed the Company for an interim stay of arbitration. On February 16, 2021, the Company filed a Notice of Appeal of those orders. The Company intends to perfect its appeal in the coming months. Respondents dispute all of Bloch’s claims and intend to continue to vigorously defend the Company in the appeal process. The likelihood of any outcome of this appeal cannot be determined at this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6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3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41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w w:val="95"/>
              </w:rPr>
              <w:t>Item 6. Exhibits</w:t>
            </w:r>
          </w:p>
        </w:tc>
        <w:tc>
          <w:tcPr>
            <w:tcW w:w="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412"/>
        </w:trPr>
        <w:tc>
          <w:tcPr>
            <w:tcW w:w="640" w:type="dxa"/>
            <w:vAlign w:val="bottom"/>
          </w:tcPr>
          <w:p>
            <w:pPr>
              <w:spacing w:after="0"/>
              <w:rPr>
                <w:sz w:val="24"/>
                <w:szCs w:val="24"/>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31.1 -</w:t>
            </w:r>
          </w:p>
        </w:tc>
        <w:tc>
          <w:tcPr>
            <w:tcW w:w="380" w:type="dxa"/>
            <w:vAlign w:val="bottom"/>
          </w:tcPr>
          <w:p>
            <w:pPr>
              <w:spacing w:after="0"/>
              <w:rPr>
                <w:sz w:val="24"/>
                <w:szCs w:val="24"/>
                <w:color w:val="auto"/>
              </w:rPr>
            </w:pPr>
          </w:p>
        </w:tc>
        <w:tc>
          <w:tcPr>
            <w:tcW w:w="95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Certification by the Chief Executive Officer pursuant to Rule 13a-14(a) or 15d-14(a) under the Securities Exchange Act of 1934, as</w:t>
              </w:r>
            </w:hyperlink>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adopted pursuant to Section 302 of the Sarbanes-Oxley Act of 2002.</w:t>
              </w:r>
            </w:hyperlink>
          </w:p>
        </w:tc>
        <w:tc>
          <w:tcPr>
            <w:tcW w:w="4640" w:type="dxa"/>
            <w:vAlign w:val="bottom"/>
          </w:tcPr>
          <w:p>
            <w:pPr>
              <w:spacing w:after="0"/>
              <w:rPr>
                <w:sz w:val="17"/>
                <w:szCs w:val="17"/>
                <w:color w:val="auto"/>
              </w:rPr>
            </w:pPr>
          </w:p>
        </w:tc>
      </w:tr>
      <w:tr>
        <w:trPr>
          <w:trHeight w:val="412"/>
        </w:trPr>
        <w:tc>
          <w:tcPr>
            <w:tcW w:w="1280" w:type="dxa"/>
            <w:vAlign w:val="bottom"/>
            <w:gridSpan w:val="2"/>
          </w:tcPr>
          <w:p>
            <w:pPr>
              <w:ind w:left="660"/>
              <w:spacing w:after="0"/>
              <w:rPr>
                <w:sz w:val="20"/>
                <w:szCs w:val="20"/>
                <w:color w:val="auto"/>
              </w:rPr>
            </w:pPr>
            <w:r>
              <w:rPr>
                <w:rFonts w:ascii="Arial" w:cs="Arial" w:eastAsia="Arial" w:hAnsi="Arial"/>
                <w:sz w:val="18"/>
                <w:szCs w:val="18"/>
                <w:color w:val="auto"/>
              </w:rPr>
              <w:t>31.2 -</w:t>
            </w:r>
          </w:p>
        </w:tc>
        <w:tc>
          <w:tcPr>
            <w:tcW w:w="380" w:type="dxa"/>
            <w:vAlign w:val="bottom"/>
          </w:tcPr>
          <w:p>
            <w:pPr>
              <w:spacing w:after="0"/>
              <w:rPr>
                <w:sz w:val="24"/>
                <w:szCs w:val="24"/>
                <w:color w:val="auto"/>
              </w:rPr>
            </w:pPr>
          </w:p>
        </w:tc>
        <w:tc>
          <w:tcPr>
            <w:tcW w:w="95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by the Chief Financial Officer pursuant to Rule 13a-14(a) or 15d-14(a) under the Securities Exchange Act of 1934, as</w:t>
              </w:r>
            </w:hyperlink>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adopted pursuant to Section 302 of the Sarbanes-Oxley Act of 2002.</w:t>
              </w:r>
            </w:hyperlink>
          </w:p>
        </w:tc>
        <w:tc>
          <w:tcPr>
            <w:tcW w:w="4640" w:type="dxa"/>
            <w:vAlign w:val="bottom"/>
          </w:tcPr>
          <w:p>
            <w:pPr>
              <w:spacing w:after="0"/>
              <w:rPr>
                <w:sz w:val="17"/>
                <w:szCs w:val="17"/>
                <w:color w:val="auto"/>
              </w:rPr>
            </w:pPr>
          </w:p>
        </w:tc>
      </w:tr>
      <w:tr>
        <w:trPr>
          <w:trHeight w:val="412"/>
        </w:trPr>
        <w:tc>
          <w:tcPr>
            <w:tcW w:w="1280" w:type="dxa"/>
            <w:vAlign w:val="bottom"/>
            <w:gridSpan w:val="2"/>
          </w:tcPr>
          <w:p>
            <w:pPr>
              <w:ind w:left="660"/>
              <w:spacing w:after="0"/>
              <w:rPr>
                <w:sz w:val="20"/>
                <w:szCs w:val="20"/>
                <w:color w:val="auto"/>
              </w:rPr>
            </w:pPr>
            <w:r>
              <w:rPr>
                <w:rFonts w:ascii="Arial" w:cs="Arial" w:eastAsia="Arial" w:hAnsi="Arial"/>
                <w:sz w:val="18"/>
                <w:szCs w:val="18"/>
                <w:color w:val="auto"/>
              </w:rPr>
              <w:t>32 -</w:t>
            </w:r>
          </w:p>
        </w:tc>
        <w:tc>
          <w:tcPr>
            <w:tcW w:w="380" w:type="dxa"/>
            <w:vAlign w:val="bottom"/>
          </w:tcPr>
          <w:p>
            <w:pPr>
              <w:spacing w:after="0"/>
              <w:rPr>
                <w:sz w:val="24"/>
                <w:szCs w:val="24"/>
                <w:color w:val="auto"/>
              </w:rPr>
            </w:pPr>
          </w:p>
        </w:tc>
        <w:tc>
          <w:tcPr>
            <w:tcW w:w="95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Certifications by the Chief Executive Officer and Chief Financial Officer pursuant to 18 U.S.C. Section 1350, as adopted pursuant to</w:t>
              </w:r>
            </w:hyperlink>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Section 906 of the Sarbanes-Oxley Act of 2002.</w:t>
              </w:r>
            </w:hyperlink>
          </w:p>
        </w:tc>
      </w:tr>
      <w:tr>
        <w:trPr>
          <w:trHeight w:val="20"/>
        </w:trPr>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438"/>
        </w:trPr>
        <w:tc>
          <w:tcPr>
            <w:tcW w:w="1280" w:type="dxa"/>
            <w:vAlign w:val="bottom"/>
            <w:gridSpan w:val="2"/>
          </w:tcPr>
          <w:p>
            <w:pPr>
              <w:ind w:left="66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5"/>
              </w:rPr>
              <w:t>The following materials from the Frequency Electronics, Inc. Quarterly Report on Form 10-Q for the quarter ended January 31,</w:t>
            </w: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2021 formatted in eXtensible Business Reporting Language (XBRL): (i) Condensed Consolidated Balance Sheets, (ii) Condensed</w:t>
            </w: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4"/>
              </w:rPr>
              <w:t>Consolidated Statements of Operations and Comprehensive Loss, (iii) Condensed Consolidated Statements of Cash Flows, (iv)</w:t>
            </w: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5"/>
              </w:rPr>
              <w:t>Condensed Consolidated Statements of Changes in Stockholders’ Equity and (v) Notes to Condensed Consolidated Financial</w:t>
            </w:r>
          </w:p>
        </w:tc>
      </w:tr>
      <w:tr>
        <w:trPr>
          <w:trHeight w:val="230"/>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Statements.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FREQUENCY ELECTRONICS, INC.</w:t>
            </w:r>
          </w:p>
        </w:tc>
      </w:tr>
      <w:tr>
        <w:trPr>
          <w:trHeight w:val="230"/>
        </w:trPr>
        <w:tc>
          <w:tcPr>
            <w:tcW w:w="3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392"/>
        </w:trPr>
        <w:tc>
          <w:tcPr>
            <w:tcW w:w="3440" w:type="dxa"/>
            <w:vAlign w:val="bottom"/>
          </w:tcPr>
          <w:p>
            <w:pPr>
              <w:spacing w:after="0"/>
              <w:rPr>
                <w:sz w:val="20"/>
                <w:szCs w:val="20"/>
                <w:color w:val="auto"/>
              </w:rPr>
            </w:pPr>
            <w:r>
              <w:rPr>
                <w:rFonts w:ascii="Arial" w:cs="Arial" w:eastAsia="Arial" w:hAnsi="Arial"/>
                <w:sz w:val="18"/>
                <w:szCs w:val="18"/>
                <w:color w:val="auto"/>
              </w:rPr>
              <w:t>Date: March 12, 2021</w:t>
            </w:r>
          </w:p>
        </w:tc>
        <w:tc>
          <w:tcPr>
            <w:tcW w:w="7120" w:type="dxa"/>
            <w:vAlign w:val="bottom"/>
            <w:gridSpan w:val="3"/>
          </w:tcPr>
          <w:p>
            <w:pPr>
              <w:ind w:left="1840"/>
              <w:spacing w:after="0"/>
              <w:rPr>
                <w:sz w:val="20"/>
                <w:szCs w:val="20"/>
                <w:color w:val="auto"/>
              </w:rPr>
            </w:pPr>
            <w:r>
              <w:rPr>
                <w:rFonts w:ascii="Arial" w:cs="Arial" w:eastAsia="Arial" w:hAnsi="Arial"/>
                <w:sz w:val="18"/>
                <w:szCs w:val="18"/>
                <w:color w:val="auto"/>
              </w:rPr>
              <w:t>By:  /s/  Steven L. Bernstein</w:t>
            </w:r>
          </w:p>
        </w:tc>
      </w:tr>
      <w:tr>
        <w:trPr>
          <w:trHeight w:val="222"/>
        </w:trPr>
        <w:tc>
          <w:tcPr>
            <w:tcW w:w="3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Bernstein</w:t>
            </w:r>
          </w:p>
        </w:tc>
        <w:tc>
          <w:tcPr>
            <w:tcW w:w="1580" w:type="dxa"/>
            <w:vAlign w:val="bottom"/>
          </w:tcPr>
          <w:p>
            <w:pPr>
              <w:spacing w:after="0"/>
              <w:rPr>
                <w:sz w:val="19"/>
                <w:szCs w:val="19"/>
                <w:color w:val="auto"/>
              </w:rPr>
            </w:pPr>
          </w:p>
        </w:tc>
      </w:tr>
      <w:tr>
        <w:trPr>
          <w:trHeight w:val="216"/>
        </w:trPr>
        <w:tc>
          <w:tcPr>
            <w:tcW w:w="3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Chief Financial Officer, Secretary and Treasurer</w:t>
            </w:r>
          </w:p>
        </w:tc>
      </w:tr>
      <w:tr>
        <w:trPr>
          <w:trHeight w:val="230"/>
        </w:trPr>
        <w:tc>
          <w:tcPr>
            <w:tcW w:w="3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1"/>
              </w:rPr>
              <w:t>Signing on behalf of the registrant and as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8"/>
        <w:spacing w:after="0" w:line="308" w:lineRule="auto"/>
        <w:tabs>
          <w:tab w:leader="none" w:pos="25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0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Stanton Sloane</w:t>
            </w:r>
          </w:p>
        </w:tc>
        <w:tc>
          <w:tcPr>
            <w:tcW w:w="4700" w:type="dxa"/>
            <w:vAlign w:val="bottom"/>
          </w:tcPr>
          <w:p>
            <w:pPr>
              <w:ind w:left="3560"/>
              <w:spacing w:after="0"/>
              <w:rPr>
                <w:sz w:val="20"/>
                <w:szCs w:val="20"/>
                <w:color w:val="auto"/>
              </w:rPr>
            </w:pPr>
            <w:r>
              <w:rPr>
                <w:rFonts w:ascii="Arial" w:cs="Arial" w:eastAsia="Arial" w:hAnsi="Arial"/>
                <w:sz w:val="18"/>
                <w:szCs w:val="18"/>
                <w:color w:val="auto"/>
                <w:w w:val="89"/>
              </w:rPr>
              <w:t>March 12, 2021</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Stanton Sloane</w:t>
            </w:r>
          </w:p>
        </w:tc>
        <w:tc>
          <w:tcPr>
            <w:tcW w:w="4700" w:type="dxa"/>
            <w:vAlign w:val="bottom"/>
          </w:tcPr>
          <w:p>
            <w:pPr>
              <w:spacing w:after="0"/>
              <w:rPr>
                <w:sz w:val="19"/>
                <w:szCs w:val="19"/>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w w:val="96"/>
              </w:rPr>
              <w:t>President and Chief Executive Officer</w:t>
            </w:r>
          </w:p>
        </w:tc>
        <w:tc>
          <w:tcPr>
            <w:tcW w:w="4700" w:type="dxa"/>
            <w:vAlign w:val="bottom"/>
          </w:tcPr>
          <w:p>
            <w:pPr>
              <w:spacing w:after="0"/>
              <w:rPr>
                <w:sz w:val="20"/>
                <w:szCs w:val="20"/>
                <w:color w:val="auto"/>
              </w:rPr>
            </w:pPr>
          </w:p>
        </w:tc>
      </w:tr>
    </w:tbl>
    <w:p>
      <w:pPr>
        <w:sectPr>
          <w:pgSz w:w="11900" w:h="16838" w:orient="portrait"/>
          <w:cols w:equalWidth="0" w:num="1">
            <w:col w:w="11240"/>
          </w:cols>
          <w:pgMar w:left="320" w:top="33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8"/>
        <w:spacing w:after="0" w:line="308" w:lineRule="auto"/>
        <w:tabs>
          <w:tab w:leader="none" w:pos="2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Bernstein</w:t>
            </w:r>
          </w:p>
        </w:tc>
        <w:tc>
          <w:tcPr>
            <w:tcW w:w="1800" w:type="dxa"/>
            <w:vAlign w:val="bottom"/>
          </w:tcPr>
          <w:p>
            <w:pPr>
              <w:spacing w:after="0"/>
              <w:rPr>
                <w:sz w:val="18"/>
                <w:szCs w:val="18"/>
                <w:color w:val="auto"/>
              </w:rPr>
            </w:pPr>
          </w:p>
        </w:tc>
        <w:tc>
          <w:tcPr>
            <w:tcW w:w="2640" w:type="dxa"/>
            <w:vAlign w:val="bottom"/>
          </w:tcPr>
          <w:p>
            <w:pPr>
              <w:ind w:left="1500"/>
              <w:spacing w:after="0"/>
              <w:rPr>
                <w:sz w:val="20"/>
                <w:szCs w:val="20"/>
                <w:color w:val="auto"/>
              </w:rPr>
            </w:pPr>
            <w:r>
              <w:rPr>
                <w:rFonts w:ascii="Arial" w:cs="Arial" w:eastAsia="Arial" w:hAnsi="Arial"/>
                <w:sz w:val="18"/>
                <w:szCs w:val="18"/>
                <w:color w:val="auto"/>
                <w:w w:val="89"/>
              </w:rPr>
              <w:t>March 12, 2021</w:t>
            </w: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Steven L. Bernstein</w:t>
            </w:r>
          </w:p>
        </w:tc>
        <w:tc>
          <w:tcPr>
            <w:tcW w:w="2640" w:type="dxa"/>
            <w:vAlign w:val="bottom"/>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Chief Financial Officer, Secretary and Treasurer</w:t>
            </w:r>
          </w:p>
        </w:tc>
        <w:tc>
          <w:tcPr>
            <w:tcW w:w="2640" w:type="dxa"/>
            <w:vAlign w:val="bottom"/>
          </w:tcPr>
          <w:p>
            <w:pPr>
              <w:spacing w:after="0"/>
              <w:rPr>
                <w:sz w:val="20"/>
                <w:szCs w:val="20"/>
                <w:color w:val="auto"/>
              </w:rPr>
            </w:pPr>
          </w:p>
        </w:tc>
      </w:tr>
    </w:tbl>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2021 as filed with the Securities and Exchange Commission on the date hereof (the “Report”), I, Stanton Sloane, President and Chief Executive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960" w:hanging="304"/>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Stanton Sloane</w:t>
            </w:r>
          </w:p>
        </w:tc>
        <w:tc>
          <w:tcPr>
            <w:tcW w:w="1040" w:type="dxa"/>
            <w:vAlign w:val="bottom"/>
          </w:tcPr>
          <w:p>
            <w:pPr>
              <w:spacing w:after="0"/>
              <w:rPr>
                <w:sz w:val="17"/>
                <w:szCs w:val="17"/>
                <w:color w:val="auto"/>
              </w:rPr>
            </w:pPr>
          </w:p>
        </w:tc>
        <w:tc>
          <w:tcPr>
            <w:tcW w:w="2200" w:type="dxa"/>
            <w:vAlign w:val="bottom"/>
          </w:tcPr>
          <w:p>
            <w:pPr>
              <w:jc w:val="right"/>
              <w:ind w:right="250"/>
              <w:spacing w:after="0"/>
              <w:rPr>
                <w:sz w:val="20"/>
                <w:szCs w:val="20"/>
                <w:color w:val="auto"/>
              </w:rPr>
            </w:pPr>
            <w:r>
              <w:rPr>
                <w:rFonts w:ascii="Arial" w:cs="Arial" w:eastAsia="Arial" w:hAnsi="Arial"/>
                <w:sz w:val="18"/>
                <w:szCs w:val="18"/>
                <w:color w:val="auto"/>
              </w:rPr>
              <w:t>March 12, 2021</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Stanton Sloane</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Certification of CFO</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5"/>
        </w:trPr>
        <w:tc>
          <w:tcPr>
            <w:tcW w:w="4240" w:type="dxa"/>
            <w:vAlign w:val="bottom"/>
            <w:gridSpan w:val="4"/>
            <w:vMerge w:val="continue"/>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Frequency Electronics, Inc. (the “Company”) on Form 10-Q for the period ended January 31, 2021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960" w:hanging="304"/>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Bernstein</w:t>
            </w:r>
          </w:p>
        </w:tc>
        <w:tc>
          <w:tcPr>
            <w:tcW w:w="1360" w:type="dxa"/>
            <w:vAlign w:val="bottom"/>
          </w:tcPr>
          <w:p>
            <w:pPr>
              <w:spacing w:after="0"/>
              <w:rPr>
                <w:sz w:val="18"/>
                <w:szCs w:val="18"/>
                <w:color w:val="auto"/>
              </w:rPr>
            </w:pPr>
          </w:p>
        </w:tc>
        <w:tc>
          <w:tcPr>
            <w:tcW w:w="1420" w:type="dxa"/>
            <w:vAlign w:val="bottom"/>
          </w:tcPr>
          <w:p>
            <w:pPr>
              <w:ind w:left="280"/>
              <w:spacing w:after="0"/>
              <w:rPr>
                <w:sz w:val="20"/>
                <w:szCs w:val="20"/>
                <w:color w:val="auto"/>
              </w:rPr>
            </w:pPr>
            <w:r>
              <w:rPr>
                <w:rFonts w:ascii="Arial" w:cs="Arial" w:eastAsia="Arial" w:hAnsi="Arial"/>
                <w:sz w:val="18"/>
                <w:szCs w:val="18"/>
                <w:color w:val="auto"/>
                <w:w w:val="89"/>
              </w:rPr>
              <w:t>March 12, 2021</w:t>
            </w: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Steven L. Bernstein</w:t>
            </w:r>
          </w:p>
        </w:tc>
        <w:tc>
          <w:tcPr>
            <w:tcW w:w="1420" w:type="dxa"/>
            <w:vAlign w:val="bottom"/>
          </w:tcPr>
          <w:p>
            <w:pPr>
              <w:spacing w:after="0"/>
              <w:rPr>
                <w:sz w:val="19"/>
                <w:szCs w:val="19"/>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w w:val="97"/>
              </w:rPr>
              <w:t>Chief Financial Officer, Secretary and Treasurer</w:t>
            </w: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971"/>
    </w:lvl>
  </w:abstractNum>
  <w:abstractNum w:abstractNumId="1">
    <w:nsid w:val="79E2A9E3"/>
    <w:multiLevelType w:val="hybridMultilevel"/>
    <w:lvl w:ilvl="0">
      <w:lvlJc w:val="left"/>
      <w:lvlText w:val="(%1)"/>
      <w:numFmt w:val="decimal"/>
      <w:start w:val="92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2021-03-12T16:08:48Z</dcterms:created>
  <dcterms:modified xsi:type="dcterms:W3CDTF">2021-03-12T16:08:48Z</dcterms:modified>
</cp:coreProperties>
</file>