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142240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160020</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 (d)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January 31, 2019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3600" w:right="1920" w:hanging="2944"/>
        <w:spacing w:after="0" w:line="495" w:lineRule="auto"/>
        <w:tabs>
          <w:tab w:leader="none" w:pos="85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66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760" w:type="dxa"/>
            <w:vAlign w:val="bottom"/>
            <w:gridSpan w:val="3"/>
          </w:tcPr>
          <w:p>
            <w:pPr>
              <w:jc w:val="center"/>
              <w:ind w:right="304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r>
      <w:tr>
        <w:trPr>
          <w:trHeight w:val="20"/>
        </w:trPr>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gridSpan w:val="5"/>
          </w:tcPr>
          <w:p>
            <w:pPr>
              <w:jc w:val="center"/>
              <w:ind w:left="9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0" w:type="dxa"/>
            <w:vAlign w:val="bottom"/>
          </w:tcPr>
          <w:p>
            <w:pPr>
              <w:spacing w:after="0"/>
              <w:rPr>
                <w:sz w:val="20"/>
                <w:szCs w:val="20"/>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incorporation or organization)</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460" w:type="dxa"/>
            <w:vAlign w:val="bottom"/>
          </w:tcPr>
          <w:p>
            <w:pPr>
              <w:spacing w:after="0"/>
              <w:rPr>
                <w:sz w:val="24"/>
                <w:szCs w:val="24"/>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rPr>
              <w:t>55 CHARLES LINDBERGH BLVD., MITCHEL FIELD, N.Y.</w:t>
            </w:r>
          </w:p>
        </w:tc>
        <w:tc>
          <w:tcPr>
            <w:tcW w:w="27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r>
      <w:tr>
        <w:trPr>
          <w:trHeight w:val="432"/>
        </w:trPr>
        <w:tc>
          <w:tcPr>
            <w:tcW w:w="626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378" w:right="239" w:bottom="1440" w:gutter="0" w:footer="0" w:header="0"/>
        </w:sectPr>
      </w:pP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6" w:lineRule="exact"/>
        <w:rPr>
          <w:sz w:val="24"/>
          <w:szCs w:val="24"/>
          <w:color w:val="auto"/>
        </w:rPr>
      </w:pPr>
    </w:p>
    <w:p>
      <w:pPr>
        <w:sectPr>
          <w:pgSz w:w="11900" w:h="16838" w:orient="portrait"/>
          <w:cols w:equalWidth="0" w:num="2">
            <w:col w:w="5660" w:space="720"/>
            <w:col w:w="5040"/>
          </w:cols>
          <w:pgMar w:left="240" w:top="378" w:right="239" w:bottom="144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March 12, 2019 – 8,729,682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700" w:type="dxa"/>
            <w:vAlign w:val="bottom"/>
            <w:gridSpan w:val="8"/>
          </w:tcPr>
          <w:p>
            <w:pPr>
              <w:jc w:val="center"/>
              <w:ind w:right="212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80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00" w:type="dxa"/>
            <w:vAlign w:val="bottom"/>
            <w:gridSpan w:val="8"/>
          </w:tcPr>
          <w:p>
            <w:pPr>
              <w:jc w:val="center"/>
              <w:ind w:right="210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r>
      <w:tr>
        <w:trPr>
          <w:trHeight w:val="432"/>
        </w:trPr>
        <w:tc>
          <w:tcPr>
            <w:tcW w:w="10620" w:type="dxa"/>
            <w:vAlign w:val="bottom"/>
            <w:gridSpan w:val="14"/>
          </w:tcPr>
          <w:p>
            <w:pPr>
              <w:spacing w:after="0"/>
              <w:rPr>
                <w:sz w:val="20"/>
                <w:szCs w:val="20"/>
                <w:color w:val="auto"/>
              </w:rPr>
            </w:pPr>
            <w:r>
              <w:rPr>
                <w:rFonts w:ascii="Arial" w:cs="Arial" w:eastAsia="Arial" w:hAnsi="Arial"/>
                <w:sz w:val="18"/>
                <w:szCs w:val="18"/>
                <w:b w:val="1"/>
                <w:bCs w:val="1"/>
                <w:color w:val="auto"/>
              </w:rPr>
              <w:t>Part I. Financial Information:</w:t>
            </w: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3"/>
              </w:rPr>
              <w:t>Page No.</w:t>
            </w:r>
          </w:p>
        </w:tc>
      </w:tr>
      <w:tr>
        <w:trPr>
          <w:trHeight w:val="385"/>
        </w:trPr>
        <w:tc>
          <w:tcPr>
            <w:tcW w:w="500" w:type="dxa"/>
            <w:vAlign w:val="bottom"/>
          </w:tcPr>
          <w:p>
            <w:pPr>
              <w:spacing w:after="0"/>
              <w:rPr>
                <w:sz w:val="24"/>
                <w:szCs w:val="24"/>
                <w:color w:val="auto"/>
              </w:rPr>
            </w:pPr>
          </w:p>
        </w:tc>
        <w:tc>
          <w:tcPr>
            <w:tcW w:w="1012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 Financial Statements:</w:t>
              </w:r>
            </w:hyperlink>
          </w:p>
        </w:tc>
        <w:tc>
          <w:tcPr>
            <w:tcW w:w="80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January 31, 2019 (unaudited) and April 30, 2018</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Income (Loss) (unaudited) Nine Months Ended January 31,</w:t>
              </w:r>
            </w:hyperlink>
          </w:p>
        </w:tc>
        <w:tc>
          <w:tcPr>
            <w:tcW w:w="160" w:type="dxa"/>
            <w:vAlign w:val="bottom"/>
            <w:gridSpan w:val="2"/>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196"/>
        </w:trPr>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1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2019 and 2018 (unaudited)</w:t>
              </w:r>
            </w:hyperlink>
          </w:p>
        </w:tc>
        <w:tc>
          <w:tcPr>
            <w:tcW w:w="8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gridSpan w:val="1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Operations and Comprehensive Income (Loss) (unaudited) Three Months Ended January 31,</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196"/>
        </w:trPr>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2019 and 2018 (unaudited)</w:t>
              </w:r>
            </w:hyperlink>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gridSpan w:val="12"/>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(unaudited) Nine Months Ended January 31, 2019 and 2018 (unaudited)</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9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Changes in Stockholders’ Equity Nine Months Ended January 31, 2019 (unaudited)</w:t>
              </w:r>
            </w:hyperlink>
          </w:p>
        </w:tc>
        <w:tc>
          <w:tcPr>
            <w:tcW w:w="40" w:type="dxa"/>
            <w:vAlign w:val="bottom"/>
            <w:tcBorders>
              <w:top w:val="single" w:sz="8" w:color="0000EE"/>
            </w:tcBorders>
          </w:tcPr>
          <w:p>
            <w:pPr>
              <w:spacing w:after="0"/>
              <w:rPr>
                <w:sz w:val="24"/>
                <w:szCs w:val="24"/>
                <w:color w:val="auto"/>
              </w:rPr>
            </w:pPr>
          </w:p>
        </w:tc>
        <w:tc>
          <w:tcPr>
            <w:tcW w:w="700" w:type="dxa"/>
            <w:vAlign w:val="bottom"/>
            <w:gridSpan w:val="3"/>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9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Condensed Consolidated Statements of Changes in Stockholders’ Equity Nine Months Ended January 31, 2018 (unaudited)</w:t>
              </w:r>
            </w:hyperlink>
          </w:p>
        </w:tc>
        <w:tc>
          <w:tcPr>
            <w:tcW w:w="740" w:type="dxa"/>
            <w:vAlign w:val="bottom"/>
            <w:gridSpan w:val="4"/>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gridSpan w:val="1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8"/>
              </w:rPr>
              <w:t>9-19</w:t>
            </w: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2</w:t>
              </w:r>
            </w:hyperlink>
          </w:p>
        </w:tc>
        <w:tc>
          <w:tcPr>
            <w:tcW w:w="9640" w:type="dxa"/>
            <w:vAlign w:val="bottom"/>
            <w:gridSpan w:val="12"/>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 Management’s Discussion and Analysis of Financial Condition and Results of Operations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1"/>
              </w:rPr>
              <w:t>20-26</w:t>
            </w:r>
          </w:p>
        </w:tc>
      </w:tr>
      <w:tr>
        <w:trPr>
          <w:trHeight w:val="412"/>
        </w:trPr>
        <w:tc>
          <w:tcPr>
            <w:tcW w:w="500" w:type="dxa"/>
            <w:vAlign w:val="bottom"/>
          </w:tcPr>
          <w:p>
            <w:pPr>
              <w:spacing w:after="0"/>
              <w:rPr>
                <w:sz w:val="24"/>
                <w:szCs w:val="24"/>
                <w:color w:val="auto"/>
              </w:rPr>
            </w:pPr>
          </w:p>
        </w:tc>
        <w:tc>
          <w:tcPr>
            <w:tcW w:w="480" w:type="dxa"/>
            <w:vAlign w:val="bottom"/>
            <w:tcBorders>
              <w:top w:val="single" w:sz="8" w:color="0000EE"/>
            </w:tcBorders>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3</w:t>
              </w:r>
            </w:hyperlink>
          </w:p>
        </w:tc>
        <w:tc>
          <w:tcPr>
            <w:tcW w:w="6620" w:type="dxa"/>
            <w:vAlign w:val="bottom"/>
            <w:tcBorders>
              <w:top w:val="single" w:sz="8" w:color="0000EE"/>
            </w:tcBorders>
            <w:gridSpan w:val="7"/>
          </w:tcPr>
          <w:p>
            <w:pPr>
              <w:ind w:left="20"/>
              <w:spacing w:after="0"/>
              <w:rPr>
                <w:rFonts w:ascii="Arial" w:cs="Arial" w:eastAsia="Arial" w:hAnsi="Arial"/>
                <w:sz w:val="18"/>
                <w:szCs w:val="18"/>
                <w:color w:val="0000EE"/>
              </w:rPr>
            </w:pPr>
            <w:hyperlink w:anchor="page26">
              <w:r>
                <w:rPr>
                  <w:rFonts w:ascii="Arial" w:cs="Arial" w:eastAsia="Arial" w:hAnsi="Arial"/>
                  <w:sz w:val="18"/>
                  <w:szCs w:val="18"/>
                  <w:color w:val="0000EE"/>
                </w:rPr>
                <w:t>- Quantitative and Qualitative Disclosures About Market Risk</w:t>
              </w:r>
            </w:hyperlink>
          </w:p>
        </w:tc>
        <w:tc>
          <w:tcPr>
            <w:tcW w:w="3020" w:type="dxa"/>
            <w:vAlign w:val="bottom"/>
            <w:gridSpan w:val="5"/>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412"/>
        </w:trPr>
        <w:tc>
          <w:tcPr>
            <w:tcW w:w="500" w:type="dxa"/>
            <w:vAlign w:val="bottom"/>
          </w:tcPr>
          <w:p>
            <w:pPr>
              <w:spacing w:after="0"/>
              <w:rPr>
                <w:sz w:val="24"/>
                <w:szCs w:val="24"/>
                <w:color w:val="auto"/>
              </w:rPr>
            </w:pPr>
          </w:p>
        </w:tc>
        <w:tc>
          <w:tcPr>
            <w:tcW w:w="48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4</w:t>
              </w:r>
            </w:hyperlink>
          </w:p>
        </w:tc>
        <w:tc>
          <w:tcPr>
            <w:tcW w:w="194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 Controls and Procedures</w:t>
              </w:r>
            </w:hyperlink>
          </w:p>
        </w:tc>
        <w:tc>
          <w:tcPr>
            <w:tcW w:w="2540" w:type="dxa"/>
            <w:vAlign w:val="bottom"/>
            <w:tcBorders>
              <w:top w:val="single" w:sz="8" w:color="0000EE"/>
            </w:tcBorders>
          </w:tcPr>
          <w:p>
            <w:pPr>
              <w:spacing w:after="0"/>
              <w:rPr>
                <w:sz w:val="24"/>
                <w:szCs w:val="24"/>
                <w:color w:val="auto"/>
              </w:rPr>
            </w:pPr>
          </w:p>
        </w:tc>
        <w:tc>
          <w:tcPr>
            <w:tcW w:w="5160" w:type="dxa"/>
            <w:vAlign w:val="bottom"/>
            <w:gridSpan w:val="7"/>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453"/>
        </w:trPr>
        <w:tc>
          <w:tcPr>
            <w:tcW w:w="10620" w:type="dxa"/>
            <w:vAlign w:val="bottom"/>
            <w:gridSpan w:val="14"/>
          </w:tcPr>
          <w:p>
            <w:pPr>
              <w:spacing w:after="0"/>
              <w:rPr>
                <w:sz w:val="20"/>
                <w:szCs w:val="20"/>
                <w:color w:val="auto"/>
              </w:rPr>
            </w:pPr>
            <w:r>
              <w:rPr>
                <w:rFonts w:ascii="Arial" w:cs="Arial" w:eastAsia="Arial" w:hAnsi="Arial"/>
                <w:sz w:val="18"/>
                <w:szCs w:val="18"/>
                <w:b w:val="1"/>
                <w:bCs w:val="1"/>
                <w:color w:val="auto"/>
              </w:rPr>
              <w:t>Part II. Other Information:</w:t>
            </w:r>
          </w:p>
        </w:tc>
        <w:tc>
          <w:tcPr>
            <w:tcW w:w="800" w:type="dxa"/>
            <w:vAlign w:val="bottom"/>
          </w:tcPr>
          <w:p>
            <w:pPr>
              <w:spacing w:after="0"/>
              <w:rPr>
                <w:sz w:val="24"/>
                <w:szCs w:val="24"/>
                <w:color w:val="auto"/>
              </w:rPr>
            </w:pPr>
          </w:p>
        </w:tc>
      </w:tr>
      <w:tr>
        <w:trPr>
          <w:trHeight w:val="392"/>
        </w:trPr>
        <w:tc>
          <w:tcPr>
            <w:tcW w:w="50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6</w:t>
              </w:r>
            </w:hyperlink>
          </w:p>
        </w:tc>
        <w:tc>
          <w:tcPr>
            <w:tcW w:w="9640" w:type="dxa"/>
            <w:vAlign w:val="bottom"/>
            <w:gridSpan w:val="12"/>
          </w:tcPr>
          <w:p>
            <w:pPr>
              <w:ind w:left="20"/>
              <w:spacing w:after="0"/>
              <w:rPr>
                <w:rFonts w:ascii="Arial" w:cs="Arial" w:eastAsia="Arial" w:hAnsi="Arial"/>
                <w:sz w:val="18"/>
                <w:szCs w:val="18"/>
                <w:color w:val="0000EE"/>
              </w:rPr>
            </w:pPr>
            <w:hyperlink w:anchor="page28">
              <w:r>
                <w:rPr>
                  <w:rFonts w:ascii="Arial" w:cs="Arial" w:eastAsia="Arial" w:hAnsi="Arial"/>
                  <w:sz w:val="18"/>
                  <w:szCs w:val="18"/>
                  <w:color w:val="0000EE"/>
                </w:rPr>
                <w:t>- Exhibits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412"/>
        </w:trPr>
        <w:tc>
          <w:tcPr>
            <w:tcW w:w="500" w:type="dxa"/>
            <w:vAlign w:val="bottom"/>
          </w:tcPr>
          <w:p>
            <w:pPr>
              <w:spacing w:after="0"/>
              <w:rPr>
                <w:sz w:val="24"/>
                <w:szCs w:val="24"/>
                <w:color w:val="auto"/>
              </w:rPr>
            </w:pPr>
          </w:p>
        </w:tc>
        <w:tc>
          <w:tcPr>
            <w:tcW w:w="1200" w:type="dxa"/>
            <w:vAlign w:val="bottom"/>
            <w:tcBorders>
              <w:top w:val="single" w:sz="8" w:color="0000EE"/>
            </w:tcBorders>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8920" w:type="dxa"/>
            <w:vAlign w:val="bottom"/>
            <w:gridSpan w:val="10"/>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1027"/>
        </w:trPr>
        <w:tc>
          <w:tcPr>
            <w:tcW w:w="500" w:type="dxa"/>
            <w:vAlign w:val="bottom"/>
            <w:tcBorders>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January 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12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rPr>
              <w:t>(UNAUDITED)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2,418</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8,442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Accounts receivable, net of allowance for doubtful accounts</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$173 at January 31, 2019 and $181 at April 30, 2018</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Costs and estimated earnings in excess of billings, net</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7,282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Prepaid income taxes</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51,813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52,075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plant and equipment, at cost, net of</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accumulated depreciation and amortization</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13,783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84,248</w:t>
            </w:r>
          </w:p>
        </w:tc>
        <w:tc>
          <w:tcPr>
            <w:tcW w:w="1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83,584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jc w:val="center"/>
              <w:ind w:right="5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 trade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1,120</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rent and other liabilities</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Preferred stock - $1.00 par value authorized 600 shares, no shares issued</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Common stock - $1.00 par value; authorized 20,000 shares, 9,164 shares issued,</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8,955 shares outstanding at January 31, 2019; 8,867 shares outstanding at April 30, 2018</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56,696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56,439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Retained earnings (Accumulated deficit)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66,111</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65,538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Common stock reacquired and held in treasury -</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at cost (209 shares at January 31, 2019 and 297 shares at April 30, 2018)</w:t>
            </w:r>
          </w:p>
        </w:tc>
        <w:tc>
          <w:tcPr>
            <w:tcW w:w="12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64,591</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63,262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84,248</w:t>
            </w: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January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3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80" w:type="dxa"/>
            <w:vAlign w:val="bottom"/>
            <w:gridSpan w:val="2"/>
            <w:vMerge w:val="continue"/>
          </w:tcPr>
          <w:p>
            <w:pPr>
              <w:spacing w:after="0"/>
              <w:rPr>
                <w:sz w:val="18"/>
                <w:szCs w:val="18"/>
                <w:color w:val="auto"/>
              </w:rPr>
            </w:pPr>
          </w:p>
        </w:tc>
        <w:tc>
          <w:tcPr>
            <w:tcW w:w="27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72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36,345</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 of revenues</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23,953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Gross margin</w:t>
            </w: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12,392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7,838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640"/>
              <w:spacing w:after="0"/>
              <w:rPr>
                <w:sz w:val="20"/>
                <w:szCs w:val="20"/>
                <w:color w:val="auto"/>
              </w:rPr>
            </w:pPr>
            <w:r>
              <w:rPr>
                <w:rFonts w:ascii="Arial" w:cs="Arial" w:eastAsia="Arial" w:hAnsi="Arial"/>
                <w:sz w:val="18"/>
                <w:szCs w:val="18"/>
                <w:color w:val="auto"/>
              </w:rPr>
              <w:t>Operating loss</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(8,995)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income (expense):</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Investment income</w:t>
            </w: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640"/>
              <w:spacing w:after="0"/>
              <w:rPr>
                <w:sz w:val="20"/>
                <w:szCs w:val="20"/>
                <w:color w:val="auto"/>
              </w:rPr>
            </w:pPr>
            <w:r>
              <w:rPr>
                <w:rFonts w:ascii="Arial" w:cs="Arial" w:eastAsia="Arial" w:hAnsi="Arial"/>
                <w:sz w:val="18"/>
                <w:szCs w:val="18"/>
                <w:color w:val="auto"/>
              </w:rPr>
              <w:t>Interest expense</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income, net</w:t>
            </w: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Loss before provision (benefit) for income taxes</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640"/>
              <w:spacing w:after="0"/>
              <w:rPr>
                <w:sz w:val="20"/>
                <w:szCs w:val="20"/>
                <w:color w:val="auto"/>
              </w:rPr>
            </w:pPr>
            <w:r>
              <w:rPr>
                <w:rFonts w:ascii="Arial" w:cs="Arial" w:eastAsia="Arial" w:hAnsi="Arial"/>
                <w:sz w:val="18"/>
                <w:szCs w:val="18"/>
                <w:color w:val="auto"/>
              </w:rPr>
              <w:t>Net loss</w:t>
            </w:r>
          </w:p>
        </w:tc>
        <w:tc>
          <w:tcPr>
            <w:tcW w:w="274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 and diluted loss from continued operations</w:t>
            </w:r>
          </w:p>
        </w:tc>
        <w:tc>
          <w:tcPr>
            <w:tcW w:w="27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60" w:type="dxa"/>
            <w:vAlign w:val="bottom"/>
          </w:tcPr>
          <w:p>
            <w:pPr>
              <w:ind w:left="640"/>
              <w:spacing w:after="0" w:line="196" w:lineRule="exact"/>
              <w:rPr>
                <w:sz w:val="20"/>
                <w:szCs w:val="20"/>
                <w:color w:val="auto"/>
              </w:rPr>
            </w:pPr>
            <w:r>
              <w:rPr>
                <w:rFonts w:ascii="Arial" w:cs="Arial" w:eastAsia="Arial" w:hAnsi="Arial"/>
                <w:sz w:val="18"/>
                <w:szCs w:val="18"/>
                <w:color w:val="auto"/>
              </w:rPr>
              <w:t>Basic and diluted loss from discontinued operations</w:t>
            </w:r>
          </w:p>
        </w:tc>
        <w:tc>
          <w:tcPr>
            <w:tcW w:w="2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shd w:val="clear" w:color="auto" w:fill="CCEEFF"/>
          </w:tcPr>
          <w:p>
            <w:pPr>
              <w:ind w:left="640"/>
              <w:spacing w:after="0" w:line="196" w:lineRule="exact"/>
              <w:rPr>
                <w:sz w:val="20"/>
                <w:szCs w:val="20"/>
                <w:color w:val="auto"/>
              </w:rPr>
            </w:pPr>
            <w:r>
              <w:rPr>
                <w:rFonts w:ascii="Arial" w:cs="Arial" w:eastAsia="Arial" w:hAnsi="Arial"/>
                <w:sz w:val="18"/>
                <w:szCs w:val="18"/>
                <w:color w:val="auto"/>
              </w:rPr>
              <w:t>Basic and diluted loss per share</w:t>
            </w:r>
          </w:p>
        </w:tc>
        <w:tc>
          <w:tcPr>
            <w:tcW w:w="27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640"/>
              <w:spacing w:after="0"/>
              <w:rPr>
                <w:sz w:val="20"/>
                <w:szCs w:val="20"/>
                <w:color w:val="auto"/>
              </w:rPr>
            </w:pPr>
            <w:r>
              <w:rPr>
                <w:rFonts w:ascii="Arial" w:cs="Arial" w:eastAsia="Arial" w:hAnsi="Arial"/>
                <w:sz w:val="18"/>
                <w:szCs w:val="18"/>
                <w:color w:val="auto"/>
              </w:rPr>
              <w:t>Basic</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8,899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shd w:val="clear" w:color="auto" w:fill="CCEEFF"/>
          </w:tcPr>
          <w:p>
            <w:pPr>
              <w:ind w:left="640"/>
              <w:spacing w:after="0" w:line="196" w:lineRule="exact"/>
              <w:rPr>
                <w:sz w:val="20"/>
                <w:szCs w:val="20"/>
                <w:color w:val="auto"/>
              </w:rPr>
            </w:pPr>
            <w:r>
              <w:rPr>
                <w:rFonts w:ascii="Arial" w:cs="Arial" w:eastAsia="Arial" w:hAnsi="Arial"/>
                <w:sz w:val="18"/>
                <w:szCs w:val="18"/>
                <w:color w:val="auto"/>
              </w:rPr>
              <w:t>Diluted</w:t>
            </w:r>
          </w:p>
        </w:tc>
        <w:tc>
          <w:tcPr>
            <w:tcW w:w="27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8,899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8,836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3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Condensed Consolidated Statements of Comprehensive Income (Loss)</w:t>
            </w:r>
          </w:p>
        </w:tc>
        <w:tc>
          <w:tcPr>
            <w:tcW w:w="27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top w:val="single" w:sz="8" w:color="CCEEFF"/>
            </w:tcBorders>
          </w:tcPr>
          <w:p>
            <w:pPr>
              <w:ind w:left="640"/>
              <w:spacing w:after="0"/>
              <w:rPr>
                <w:sz w:val="20"/>
                <w:szCs w:val="20"/>
                <w:color w:val="auto"/>
              </w:rPr>
            </w:pPr>
            <w:r>
              <w:rPr>
                <w:rFonts w:ascii="Arial" w:cs="Arial" w:eastAsia="Arial" w:hAnsi="Arial"/>
                <w:sz w:val="18"/>
                <w:szCs w:val="18"/>
                <w:color w:val="auto"/>
              </w:rPr>
              <w:t>Net loss</w:t>
            </w:r>
          </w:p>
        </w:tc>
        <w:tc>
          <w:tcPr>
            <w:tcW w:w="3720" w:type="dxa"/>
            <w:vAlign w:val="bottom"/>
            <w:tcBorders>
              <w:top w:val="single" w:sz="8" w:color="CCEEFF"/>
            </w:tcBorders>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(168)</w:t>
            </w:r>
          </w:p>
        </w:tc>
        <w:tc>
          <w:tcPr>
            <w:tcW w:w="40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(11,263)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comprehensive loss:</w:t>
            </w:r>
          </w:p>
        </w:tc>
        <w:tc>
          <w:tcPr>
            <w:tcW w:w="27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640"/>
              <w:spacing w:after="0"/>
              <w:rPr>
                <w:sz w:val="20"/>
                <w:szCs w:val="20"/>
                <w:color w:val="auto"/>
              </w:rPr>
            </w:pPr>
            <w:r>
              <w:rPr>
                <w:rFonts w:ascii="Arial" w:cs="Arial" w:eastAsia="Arial" w:hAnsi="Arial"/>
                <w:sz w:val="18"/>
                <w:szCs w:val="18"/>
                <w:color w:val="auto"/>
              </w:rPr>
              <w:t>Foreign currency translation adjustment</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Unrealized gain (loss) on marketable securities:</w:t>
            </w:r>
          </w:p>
        </w:tc>
        <w:tc>
          <w:tcPr>
            <w:tcW w:w="27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ind w:left="640"/>
              <w:spacing w:after="0" w:line="201" w:lineRule="exact"/>
              <w:rPr>
                <w:sz w:val="20"/>
                <w:szCs w:val="20"/>
                <w:color w:val="auto"/>
              </w:rPr>
            </w:pPr>
            <w:r>
              <w:rPr>
                <w:rFonts w:ascii="Arial" w:cs="Arial" w:eastAsia="Arial" w:hAnsi="Arial"/>
                <w:sz w:val="18"/>
                <w:szCs w:val="18"/>
                <w:color w:val="auto"/>
              </w:rPr>
              <w:t>Change in market value of marketable securities before</w:t>
            </w:r>
          </w:p>
        </w:tc>
        <w:tc>
          <w:tcPr>
            <w:tcW w:w="2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680"/>
              <w:spacing w:after="0"/>
              <w:rPr>
                <w:sz w:val="20"/>
                <w:szCs w:val="20"/>
                <w:color w:val="auto"/>
              </w:rPr>
            </w:pPr>
            <w:r>
              <w:rPr>
                <w:rFonts w:ascii="Arial" w:cs="Arial" w:eastAsia="Arial" w:hAnsi="Arial"/>
                <w:sz w:val="18"/>
                <w:szCs w:val="18"/>
                <w:color w:val="auto"/>
              </w:rPr>
              <w:t>reclassification, net of tax of $8 in 2018</w:t>
            </w:r>
          </w:p>
        </w:tc>
        <w:tc>
          <w:tcPr>
            <w:tcW w:w="2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Reclassification adjustment for realized gains included in</w:t>
            </w:r>
          </w:p>
        </w:tc>
        <w:tc>
          <w:tcPr>
            <w:tcW w:w="2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income, net of tax of $355 in 2018</w:t>
            </w: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640"/>
              <w:spacing w:after="0"/>
              <w:rPr>
                <w:sz w:val="20"/>
                <w:szCs w:val="20"/>
                <w:color w:val="auto"/>
              </w:rPr>
            </w:pPr>
            <w:r>
              <w:rPr>
                <w:rFonts w:ascii="Arial" w:cs="Arial" w:eastAsia="Arial" w:hAnsi="Arial"/>
                <w:sz w:val="18"/>
                <w:szCs w:val="18"/>
                <w:color w:val="auto"/>
                <w:w w:val="93"/>
              </w:rPr>
              <w:t>Total unrealized gain (loss) on marketable securities, net of tax</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640"/>
              <w:spacing w:after="0"/>
              <w:rPr>
                <w:sz w:val="20"/>
                <w:szCs w:val="20"/>
                <w:color w:val="auto"/>
              </w:rPr>
            </w:pPr>
            <w:r>
              <w:rPr>
                <w:rFonts w:ascii="Arial" w:cs="Arial" w:eastAsia="Arial" w:hAnsi="Arial"/>
                <w:sz w:val="18"/>
                <w:szCs w:val="18"/>
                <w:color w:val="auto"/>
              </w:rPr>
              <w:t>Total other comprehensive income (loss)</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Comprehensive income (loss)</w:t>
            </w:r>
          </w:p>
        </w:tc>
        <w:tc>
          <w:tcPr>
            <w:tcW w:w="27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January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3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80" w:type="dxa"/>
            <w:vAlign w:val="bottom"/>
            <w:gridSpan w:val="2"/>
            <w:vMerge w:val="continue"/>
          </w:tcPr>
          <w:p>
            <w:pPr>
              <w:spacing w:after="0"/>
              <w:rPr>
                <w:sz w:val="18"/>
                <w:szCs w:val="18"/>
                <w:color w:val="auto"/>
              </w:rPr>
            </w:pPr>
          </w:p>
        </w:tc>
        <w:tc>
          <w:tcPr>
            <w:tcW w:w="27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72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13,193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 of revenues</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9,093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Gross margin (loss)</w:t>
            </w: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2,657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640"/>
              <w:spacing w:after="0"/>
              <w:rPr>
                <w:sz w:val="20"/>
                <w:szCs w:val="20"/>
                <w:color w:val="auto"/>
              </w:rPr>
            </w:pPr>
            <w:r>
              <w:rPr>
                <w:rFonts w:ascii="Arial" w:cs="Arial" w:eastAsia="Arial" w:hAnsi="Arial"/>
                <w:sz w:val="18"/>
                <w:szCs w:val="18"/>
                <w:color w:val="auto"/>
              </w:rPr>
              <w:t>Operating loss</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(7,309)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expense:</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Investment income</w:t>
            </w: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640"/>
              <w:spacing w:after="0"/>
              <w:rPr>
                <w:sz w:val="20"/>
                <w:szCs w:val="20"/>
                <w:color w:val="auto"/>
              </w:rPr>
            </w:pPr>
            <w:r>
              <w:rPr>
                <w:rFonts w:ascii="Arial" w:cs="Arial" w:eastAsia="Arial" w:hAnsi="Arial"/>
                <w:sz w:val="18"/>
                <w:szCs w:val="18"/>
                <w:color w:val="auto"/>
              </w:rPr>
              <w:t>Interest expense</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income, net</w:t>
            </w: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640"/>
              <w:spacing w:after="0"/>
              <w:rPr>
                <w:sz w:val="20"/>
                <w:szCs w:val="20"/>
                <w:color w:val="auto"/>
              </w:rPr>
            </w:pPr>
            <w:r>
              <w:rPr>
                <w:rFonts w:ascii="Arial" w:cs="Arial" w:eastAsia="Arial" w:hAnsi="Arial"/>
                <w:sz w:val="18"/>
                <w:szCs w:val="18"/>
                <w:color w:val="auto"/>
              </w:rPr>
              <w:t>Net loss</w:t>
            </w:r>
          </w:p>
        </w:tc>
        <w:tc>
          <w:tcPr>
            <w:tcW w:w="274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(321)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 (loss) income from continued operations</w:t>
            </w:r>
          </w:p>
        </w:tc>
        <w:tc>
          <w:tcPr>
            <w:tcW w:w="27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60" w:type="dxa"/>
            <w:vAlign w:val="bottom"/>
          </w:tcPr>
          <w:p>
            <w:pPr>
              <w:ind w:left="640"/>
              <w:spacing w:after="0" w:line="196" w:lineRule="exact"/>
              <w:rPr>
                <w:sz w:val="20"/>
                <w:szCs w:val="20"/>
                <w:color w:val="auto"/>
              </w:rPr>
            </w:pPr>
            <w:r>
              <w:rPr>
                <w:rFonts w:ascii="Arial" w:cs="Arial" w:eastAsia="Arial" w:hAnsi="Arial"/>
                <w:sz w:val="18"/>
                <w:szCs w:val="18"/>
                <w:color w:val="auto"/>
              </w:rPr>
              <w:t>Basic loss from discontinued operations</w:t>
            </w:r>
          </w:p>
        </w:tc>
        <w:tc>
          <w:tcPr>
            <w:tcW w:w="2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shd w:val="clear" w:color="auto" w:fill="CCEEFF"/>
          </w:tcPr>
          <w:p>
            <w:pPr>
              <w:ind w:left="640"/>
              <w:spacing w:after="0" w:line="196" w:lineRule="exact"/>
              <w:rPr>
                <w:sz w:val="20"/>
                <w:szCs w:val="20"/>
                <w:color w:val="auto"/>
              </w:rPr>
            </w:pPr>
            <w:r>
              <w:rPr>
                <w:rFonts w:ascii="Arial" w:cs="Arial" w:eastAsia="Arial" w:hAnsi="Arial"/>
                <w:sz w:val="18"/>
                <w:szCs w:val="18"/>
                <w:color w:val="auto"/>
              </w:rPr>
              <w:t>Basic (loss) income per share</w:t>
            </w:r>
          </w:p>
        </w:tc>
        <w:tc>
          <w:tcPr>
            <w:tcW w:w="27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640"/>
              <w:spacing w:after="0"/>
              <w:rPr>
                <w:sz w:val="20"/>
                <w:szCs w:val="20"/>
                <w:color w:val="auto"/>
              </w:rPr>
            </w:pPr>
            <w:r>
              <w:rPr>
                <w:rFonts w:ascii="Arial" w:cs="Arial" w:eastAsia="Arial" w:hAnsi="Arial"/>
                <w:sz w:val="18"/>
                <w:szCs w:val="18"/>
                <w:color w:val="auto"/>
              </w:rPr>
              <w:t>Basic</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8,928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shd w:val="clear" w:color="auto" w:fill="CCEEFF"/>
          </w:tcPr>
          <w:p>
            <w:pPr>
              <w:ind w:left="640"/>
              <w:spacing w:after="0" w:line="196" w:lineRule="exact"/>
              <w:rPr>
                <w:sz w:val="20"/>
                <w:szCs w:val="20"/>
                <w:color w:val="auto"/>
              </w:rPr>
            </w:pPr>
            <w:r>
              <w:rPr>
                <w:rFonts w:ascii="Arial" w:cs="Arial" w:eastAsia="Arial" w:hAnsi="Arial"/>
                <w:sz w:val="18"/>
                <w:szCs w:val="18"/>
                <w:color w:val="auto"/>
              </w:rPr>
              <w:t>Diluted</w:t>
            </w:r>
          </w:p>
        </w:tc>
        <w:tc>
          <w:tcPr>
            <w:tcW w:w="27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8,928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8,846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3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Condensed Consolidated Statements of Comprehensive Income (Loss)</w:t>
            </w:r>
          </w:p>
        </w:tc>
        <w:tc>
          <w:tcPr>
            <w:tcW w:w="27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top w:val="single" w:sz="8" w:color="CCEEFF"/>
            </w:tcBorders>
          </w:tcPr>
          <w:p>
            <w:pPr>
              <w:ind w:left="640"/>
              <w:spacing w:after="0"/>
              <w:rPr>
                <w:sz w:val="20"/>
                <w:szCs w:val="20"/>
                <w:color w:val="auto"/>
              </w:rPr>
            </w:pPr>
            <w:r>
              <w:rPr>
                <w:rFonts w:ascii="Arial" w:cs="Arial" w:eastAsia="Arial" w:hAnsi="Arial"/>
                <w:sz w:val="18"/>
                <w:szCs w:val="18"/>
                <w:color w:val="auto"/>
              </w:rPr>
              <w:t>Net loss</w:t>
            </w:r>
          </w:p>
        </w:tc>
        <w:tc>
          <w:tcPr>
            <w:tcW w:w="3720" w:type="dxa"/>
            <w:vAlign w:val="bottom"/>
            <w:tcBorders>
              <w:top w:val="single" w:sz="8" w:color="CCEEFF"/>
            </w:tcBorders>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(321)</w:t>
            </w:r>
          </w:p>
        </w:tc>
        <w:tc>
          <w:tcPr>
            <w:tcW w:w="40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(10,396)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comprehensive income:</w:t>
            </w:r>
          </w:p>
        </w:tc>
        <w:tc>
          <w:tcPr>
            <w:tcW w:w="27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640"/>
              <w:spacing w:after="0"/>
              <w:rPr>
                <w:sz w:val="20"/>
                <w:szCs w:val="20"/>
                <w:color w:val="auto"/>
              </w:rPr>
            </w:pPr>
            <w:r>
              <w:rPr>
                <w:rFonts w:ascii="Arial" w:cs="Arial" w:eastAsia="Arial" w:hAnsi="Arial"/>
                <w:sz w:val="18"/>
                <w:szCs w:val="18"/>
                <w:color w:val="auto"/>
              </w:rPr>
              <w:t>Foreign currency translation adjustment</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Unrealized (loss) gain on marketable securities:</w:t>
            </w:r>
          </w:p>
        </w:tc>
        <w:tc>
          <w:tcPr>
            <w:tcW w:w="27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ind w:left="640"/>
              <w:spacing w:after="0" w:line="201" w:lineRule="exact"/>
              <w:rPr>
                <w:sz w:val="20"/>
                <w:szCs w:val="20"/>
                <w:color w:val="auto"/>
              </w:rPr>
            </w:pPr>
            <w:r>
              <w:rPr>
                <w:rFonts w:ascii="Arial" w:cs="Arial" w:eastAsia="Arial" w:hAnsi="Arial"/>
                <w:sz w:val="18"/>
                <w:szCs w:val="18"/>
                <w:color w:val="auto"/>
              </w:rPr>
              <w:t>Change in market value of marketable securities before</w:t>
            </w:r>
          </w:p>
        </w:tc>
        <w:tc>
          <w:tcPr>
            <w:tcW w:w="2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680"/>
              <w:spacing w:after="0"/>
              <w:rPr>
                <w:sz w:val="20"/>
                <w:szCs w:val="20"/>
                <w:color w:val="auto"/>
              </w:rPr>
            </w:pPr>
            <w:r>
              <w:rPr>
                <w:rFonts w:ascii="Arial" w:cs="Arial" w:eastAsia="Arial" w:hAnsi="Arial"/>
                <w:sz w:val="18"/>
                <w:szCs w:val="18"/>
                <w:color w:val="auto"/>
              </w:rPr>
              <w:t>reclassification, net of tax of $39 in 2018</w:t>
            </w:r>
          </w:p>
        </w:tc>
        <w:tc>
          <w:tcPr>
            <w:tcW w:w="2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Reclassification adjustment for realized gains included in</w:t>
            </w:r>
          </w:p>
        </w:tc>
        <w:tc>
          <w:tcPr>
            <w:tcW w:w="2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income</w:t>
            </w:r>
          </w:p>
        </w:tc>
        <w:tc>
          <w:tcPr>
            <w:tcW w:w="2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640"/>
              <w:spacing w:after="0"/>
              <w:rPr>
                <w:sz w:val="20"/>
                <w:szCs w:val="20"/>
                <w:color w:val="auto"/>
              </w:rPr>
            </w:pPr>
            <w:r>
              <w:rPr>
                <w:rFonts w:ascii="Arial" w:cs="Arial" w:eastAsia="Arial" w:hAnsi="Arial"/>
                <w:sz w:val="18"/>
                <w:szCs w:val="18"/>
                <w:color w:val="auto"/>
                <w:w w:val="93"/>
              </w:rPr>
              <w:t>Total unrealized gain (loss) on marketable securities, net of tax</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640"/>
              <w:spacing w:after="0"/>
              <w:rPr>
                <w:sz w:val="20"/>
                <w:szCs w:val="20"/>
                <w:color w:val="auto"/>
              </w:rPr>
            </w:pPr>
            <w:r>
              <w:rPr>
                <w:rFonts w:ascii="Arial" w:cs="Arial" w:eastAsia="Arial" w:hAnsi="Arial"/>
                <w:sz w:val="18"/>
                <w:szCs w:val="18"/>
                <w:color w:val="auto"/>
              </w:rPr>
              <w:t>Total other comprehensive income (loss)</w:t>
            </w:r>
          </w:p>
        </w:tc>
        <w:tc>
          <w:tcPr>
            <w:tcW w:w="2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Comprehensive income (loss)</w:t>
            </w:r>
          </w:p>
        </w:tc>
        <w:tc>
          <w:tcPr>
            <w:tcW w:w="27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January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2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loss from continuing operations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Net loss from discontinued operations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Non-cash charges to earnings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changes in operating assets and liabilities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(4,420)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provided by operating activities – continuing operations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provided by operating activities – discontinued operations</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20"/>
              <w:spacing w:after="0"/>
              <w:rPr>
                <w:sz w:val="20"/>
                <w:szCs w:val="20"/>
                <w:color w:val="auto"/>
              </w:rPr>
            </w:pPr>
            <w:r>
              <w:rPr>
                <w:rFonts w:ascii="Arial" w:cs="Arial" w:eastAsia="Arial" w:hAnsi="Arial"/>
                <w:sz w:val="18"/>
                <w:szCs w:val="18"/>
                <w:color w:val="auto"/>
              </w:rPr>
              <w:t>Net cash (used in) provided by operating activities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Proceeds on redemption of marketable securities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Purchase of marketable securities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(3,200)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Purchase of fixed assets and other assets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(2,175)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(used in) provided by investing activities – continuing operations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(4,388)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used in investing activities – discontinued operations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(used in) cash provided by investing activities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(4,388)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Tax benefit from exercise of stock-based compensation</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(decrease) increase in cash and cash equivalents before effect of exchange rate changes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(5,673)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Net (decrease) increase in cash and cash equivalents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(5,451)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Cash and cash equivalents at beginning of period</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Less cash and equivalents of discontinued operations at end of period</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Cash and cash equivalents of continuing operations at end of period</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2,418</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Cash paid during the period for:</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Interest</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640"/>
              <w:spacing w:after="0" w:line="196" w:lineRule="exact"/>
              <w:rPr>
                <w:sz w:val="20"/>
                <w:szCs w:val="20"/>
                <w:color w:val="auto"/>
              </w:rPr>
            </w:pPr>
            <w:r>
              <w:rPr>
                <w:rFonts w:ascii="Arial" w:cs="Arial" w:eastAsia="Arial" w:hAnsi="Arial"/>
                <w:sz w:val="18"/>
                <w:szCs w:val="18"/>
                <w:color w:val="auto"/>
              </w:rPr>
              <w:t>Income taxes</w:t>
            </w:r>
          </w:p>
        </w:tc>
        <w:tc>
          <w:tcPr>
            <w:tcW w:w="980" w:type="dxa"/>
            <w:vAlign w:val="bottom"/>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4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January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Deficit)</w:t>
            </w:r>
          </w:p>
        </w:tc>
        <w:tc>
          <w:tcPr>
            <w:tcW w:w="214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other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2220" w:type="dxa"/>
            <w:vAlign w:val="bottom"/>
            <w:gridSpan w:val="6"/>
          </w:tcPr>
          <w:p>
            <w:pPr>
              <w:ind w:left="40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paid in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Retained</w:t>
            </w:r>
          </w:p>
        </w:tc>
        <w:tc>
          <w:tcPr>
            <w:tcW w:w="14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(at cost)</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comprehensive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earnings</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Income (loss)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2018</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9,163,940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56,439</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297,083</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(1,361)</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63,262</w:t>
            </w: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Opening adjustment for</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484</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7"/>
        </w:trPr>
        <w:tc>
          <w:tcPr>
            <w:tcW w:w="2220" w:type="dxa"/>
            <w:vAlign w:val="bottom"/>
          </w:tcPr>
          <w:p>
            <w:pPr>
              <w:spacing w:after="0"/>
              <w:rPr>
                <w:sz w:val="20"/>
                <w:szCs w:val="20"/>
                <w:color w:val="auto"/>
              </w:rPr>
            </w:pPr>
            <w:r>
              <w:rPr>
                <w:rFonts w:ascii="Arial" w:cs="Arial" w:eastAsia="Arial" w:hAnsi="Arial"/>
                <w:sz w:val="18"/>
                <w:szCs w:val="18"/>
                <w:color w:val="auto"/>
              </w:rPr>
              <w:t>adoption of ASU 2014-09</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Adjusted balance at May 1,</w:t>
            </w: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9,163,940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56,439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297,083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63,746</w:t>
            </w: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Contribution of stock to</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401(k) plan</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(14,339)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Exercise of stock options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w w:val="96"/>
              </w:rPr>
              <w:t>and stock appreciation rights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 net of shares tendered for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exercise price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income, net of tax</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31, 2018</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9,163,940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56,610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282,744</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(1,295)</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63,970</w:t>
            </w: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Contribution of stock to</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401(k) plan</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(10,089)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Exercise of stock options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w w:val="96"/>
              </w:rPr>
              <w:t>and stock appreciation rights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 net of shares tendered for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exercise price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(17,708)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loss,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 at October 31, 2018</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9,163,940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56,710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254,947</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(1,168)</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64,224</w:t>
            </w: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Contribution of stock to</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401(k) plan</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(5,829)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Exercise of stock options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w w:val="96"/>
              </w:rPr>
              <w:t>and stock appreciation rights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 net of shares tendered for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exercise price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(38,536)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income, net of tax</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 at January 31, 2019</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9,163,940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56,696</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209,482</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64,591</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January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Deficit)</w:t>
            </w:r>
          </w:p>
        </w:tc>
        <w:tc>
          <w:tcPr>
            <w:tcW w:w="214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other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220" w:type="dxa"/>
            <w:vAlign w:val="bottom"/>
          </w:tcPr>
          <w:p>
            <w:pPr>
              <w:spacing w:after="0"/>
              <w:rPr>
                <w:sz w:val="20"/>
                <w:szCs w:val="20"/>
                <w:color w:val="auto"/>
              </w:rPr>
            </w:pPr>
          </w:p>
        </w:tc>
        <w:tc>
          <w:tcPr>
            <w:tcW w:w="2220" w:type="dxa"/>
            <w:vAlign w:val="bottom"/>
            <w:gridSpan w:val="6"/>
          </w:tcPr>
          <w:p>
            <w:pPr>
              <w:ind w:left="40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paid in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Retained</w:t>
            </w:r>
          </w:p>
        </w:tc>
        <w:tc>
          <w:tcPr>
            <w:tcW w:w="14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(at cost)</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comprehensive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22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earnings</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Income (loss)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2017</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9,163,940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55,767</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23,712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347,422</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(1,592)</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89,332</w:t>
            </w: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Contribution of stock to</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401(k) plan</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(13,740)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Exercise of stock options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w w:val="96"/>
              </w:rPr>
              <w:t>and stock appreciation rights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 net of shares tendered for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exercise price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loss,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8"/>
                <w:szCs w:val="18"/>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31, 2017</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9,163,940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55,985</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24,326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332,838</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(1,525)</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89,891</w:t>
            </w: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Contribution of stock to</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401(k) plan</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(11,530)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Exercise of stock options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w w:val="96"/>
              </w:rPr>
              <w:t>and stock appreciation rights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 net of shares tendered for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exercise price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income, net of tax</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(1,481)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(1,481)</w:t>
            </w:r>
          </w:p>
        </w:tc>
      </w:tr>
      <w:tr>
        <w:trPr>
          <w:trHeight w:val="20"/>
        </w:trPr>
        <w:tc>
          <w:tcPr>
            <w:tcW w:w="2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 at October 31, 2017</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9,163,940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56,139</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22,845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321,308</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(1,472)</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88,878</w:t>
            </w: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Contribution of stock to</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401(k) plan</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(7,487)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Exercise of stock options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w w:val="96"/>
              </w:rPr>
              <w:t>and stock appreciation rights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 net of shares tendered for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exercise price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loss,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(10,396)</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(10,396)</w:t>
            </w:r>
          </w:p>
        </w:tc>
      </w:tr>
      <w:tr>
        <w:trPr>
          <w:trHeight w:val="20"/>
        </w:trPr>
        <w:tc>
          <w:tcPr>
            <w:tcW w:w="2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 at January 31, 2018</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9,163,940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56,289</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12,449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310,954</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(1,425)</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78,651</w:t>
            </w:r>
          </w:p>
        </w:tc>
      </w:tr>
      <w:tr>
        <w:trPr>
          <w:trHeight w:val="20"/>
        </w:trPr>
        <w:tc>
          <w:tcPr>
            <w:tcW w:w="2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CONDENSED CONSOLIDATED FINANCIAL STATEMENTS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January 31, 2019 and the results of its operations and cash flows for the nine and three months ended January 31, 2019 and January 31, 2018. The April 30, 2018 condensed consolidated balance sheet was derived from audited financial statements. Certain information and footnote disclosures normally included in financial statements prepared in accordance with generally accepted accounting principles in the United States (‘U.S. GAAP”) have been condensed or omitted. It is suggested that these condensed consolidated financial statements be read in conjunction with the Company’s Annual Report on Form 10-K for the year ended April 30, 2018, filed on July 30, 2018, and the financial statements and notes thereto. The results of operations for such interim periods are not necessarily indicative of the operating results for the full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B – DISCONTINUED OPERATIONS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April 2017, the Company decided to sell Gillam and determined that the assets and liabilities of this reportable segment met the discontinued operations criteria as defined in U. S. GAAP in the quarter ended April 30, 2017. On April 26, 2018, the Company sold Gillam to a European entity in a stock purchase agreement for $1.0 million in cash, which was received on April 27, 2018, and a note payable in three years for an additional $1.0 million. The loss recorded due to the sale of Gillam was approximately $359,000, which represented the carrying amount of the investment on FEI-NY’s books less the retained earnings and remaining Gillam equity value reduced by the cash received and the value of the note receivable which is recorded in the caption other assets in the accompanying Condensed Consolidated Balance Sheets. As such Gillam’s results have been classified as discontinued operations in the accompanying Condensed Consolidated Statements of Operations and Comprehensive Income (Loss) for fiscal 2018.</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Summarized operating results for the Gillam discontinued operations, for the nine and three months ended January 31, 2018,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Nine months</w:t>
            </w:r>
          </w:p>
        </w:tc>
        <w:tc>
          <w:tcPr>
            <w:tcW w:w="12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Three months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(In thousands</w:t>
            </w:r>
          </w:p>
        </w:tc>
        <w:tc>
          <w:tcPr>
            <w:tcW w:w="1720" w:type="dxa"/>
            <w:vAlign w:val="bottom"/>
            <w:gridSpan w:val="3"/>
          </w:tcPr>
          <w:p>
            <w:pPr>
              <w:jc w:val="right"/>
              <w:ind w:right="450"/>
              <w:spacing w:after="0"/>
              <w:rPr>
                <w:sz w:val="20"/>
                <w:szCs w:val="20"/>
                <w:color w:val="auto"/>
              </w:rPr>
            </w:pPr>
            <w:r>
              <w:rPr>
                <w:rFonts w:ascii="Arial" w:cs="Arial" w:eastAsia="Arial" w:hAnsi="Arial"/>
                <w:sz w:val="18"/>
                <w:szCs w:val="18"/>
                <w:color w:val="auto"/>
                <w:w w:val="83"/>
              </w:rPr>
              <w:t>except par value)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Cost of Revenues</w:t>
            </w:r>
          </w:p>
        </w:tc>
        <w:tc>
          <w:tcPr>
            <w:tcW w:w="2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Gross Margin</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Operating Loss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Investment (loss) income</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 (expense), net</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2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(697)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(289)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100" w:type="dxa"/>
            <w:vAlign w:val="bottom"/>
            <w:vMerge w:val="restart"/>
          </w:tcPr>
          <w:p>
            <w:pPr>
              <w:jc w:val="right"/>
              <w:ind w:right="1070"/>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C – EARNINGS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Nine months</w:t>
            </w:r>
          </w:p>
        </w:tc>
        <w:tc>
          <w:tcPr>
            <w:tcW w:w="200" w:type="dxa"/>
            <w:vAlign w:val="bottom"/>
          </w:tcPr>
          <w:p>
            <w:pPr>
              <w:spacing w:after="0"/>
              <w:rPr>
                <w:sz w:val="20"/>
                <w:szCs w:val="20"/>
                <w:color w:val="auto"/>
              </w:rPr>
            </w:pPr>
          </w:p>
        </w:tc>
        <w:tc>
          <w:tcPr>
            <w:tcW w:w="25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8"/>
                <w:szCs w:val="18"/>
                <w:b w:val="1"/>
                <w:bCs w:val="1"/>
                <w:color w:val="auto"/>
                <w:w w:val="97"/>
              </w:rPr>
              <w:t>Periods ended January 31,</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3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8,899,110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8,835,685</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8,927,710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8,846,083</w:t>
            </w:r>
          </w:p>
        </w:tc>
        <w:tc>
          <w:tcPr>
            <w:tcW w:w="0" w:type="dxa"/>
            <w:vAlign w:val="bottom"/>
          </w:tcPr>
          <w:p>
            <w:pPr>
              <w:spacing w:after="0"/>
              <w:rPr>
                <w:sz w:val="1"/>
                <w:szCs w:val="1"/>
                <w:color w:val="auto"/>
              </w:rPr>
            </w:pPr>
          </w:p>
        </w:tc>
      </w:tr>
      <w:tr>
        <w:trPr>
          <w:trHeight w:val="216"/>
        </w:trPr>
        <w:tc>
          <w:tcPr>
            <w:tcW w:w="6080" w:type="dxa"/>
            <w:vAlign w:val="bottom"/>
          </w:tcPr>
          <w:p>
            <w:pPr>
              <w:ind w:left="660"/>
              <w:spacing w:after="0"/>
              <w:rPr>
                <w:sz w:val="20"/>
                <w:szCs w:val="20"/>
                <w:color w:val="auto"/>
              </w:rPr>
            </w:pPr>
            <w:r>
              <w:rPr>
                <w:rFonts w:ascii="Arial" w:cs="Arial" w:eastAsia="Arial" w:hAnsi="Arial"/>
                <w:sz w:val="18"/>
                <w:szCs w:val="18"/>
                <w:color w:val="auto"/>
              </w:rPr>
              <w:t>Effect of dilutive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8,899,110</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8,835,685</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8,927,710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8,846,083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56"/>
        <w:spacing w:after="0" w:line="293" w:lineRule="auto"/>
        <w:tabs>
          <w:tab w:leader="none" w:pos="901"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the nine and three month periods ended January 31, 2019, dilutive securities are excluded since the inclusion of such shares would be antidilutive due to the net loss for the periods. The exercisable shares excluded as of January 31, 2019 are 1,207,750 options. The effect of dilutive securities for the periods would have been 204,071 options and 289,322 options, for the nine and three month periods ended January 31, 2019, respectively. For the nine and three month periods ended January 31, 2018, dilutive securities are excluded since the inclusion of such shares would be antidilutive due to the net loss for the periods. The exercisable shares excluded as of January 31, 2018 are 1,260,250 options. The effect of dilutive securities for the periods would have been 131,638 options and 136,424 options for the nine and three month periods ended January 31, 2018,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NOTE D – COSTS AND ESTIMATED EARNINGS IN EXCESS OF BILLINGS,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January 31, 2019 and April 30, 2018, costs and estimated earnings in excess of billings, net, consisted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January 31, 2019</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April 30, 2018</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720" w:type="dxa"/>
            <w:vAlign w:val="bottom"/>
            <w:gridSpan w:val="3"/>
          </w:tcPr>
          <w:p>
            <w:pPr>
              <w:jc w:val="right"/>
              <w:ind w:right="1030"/>
              <w:spacing w:after="0"/>
              <w:rPr>
                <w:sz w:val="20"/>
                <w:szCs w:val="20"/>
                <w:color w:val="auto"/>
              </w:rPr>
            </w:pPr>
            <w:r>
              <w:rPr>
                <w:rFonts w:ascii="Arial" w:cs="Arial" w:eastAsia="Arial" w:hAnsi="Arial"/>
                <w:sz w:val="16"/>
                <w:szCs w:val="16"/>
                <w:color w:val="auto"/>
                <w:w w:val="73"/>
              </w:rPr>
              <w:t>thousands)</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(1,680)</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asset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basis at the measurement date. In general, the recorded amounts will be billed and collected or revenue recognized within twelve months of the balance sheet date. Revenue on these long-term contracts is accounted for on the percentage of completion basis. During the nine and three months ended January 31, 2019, revenue recognized under percentage of completion contracts was approximately $33.3 million and $12.9 million, respectively. During the nine and three months ended January 31, 2018, revenue recognized under percentage of completion contracts was approximately $13.7 million and $2.8 million, respectively. If contract losses are anticipated, costs and estimated earnings in excess of billings are reduced for the full amount of such losses when they are determinable.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NOTE E – TREASURY STOCK TRANSACTIONS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nine and three months period ended January 31, 2019, the Company made contributions of 30,257 shares and 5,829 shares, respectively, of its common stock held in treasury to the Company’s profit sharing plan and trust under Section 401(k) of the Internal Revenue Code. Such contributions are in accordance with the Company’s discretionary match of employee voluntary contributions to this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F – INVENTORIES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which are reported at the lower of cost or market, consisted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January 31, 2019</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April 30, 2018</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720" w:type="dxa"/>
            <w:vAlign w:val="bottom"/>
            <w:gridSpan w:val="3"/>
          </w:tcPr>
          <w:p>
            <w:pPr>
              <w:jc w:val="right"/>
              <w:ind w:right="1030"/>
              <w:spacing w:after="0"/>
              <w:rPr>
                <w:sz w:val="20"/>
                <w:szCs w:val="20"/>
                <w:color w:val="auto"/>
              </w:rPr>
            </w:pPr>
            <w:r>
              <w:rPr>
                <w:rFonts w:ascii="Arial" w:cs="Arial" w:eastAsia="Arial" w:hAnsi="Arial"/>
                <w:sz w:val="16"/>
                <w:szCs w:val="16"/>
                <w:color w:val="auto"/>
                <w:w w:val="73"/>
              </w:rPr>
              <w:t>thousands)</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Work in Progress</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8,216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25,065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26,186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January 31, 2019 and April 30, 2018, approximately $24.2 million and $25.2 million, respectively, of total inventory was located in the United States and $0.9 million and $1.0 million, respectively, was located in China.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G – SEGMENT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840" w:hanging="481"/>
        <w:spacing w:after="0" w:line="293" w:lineRule="auto"/>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FEI-NY – operates out of New York and its operations consist principally of precision time and frequency control products used in three principal markets: satellites (both commercial and U.S. Government-funded); terrestrial cellular telephone or other ground-based telecommunication stations; and other components and systems for the U.S. military. The FEI-NY segment also includes the operations of the Company’s wholly-owned subsidiaries, FEI-Elcom and FEI-Asia. FEI-Asia functions as a manufacturing facility for the FEI-NY segment with historically minimal sales to outside customers. In fiscal 2015 and 2016, they had higher sales to outside customers, producing product for third parties as a contract manufacturer. FEI-Elcom, in addition to its own product line, provides design and technical support the FEI-NY segment’s satellite business.</w:t>
      </w:r>
    </w:p>
    <w:p>
      <w:pPr>
        <w:spacing w:after="0" w:line="164" w:lineRule="exact"/>
        <w:rPr>
          <w:rFonts w:ascii="Arial" w:cs="Arial" w:eastAsia="Arial" w:hAnsi="Arial"/>
          <w:sz w:val="16"/>
          <w:szCs w:val="16"/>
          <w:color w:val="auto"/>
        </w:rPr>
      </w:pPr>
    </w:p>
    <w:p>
      <w:pPr>
        <w:ind w:left="840" w:hanging="481"/>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FEI-Zyfer – operates out of California and its products incorporate timing synchronization and distribution technologies into systems and subsystems for secure communications, both government and commercial.</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management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below present information about reported segments with reconciliation of segment amounts to consolidated amounts as reported in the statement of operations or the balance sheet for each of the periods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Nine months</w:t>
            </w: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5"/>
              </w:rPr>
              <w:t>Three months</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2"/>
              </w:rPr>
              <w:t>Periods ended January 31,</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6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28,076</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22,184</w:t>
            </w:r>
          </w:p>
        </w:tc>
        <w:tc>
          <w:tcPr>
            <w:tcW w:w="1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9,754</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6,444</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FEI-Zyfer</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8,746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12,378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3,644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33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8"/>
                <w:szCs w:val="18"/>
                <w:color w:val="auto"/>
              </w:rPr>
              <w:t>Consolidated revenues</w:t>
            </w:r>
          </w:p>
        </w:tc>
        <w:tc>
          <w:tcPr>
            <w:tcW w:w="13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36,345</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31,932</w:t>
            </w:r>
          </w:p>
        </w:tc>
        <w:tc>
          <w:tcPr>
            <w:tcW w:w="1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13,193</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10,572</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1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6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(11,312)</w:t>
            </w:r>
          </w:p>
        </w:tc>
        <w:tc>
          <w:tcPr>
            <w:tcW w:w="1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(939)</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(8,554)</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FEI-Zyfer</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847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33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8"/>
                <w:szCs w:val="18"/>
                <w:color w:val="auto"/>
              </w:rPr>
              <w:t>Consolidated operating loss</w:t>
            </w:r>
          </w:p>
        </w:tc>
        <w:tc>
          <w:tcPr>
            <w:tcW w:w="13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(8,995)</w:t>
            </w:r>
          </w:p>
        </w:tc>
        <w:tc>
          <w:tcPr>
            <w:tcW w:w="1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(394)</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(7,309)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Identifiable assets:</w:t>
            </w:r>
          </w:p>
        </w:tc>
        <w:tc>
          <w:tcPr>
            <w:tcW w:w="10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January 31, 2019</w:t>
            </w:r>
          </w:p>
        </w:tc>
        <w:tc>
          <w:tcPr>
            <w:tcW w:w="14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April 30, 2018</w:t>
            </w:r>
          </w:p>
        </w:tc>
        <w:tc>
          <w:tcPr>
            <w:tcW w:w="0" w:type="dxa"/>
            <w:vAlign w:val="bottom"/>
          </w:tcPr>
          <w:p>
            <w:pPr>
              <w:spacing w:after="0"/>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4"/>
              </w:rPr>
              <w:t>FEI-NY (approximately $1.4 and $1.7 million, respectively in China)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56,969</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FEI-Zyfer</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less intersegment balances</w:t>
            </w:r>
          </w:p>
        </w:tc>
        <w:tc>
          <w:tcPr>
            <w:tcW w:w="10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(11,577)</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Corporate</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28,858</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Consolidated identifiable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84,248</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H – INVESTMENT IN MORION, INC.</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has an investment in Morion, Inc. (“Morion”),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balance sheets. During the nine months ended January 31, 2019 and 2018, the Company acquired product from Morion in the aggregate amount of approximately $291,000 and $279,000, respectively, and the Company sold product and training services to Morion in the aggregate amount of approximately $2,000 and $192,000, respectively, included in revenues in the statement of operations as part of the FEI-NY segment. During the three months ended January 31, 2019 and 2018, the Company acquired product from Morion in the aggregate amount of approximately $145,000 and $108,000, respectively, and the Company sold product and training services to Morion in the aggregate amount of approximately $9,000 for the same period in 2018, included in revenues in the statement of operations as part of the FEI-NY segment. At January 31, 2019 there was no payable nor receivable related to Morion. During the nine months ended January 31, 2019 and 2018, the Company received a dividend from Morion in the amount of approximately $105,000 and $85,000, respectively, included in other income, net in the statement of operations as part of the FEI-NY segment.</w:t>
      </w:r>
    </w:p>
    <w:p>
      <w:pPr>
        <w:spacing w:after="0" w:line="18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Morion operates as a subsidiary of Gazprombank, a state-owned Russian bank. On July 16, 2014, after the Company’s investment in Morion, Gazprombank became subject to the U. S. Department of Treasury’s prohibition against U. S. persons from providing it with new financing.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OF FINANCIAL INSTRUMENTS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January 31, 2019 and April 30, 2018, respectively,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January 31, 2019</w:t>
            </w:r>
          </w:p>
        </w:tc>
        <w:tc>
          <w:tcPr>
            <w:tcW w:w="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220" w:type="dxa"/>
            <w:vAlign w:val="bottom"/>
          </w:tcPr>
          <w:p>
            <w:pPr>
              <w:spacing w:after="0"/>
              <w:rPr>
                <w:sz w:val="16"/>
                <w:szCs w:val="16"/>
                <w:color w:val="auto"/>
              </w:rPr>
            </w:pPr>
          </w:p>
        </w:tc>
        <w:tc>
          <w:tcPr>
            <w:tcW w:w="160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0"/>
              </w:rPr>
              <w:t>Losses</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Fair Market Value</w:t>
            </w:r>
          </w:p>
        </w:tc>
        <w:tc>
          <w:tcPr>
            <w:tcW w:w="100" w:type="dxa"/>
            <w:vAlign w:val="bottom"/>
          </w:tcPr>
          <w:p>
            <w:pPr>
              <w:spacing w:after="0"/>
              <w:rPr>
                <w:sz w:val="20"/>
                <w:szCs w:val="20"/>
                <w:color w:val="auto"/>
              </w:rPr>
            </w:pPr>
          </w:p>
        </w:tc>
      </w:tr>
      <w:tr>
        <w:trPr>
          <w:trHeight w:val="230"/>
        </w:trPr>
        <w:tc>
          <w:tcPr>
            <w:tcW w:w="3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Fixed income securities</w:t>
            </w: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8,473</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8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8,442</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April 30, 2018</w:t>
            </w: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220" w:type="dxa"/>
            <w:vAlign w:val="bottom"/>
          </w:tcPr>
          <w:p>
            <w:pPr>
              <w:spacing w:after="0"/>
              <w:rPr>
                <w:sz w:val="16"/>
                <w:szCs w:val="16"/>
                <w:color w:val="auto"/>
              </w:rPr>
            </w:pPr>
          </w:p>
        </w:tc>
        <w:tc>
          <w:tcPr>
            <w:tcW w:w="160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0"/>
              </w:rPr>
              <w:t>Losses</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Fair Market Value</w:t>
            </w:r>
          </w:p>
        </w:tc>
        <w:tc>
          <w:tcPr>
            <w:tcW w:w="100" w:type="dxa"/>
            <w:vAlign w:val="bottom"/>
          </w:tcPr>
          <w:p>
            <w:pPr>
              <w:spacing w:after="0"/>
              <w:rPr>
                <w:sz w:val="20"/>
                <w:szCs w:val="20"/>
                <w:color w:val="auto"/>
              </w:rPr>
            </w:pPr>
          </w:p>
        </w:tc>
      </w:tr>
      <w:tr>
        <w:trPr>
          <w:trHeight w:val="250"/>
        </w:trPr>
        <w:tc>
          <w:tcPr>
            <w:tcW w:w="3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Fixed income securities</w:t>
            </w:r>
          </w:p>
        </w:tc>
        <w:tc>
          <w:tcPr>
            <w:tcW w:w="18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8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6,149</w:t>
            </w:r>
          </w:p>
        </w:tc>
      </w:tr>
      <w:tr>
        <w:trPr>
          <w:trHeight w:val="629"/>
        </w:trPr>
        <w:tc>
          <w:tcPr>
            <w:tcW w:w="3240" w:type="dxa"/>
            <w:vAlign w:val="bottom"/>
            <w:tcBorders>
              <w:top w:val="single" w:sz="8" w:color="CCEEFF"/>
            </w:tcBorders>
          </w:tcPr>
          <w:p>
            <w:pPr>
              <w:spacing w:after="0"/>
              <w:rPr>
                <w:sz w:val="24"/>
                <w:szCs w:val="24"/>
                <w:color w:val="auto"/>
              </w:rPr>
            </w:pPr>
          </w:p>
        </w:tc>
        <w:tc>
          <w:tcPr>
            <w:tcW w:w="146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2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5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12 Months or more</w:t>
            </w: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vMerge w:val="restart"/>
          </w:tcPr>
          <w:p>
            <w:pPr>
              <w:jc w:val="center"/>
              <w:spacing w:after="0"/>
              <w:rPr>
                <w:sz w:val="20"/>
                <w:szCs w:val="20"/>
                <w:color w:val="auto"/>
              </w:rPr>
            </w:pPr>
            <w:r>
              <w:rPr>
                <w:rFonts w:ascii="Arial" w:cs="Arial" w:eastAsia="Arial" w:hAnsi="Arial"/>
                <w:sz w:val="18"/>
                <w:szCs w:val="18"/>
                <w:color w:val="auto"/>
                <w:w w:val="87"/>
              </w:rPr>
              <w:t>January 31, 2019</w:t>
            </w:r>
          </w:p>
        </w:tc>
        <w:tc>
          <w:tcPr>
            <w:tcW w:w="140" w:type="dxa"/>
            <w:vAlign w:val="bottom"/>
            <w:vMerge w:val="restart"/>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Fixed Income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13"/>
        </w:trPr>
        <w:tc>
          <w:tcPr>
            <w:tcW w:w="3200" w:type="dxa"/>
            <w:vAlign w:val="bottom"/>
            <w:tcBorders>
              <w:top w:val="single" w:sz="8" w:color="CCEEFF"/>
              <w:bottom w:val="single" w:sz="8" w:color="auto"/>
            </w:tcBorders>
          </w:tcPr>
          <w:p>
            <w:pPr>
              <w:jc w:val="center"/>
              <w:spacing w:after="0"/>
              <w:rPr>
                <w:sz w:val="20"/>
                <w:szCs w:val="20"/>
                <w:color w:val="auto"/>
              </w:rPr>
            </w:pPr>
            <w:r>
              <w:rPr>
                <w:rFonts w:ascii="Arial" w:cs="Arial" w:eastAsia="Arial" w:hAnsi="Arial"/>
                <w:sz w:val="18"/>
                <w:szCs w:val="18"/>
                <w:color w:val="auto"/>
                <w:w w:val="95"/>
              </w:rPr>
              <w:t>April 30, 2018</w:t>
            </w: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Fixed Income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January 31, 2019 were other-than-temporary due to market volatility of the security’s fair value, analysts’ expectations, and the Company’s ability to hold the securities for a period of time sufficient to allow for any anticipated recoveries in market value.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nine months ended January 31, 2019, the Company sold or redeemed available-for-sale securities of approximately $987,000, realizing gains of approximately $2,000. During the nine months ended January 31, 2018, the Company sold or redeemed available-for-sale securities in the amounts of approximately $6.5 million, realizing gains of approximately $1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fixed income securities classified as available-for-sale at January 31, 2019 were as follows, at cost (in thousands):</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3,997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6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8,473</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believes that the fair value of its financial instruments comprising notes receivable approximate the carrying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J – RECENT ACCOUNTING PRONOUNCEMENTS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January 2017, the Financial Accounting Standards Board (the “FASB”) issued Accounting Standards Update (“ASU”) 2017-04, </w:t>
      </w:r>
      <w:r>
        <w:rPr>
          <w:rFonts w:ascii="Arial" w:cs="Arial" w:eastAsia="Arial" w:hAnsi="Arial"/>
          <w:sz w:val="17"/>
          <w:szCs w:val="17"/>
          <w:i w:val="1"/>
          <w:iCs w:val="1"/>
          <w:color w:val="auto"/>
        </w:rPr>
        <w:t>Intangibles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Goodwill and Other (Topic 350): Simplifying the Test for Goodwill Impairment </w:t>
      </w:r>
      <w:r>
        <w:rPr>
          <w:rFonts w:ascii="Arial" w:cs="Arial" w:eastAsia="Arial" w:hAnsi="Arial"/>
          <w:sz w:val="17"/>
          <w:szCs w:val="17"/>
          <w:color w:val="auto"/>
        </w:rPr>
        <w:t>(“ASU 2017-04”), which simplifies how an entity is required to test goodwill</w:t>
      </w:r>
      <w:r>
        <w:rPr>
          <w:rFonts w:ascii="Arial" w:cs="Arial" w:eastAsia="Arial" w:hAnsi="Arial"/>
          <w:sz w:val="17"/>
          <w:szCs w:val="17"/>
          <w:i w:val="1"/>
          <w:iCs w:val="1"/>
          <w:color w:val="auto"/>
        </w:rPr>
        <w:t xml:space="preserve"> </w:t>
      </w:r>
      <w:r>
        <w:rPr>
          <w:rFonts w:ascii="Arial" w:cs="Arial" w:eastAsia="Arial" w:hAnsi="Arial"/>
          <w:sz w:val="17"/>
          <w:szCs w:val="17"/>
          <w:color w:val="auto"/>
        </w:rPr>
        <w:t>for impairment by 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2019, with early adoption permitted. The Company will not be adopting ASU 2017-04 early, and is in the process of determining the effect that ASU 2017-04 may have, however, the Company expects the new standard to have an immaterial effect on its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incurred loss impairment methodology in current generally accepted accounting principles (“GAAP”) with</w:t>
      </w:r>
      <w:r>
        <w:rPr>
          <w:rFonts w:ascii="Arial" w:cs="Arial" w:eastAsia="Arial" w:hAnsi="Arial"/>
          <w:sz w:val="18"/>
          <w:szCs w:val="18"/>
          <w:i w:val="1"/>
          <w:iCs w:val="1"/>
          <w:color w:val="auto"/>
        </w:rPr>
        <w:t xml:space="preserve"> </w:t>
      </w:r>
      <w:r>
        <w:rPr>
          <w:rFonts w:ascii="Arial" w:cs="Arial" w:eastAsia="Arial" w:hAnsi="Arial"/>
          <w:sz w:val="18"/>
          <w:szCs w:val="18"/>
          <w:color w:val="auto"/>
        </w:rPr>
        <w:t>a methodology that reflects expected credit losses and requires consideration of a broader range of reasonable and supportable information to inform credit loss estimates. The new guidance is effective for fiscal years beginning after December 15, 2019. The Company is evaluating the effect, if any, the update will have on the financial statements when adopted in fiscal year 2021.</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(“ASU 2016-02”). The objective of the update is to increase transparency and comparability among organizations by recognizing lease assets and lease liabilities on the balance sheet and disclosing key information about leasing arrangements. The standard requires a modified retrospective transition approach for existing leases. The amendments of ASU 2016-02 are effective for fiscal years beginning after December 31, 2018 and early adoption is permitted. The Company will adopt this update on May 1, 2019, the effective date of initial application, using a modified retrospective transition approach. The Company will continue to apply ASC-840, including disclosure requirements, in the comparative periods in the year the Company adopts the new guidance. The new standard provides a number of optional practical expedients. The Company expects to elect the package of three practical expedients which permits the Company not to reassess under the new standard the Company’s prior conclusions about lease identification and initial direct costs. The Company does not expect to elect the practical expedients to use hindsight or pertaining to land easements, the latter not being applicable to the Company. The Company expects this standard will have a material effect on our financial statements, with the most significant effects related to: (i) the recognition of new right of use assets and lease liabilities on our balance sheet for primarily real estate operating leases and (ii) providing significant new disclosures regarding lease activities. The Company does not expect a significant change in our leasing activities between now and adoption.</w:t>
      </w:r>
    </w:p>
    <w:p>
      <w:pPr>
        <w:spacing w:after="0" w:line="18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xml:space="preserve"> (“ASU 2018-13”) which modifies the disclosure requirement on fair value measurements. The new guidance is effective for fiscal years beginning after December 15, 2019. The Company is evaluating the effect, if any, the update will have on the financial statements when adopted in fiscal 2021.</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Newly Adopted Accounting Standards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as amended, which establishes new guidance for revenue recognition. ASU 2014-09 eliminates most of the existing industry-specific revenue recognition guidance and significantly expands related disclosures. Additionally, it supersedes some cost guidance in Subtopic 605-35, </w:t>
      </w:r>
      <w:r>
        <w:rPr>
          <w:rFonts w:ascii="Arial" w:cs="Arial" w:eastAsia="Arial" w:hAnsi="Arial"/>
          <w:sz w:val="17"/>
          <w:szCs w:val="17"/>
          <w:i w:val="1"/>
          <w:iCs w:val="1"/>
          <w:color w:val="auto"/>
        </w:rPr>
        <w:t>Revenue Recognition-Construction-Type and</w:t>
      </w:r>
      <w:r>
        <w:rPr>
          <w:rFonts w:ascii="Arial" w:cs="Arial" w:eastAsia="Arial" w:hAnsi="Arial"/>
          <w:sz w:val="17"/>
          <w:szCs w:val="17"/>
          <w:color w:val="auto"/>
        </w:rPr>
        <w:t xml:space="preserve"> </w:t>
      </w:r>
      <w:r>
        <w:rPr>
          <w:rFonts w:ascii="Arial" w:cs="Arial" w:eastAsia="Arial" w:hAnsi="Arial"/>
          <w:sz w:val="17"/>
          <w:szCs w:val="17"/>
          <w:i w:val="1"/>
          <w:iCs w:val="1"/>
          <w:color w:val="auto"/>
        </w:rPr>
        <w:t>Production-Type Contracts</w:t>
      </w:r>
      <w:r>
        <w:rPr>
          <w:rFonts w:ascii="Arial" w:cs="Arial" w:eastAsia="Arial" w:hAnsi="Arial"/>
          <w:sz w:val="17"/>
          <w:szCs w:val="17"/>
          <w:color w:val="auto"/>
        </w:rPr>
        <w:t>, and creates a new Subtopic 340-40,</w:t>
      </w:r>
      <w:r>
        <w:rPr>
          <w:rFonts w:ascii="Arial" w:cs="Arial" w:eastAsia="Arial" w:hAnsi="Arial"/>
          <w:sz w:val="17"/>
          <w:szCs w:val="17"/>
          <w:i w:val="1"/>
          <w:iCs w:val="1"/>
          <w:color w:val="auto"/>
        </w:rPr>
        <w:t xml:space="preserve"> Other Assets and Deferred Costs-Contracts with Customers</w:t>
      </w:r>
      <w:r>
        <w:rPr>
          <w:rFonts w:ascii="Arial" w:cs="Arial" w:eastAsia="Arial" w:hAnsi="Arial"/>
          <w:sz w:val="17"/>
          <w:szCs w:val="17"/>
          <w:color w:val="auto"/>
        </w:rPr>
        <w:t>. The Company determines</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recognition through the following steps: identification of the contract, or contracts, with the customer; identification of the performance obligations in the contract; determination of the transaction price; allocation of the transaction price to the performance obligations in the contract; and recognize revenue when, or as, the entity satisfies a performance obligation. The core principle of the guidance is that the Company will recognize revenue upon the transfer of the promised goods and services to its customers in an amount that reflects the consideration to which the Company expects to be entitled in exchange for those goods and services. The new guidance requires significant additional judgement and estimation (as compared to the previous guidance) that may include, but is not limited to, identifying performance obligations and estimating the amount of variable consideration, if any, to include in the transaction price, and allocation of the transaction price to the performance obligations. The new standard allows for two methods of adoption, either by (i) retrospectively to each prior reporting period presented (“full retrospective method”) or (ii) retrospectively with the cumulative effect of initially applying the new guidance recognized at the date of initial application (“modified-retrospective method”). The Company adopted ASU 2014-09 in the first quarter of fiscal 2019 using the modified-retrospective method, which resulted in a cumulative effect increase of $484,000, including the adoption of ASC 340-40 as noted below, as of the date of adoption on May 1, 2018, to retained earnings. The adoption of ASU 2014-09 effected all new and open contracts as of the adoption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connection with the adoption of ASU 2014-09 on May 1, 2018, the Company also adopted the guidance in ASC 340-40, </w:t>
      </w:r>
      <w:r>
        <w:rPr>
          <w:rFonts w:ascii="Arial" w:cs="Arial" w:eastAsia="Arial" w:hAnsi="Arial"/>
          <w:sz w:val="17"/>
          <w:szCs w:val="17"/>
          <w:i w:val="1"/>
          <w:iCs w:val="1"/>
          <w:color w:val="auto"/>
        </w:rPr>
        <w:t>Other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Deferred Costs - Contracts with Customers </w:t>
      </w:r>
      <w:r>
        <w:rPr>
          <w:rFonts w:ascii="Arial" w:cs="Arial" w:eastAsia="Arial" w:hAnsi="Arial"/>
          <w:sz w:val="17"/>
          <w:szCs w:val="17"/>
          <w:color w:val="auto"/>
        </w:rPr>
        <w:t>(“ASC 340-40”), with respect to capitalization and amortization of incremental costs of obtaining a contract. The</w:t>
      </w:r>
      <w:r>
        <w:rPr>
          <w:rFonts w:ascii="Arial" w:cs="Arial" w:eastAsia="Arial" w:hAnsi="Arial"/>
          <w:sz w:val="17"/>
          <w:szCs w:val="17"/>
          <w:i w:val="1"/>
          <w:iCs w:val="1"/>
          <w:color w:val="auto"/>
        </w:rPr>
        <w:t xml:space="preserve"> </w:t>
      </w:r>
      <w:r>
        <w:rPr>
          <w:rFonts w:ascii="Arial" w:cs="Arial" w:eastAsia="Arial" w:hAnsi="Arial"/>
          <w:sz w:val="17"/>
          <w:szCs w:val="17"/>
          <w:color w:val="auto"/>
        </w:rPr>
        <w:t>new cost guidance requires the capitalization of all incremental costs incurred to obtain a contract with a customer that it would not have incurred if the contract had not been obtained, provided it expects to recover the costs. The Company expects that sales commissions as a result of obtaining customer contracts are recoverable, and therefore the Company defers and capitalizes them as contract costs. As a result of this new guidance, the Company capitalizes sales commissions for which the expected amortization period is greater than one year. The Company classifies the unamortized portion of deferred commissions as current or noncurrent assets based upon the timing of when the Company expects to recognize the expense. The current and noncurrent portion of deferred commissions are included in prepaid expenses and other current assets, respectively, in the Company’s Condensed Consolidated Balance Sheet. Adoption of ASC 340-40 resulted in a cumulative effect adjustment of $87,000 to total assets, $109,000 to total liabilities, and a $22,000 reduction to retained earnings, as of the date of adoption, on May 1, 2018.</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new accounting policies as a result of adopting ASU 2014-09 are discussed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Revenue is recognized when a performance obligation is satisfied, which is when the expected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 The company derives revenue from contracts with customers by units sold with specific specifications and frequencies that are used by a specific customer and contracts where the end user is the government. The Company’s contracts typically include multiple performance obligations which are satisfied either by shipped projects or the completion of milestones as defined in the contract. The transaction price is allocated either (i) based on the sale price of each item shipped or (ii) as defined by the milestones stated in the contract.</w:t>
      </w:r>
    </w:p>
    <w:p>
      <w:pPr>
        <w:spacing w:after="0" w:line="1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Revenues under larger, long-term contracts which generally require billings based on achievement of milestones rather than delivery of product, are reported in operating results using the Percentage of Completion (“POC”)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 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customer orders in the Company’s FEI-Zyfer segment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adoption of ASU 2019-09, there were changes to the timing of the Company’s revenue recognition associated with the significant portion of our business that was not being accounted for as percentage of completion in prior years for contracts where the end customer was the U.S. Government. These production-type contracts under which revenue was previously recorded as Passage of Title (“POT”) are currently being recognized as POC following adoption of this ASU. As a result, the Company will begin recognizing revenue earlier under these contracts. The Company’s products generally carry a one-year warranty, but may vary based on the contract terms.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Significant judgment is used in evaluating the financial information for certain contracts related to the adoption of this ASU to determine an appropriate budget and estimated cost. The Company evaluates this information continuously and bases its judgments on historical experience, design specifications, and expected costs for material and labor.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Practical Expedients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expenses sales commissions as sales and marketing expenses in the period they are incurred if the expected amortization period is one year or less.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expenses costs, other than sales commissions, to obtain a contract in the period for which they are incurred as these amounts would have been incurred even if the contract had not been obtained.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revenue related to the adoption ASU 2014-09 and recognized over time as POC was approximately $33.3 million of the $36.4 million reported for the nine months ended January 31, 2019, and $12.9 million of the $13.2 million reported for the three months ended January 31, 2019. The amounts by segment and product line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12"/>
          </w:tcPr>
          <w:p>
            <w:pPr>
              <w:jc w:val="center"/>
              <w:ind w:right="40"/>
              <w:spacing w:after="0"/>
              <w:rPr>
                <w:sz w:val="20"/>
                <w:szCs w:val="20"/>
                <w:color w:val="auto"/>
              </w:rPr>
            </w:pPr>
            <w:r>
              <w:rPr>
                <w:rFonts w:ascii="Arial" w:cs="Arial" w:eastAsia="Arial" w:hAnsi="Arial"/>
                <w:sz w:val="18"/>
                <w:szCs w:val="18"/>
                <w:b w:val="1"/>
                <w:bCs w:val="1"/>
                <w:color w:val="auto"/>
                <w:w w:val="91"/>
              </w:rPr>
              <w:t>Nine Months Ended January 31, 2019</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5"/>
          </w:tcPr>
          <w:p>
            <w:pPr>
              <w:jc w:val="center"/>
              <w:ind w:right="160"/>
              <w:spacing w:after="0" w:line="191" w:lineRule="exact"/>
              <w:rPr>
                <w:sz w:val="20"/>
                <w:szCs w:val="20"/>
                <w:color w:val="auto"/>
              </w:rPr>
            </w:pPr>
            <w:r>
              <w:rPr>
                <w:rFonts w:ascii="Arial" w:cs="Arial" w:eastAsia="Arial" w:hAnsi="Arial"/>
                <w:sz w:val="18"/>
                <w:szCs w:val="18"/>
                <w:color w:val="auto"/>
                <w:w w:val="90"/>
              </w:rPr>
              <w:t>(In thousands)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POC Revenue</w:t>
            </w:r>
          </w:p>
        </w:tc>
        <w:tc>
          <w:tcPr>
            <w:tcW w:w="180" w:type="dxa"/>
            <w:vAlign w:val="bottom"/>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POT Revenue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89"/>
              </w:rPr>
              <w:t>Total Revenue</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26,611</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ind w:right="395"/>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1,465</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FEI-Zyfer</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6,680</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8,746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Intersegment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tcPr>
          <w:p>
            <w:pPr>
              <w:ind w:left="1140"/>
              <w:spacing w:after="0"/>
              <w:rPr>
                <w:sz w:val="20"/>
                <w:szCs w:val="20"/>
                <w:color w:val="auto"/>
              </w:rPr>
            </w:pPr>
            <w:r>
              <w:rPr>
                <w:rFonts w:ascii="Arial" w:cs="Arial" w:eastAsia="Arial" w:hAnsi="Arial"/>
                <w:sz w:val="18"/>
                <w:szCs w:val="18"/>
                <w:color w:val="auto"/>
              </w:rPr>
              <w:t>Revenue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33,266</w:t>
            </w:r>
          </w:p>
        </w:tc>
        <w:tc>
          <w:tcPr>
            <w:tcW w:w="180" w:type="dxa"/>
            <w:vAlign w:val="bottom"/>
          </w:tcPr>
          <w:p>
            <w:pPr>
              <w:spacing w:after="0"/>
              <w:rPr>
                <w:sz w:val="18"/>
                <w:szCs w:val="18"/>
                <w:color w:val="auto"/>
              </w:rPr>
            </w:pPr>
          </w:p>
        </w:tc>
        <w:tc>
          <w:tcPr>
            <w:tcW w:w="560" w:type="dxa"/>
            <w:vAlign w:val="bottom"/>
          </w:tcPr>
          <w:p>
            <w:pPr>
              <w:jc w:val="right"/>
              <w:ind w:right="395"/>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3,079</w:t>
            </w:r>
          </w:p>
        </w:tc>
        <w:tc>
          <w:tcPr>
            <w:tcW w:w="1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36,345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2"/>
          </w:tcPr>
          <w:p>
            <w:pPr>
              <w:jc w:val="center"/>
              <w:ind w:right="60"/>
              <w:spacing w:after="0"/>
              <w:rPr>
                <w:sz w:val="20"/>
                <w:szCs w:val="20"/>
                <w:color w:val="auto"/>
              </w:rPr>
            </w:pPr>
            <w:r>
              <w:rPr>
                <w:rFonts w:ascii="Arial" w:cs="Arial" w:eastAsia="Arial" w:hAnsi="Arial"/>
                <w:sz w:val="18"/>
                <w:szCs w:val="18"/>
                <w:b w:val="1"/>
                <w:bCs w:val="1"/>
                <w:color w:val="auto"/>
                <w:w w:val="91"/>
              </w:rPr>
              <w:t>Three Months Ended January 31, 2019</w:t>
            </w: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5"/>
          </w:tcPr>
          <w:p>
            <w:pPr>
              <w:jc w:val="center"/>
              <w:ind w:right="160"/>
              <w:spacing w:after="0" w:line="191" w:lineRule="exact"/>
              <w:rPr>
                <w:sz w:val="20"/>
                <w:szCs w:val="20"/>
                <w:color w:val="auto"/>
              </w:rPr>
            </w:pPr>
            <w:r>
              <w:rPr>
                <w:rFonts w:ascii="Arial" w:cs="Arial" w:eastAsia="Arial" w:hAnsi="Arial"/>
                <w:sz w:val="18"/>
                <w:szCs w:val="18"/>
                <w:color w:val="auto"/>
                <w:w w:val="90"/>
              </w:rPr>
              <w:t>(In thousands)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POC Revenue</w:t>
            </w:r>
          </w:p>
        </w:tc>
        <w:tc>
          <w:tcPr>
            <w:tcW w:w="180" w:type="dxa"/>
            <w:vAlign w:val="bottom"/>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POT Revenue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89"/>
              </w:rPr>
              <w:t>Total Revenue</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9,412</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ind w:right="395"/>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FEI-Zyfer</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3,447</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Intersegment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tcPr>
          <w:p>
            <w:pPr>
              <w:ind w:left="1140"/>
              <w:spacing w:after="0"/>
              <w:rPr>
                <w:sz w:val="20"/>
                <w:szCs w:val="20"/>
                <w:color w:val="auto"/>
              </w:rPr>
            </w:pPr>
            <w:r>
              <w:rPr>
                <w:rFonts w:ascii="Arial" w:cs="Arial" w:eastAsia="Arial" w:hAnsi="Arial"/>
                <w:sz w:val="18"/>
                <w:szCs w:val="18"/>
                <w:color w:val="auto"/>
              </w:rPr>
              <w:t>Revenue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12,870</w:t>
            </w:r>
          </w:p>
        </w:tc>
        <w:tc>
          <w:tcPr>
            <w:tcW w:w="180" w:type="dxa"/>
            <w:vAlign w:val="bottom"/>
          </w:tcPr>
          <w:p>
            <w:pPr>
              <w:spacing w:after="0"/>
              <w:rPr>
                <w:sz w:val="18"/>
                <w:szCs w:val="18"/>
                <w:color w:val="auto"/>
              </w:rPr>
            </w:pPr>
          </w:p>
        </w:tc>
        <w:tc>
          <w:tcPr>
            <w:tcW w:w="560" w:type="dxa"/>
            <w:vAlign w:val="bottom"/>
          </w:tcPr>
          <w:p>
            <w:pPr>
              <w:jc w:val="right"/>
              <w:ind w:right="395"/>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13,193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7"/>
          </w:tcPr>
          <w:p>
            <w:pPr>
              <w:jc w:val="center"/>
              <w:ind w:left="130"/>
              <w:spacing w:after="0"/>
              <w:rPr>
                <w:sz w:val="20"/>
                <w:szCs w:val="20"/>
                <w:color w:val="auto"/>
              </w:rPr>
            </w:pPr>
            <w:r>
              <w:rPr>
                <w:rFonts w:ascii="Arial" w:cs="Arial" w:eastAsia="Arial" w:hAnsi="Arial"/>
                <w:sz w:val="18"/>
                <w:szCs w:val="18"/>
                <w:b w:val="1"/>
                <w:bCs w:val="1"/>
                <w:color w:val="auto"/>
                <w:w w:val="89"/>
              </w:rPr>
              <w:t>Periods ended January 31,</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rPr>
              <w:t>Nine months</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7"/>
          </w:tcPr>
          <w:p>
            <w:pPr>
              <w:jc w:val="right"/>
              <w:ind w:right="650"/>
              <w:spacing w:after="0"/>
              <w:rPr>
                <w:sz w:val="20"/>
                <w:szCs w:val="20"/>
                <w:color w:val="auto"/>
              </w:rPr>
            </w:pPr>
            <w:r>
              <w:rPr>
                <w:rFonts w:ascii="Arial" w:cs="Arial" w:eastAsia="Arial" w:hAnsi="Arial"/>
                <w:sz w:val="18"/>
                <w:szCs w:val="18"/>
                <w:b w:val="1"/>
                <w:bCs w:val="1"/>
                <w:color w:val="auto"/>
              </w:rPr>
              <w:t>Three months</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18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2019</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00" w:type="dxa"/>
            <w:vAlign w:val="bottom"/>
            <w:gridSpan w:val="2"/>
            <w:vMerge w:val="restart"/>
          </w:tcPr>
          <w:p>
            <w:pPr>
              <w:ind w:left="1140"/>
              <w:spacing w:after="0"/>
              <w:rPr>
                <w:sz w:val="20"/>
                <w:szCs w:val="20"/>
                <w:color w:val="auto"/>
              </w:rPr>
            </w:pPr>
            <w:r>
              <w:rPr>
                <w:rFonts w:ascii="Arial" w:cs="Arial" w:eastAsia="Arial" w:hAnsi="Arial"/>
                <w:sz w:val="18"/>
                <w:szCs w:val="18"/>
                <w:color w:val="auto"/>
              </w:rPr>
              <w:t>Revenue by Product Line:</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88"/>
              </w:rPr>
              <w:t>(In thousands)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50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Satellite Revenue</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17,289</w:t>
            </w:r>
          </w:p>
        </w:tc>
        <w:tc>
          <w:tcPr>
            <w:tcW w:w="6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11,448</w:t>
            </w:r>
          </w:p>
        </w:tc>
        <w:tc>
          <w:tcPr>
            <w:tcW w:w="5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79"/>
              </w:rPr>
              <w:t>$</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5,987</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Government Non-Space Revenue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17,058</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13,928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6,639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6,222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Commercial &amp; Industrial Revenue</w:t>
            </w: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567</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gridSpan w:val="2"/>
          </w:tcPr>
          <w:p>
            <w:pPr>
              <w:ind w:left="1140"/>
              <w:spacing w:after="0"/>
              <w:rPr>
                <w:sz w:val="20"/>
                <w:szCs w:val="20"/>
                <w:color w:val="auto"/>
              </w:rPr>
            </w:pPr>
            <w:r>
              <w:rPr>
                <w:rFonts w:ascii="Arial" w:cs="Arial" w:eastAsia="Arial" w:hAnsi="Arial"/>
                <w:sz w:val="18"/>
                <w:szCs w:val="18"/>
                <w:color w:val="auto"/>
              </w:rPr>
              <w:t>Consolidated revenues</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36,345</w:t>
            </w:r>
          </w:p>
        </w:tc>
        <w:tc>
          <w:tcPr>
            <w:tcW w:w="6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31,932</w:t>
            </w:r>
          </w:p>
        </w:tc>
        <w:tc>
          <w:tcPr>
            <w:tcW w:w="580" w:type="dxa"/>
            <w:vAlign w:val="bottom"/>
            <w:gridSpan w:val="2"/>
          </w:tcPr>
          <w:p>
            <w:pPr>
              <w:jc w:val="center"/>
              <w:ind w:right="180"/>
              <w:spacing w:after="0"/>
              <w:rPr>
                <w:sz w:val="20"/>
                <w:szCs w:val="20"/>
                <w:color w:val="auto"/>
              </w:rPr>
            </w:pPr>
            <w:r>
              <w:rPr>
                <w:rFonts w:ascii="Arial" w:cs="Arial" w:eastAsia="Arial" w:hAnsi="Arial"/>
                <w:sz w:val="18"/>
                <w:szCs w:val="18"/>
                <w:color w:val="auto"/>
                <w:w w:val="79"/>
              </w:rPr>
              <w:t>$</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13,193</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10,572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3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cumulative effect of changes made to the Condensed Consolidated Balance Sheet as of May 1, 2018 was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Balance at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Balance at</w:t>
            </w:r>
          </w:p>
        </w:tc>
        <w:tc>
          <w:tcPr>
            <w:tcW w:w="0" w:type="dxa"/>
            <w:vAlign w:val="bottom"/>
          </w:tcPr>
          <w:p>
            <w:pPr>
              <w:spacing w:after="0"/>
              <w:rPr>
                <w:sz w:val="1"/>
                <w:szCs w:val="1"/>
                <w:color w:val="auto"/>
              </w:rPr>
            </w:pPr>
          </w:p>
        </w:tc>
      </w:tr>
      <w:tr>
        <w:trPr>
          <w:trHeight w:val="234"/>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April 30, 2018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Adjustments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May 1, 2018</w:t>
            </w:r>
          </w:p>
        </w:tc>
        <w:tc>
          <w:tcPr>
            <w:tcW w:w="0" w:type="dxa"/>
            <w:vAlign w:val="bottom"/>
          </w:tcPr>
          <w:p>
            <w:pPr>
              <w:spacing w:after="0"/>
              <w:rPr>
                <w:sz w:val="1"/>
                <w:szCs w:val="1"/>
                <w:color w:val="auto"/>
              </w:rPr>
            </w:pPr>
          </w:p>
        </w:tc>
      </w:tr>
      <w:tr>
        <w:trPr>
          <w:trHeight w:val="210"/>
        </w:trPr>
        <w:tc>
          <w:tcPr>
            <w:tcW w:w="640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26,186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360" w:type="dxa"/>
            <w:vAlign w:val="bottom"/>
          </w:tcPr>
          <w:p>
            <w:pPr>
              <w:ind w:left="20"/>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25,257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52,075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52,658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83,584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84,177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5,257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rent and other liabilities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20,322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 Retained Earnings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63,262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63,746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84,177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460" w:hanging="317"/>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Adjustment to unbilled accounts receivable for additional revenue recognized for which amounts have not been invoiced due to adoption of ASU</w:t>
      </w:r>
    </w:p>
    <w:p>
      <w:pPr>
        <w:spacing w:after="0" w:line="20" w:lineRule="exact"/>
        <w:rPr>
          <w:rFonts w:ascii="Arial" w:cs="Arial" w:eastAsia="Arial" w:hAnsi="Arial"/>
          <w:sz w:val="17"/>
          <w:szCs w:val="17"/>
          <w:color w:val="auto"/>
        </w:rPr>
      </w:pPr>
    </w:p>
    <w:p>
      <w:pPr>
        <w:ind w:left="140"/>
        <w:spacing w:after="0"/>
        <w:rPr>
          <w:rFonts w:ascii="Arial" w:cs="Arial" w:eastAsia="Arial" w:hAnsi="Arial"/>
          <w:sz w:val="17"/>
          <w:szCs w:val="17"/>
          <w:color w:val="auto"/>
        </w:rPr>
      </w:pPr>
      <w:r>
        <w:rPr>
          <w:rFonts w:ascii="Arial" w:cs="Arial" w:eastAsia="Arial" w:hAnsi="Arial"/>
          <w:sz w:val="18"/>
          <w:szCs w:val="18"/>
          <w:color w:val="auto"/>
        </w:rPr>
        <w:t>2019-09.</w:t>
      </w:r>
    </w:p>
    <w:p>
      <w:pPr>
        <w:spacing w:after="0" w:line="9" w:lineRule="exact"/>
        <w:rPr>
          <w:rFonts w:ascii="Arial" w:cs="Arial" w:eastAsia="Arial" w:hAnsi="Arial"/>
          <w:sz w:val="17"/>
          <w:szCs w:val="17"/>
          <w:color w:val="auto"/>
        </w:rPr>
      </w:pPr>
    </w:p>
    <w:p>
      <w:pPr>
        <w:ind w:left="440" w:hanging="297"/>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for additional allocated inventory costs related to additional revenue recognized due to adoption of ASU 2019-09.</w:t>
      </w:r>
    </w:p>
    <w:p>
      <w:pPr>
        <w:spacing w:after="0" w:line="9" w:lineRule="exact"/>
        <w:rPr>
          <w:rFonts w:ascii="Arial" w:cs="Arial" w:eastAsia="Arial" w:hAnsi="Arial"/>
          <w:sz w:val="18"/>
          <w:szCs w:val="18"/>
          <w:color w:val="auto"/>
        </w:rPr>
      </w:pPr>
    </w:p>
    <w:p>
      <w:pPr>
        <w:ind w:left="440" w:hanging="297"/>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for short-term capitalization of sales commissions, net of amortized amounts, due to adoption of ASC 340-40.</w:t>
      </w:r>
    </w:p>
    <w:p>
      <w:pPr>
        <w:spacing w:after="0" w:line="9" w:lineRule="exact"/>
        <w:rPr>
          <w:rFonts w:ascii="Arial" w:cs="Arial" w:eastAsia="Arial" w:hAnsi="Arial"/>
          <w:sz w:val="18"/>
          <w:szCs w:val="18"/>
          <w:color w:val="auto"/>
        </w:rPr>
      </w:pPr>
    </w:p>
    <w:p>
      <w:pPr>
        <w:ind w:left="440" w:hanging="297"/>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for long-term capitalization of sales commissions, net of amortized amounts, due to adoption of ASC 340-40.</w:t>
      </w:r>
    </w:p>
    <w:p>
      <w:pPr>
        <w:spacing w:after="0" w:line="9" w:lineRule="exact"/>
        <w:rPr>
          <w:rFonts w:ascii="Arial" w:cs="Arial" w:eastAsia="Arial" w:hAnsi="Arial"/>
          <w:sz w:val="18"/>
          <w:szCs w:val="18"/>
          <w:color w:val="auto"/>
        </w:rPr>
      </w:pPr>
    </w:p>
    <w:p>
      <w:pPr>
        <w:ind w:left="440" w:hanging="297"/>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record short-term liability of sales commissions, net of amounts paid, due to adoption of ASC 340-40.</w:t>
      </w:r>
    </w:p>
    <w:p>
      <w:pPr>
        <w:spacing w:after="0" w:line="9" w:lineRule="exact"/>
        <w:rPr>
          <w:rFonts w:ascii="Arial" w:cs="Arial" w:eastAsia="Arial" w:hAnsi="Arial"/>
          <w:sz w:val="18"/>
          <w:szCs w:val="18"/>
          <w:color w:val="auto"/>
        </w:rPr>
      </w:pPr>
    </w:p>
    <w:p>
      <w:pPr>
        <w:ind w:left="420" w:hanging="277"/>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record long-term liability of sales commissions, net of amounts paid, due to adoption of ASC 340-40.</w:t>
      </w:r>
    </w:p>
    <w:p>
      <w:pPr>
        <w:spacing w:after="0" w:line="9" w:lineRule="exact"/>
        <w:rPr>
          <w:rFonts w:ascii="Arial" w:cs="Arial" w:eastAsia="Arial" w:hAnsi="Arial"/>
          <w:sz w:val="18"/>
          <w:szCs w:val="18"/>
          <w:color w:val="auto"/>
        </w:rPr>
      </w:pPr>
    </w:p>
    <w:p>
      <w:pPr>
        <w:ind w:left="140" w:right="140" w:hanging="2"/>
        <w:spacing w:after="0" w:line="261"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cumulative effect of initially adopting ASU 2019-09 and ASC 340-40 using the modified-retrospective method as an adjustment to the beginning balance of (Accumulated deficit) Retained Earnings.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140" w:right="480" w:firstLine="486"/>
        <w:spacing w:after="0" w:line="277" w:lineRule="auto"/>
        <w:rPr>
          <w:sz w:val="20"/>
          <w:szCs w:val="20"/>
          <w:color w:val="auto"/>
        </w:rPr>
      </w:pPr>
      <w:r>
        <w:rPr>
          <w:rFonts w:ascii="Arial" w:cs="Arial" w:eastAsia="Arial" w:hAnsi="Arial"/>
          <w:sz w:val="18"/>
          <w:szCs w:val="18"/>
          <w:color w:val="auto"/>
        </w:rPr>
        <w:t>The impact of adopting the standard on the Company’s consolidated financial statements for the nine and three months ended January 31, 2019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gridSpan w:val="2"/>
          </w:tcPr>
          <w:p>
            <w:pPr>
              <w:spacing w:after="0"/>
              <w:rPr>
                <w:sz w:val="20"/>
                <w:szCs w:val="20"/>
                <w:color w:val="auto"/>
              </w:rPr>
            </w:pPr>
            <w:r>
              <w:rPr>
                <w:rFonts w:ascii="Arial" w:cs="Arial" w:eastAsia="Arial" w:hAnsi="Arial"/>
                <w:sz w:val="18"/>
                <w:szCs w:val="18"/>
                <w:i w:val="1"/>
                <w:iCs w:val="1"/>
                <w:color w:val="auto"/>
              </w:rPr>
              <w:t>Condensed Consolidated Balance Sheet</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9"/>
              </w:rPr>
              <w:t>Balances Without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rPr>
              <w:t>Adoption of ASU</w:t>
            </w:r>
          </w:p>
        </w:tc>
        <w:tc>
          <w:tcPr>
            <w:tcW w:w="0" w:type="dxa"/>
            <w:vAlign w:val="bottom"/>
          </w:tcPr>
          <w:p>
            <w:pPr>
              <w:spacing w:after="0"/>
              <w:rPr>
                <w:sz w:val="1"/>
                <w:szCs w:val="1"/>
                <w:color w:val="auto"/>
              </w:rPr>
            </w:pPr>
          </w:p>
        </w:tc>
      </w:tr>
      <w:tr>
        <w:trPr>
          <w:trHeight w:val="234"/>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As Reported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Adjustments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6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4,286</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25,065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(3,115)</w:t>
            </w:r>
          </w:p>
        </w:tc>
        <w:tc>
          <w:tcPr>
            <w:tcW w:w="300" w:type="dxa"/>
            <w:vAlign w:val="bottom"/>
          </w:tcPr>
          <w:p>
            <w:pPr>
              <w:ind w:left="20"/>
              <w:spacing w:after="0"/>
              <w:rPr>
                <w:sz w:val="20"/>
                <w:szCs w:val="20"/>
                <w:color w:val="auto"/>
              </w:rPr>
            </w:pPr>
            <w:r>
              <w:rPr>
                <w:rFonts w:ascii="Arial" w:cs="Arial" w:eastAsia="Arial" w:hAnsi="Arial"/>
                <w:sz w:val="18"/>
                <w:szCs w:val="18"/>
                <w:color w:val="auto"/>
              </w:rPr>
              <w:t>(b)</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28,180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51,813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50,607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84,248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83,027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4,564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Deferred rent and other liabilities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19,657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64,591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63,421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140" w:right="140" w:firstLine="3"/>
        <w:spacing w:after="0" w:line="250" w:lineRule="auto"/>
        <w:tabs>
          <w:tab w:leader="none" w:pos="444" w:val="left"/>
        </w:tabs>
        <w:numPr>
          <w:ilvl w:val="0"/>
          <w:numId w:val="6"/>
        </w:numPr>
        <w:rPr>
          <w:rFonts w:ascii="Arial" w:cs="Arial" w:eastAsia="Arial" w:hAnsi="Arial"/>
          <w:sz w:val="18"/>
          <w:szCs w:val="18"/>
          <w:color w:val="auto"/>
        </w:rPr>
      </w:pPr>
      <w:r>
        <w:rPr>
          <w:rFonts w:ascii="Arial" w:cs="Arial" w:eastAsia="Arial" w:hAnsi="Arial"/>
          <w:sz w:val="18"/>
          <w:szCs w:val="18"/>
          <w:color w:val="auto"/>
        </w:rPr>
        <w:t>Cumulative adjustment to unbilled accounts receivable for additional revenue recognized for which amounts have not been invoiced due to adoption of ASU 2019-09.</w:t>
      </w:r>
    </w:p>
    <w:p>
      <w:pPr>
        <w:ind w:left="440" w:hanging="297"/>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Cumulative adjustment for additional allocated inventory costs related to additional revenue recognized due to adoption of ASU 2019-09.</w:t>
      </w:r>
    </w:p>
    <w:p>
      <w:pPr>
        <w:spacing w:after="0" w:line="9" w:lineRule="exact"/>
        <w:rPr>
          <w:rFonts w:ascii="Arial" w:cs="Arial" w:eastAsia="Arial" w:hAnsi="Arial"/>
          <w:sz w:val="18"/>
          <w:szCs w:val="18"/>
          <w:color w:val="auto"/>
        </w:rPr>
      </w:pPr>
    </w:p>
    <w:p>
      <w:pPr>
        <w:ind w:left="440" w:hanging="297"/>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Cumulative adjustment for short-term capitalization of sales commissions, net of amortized amounts, due to adoption of ASC 340-40.</w:t>
      </w:r>
    </w:p>
    <w:p>
      <w:pPr>
        <w:spacing w:after="0" w:line="9" w:lineRule="exact"/>
        <w:rPr>
          <w:rFonts w:ascii="Arial" w:cs="Arial" w:eastAsia="Arial" w:hAnsi="Arial"/>
          <w:sz w:val="18"/>
          <w:szCs w:val="18"/>
          <w:color w:val="auto"/>
        </w:rPr>
      </w:pPr>
    </w:p>
    <w:p>
      <w:pPr>
        <w:ind w:left="440" w:hanging="297"/>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Cumulative adjustment for long-term capitalization of sales commissions, net of amortized amounts, due to adoption of ASC 340-40.</w:t>
      </w:r>
    </w:p>
    <w:p>
      <w:pPr>
        <w:spacing w:after="0" w:line="9" w:lineRule="exact"/>
        <w:rPr>
          <w:rFonts w:ascii="Arial" w:cs="Arial" w:eastAsia="Arial" w:hAnsi="Arial"/>
          <w:sz w:val="18"/>
          <w:szCs w:val="18"/>
          <w:color w:val="auto"/>
        </w:rPr>
      </w:pPr>
    </w:p>
    <w:p>
      <w:pPr>
        <w:ind w:left="440" w:hanging="297"/>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Cumulative adjustment to record short-term liability of sales commissions, net of amounts paid, due to adoption of ASC 340-40.</w:t>
      </w:r>
    </w:p>
    <w:p>
      <w:pPr>
        <w:spacing w:after="0" w:line="9" w:lineRule="exact"/>
        <w:rPr>
          <w:rFonts w:ascii="Arial" w:cs="Arial" w:eastAsia="Arial" w:hAnsi="Arial"/>
          <w:sz w:val="18"/>
          <w:szCs w:val="18"/>
          <w:color w:val="auto"/>
        </w:rPr>
      </w:pPr>
    </w:p>
    <w:p>
      <w:pPr>
        <w:ind w:left="420" w:hanging="277"/>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Cumulative adjustment to record long-term liability of sales commissions, net of amounts paid, due to adoption of ASC 340-40.</w:t>
      </w:r>
    </w:p>
    <w:p>
      <w:pPr>
        <w:spacing w:after="0" w:line="9" w:lineRule="exact"/>
        <w:rPr>
          <w:rFonts w:ascii="Arial" w:cs="Arial" w:eastAsia="Arial" w:hAnsi="Arial"/>
          <w:sz w:val="18"/>
          <w:szCs w:val="18"/>
          <w:color w:val="auto"/>
        </w:rPr>
      </w:pPr>
    </w:p>
    <w:p>
      <w:pPr>
        <w:ind w:left="140" w:right="140" w:firstLine="3"/>
        <w:spacing w:after="0" w:line="261" w:lineRule="auto"/>
        <w:tabs>
          <w:tab w:leader="none" w:pos="39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cumulative effect of initially adopting for ASU 2019-09 and ASC 340-40 using the modified-retrospective method as an adjustment to the balance of Retained earnings (Accumulated deficit).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i w:val="1"/>
                <w:iCs w:val="1"/>
                <w:color w:val="auto"/>
              </w:rPr>
              <w:t>Condensed Consolidated Statement of Operations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Balances Without</w:t>
            </w:r>
          </w:p>
        </w:tc>
      </w:tr>
      <w:tr>
        <w:trPr>
          <w:trHeight w:val="216"/>
        </w:trPr>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Adoption of</w:t>
            </w:r>
          </w:p>
        </w:tc>
      </w:tr>
      <w:tr>
        <w:trPr>
          <w:trHeight w:val="234"/>
        </w:trPr>
        <w:tc>
          <w:tcPr>
            <w:tcW w:w="6280" w:type="dxa"/>
            <w:vAlign w:val="bottom"/>
          </w:tcPr>
          <w:p>
            <w:pPr>
              <w:spacing w:after="0"/>
              <w:rPr>
                <w:sz w:val="20"/>
                <w:szCs w:val="20"/>
                <w:color w:val="auto"/>
              </w:rPr>
            </w:pPr>
            <w:r>
              <w:rPr>
                <w:rFonts w:ascii="Arial" w:cs="Arial" w:eastAsia="Arial" w:hAnsi="Arial"/>
                <w:sz w:val="18"/>
                <w:szCs w:val="18"/>
                <w:b w:val="1"/>
                <w:bCs w:val="1"/>
                <w:color w:val="auto"/>
              </w:rPr>
              <w:t>Nine Months Ended January 31, 2019:</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As Reported</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Adjustments</w:t>
            </w: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ASU 2014-09</w:t>
            </w:r>
          </w:p>
        </w:tc>
        <w:tc>
          <w:tcPr>
            <w:tcW w:w="140" w:type="dxa"/>
            <w:vAlign w:val="bottom"/>
          </w:tcPr>
          <w:p>
            <w:pPr>
              <w:spacing w:after="0"/>
              <w:rPr>
                <w:sz w:val="20"/>
                <w:szCs w:val="20"/>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36,345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33,484</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23,953</w:t>
            </w:r>
          </w:p>
        </w:tc>
        <w:tc>
          <w:tcPr>
            <w:tcW w:w="160" w:type="dxa"/>
            <w:vAlign w:val="bottom"/>
          </w:tcPr>
          <w:p>
            <w:pPr>
              <w:spacing w:after="0"/>
              <w:rPr>
                <w:sz w:val="18"/>
                <w:szCs w:val="18"/>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8"/>
                <w:szCs w:val="18"/>
                <w:color w:val="auto"/>
              </w:rPr>
              <w:t>2,186</w:t>
            </w: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21,767</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12,392</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677</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11,715</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7,838</w:t>
            </w:r>
          </w:p>
        </w:tc>
        <w:tc>
          <w:tcPr>
            <w:tcW w:w="16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(10) (a)</w:t>
            </w: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7,848</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3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(540)</w:t>
            </w:r>
          </w:p>
        </w:tc>
        <w:tc>
          <w:tcPr>
            <w:tcW w:w="16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686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3380" w:type="dxa"/>
            <w:vAlign w:val="bottom"/>
          </w:tcPr>
          <w:p>
            <w:pPr>
              <w:jc w:val="right"/>
              <w:ind w:right="590"/>
              <w:spacing w:after="0"/>
              <w:rPr>
                <w:sz w:val="20"/>
                <w:szCs w:val="20"/>
                <w:color w:val="auto"/>
              </w:rPr>
            </w:pPr>
            <w:r>
              <w:rPr>
                <w:rFonts w:ascii="Arial" w:cs="Arial" w:eastAsia="Arial" w:hAnsi="Arial"/>
                <w:sz w:val="18"/>
                <w:szCs w:val="18"/>
                <w:color w:val="auto"/>
              </w:rPr>
              <w:t>(130)</w:t>
            </w:r>
          </w:p>
        </w:tc>
        <w:tc>
          <w:tcPr>
            <w:tcW w:w="1640" w:type="dxa"/>
            <w:vAlign w:val="bottom"/>
          </w:tcPr>
          <w:p>
            <w:pPr>
              <w:jc w:val="right"/>
              <w:ind w:right="610"/>
              <w:spacing w:after="0"/>
              <w:rPr>
                <w:sz w:val="20"/>
                <w:szCs w:val="20"/>
                <w:color w:val="auto"/>
              </w:rPr>
            </w:pPr>
            <w:r>
              <w:rPr>
                <w:rFonts w:ascii="Arial" w:cs="Arial" w:eastAsia="Arial" w:hAnsi="Arial"/>
                <w:sz w:val="18"/>
                <w:szCs w:val="18"/>
                <w:color w:val="auto"/>
              </w:rPr>
              <w:t>686</w:t>
            </w:r>
          </w:p>
        </w:tc>
        <w:tc>
          <w:tcPr>
            <w:tcW w:w="1280" w:type="dxa"/>
            <w:vAlign w:val="bottom"/>
          </w:tcPr>
          <w:p>
            <w:pPr>
              <w:jc w:val="right"/>
              <w:spacing w:after="0"/>
              <w:rPr>
                <w:sz w:val="20"/>
                <w:szCs w:val="20"/>
                <w:color w:val="auto"/>
              </w:rPr>
            </w:pPr>
            <w:r>
              <w:rPr>
                <w:rFonts w:ascii="Arial" w:cs="Arial" w:eastAsia="Arial" w:hAnsi="Arial"/>
                <w:sz w:val="18"/>
                <w:szCs w:val="18"/>
                <w:color w:val="auto"/>
              </w:rPr>
              <w:t>(816)</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3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(168)</w:t>
            </w:r>
          </w:p>
        </w:tc>
        <w:tc>
          <w:tcPr>
            <w:tcW w:w="16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686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Note:</w:t>
      </w:r>
    </w:p>
    <w:p>
      <w:pPr>
        <w:spacing w:after="0" w:line="23" w:lineRule="exact"/>
        <w:rPr>
          <w:sz w:val="20"/>
          <w:szCs w:val="20"/>
          <w:color w:val="auto"/>
        </w:rPr>
      </w:pPr>
    </w:p>
    <w:p>
      <w:pPr>
        <w:ind w:left="5620" w:right="3540" w:hanging="5450"/>
        <w:spacing w:after="0" w:line="511" w:lineRule="auto"/>
        <w:tabs>
          <w:tab w:leader="none" w:pos="456"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 expense related the amortization of sales commissions due to the adoptions of ASC 340-40.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Balances Without</w:t>
            </w:r>
          </w:p>
        </w:tc>
      </w:tr>
      <w:tr>
        <w:trPr>
          <w:trHeight w:val="216"/>
        </w:trPr>
        <w:tc>
          <w:tcPr>
            <w:tcW w:w="4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Adoption of</w:t>
            </w:r>
          </w:p>
        </w:tc>
      </w:t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Three Months Ended January 31, 2019:</w:t>
            </w:r>
          </w:p>
        </w:tc>
        <w:tc>
          <w:tcPr>
            <w:tcW w:w="1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As Reported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Adjustments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ASU 2014-09</w:t>
            </w:r>
          </w:p>
        </w:tc>
        <w:tc>
          <w:tcPr>
            <w:tcW w:w="120" w:type="dxa"/>
            <w:vAlign w:val="bottom"/>
          </w:tcPr>
          <w:p>
            <w:pPr>
              <w:spacing w:after="0"/>
              <w:rPr>
                <w:sz w:val="20"/>
                <w:szCs w:val="20"/>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12,384</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Cost of revenues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9,093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1,121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7,972</w:t>
            </w:r>
          </w:p>
        </w:tc>
        <w:tc>
          <w:tcPr>
            <w:tcW w:w="12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12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(10) (a)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2,667</w:t>
            </w:r>
          </w:p>
        </w:tc>
        <w:tc>
          <w:tcPr>
            <w:tcW w:w="120" w:type="dxa"/>
            <w:vAlign w:val="bottom"/>
          </w:tcPr>
          <w:p>
            <w:pPr>
              <w:spacing w:after="0"/>
              <w:rPr>
                <w:sz w:val="18"/>
                <w:szCs w:val="18"/>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(394)</w:t>
            </w:r>
          </w:p>
        </w:tc>
        <w:tc>
          <w:tcPr>
            <w:tcW w:w="182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(302)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(Loss) income before provision for income taxes</w:t>
            </w:r>
          </w:p>
        </w:tc>
        <w:tc>
          <w:tcPr>
            <w:tcW w:w="3000" w:type="dxa"/>
            <w:vAlign w:val="bottom"/>
          </w:tcPr>
          <w:p>
            <w:pPr>
              <w:jc w:val="right"/>
              <w:ind w:right="550"/>
              <w:spacing w:after="0"/>
              <w:rPr>
                <w:sz w:val="20"/>
                <w:szCs w:val="20"/>
                <w:color w:val="auto"/>
              </w:rPr>
            </w:pPr>
            <w:r>
              <w:rPr>
                <w:rFonts w:ascii="Arial" w:cs="Arial" w:eastAsia="Arial" w:hAnsi="Arial"/>
                <w:sz w:val="18"/>
                <w:szCs w:val="18"/>
                <w:color w:val="auto"/>
              </w:rPr>
              <w:t>(261)</w:t>
            </w:r>
          </w:p>
        </w:tc>
        <w:tc>
          <w:tcPr>
            <w:tcW w:w="1820" w:type="dxa"/>
            <w:vAlign w:val="bottom"/>
          </w:tcPr>
          <w:p>
            <w:pPr>
              <w:jc w:val="right"/>
              <w:ind w:right="690"/>
              <w:spacing w:after="0"/>
              <w:rPr>
                <w:sz w:val="20"/>
                <w:szCs w:val="20"/>
                <w:color w:val="auto"/>
              </w:rPr>
            </w:pPr>
            <w:r>
              <w:rPr>
                <w:rFonts w:ascii="Arial" w:cs="Arial" w:eastAsia="Arial" w:hAnsi="Arial"/>
                <w:sz w:val="18"/>
                <w:szCs w:val="18"/>
                <w:color w:val="auto"/>
              </w:rPr>
              <w:t>(302)</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(321)</w:t>
            </w:r>
          </w:p>
        </w:tc>
        <w:tc>
          <w:tcPr>
            <w:tcW w:w="182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(302)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Note:</w:t>
      </w:r>
    </w:p>
    <w:p>
      <w:pPr>
        <w:spacing w:after="0" w:line="23" w:lineRule="exact"/>
        <w:rPr>
          <w:sz w:val="20"/>
          <w:szCs w:val="20"/>
          <w:color w:val="auto"/>
        </w:rPr>
      </w:pPr>
    </w:p>
    <w:p>
      <w:pPr>
        <w:ind w:left="440" w:hanging="297"/>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expense related the amortization of sales commissions due to the adoptions of ASC 340-40.</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NOTE K – CREDIT FACILITY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January 30, 2019, the Company had available credit at variable terms based on its securities holdings under an advisory arrangement, under which no borrowings have been made.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L – VALUATION ALLOWANCE ON DEFERRED TAX ASSETS</w:t>
      </w:r>
    </w:p>
    <w:p>
      <w:pPr>
        <w:spacing w:after="0" w:line="225" w:lineRule="exact"/>
        <w:rPr>
          <w:sz w:val="20"/>
          <w:szCs w:val="20"/>
          <w:color w:val="auto"/>
        </w:rPr>
      </w:pPr>
    </w:p>
    <w:p>
      <w:pPr>
        <w:jc w:val="both"/>
        <w:ind w:firstLine="707"/>
        <w:spacing w:after="0" w:line="272" w:lineRule="auto"/>
        <w:rPr>
          <w:sz w:val="20"/>
          <w:szCs w:val="20"/>
          <w:color w:val="auto"/>
        </w:rPr>
      </w:pPr>
      <w:r>
        <w:rPr>
          <w:rFonts w:ascii="Arial" w:cs="Arial" w:eastAsia="Arial" w:hAnsi="Arial"/>
          <w:sz w:val="17"/>
          <w:szCs w:val="17"/>
          <w:color w:val="auto"/>
        </w:rPr>
        <w:t>Deferred income taxes arise from temporary differences between the tax basis of assets and liabilities and their reported amounts in the financial statements, which will result in taxable or deductible amounts in the future. In evaluating our ability to recover deferred tax assets in the jurisdiction from which they arise, we consider all positive and negative evidence, including the reversal of deferred tax liabilities, projected future taxable income, tax planning strategies, and results of recent operations. Based on the weighting of all evidence, both positive and negative, most notably the three year cumulative loss, we established a full valuation allowance against our U.S. deferred tax assets during the quarter ended April 30, 2018. If these estimates and assumptions change in the future, the Company may be required to adjust its existing valuation allowance resulting in changes to deferred income tax expense. The Company evaluates the likelihood of realizing its deferred tax assets quarterly.</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On December 22, 2017, the legislation commonly known as the Tax Cuts and Jobs Act (the “TCJA” or the “Tax Act”) was enacted into law. In response to the TCJA, the U.S. Securities and Exchange Commission (“SEC”) issued Staff Accounting Bulletin No. 118 (“SAB 118”), which provides guidance on accounting for the tax effects of TCJA. The purpose of SAB 118 was to address any uncertainty in applying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in the reporting period in which the TCJA was enacted. SAB 118 addresses situations where the accounting is incomplete for certain income tax effects of the TCJA upon issuance of a company’s financial statements for the reporting period which include the enactment date. SAB 118 allows for a provisional amount to be recorded if it is a reasonable estimate of the impact of the TCJA. Additionally, SAB 118 allows for a measurement period to finalize the impacts of the TCJA, not to extend beyond one year from the date of enactment.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the period ended April 30, 2018, the Company’s accounting for certain elements of the TCJA was incomplete. The Company recorded a provisional noncash charge to income tax expense of $5.3 million related to the revaluation of our deferred tax assets at the lower federal corporate tax rate of 21%. During the quarter ended January 31, 2019, the Company finalized the accounting for the tax effects of TCJA with no material changes to the provisional estimate recorded in prior periods.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statements in this quarterly report on Form 10-Q regarding future earnings and operations and other statements relating to the future constitute “forward-looking” statements within the meaning of Section 27A of the Securities Act of 1933, Section 21E of the Securities Exchange Act of 1933 or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All statements by the Company that address activities, events or developments that the Company expects or anticipates will occur in the future, including all statements by the Company regarding its expected financial position, revenues, cash flows and other operating results, business position, legal proceedings or similar matters, are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Any and all of the forward-looking statements contained in this Form 10-Q and any other public statements by the Company or its management may turn out to be incorrect. The Company expressly disclaims any obligation to update or revise any forward-looking statement, whether as a result of new information, future events or otherwise,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year ended April 30, 2018, filed on July 30, 2018. The Company believes its most critical accounting policies to be the recognition of revenue and costs on production contracts, income taxes, and the valuation of inventory. Each of these areas requires the Company to make use of reasoned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nine and three months ended January 31, 2019, except for those impacted by the newly adopted accounting standard below.</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is recognized when a performance obligation is satisfied, when the expected goods or services are transferred to the customer, in an amount that reflects the consideration to which the entity expects to be entitled in exchange for those goods and services. A performance obligation is a distinct product or service that is transferred to the customer’s control based on the contract. The transaction price is allocated to each performance obligation and is recognized as revenue upon satisfaction of that performance obligation. The company derives revenue either as (i) units with specifications and frequencies that can be used by multiple customers (POT) or (ii) units with specific specifications and frequencies that are used by a specific customer or for government end use (POC).</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prior years, a significant portion of our business that was not being accounted for as POC was from contracts where the end customer is the U.S. Government. These production-type contracts under which revenue was previously recorded as POT are currently being recognized as POC following adoption of ASU 2014-09 as noted in Note J to the condensed consolidated financial statements in Part I, Item I of this form 10-Q. As a result, the Company will begin recognizing revenue earlier under these contracts.</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POC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GM Rate for a contract is reflected in revenues in the period in which the change is known. Provisions for the full amount of anticipated losses on contracts are made in the period in which they become determinable.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 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customer orders in the Company’s FEI-Zyfer segment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Costs and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Contract costs include all direct material costs, direct labor costs, manufacturing overhead and other direct costs related to contract performance. Selling, general and administrative costs are expensed as incurred, except as otherwise noted in Note J above in relation to the adoption of ASU 2014-09.</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write-downs are established for slow-moving, obsolete items and costs incurred on programs for which production-level orders cannot be determined as probable. Such write-downs are based upon management’s experience and expectations for future business. Any changes arising from revised expectations are reflected in cost of sales in the period the revision is made.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Marketable Securities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income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table below sets forth for the nine and three months ended January 31, 2019 and 2018, respectively, the percentage of consolidated revenues represented by certain items in the Company’s consolidated statements of operations or notes to the condensed consolidated financial statements: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180" w:type="dxa"/>
            <w:vAlign w:val="bottom"/>
            <w:tcBorders>
              <w:bottom w:val="single" w:sz="8" w:color="auto"/>
            </w:tcBorders>
            <w:gridSpan w:val="3"/>
          </w:tcPr>
          <w:p>
            <w:pPr>
              <w:ind w:left="1180"/>
              <w:spacing w:after="0"/>
              <w:rPr>
                <w:sz w:val="20"/>
                <w:szCs w:val="20"/>
                <w:color w:val="auto"/>
              </w:rPr>
            </w:pPr>
            <w:r>
              <w:rPr>
                <w:rFonts w:ascii="Arial" w:cs="Arial" w:eastAsia="Arial" w:hAnsi="Arial"/>
                <w:sz w:val="18"/>
                <w:szCs w:val="18"/>
                <w:b w:val="1"/>
                <w:bCs w:val="1"/>
                <w:color w:val="auto"/>
                <w:w w:val="89"/>
              </w:rPr>
              <w:t>Nine months</w:t>
            </w:r>
          </w:p>
        </w:tc>
        <w:tc>
          <w:tcPr>
            <w:tcW w:w="11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w w:val="97"/>
              </w:rPr>
              <w:t>Three months</w:t>
            </w:r>
          </w:p>
        </w:tc>
        <w:tc>
          <w:tcPr>
            <w:tcW w:w="7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Periods ended</w:t>
            </w:r>
          </w:p>
        </w:tc>
        <w:tc>
          <w:tcPr>
            <w:tcW w:w="23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January 31,</w:t>
            </w:r>
          </w:p>
        </w:tc>
        <w:tc>
          <w:tcPr>
            <w:tcW w:w="7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8"/>
                <w:szCs w:val="18"/>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77.2%</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69.5%</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FEI-Zyfer</w:t>
            </w:r>
          </w:p>
        </w:tc>
        <w:tc>
          <w:tcPr>
            <w:tcW w:w="1860" w:type="dxa"/>
            <w:vAlign w:val="bottom"/>
            <w:gridSpan w:val="2"/>
          </w:tcPr>
          <w:p>
            <w:pPr>
              <w:jc w:val="right"/>
              <w:ind w:right="380"/>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18"/>
                <w:szCs w:val="18"/>
                <w:color w:val="auto"/>
              </w:rPr>
            </w:pPr>
          </w:p>
        </w:tc>
        <w:tc>
          <w:tcPr>
            <w:tcW w:w="1500" w:type="dxa"/>
            <w:vAlign w:val="bottom"/>
            <w:gridSpan w:val="2"/>
          </w:tcPr>
          <w:p>
            <w:pPr>
              <w:jc w:val="right"/>
              <w:ind w:right="270"/>
              <w:spacing w:after="0"/>
              <w:rPr>
                <w:sz w:val="20"/>
                <w:szCs w:val="20"/>
                <w:color w:val="auto"/>
              </w:rPr>
            </w:pPr>
            <w:r>
              <w:rPr>
                <w:rFonts w:ascii="Arial" w:cs="Arial" w:eastAsia="Arial" w:hAnsi="Arial"/>
                <w:sz w:val="18"/>
                <w:szCs w:val="18"/>
                <w:color w:val="auto"/>
              </w:rPr>
              <w:t>38.8</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27.6</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(8.3)</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70"/>
              <w:spacing w:after="0"/>
              <w:rPr>
                <w:sz w:val="20"/>
                <w:szCs w:val="20"/>
                <w:color w:val="auto"/>
              </w:rPr>
            </w:pPr>
            <w:r>
              <w:rPr>
                <w:rFonts w:ascii="Arial" w:cs="Arial" w:eastAsia="Arial" w:hAnsi="Arial"/>
                <w:sz w:val="18"/>
                <w:szCs w:val="18"/>
                <w:color w:val="auto"/>
              </w:rPr>
              <w:t>100.0</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87.9</w:t>
            </w:r>
          </w:p>
        </w:tc>
        <w:tc>
          <w:tcPr>
            <w:tcW w:w="1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Gross margin</w:t>
            </w:r>
          </w:p>
        </w:tc>
        <w:tc>
          <w:tcPr>
            <w:tcW w:w="1480" w:type="dxa"/>
            <w:vAlign w:val="bottom"/>
          </w:tcPr>
          <w:p>
            <w:pPr>
              <w:jc w:val="right"/>
              <w:spacing w:after="0"/>
              <w:rPr>
                <w:sz w:val="20"/>
                <w:szCs w:val="20"/>
                <w:color w:val="auto"/>
              </w:rPr>
            </w:pPr>
            <w:r>
              <w:rPr>
                <w:rFonts w:ascii="Arial" w:cs="Arial" w:eastAsia="Arial" w:hAnsi="Arial"/>
                <w:sz w:val="18"/>
                <w:szCs w:val="18"/>
                <w:color w:val="auto"/>
              </w:rPr>
              <w:t>34.1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70"/>
              <w:spacing w:after="0"/>
              <w:rPr>
                <w:sz w:val="20"/>
                <w:szCs w:val="20"/>
                <w:color w:val="auto"/>
              </w:rPr>
            </w:pPr>
            <w:r>
              <w:rPr>
                <w:rFonts w:ascii="Arial" w:cs="Arial" w:eastAsia="Arial" w:hAnsi="Arial"/>
                <w:sz w:val="18"/>
                <w:szCs w:val="18"/>
                <w:color w:val="auto"/>
              </w:rPr>
              <w:t>12.1</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24.4</w:t>
            </w:r>
          </w:p>
        </w:tc>
        <w:tc>
          <w:tcPr>
            <w:tcW w:w="1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80" w:type="dxa"/>
            <w:vAlign w:val="bottom"/>
          </w:tcPr>
          <w:p>
            <w:pPr>
              <w:jc w:val="right"/>
              <w:spacing w:after="0"/>
              <w:rPr>
                <w:sz w:val="20"/>
                <w:szCs w:val="20"/>
                <w:color w:val="auto"/>
              </w:rPr>
            </w:pPr>
            <w:r>
              <w:rPr>
                <w:rFonts w:ascii="Arial" w:cs="Arial" w:eastAsia="Arial" w:hAnsi="Arial"/>
                <w:sz w:val="18"/>
                <w:szCs w:val="18"/>
                <w:color w:val="auto"/>
              </w:rPr>
              <w:t>14.0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70"/>
              <w:spacing w:after="0"/>
              <w:rPr>
                <w:sz w:val="20"/>
                <w:szCs w:val="20"/>
                <w:color w:val="auto"/>
              </w:rPr>
            </w:pPr>
            <w:r>
              <w:rPr>
                <w:rFonts w:ascii="Arial" w:cs="Arial" w:eastAsia="Arial" w:hAnsi="Arial"/>
                <w:sz w:val="18"/>
                <w:szCs w:val="18"/>
                <w:color w:val="auto"/>
              </w:rPr>
              <w:t>15.9</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(28.2)</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 income, net</w:t>
            </w:r>
          </w:p>
        </w:tc>
        <w:tc>
          <w:tcPr>
            <w:tcW w:w="186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500" w:type="dxa"/>
            <w:vAlign w:val="bottom"/>
            <w:gridSpan w:val="2"/>
          </w:tcPr>
          <w:p>
            <w:pPr>
              <w:jc w:val="right"/>
              <w:ind w:right="270"/>
              <w:spacing w:after="0"/>
              <w:rPr>
                <w:sz w:val="20"/>
                <w:szCs w:val="20"/>
                <w:color w:val="auto"/>
              </w:rPr>
            </w:pPr>
            <w:r>
              <w:rPr>
                <w:rFonts w:ascii="Arial" w:cs="Arial" w:eastAsia="Arial" w:hAnsi="Arial"/>
                <w:sz w:val="18"/>
                <w:szCs w:val="18"/>
                <w:color w:val="auto"/>
              </w:rPr>
              <w:t>3.7</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8.6</w:t>
            </w:r>
          </w:p>
        </w:tc>
        <w:tc>
          <w:tcPr>
            <w:tcW w:w="1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Loss from continued operations</w:t>
            </w: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1500" w:type="dxa"/>
            <w:vAlign w:val="bottom"/>
            <w:gridSpan w:val="2"/>
          </w:tcPr>
          <w:p>
            <w:pPr>
              <w:jc w:val="right"/>
              <w:ind w:right="210"/>
              <w:spacing w:after="0"/>
              <w:rPr>
                <w:sz w:val="20"/>
                <w:szCs w:val="20"/>
                <w:color w:val="auto"/>
              </w:rPr>
            </w:pPr>
            <w:r>
              <w:rPr>
                <w:rFonts w:ascii="Arial" w:cs="Arial" w:eastAsia="Arial" w:hAnsi="Arial"/>
                <w:sz w:val="18"/>
                <w:szCs w:val="18"/>
                <w:color w:val="auto"/>
              </w:rPr>
              <w:t>(33.1)</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assets</w:t>
            </w: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(2.2)</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1500" w:type="dxa"/>
            <w:vAlign w:val="bottom"/>
            <w:gridSpan w:val="2"/>
          </w:tcPr>
          <w:p>
            <w:pPr>
              <w:jc w:val="right"/>
              <w:ind w:right="50"/>
              <w:spacing w:after="0"/>
              <w:rPr>
                <w:sz w:val="20"/>
                <w:szCs w:val="20"/>
                <w:color w:val="auto"/>
              </w:rPr>
            </w:pPr>
            <w:r>
              <w:rPr>
                <w:rFonts w:ascii="Arial" w:cs="Arial" w:eastAsia="Arial" w:hAnsi="Arial"/>
                <w:sz w:val="18"/>
                <w:szCs w:val="18"/>
                <w:color w:val="auto"/>
              </w:rPr>
              <w:t>(35.3)%</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8"/>
                <w:szCs w:val="18"/>
                <w:b w:val="1"/>
                <w:bCs w:val="1"/>
                <w:color w:val="auto"/>
                <w:w w:val="92"/>
              </w:rPr>
              <w:t>Periods ended January 31,</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340" w:type="dxa"/>
            <w:vAlign w:val="bottom"/>
          </w:tcPr>
          <w:p>
            <w:pPr>
              <w:spacing w:after="0"/>
              <w:rPr>
                <w:sz w:val="20"/>
                <w:szCs w:val="20"/>
                <w:color w:val="auto"/>
              </w:rPr>
            </w:pPr>
            <w:r>
              <w:rPr>
                <w:rFonts w:ascii="Arial" w:cs="Arial" w:eastAsia="Arial" w:hAnsi="Arial"/>
                <w:sz w:val="18"/>
                <w:szCs w:val="18"/>
                <w:b w:val="1"/>
                <w:bCs w:val="1"/>
                <w:color w:val="auto"/>
              </w:rPr>
              <w:t>Segment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22,184</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5,892</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3,310</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FEI-Zyfer</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12,378</w:t>
            </w:r>
          </w:p>
        </w:tc>
        <w:tc>
          <w:tcPr>
            <w:tcW w:w="4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(3,632)</w:t>
            </w:r>
          </w:p>
        </w:tc>
        <w:tc>
          <w:tcPr>
            <w:tcW w:w="3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3,644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4,514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(870)</w:t>
            </w:r>
          </w:p>
        </w:tc>
        <w:tc>
          <w:tcPr>
            <w:tcW w:w="3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(2,630)</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2,153</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r>
      <w:tr>
        <w:trPr>
          <w:trHeight w:val="20"/>
        </w:trPr>
        <w:tc>
          <w:tcPr>
            <w:tcW w:w="2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3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36,345</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31,932</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4,413</w:t>
            </w:r>
          </w:p>
        </w:tc>
        <w:tc>
          <w:tcPr>
            <w:tcW w:w="3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13,193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10,572</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2,621</w:t>
            </w:r>
          </w:p>
        </w:tc>
        <w:tc>
          <w:tcPr>
            <w:tcW w:w="3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r>
      <w:tr>
        <w:trPr>
          <w:trHeight w:val="20"/>
        </w:trPr>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the nine months ended January 31, 2019, revenues from commercial and U.S. Government satellite programs increased approximately $5.8 million over the same period of fiscal year 2018, and accounted for approximately 48% of consolidated revenues compared to approximately 36% during this same period in fiscal 2018. Revenues on these contracts are recognized primarily under the POC method. Revenues from the satellite market are recorded in the FEI-NY segment. Revenues from non-space U.S. Government/Department of Defense (“DOD”) customers, which are recorded in both the FEI-NY and FEI-Zyfer segments, increased $3.1 million over the same period of fiscal 2018, and accounted for approximately 47% of consolidated revenues compared to approximately 44% during this same period in fiscal 2018. Other commercial and industrial revenues for the nine months ended January 31, 2019 accounted for approximately 5% of consolidated revenues compared to 20% in the prior year. Changes in revenue for the current year are partially due to implementation of ASU 2014-09 (see Note J). Intersegment revenues are eliminated in consolidation.</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the three months ended January 31, 2019 revenues from commercial and U.S. Government satellite programs increased approximately $3.5 million over the same period of fiscal year 2018, and accounted for approximately 45% of consolidated revenues compared to approximately 23% during this same period in fiscal 2018. Revenues from non-space U.S. Government/DOD customers, which are recorded in both the FEI-NY and FEI-Zyfer segments, increased $0.4 million over the same period of fiscal 2018, and accounted for approximately 50% of consolidated revenues compared to approximately 59% during this same period in fiscal 2018. Other commercial and industrial revenues for the three months ended January 31, 2019 accounted for approximately 5% of consolidated revenues compared to 18% during this same period in the prior year. Intersegment revenues are eliminated in consolidation.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Margin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Nine months</w:t>
            </w: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Three months</w:t>
            </w: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b w:val="1"/>
                <w:bCs w:val="1"/>
                <w:color w:val="auto"/>
              </w:rPr>
              <w:t>Periods ended January 31,</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5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12,392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3,872</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8,520</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220.0%  $</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(2,852)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6,952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(243.8)%</w:t>
            </w:r>
          </w:p>
        </w:tc>
      </w:tr>
      <w:tr>
        <w:trPr>
          <w:trHeight w:val="230"/>
        </w:trPr>
        <w:tc>
          <w:tcPr>
            <w:tcW w:w="2380" w:type="dxa"/>
            <w:vAlign w:val="bottom"/>
            <w:gridSpan w:val="2"/>
          </w:tcPr>
          <w:p>
            <w:pPr>
              <w:jc w:val="right"/>
              <w:ind w:right="1700"/>
              <w:spacing w:after="0"/>
              <w:rPr>
                <w:sz w:val="20"/>
                <w:szCs w:val="20"/>
                <w:color w:val="auto"/>
              </w:rPr>
            </w:pPr>
            <w:r>
              <w:rPr>
                <w:rFonts w:ascii="Arial" w:cs="Arial" w:eastAsia="Arial" w:hAnsi="Arial"/>
                <w:sz w:val="18"/>
                <w:szCs w:val="18"/>
                <w:color w:val="auto"/>
                <w:w w:val="91"/>
              </w:rPr>
              <w:t>GM Rate</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nine and three month period ended January 31, 2019, gross margin and GM Rate increased over the same period in fiscal 2018. The prior year’s gross margin and GM Rate was affected by a $5.0 million inventory write-down, lower revenues, increased repair costs and unabsorbed manufacturing overhead costs.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89"/>
              </w:rPr>
              <w:t>Nine months</w:t>
            </w: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Three months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rPr>
              <w:t>Periods ended January 31,</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Change</w:t>
            </w:r>
          </w:p>
        </w:tc>
        <w:tc>
          <w:tcPr>
            <w:tcW w:w="3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3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42</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0.5%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2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  (92)</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(3.3)%</w:t>
            </w: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nine months ended January 31, 2019 and 2018, selling and administrative (“SG&amp;A”) expenses were approximately 22% and 24%, respectively, of consolidated revenues. For the three months periods ended January 31, 2019 and 2018, SG&amp;A expenses were approximately 20% and 26% respectively, of consolidated revenues. The dollar value of SG&amp;A expenses were comparable for both the nine and three months ended January 31, 2019 and 2018; however, the percentage decreased due to the increase in revenue during the fiscal 2019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Nine months</w:t>
            </w:r>
          </w:p>
        </w:tc>
        <w:tc>
          <w:tcPr>
            <w:tcW w:w="9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7"/>
              </w:rPr>
              <w:t>Three months</w:t>
            </w:r>
          </w:p>
        </w:tc>
        <w:tc>
          <w:tcPr>
            <w:tcW w:w="9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rPr>
              <w:t>Periods ended January 31,</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4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36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23</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0.5%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129</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r>
    </w:tbl>
    <w:p>
      <w:pPr>
        <w:spacing w:after="0" w:line="2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Research and development (“R&amp;D”) expenditures represent investments intended to keep the Company’s products at the leading edge of time and frequency technology and enhance future competitiveness. The R&amp;D rate for the nine month period ending January 31, 2019 was 14% of sales compared to 16% of sales for the same period of the previous fiscal year. The R&amp;D rate for the three month period ending January 31, 2019 was 14% of sales compared to 16% of sales for the same period of the previous fiscal year. The Company expects the total level of activity related to R&amp;D to continue at a similar rate through the balance of the current year and beyond to address new large opportunities in secure communications, command and control applications, next generation satellite payload products and additional DOD and commercial applications.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Nine months</w:t>
            </w:r>
          </w:p>
        </w:tc>
        <w:tc>
          <w:tcPr>
            <w:tcW w:w="10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Three months</w:t>
            </w:r>
          </w:p>
        </w:tc>
        <w:tc>
          <w:tcPr>
            <w:tcW w:w="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8"/>
                <w:szCs w:val="18"/>
                <w:b w:val="1"/>
                <w:bCs w:val="1"/>
                <w:color w:val="auto"/>
              </w:rPr>
              <w:t>Periods ended January 31,</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48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(8,995)</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8,455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6,915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(94.6)%</w:t>
            </w: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Company’s results for the nine and three month periods ending January 31, 2019 reflect improvements in revenues, gross margin and GM Rate and cost containment. These improvements have resulted in reduced operating loss in the nine and three months ending January 31, 2019, as compared to the same period of the preceding fiscal year. Additionally, in fiscal 2018 the Company reported approximately $8.3 million of non-cash charges to earnings.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Three months</w:t>
            </w: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w w:val="90"/>
              </w:rPr>
              <w:t>Periods ended January 31,</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Change</w:t>
            </w:r>
          </w:p>
        </w:tc>
        <w:tc>
          <w:tcPr>
            <w:tcW w:w="5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Change</w:t>
            </w: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(994)</w:t>
            </w: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(57)</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4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NM%</w:t>
            </w:r>
          </w:p>
        </w:tc>
      </w:tr>
      <w:tr>
        <w:trPr>
          <w:trHeight w:val="20"/>
        </w:trPr>
        <w:tc>
          <w:tcPr>
            <w:tcW w:w="2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300" w:type="dxa"/>
            <w:vAlign w:val="bottom"/>
          </w:tcPr>
          <w:p>
            <w:pPr>
              <w:spacing w:after="0"/>
              <w:rPr>
                <w:sz w:val="18"/>
                <w:szCs w:val="18"/>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410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1,179</w:t>
            </w:r>
          </w:p>
        </w:tc>
        <w:tc>
          <w:tcPr>
            <w:tcW w:w="2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(65.2)%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166.0%</w:t>
            </w:r>
          </w:p>
        </w:tc>
      </w:tr>
      <w:tr>
        <w:trPr>
          <w:trHeight w:val="27"/>
        </w:trPr>
        <w:tc>
          <w:tcPr>
            <w:tcW w:w="2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Investment income is derived primarily from the Company’s holdings of marketable securities. Earnings on securities may vary based on fluctuating interest rates, dividend payout levels, and the timing of purchases, sales, redemptions or maturities of securities. Investment income in fiscal 2018 included gains of approximately $1.0 million from divesting all of the Company’s holdings in equity securities. Other income in fiscal 2019 included the proceeds from a life insurance policy of a retired employee.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Provision (Benefit)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Nine months</w:t>
            </w:r>
          </w:p>
        </w:tc>
        <w:tc>
          <w:tcPr>
            <w:tcW w:w="1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40" w:type="dxa"/>
            <w:vAlign w:val="bottom"/>
            <w:vMerge w:val="restart"/>
          </w:tcPr>
          <w:p>
            <w:pPr>
              <w:spacing w:after="0"/>
              <w:rPr>
                <w:sz w:val="20"/>
                <w:szCs w:val="20"/>
                <w:color w:val="auto"/>
              </w:rPr>
            </w:pPr>
            <w:r>
              <w:rPr>
                <w:rFonts w:ascii="Arial" w:cs="Arial" w:eastAsia="Arial" w:hAnsi="Arial"/>
                <w:sz w:val="15"/>
                <w:szCs w:val="15"/>
                <w:b w:val="1"/>
                <w:bCs w:val="1"/>
                <w:color w:val="auto"/>
                <w:w w:val="72"/>
              </w:rPr>
              <w:t>ended</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1090"/>
              <w:spacing w:after="0"/>
              <w:rPr>
                <w:sz w:val="20"/>
                <w:szCs w:val="20"/>
                <w:color w:val="auto"/>
              </w:rPr>
            </w:pPr>
            <w:r>
              <w:rPr>
                <w:rFonts w:ascii="Arial" w:cs="Arial" w:eastAsia="Arial" w:hAnsi="Arial"/>
                <w:sz w:val="18"/>
                <w:szCs w:val="18"/>
                <w:b w:val="1"/>
                <w:bCs w:val="1"/>
                <w:color w:val="auto"/>
              </w:rPr>
              <w:t>Three months</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b w:val="1"/>
                <w:bCs w:val="1"/>
                <w:color w:val="auto"/>
              </w:rPr>
              <w:t>Periods</w:t>
            </w:r>
          </w:p>
        </w:tc>
        <w:tc>
          <w:tcPr>
            <w:tcW w:w="3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96"/>
              </w:rPr>
              <w:t>January 31,</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4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2,750</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1"/>
              </w:rPr>
              <w:t>(2,712)</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(2,788)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2"/>
        </w:trPr>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Effective tax rate on pre-</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tax book income:</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nine months ended January 31, 2019, the Company recorded an income tax expense of $37,700, which included a discrete income tax provision of $163,800. The calculation of the overall income tax provision for the nine months ended January 31, 2019 primarily consisted of foreign taxes and a discrete income tax provision related to the accrual of interest for unrecognized tax benefits and the expiration of a foreign net operating loss carryforward. For the nine months ended January 31, 2018, the Company recorded an income tax expense of $2.7 million, which included a discrete income tax provision of $5.0 million primarily related to the enactment of the TCJA.</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months ended January 31, 2019, the Company recorded an income tax expense of $60,200, which included a discrete income tax provision of $127,100. The calculation of the overall income tax provision for the three months ended January 31, 2019 primarily consisted of foreign taxes and a discrete income tax provision related to the accrual of interest for unrecognized tax benefits and the expiration of a foreign net operating loss carryforward. For the three months ended January 31, 2018, the Company recorded an income tax provision of $2.8 million, which included a discrete income tax provision of $4.9 million.</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effective tax rate for the nine months ended January 31, 2019 is an income tax benefit of 29.2% on a pretax loss of $130 compared to an income tax provision of 35.2% on a pretax loss of $7,817 in the comparable prior period. The Company did not recognize an income tax provision on US domestic pretax income in the current period but recognized an income tax provision in the comparable period related to the enactment of the TCJA. The effective rate for the nine months ended January 31, 2019 differs from the U.S. statutory rate of 21% primarily due to the mix of domestic and foreign earnings, a discrete income tax provision related to the accrual of interest for unrecognized tax benefits, the expiration of a foreign net operating loss carryforward, and domestic losses for which the Company is not recognizing an income tax benefit.</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effective tax rate for the three months ended January 31, 2019 is an income tax provision of 23.1% on a pretax loss of $242 compared to an income tax provision of 39.2% on a pretax loss of $7,259 in the comparable prior period. The Company did not recognize an income tax provision on US domestic pretax income in the current period but recognized an income tax provision in the comparable period related to the enactment of the TCJA. The effective rate for the three months ended January 31, 2019 differs from the U.S. statutory rate of 21% primarily due to the mix of domestic and foreign earnings, a discrete income tax provision related to the accrual of interest for unrecognized tax benefits and the expiration of a foreign net operating loss carryforward, and domestic losses for which the Company is not recognizing an income tax benefit.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the weighting of all evidence, both positive and negative, most notably the three-year cumulative loss, we established a full valuation allowance against our U.S. deferred tax assets during the quarter ended April 30, 2018. If these estimates and assumptions change in the future, the Company may be required to adjust its existing valuation allowance resulting in changes to deferred income tax expense. The Company evaluates the likelihood of realizing its deferred tax assets quarterly.</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22, 2017, the TCJA was enacted into law. In response to the TCJA, the SEC staff issued SAB 118, which provides guidance on accounting for the tax effects of TCJA. The purpose of SAB 118 was to address any uncertainty or diversity of view in applying ASC Topic 740, Income Taxes, in the reporting period in which the TCJA was enacted. SAB 118 addresses situations where the accounting is incomplete for certain income tax effects of the TCJA upon issuance of a company’s financial statements for the reporting period which include the enactment date. SAB 118 allows for a provisional amount to be recorded if it is a reasonable estimate of the impact of the TCJA. Additionally, SAB 118 allows for a measurement period to finalize the impacts of the TCJA, not to extend beyond one year from the date of enactment.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the period ended April 30, 2018, the Company’s accounting for certain elements of the TCJA was incomplete. The Company recorded a provisional noncash charge to income tax expense of $5.3 million related to the revaluation of our deferred tax assets at the lower federal corporate tax rate of 21%. During the quarter ended January 31, 2019, we finalized the accounting for the tax effects of TCJA with no material changes to the provisional estimate recorded in prior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Nine months</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Three months</w:t>
            </w:r>
          </w:p>
        </w:tc>
        <w:tc>
          <w:tcPr>
            <w:tcW w:w="8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10"/>
        </w:trPr>
        <w:tc>
          <w:tcPr>
            <w:tcW w:w="24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8"/>
                <w:szCs w:val="18"/>
                <w:b w:val="1"/>
                <w:bCs w:val="1"/>
                <w:color w:val="auto"/>
                <w:w w:val="94"/>
              </w:rPr>
              <w:t>Periods ended January 31,</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2440" w:type="dxa"/>
            <w:vAlign w:val="bottom"/>
          </w:tcPr>
          <w:p>
            <w:pPr>
              <w:spacing w:after="0"/>
              <w:rPr>
                <w:sz w:val="18"/>
                <w:szCs w:val="18"/>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6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20" w:type="dxa"/>
            <w:vAlign w:val="bottom"/>
            <w:shd w:val="clear" w:color="auto" w:fill="CCEEFF"/>
          </w:tcPr>
          <w:p>
            <w:pPr>
              <w:jc w:val="right"/>
              <w:ind w:right="557"/>
              <w:spacing w:after="0"/>
              <w:rPr>
                <w:sz w:val="20"/>
                <w:szCs w:val="20"/>
                <w:color w:val="auto"/>
              </w:rPr>
            </w:pPr>
            <w:r>
              <w:rPr>
                <w:rFonts w:ascii="Arial" w:cs="Arial" w:eastAsia="Arial" w:hAnsi="Arial"/>
                <w:sz w:val="15"/>
                <w:szCs w:val="15"/>
                <w:color w:val="auto"/>
                <w:w w:val="71"/>
              </w:rPr>
              <w:t>$</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w:t>
            </w:r>
          </w:p>
        </w:tc>
        <w:tc>
          <w:tcPr>
            <w:tcW w:w="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697</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  $</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c>
          <w:tcPr>
            <w:tcW w:w="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289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above table represents the net loss for the Gillam segment accounted for as discontinued operations as presented in Note B to the condensed consolidated financial statements in Part I, Item 1 of this Form 10-Q. On April 26, 2018, the Company sold Gillam to a European entity, in a stock purchase agreement, for $1.0 million in cash received on April 27, 2018, and a note payable in three years for an additional $1.0 million. The loss recorded due to the sale of Gillam was approximately $359,000. The calculation of the loss was the carrying amount of the investment on FEI-NY’s books less the retained earnings and remaining equity amounts of Gillam reduced by the cash received and the value of the note receivable. As such Gillam’s results have been classified as discontinued operations in the accompanying Condensed Consolidated Statements of Operations and Comprehensive (Loss) Income for fiscal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Company’s balance sheet continues to reflect a strong working capital position of $47.2 million at January 31, 2019 and $46.8 million at April 30, 2018. Included in working capital at January 31, 2019 and April 30 2018, is $10.9 million and $14.0 million, respectively, consisting of cash, cash equivalents, and marketable securities. The Company’s current ratio at January 31, 2019 is 11.4 to 1.</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used by continuing operations for the nine months ended January 31, 2019 was $1.3 million compared to $2.8 million of cash provided by operations in the comparable fiscal 2018 period. The decreased cash flow in the fiscal 2019 period resulted primarily from an increase in accounts receivable balances, which was offset by a decrease in inventories and accounts payable. For the nine month periods ended January 31, 2019 and 2018, the Company incurred approximately $3.3 million and $8.3 million, respectively, of non-cash operating expenses including depreciation and amortization, inventory reserve adjustments, and accruals for employee benefit programs.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used in investing activities from continuing operations for the nine months ended January 31, 2019 was $4.4 million compared to cash provided by investing activities of $0.5 for the nine months ended January 31, 2018. During the fiscal 2019 period, marketable securities were sold or redeemed in the amount of $1.0 million compared to $6.5 million of such redemptions during the fiscal 2018 period. In the nine months, ended January 31, 2019, $3.2 million of marketable securities were purchased compared to $5.0 million of securities purchased in the same period of 2018. In the nine months ended January 31, 2019 and 2018, the Company acquired property, plant and equipment in the amount of approximately $2.2 million and $1.0 million, respectively.</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cash was provided by financing activities for the nine months ended January 31, 2019 compared to approximately $1,000 provided in the nine months ended January 31, 2018.</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been authorized by its Board of Directors to repurchase up to $5 million worth of shares of its common stock when appropriate opportunities arise. As of January 31, 2019, the Company has repurchased approximately $4 million of its common stock out of the $5 million authorization. For the nine months ended January 31, 2019 and 2018, there were no repurchase of shares.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will continue to expend resources to develop, improve and acquire products for space applications, guidance and targeting systems, and communication systems which management believes will result in future growth and profitability. During fiscal 2018, the Company secured partial customer funding for a portion of its R&amp;D efforts. The customer funds received in connection therewith appear in revenues and are not included in R&amp;D expenses. For fiscal 2019, the Company has secured significant additional customer funding for its R&amp;D activities, and will allocate internal funds depending on market conditions and identification of new opportunities as in fiscal year 2018. The Company expects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January 31, 2019, the Company’s consolidated funded backlog was approximately $39 million compared to $30 million at April 30, 2018, the end of fiscal 2018. Approximately 75% of this backlog is expected to be realized in the next twelve months. Included in the backlog at January 31, 2019 was approximately $3.1 million under cost-plus-fee contracts which the Company believes represent firm commitments from its customers for which the Company has not received full funding to-date. The Company excludes from backlog any contracts or awards for which it has not received authorization to proceed and on fixed price contracts excludes any unfunded portion. The Company expects these contracts to become fully funded over time and will add them to its backlog at that time.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believes that its liquidity is adequate to meet its operating and investment needs through at least March 16, 2020 and the foreseeable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international business is subject to changes in demand or pricing resulting from fluctuations in currency exchange rates in the Chinese Renminbi to U.S. Dollar exchange rate.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January 31, 2019, the Company’s disclosure controls and procedures were effective to ensure that information relating to the Company, including its consolidated subsidiaries, required to be included in its reports that it filed or submitted under the Exchange Act are recorded, processed, summarized and reported within the time periods specified in SEC rules and forms.</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u w:val="single" w:color="auto"/>
          <w:color w:val="auto"/>
        </w:rPr>
        <w:t>Changes in Internal Control Over Financial Reporting</w:t>
      </w:r>
      <w:r>
        <w:rPr>
          <w:rFonts w:ascii="Arial" w:cs="Arial" w:eastAsia="Arial" w:hAnsi="Arial"/>
          <w:sz w:val="17"/>
          <w:szCs w:val="17"/>
          <w:color w:val="auto"/>
        </w:rPr>
        <w:t>. There were no changes in the Company’s internal control over financial reporting (as such term is defined in Rules 13a-15(f) and 15d-15(f) under the Exchange Act) during the three months ended January 31, 2019 to which this report relates that have materially affected, or are reasonably likely to materially affect, the Company’s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jc w:val="both"/>
        <w:ind w:left="1260" w:hanging="607"/>
        <w:spacing w:after="0" w:line="277" w:lineRule="auto"/>
        <w:tabs>
          <w:tab w:leader="none" w:pos="1240" w:val="left"/>
        </w:tabs>
        <w:rPr>
          <w:sz w:val="20"/>
          <w:szCs w:val="20"/>
          <w:color w:val="auto"/>
        </w:rPr>
      </w:pPr>
      <w:r>
        <w:rPr>
          <w:rFonts w:ascii="Arial" w:cs="Arial" w:eastAsia="Arial" w:hAnsi="Arial"/>
          <w:sz w:val="18"/>
          <w:szCs w:val="18"/>
          <w:color w:val="auto"/>
        </w:rPr>
        <w:t>31.1 -</w:t>
      </w:r>
      <w:r>
        <w:rPr>
          <w:sz w:val="20"/>
          <w:szCs w:val="20"/>
          <w:color w:val="auto"/>
        </w:rPr>
        <w:tab/>
      </w:r>
      <w:r>
        <w:rPr>
          <w:rFonts w:ascii="Arial" w:cs="Arial" w:eastAsia="Arial" w:hAnsi="Arial"/>
          <w:sz w:val="18"/>
          <w:szCs w:val="18"/>
          <w:u w:val="single" w:color="auto"/>
          <w:color w:val="0000EE"/>
        </w:rPr>
        <w:t>Certification by the Chief Executive Officer pursuant to Rule 13a-14(a) or 15d-14(a) under the Securities Exchange Act of 1934, as adopted pursuant to Section 302 of the Sarbanes-Oxley Act of 2002.</w:t>
      </w:r>
    </w:p>
    <w:p>
      <w:pPr>
        <w:spacing w:after="0" w:line="170" w:lineRule="exact"/>
        <w:rPr>
          <w:sz w:val="20"/>
          <w:szCs w:val="20"/>
          <w:color w:val="auto"/>
        </w:rPr>
      </w:pPr>
    </w:p>
    <w:p>
      <w:pPr>
        <w:jc w:val="both"/>
        <w:ind w:left="1260" w:hanging="607"/>
        <w:spacing w:after="0" w:line="277" w:lineRule="auto"/>
        <w:tabs>
          <w:tab w:leader="none" w:pos="1240" w:val="left"/>
        </w:tabs>
        <w:rPr>
          <w:sz w:val="20"/>
          <w:szCs w:val="20"/>
          <w:color w:val="auto"/>
        </w:rPr>
      </w:pPr>
      <w:r>
        <w:rPr>
          <w:rFonts w:ascii="Arial" w:cs="Arial" w:eastAsia="Arial" w:hAnsi="Arial"/>
          <w:sz w:val="18"/>
          <w:szCs w:val="18"/>
          <w:color w:val="auto"/>
        </w:rPr>
        <w:t>31.2 -</w:t>
      </w:r>
      <w:r>
        <w:rPr>
          <w:sz w:val="20"/>
          <w:szCs w:val="20"/>
          <w:color w:val="auto"/>
        </w:rPr>
        <w:tab/>
      </w:r>
      <w:r>
        <w:rPr>
          <w:rFonts w:ascii="Arial" w:cs="Arial" w:eastAsia="Arial" w:hAnsi="Arial"/>
          <w:sz w:val="18"/>
          <w:szCs w:val="18"/>
          <w:u w:val="single" w:color="auto"/>
          <w:color w:val="0000EE"/>
        </w:rPr>
        <w:t>Certification by the Chief Financial Officer pursuant to Rule 13a-14(a) or 15d-14(a) under the Securities Exchange Act of 1934, as adopted pursuant to Section 302 of the Sarbanes-Oxley Act of 2002.</w:t>
      </w:r>
    </w:p>
    <w:p>
      <w:pPr>
        <w:spacing w:after="0" w:line="17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auto"/>
        </w:rPr>
        <w:t>32 -</w:t>
      </w:r>
      <w:r>
        <w:rPr>
          <w:sz w:val="20"/>
          <w:szCs w:val="20"/>
          <w:color w:val="auto"/>
        </w:rPr>
        <w:tab/>
      </w:r>
      <w:r>
        <w:rPr>
          <w:rFonts w:ascii="Arial" w:cs="Arial" w:eastAsia="Arial" w:hAnsi="Arial"/>
          <w:sz w:val="16"/>
          <w:szCs w:val="16"/>
          <w:u w:val="single" w:color="auto"/>
          <w:color w:val="0000EE"/>
        </w:rPr>
        <w:t>Certifications by the Chief Executive Officer and Chief Financial Officer pursuant to 18 U.S.C. Section 1350, as adopted pursuant to Section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906 of the Sarbanes-Oxley Act of 2002.</w:t>
      </w:r>
    </w:p>
    <w:p>
      <w:pPr>
        <w:spacing w:after="0" w:line="211" w:lineRule="exact"/>
        <w:rPr>
          <w:sz w:val="20"/>
          <w:szCs w:val="20"/>
          <w:color w:val="auto"/>
        </w:rPr>
      </w:pPr>
    </w:p>
    <w:p>
      <w:pPr>
        <w:jc w:val="both"/>
        <w:ind w:left="1260" w:hanging="607"/>
        <w:spacing w:after="0" w:line="302" w:lineRule="auto"/>
        <w:tabs>
          <w:tab w:leader="none" w:pos="12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following materials from the Frequency Electronics, Inc. Quarterly Report on Form 10-Q for the quarter ended January 31, 2019 formatted in eXtensible Business Reporting Language (XBRL): (i) Condensed Consolidated Balance Sheets, (ii) Condensed Consolidated Statements of Operations and Comprehensive Income (Loss), (iii) Condensed Consolidated Statements of Cash Flows, (iv) Condensed Consolidated Statements of Changes in Stockholders’ Equity and (v) Notes to Condensed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20" w:type="dxa"/>
            <w:vAlign w:val="bottom"/>
          </w:tcPr>
          <w:p>
            <w:pPr>
              <w:spacing w:after="0"/>
              <w:rPr>
                <w:sz w:val="19"/>
                <w:szCs w:val="19"/>
                <w:color w:val="auto"/>
              </w:rPr>
            </w:pPr>
          </w:p>
        </w:tc>
        <w:tc>
          <w:tcPr>
            <w:tcW w:w="6760" w:type="dxa"/>
            <w:vAlign w:val="bottom"/>
            <w:gridSpan w:val="3"/>
          </w:tcPr>
          <w:p>
            <w:pPr>
              <w:ind w:left="1240"/>
              <w:spacing w:after="0"/>
              <w:rPr>
                <w:sz w:val="20"/>
                <w:szCs w:val="20"/>
                <w:color w:val="auto"/>
              </w:rPr>
            </w:pPr>
            <w:r>
              <w:rPr>
                <w:rFonts w:ascii="Arial" w:cs="Arial" w:eastAsia="Arial" w:hAnsi="Arial"/>
                <w:sz w:val="18"/>
                <w:szCs w:val="18"/>
                <w:b w:val="1"/>
                <w:bCs w:val="1"/>
                <w:color w:val="auto"/>
              </w:rPr>
              <w:t>FREQUENCY ELECTRONICS, INC.</w:t>
            </w:r>
          </w:p>
        </w:tc>
      </w:tr>
      <w:tr>
        <w:trPr>
          <w:trHeight w:val="230"/>
        </w:trPr>
        <w:tc>
          <w:tcPr>
            <w:tcW w:w="2820" w:type="dxa"/>
            <w:vAlign w:val="bottom"/>
          </w:tcPr>
          <w:p>
            <w:pPr>
              <w:spacing w:after="0"/>
              <w:rPr>
                <w:sz w:val="20"/>
                <w:szCs w:val="20"/>
                <w:color w:val="auto"/>
              </w:rPr>
            </w:pPr>
          </w:p>
        </w:tc>
        <w:tc>
          <w:tcPr>
            <w:tcW w:w="6760" w:type="dxa"/>
            <w:vAlign w:val="bottom"/>
            <w:gridSpan w:val="3"/>
          </w:tcPr>
          <w:p>
            <w:pPr>
              <w:ind w:left="1240"/>
              <w:spacing w:after="0"/>
              <w:rPr>
                <w:sz w:val="20"/>
                <w:szCs w:val="20"/>
                <w:color w:val="auto"/>
              </w:rPr>
            </w:pPr>
            <w:r>
              <w:rPr>
                <w:rFonts w:ascii="Arial" w:cs="Arial" w:eastAsia="Arial" w:hAnsi="Arial"/>
                <w:sz w:val="18"/>
                <w:szCs w:val="18"/>
                <w:color w:val="auto"/>
              </w:rPr>
              <w:t>(Registrant)</w:t>
            </w:r>
          </w:p>
        </w:tc>
      </w:tr>
      <w:tr>
        <w:trPr>
          <w:trHeight w:val="392"/>
        </w:trPr>
        <w:tc>
          <w:tcPr>
            <w:tcW w:w="2820" w:type="dxa"/>
            <w:vAlign w:val="bottom"/>
          </w:tcPr>
          <w:p>
            <w:pPr>
              <w:spacing w:after="0"/>
              <w:rPr>
                <w:sz w:val="20"/>
                <w:szCs w:val="20"/>
                <w:color w:val="auto"/>
              </w:rPr>
            </w:pPr>
            <w:r>
              <w:rPr>
                <w:rFonts w:ascii="Arial" w:cs="Arial" w:eastAsia="Arial" w:hAnsi="Arial"/>
                <w:sz w:val="18"/>
                <w:szCs w:val="18"/>
                <w:color w:val="auto"/>
              </w:rPr>
              <w:t>Date: March 18, 2019</w:t>
            </w:r>
          </w:p>
        </w:tc>
        <w:tc>
          <w:tcPr>
            <w:tcW w:w="6760" w:type="dxa"/>
            <w:vAlign w:val="bottom"/>
            <w:gridSpan w:val="3"/>
          </w:tcPr>
          <w:p>
            <w:pPr>
              <w:ind w:left="1640"/>
              <w:spacing w:after="0"/>
              <w:rPr>
                <w:sz w:val="20"/>
                <w:szCs w:val="20"/>
                <w:color w:val="auto"/>
              </w:rPr>
            </w:pPr>
            <w:r>
              <w:rPr>
                <w:rFonts w:ascii="Arial" w:cs="Arial" w:eastAsia="Arial" w:hAnsi="Arial"/>
                <w:sz w:val="18"/>
                <w:szCs w:val="18"/>
                <w:color w:val="auto"/>
              </w:rPr>
              <w:t>By:  /s/  Steven L. Bernstein</w:t>
            </w:r>
          </w:p>
        </w:tc>
      </w:tr>
      <w:tr>
        <w:trPr>
          <w:trHeight w:val="222"/>
        </w:trPr>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Bernstein</w:t>
            </w:r>
          </w:p>
        </w:tc>
        <w:tc>
          <w:tcPr>
            <w:tcW w:w="1540" w:type="dxa"/>
            <w:vAlign w:val="bottom"/>
          </w:tcPr>
          <w:p>
            <w:pPr>
              <w:spacing w:after="0"/>
              <w:rPr>
                <w:sz w:val="19"/>
                <w:szCs w:val="19"/>
                <w:color w:val="auto"/>
              </w:rPr>
            </w:pPr>
          </w:p>
        </w:tc>
      </w:tr>
      <w:tr>
        <w:trPr>
          <w:trHeight w:val="216"/>
        </w:trPr>
        <w:tc>
          <w:tcPr>
            <w:tcW w:w="2820" w:type="dxa"/>
            <w:vAlign w:val="bottom"/>
          </w:tcPr>
          <w:p>
            <w:pPr>
              <w:spacing w:after="0"/>
              <w:rPr>
                <w:sz w:val="18"/>
                <w:szCs w:val="18"/>
                <w:color w:val="auto"/>
              </w:rPr>
            </w:pPr>
          </w:p>
        </w:tc>
        <w:tc>
          <w:tcPr>
            <w:tcW w:w="6760" w:type="dxa"/>
            <w:vAlign w:val="bottom"/>
            <w:gridSpan w:val="3"/>
          </w:tcPr>
          <w:p>
            <w:pPr>
              <w:ind w:left="1920"/>
              <w:spacing w:after="0"/>
              <w:rPr>
                <w:sz w:val="20"/>
                <w:szCs w:val="20"/>
                <w:color w:val="auto"/>
              </w:rPr>
            </w:pPr>
            <w:r>
              <w:rPr>
                <w:rFonts w:ascii="Arial" w:cs="Arial" w:eastAsia="Arial" w:hAnsi="Arial"/>
                <w:sz w:val="18"/>
                <w:szCs w:val="18"/>
                <w:color w:val="auto"/>
              </w:rPr>
              <w:t>Chief Financial Officer</w:t>
            </w:r>
          </w:p>
        </w:tc>
      </w:tr>
      <w:tr>
        <w:trPr>
          <w:trHeight w:val="230"/>
        </w:trPr>
        <w:tc>
          <w:tcPr>
            <w:tcW w:w="2820" w:type="dxa"/>
            <w:vAlign w:val="bottom"/>
          </w:tcPr>
          <w:p>
            <w:pPr>
              <w:spacing w:after="0"/>
              <w:rPr>
                <w:sz w:val="20"/>
                <w:szCs w:val="20"/>
                <w:color w:val="auto"/>
              </w:rPr>
            </w:pPr>
          </w:p>
        </w:tc>
        <w:tc>
          <w:tcPr>
            <w:tcW w:w="6760" w:type="dxa"/>
            <w:vAlign w:val="bottom"/>
            <w:gridSpan w:val="3"/>
          </w:tcPr>
          <w:p>
            <w:pPr>
              <w:ind w:left="1920"/>
              <w:spacing w:after="0"/>
              <w:rPr>
                <w:sz w:val="20"/>
                <w:szCs w:val="20"/>
                <w:color w:val="auto"/>
              </w:rPr>
            </w:pPr>
            <w:r>
              <w:rPr>
                <w:rFonts w:ascii="Arial" w:cs="Arial" w:eastAsia="Arial" w:hAnsi="Arial"/>
                <w:sz w:val="18"/>
                <w:szCs w:val="18"/>
                <w:color w:val="auto"/>
                <w:w w:val="91"/>
              </w:rPr>
              <w:t>Signing on behalf of the registrant and as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18" w:right="2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Stanton Sloane, certify that:</w:t>
      </w:r>
    </w:p>
    <w:p>
      <w:pPr>
        <w:spacing w:after="0" w:line="225"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2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29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2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3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8"/>
        <w:spacing w:after="0" w:line="277" w:lineRule="auto"/>
        <w:tabs>
          <w:tab w:leader="none" w:pos="3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 w:firstLine="8"/>
        <w:spacing w:after="0" w:line="308" w:lineRule="auto"/>
        <w:tabs>
          <w:tab w:leader="none" w:pos="25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8"/>
        <w:spacing w:after="0" w:line="277" w:lineRule="auto"/>
        <w:tabs>
          <w:tab w:leader="none" w:pos="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3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Stanton Sloane</w:t>
            </w:r>
          </w:p>
        </w:tc>
        <w:tc>
          <w:tcPr>
            <w:tcW w:w="4400" w:type="dxa"/>
            <w:vAlign w:val="bottom"/>
          </w:tcPr>
          <w:p>
            <w:pPr>
              <w:ind w:left="3240"/>
              <w:spacing w:after="0"/>
              <w:rPr>
                <w:sz w:val="20"/>
                <w:szCs w:val="20"/>
                <w:color w:val="auto"/>
              </w:rPr>
            </w:pPr>
            <w:r>
              <w:rPr>
                <w:rFonts w:ascii="Arial" w:cs="Arial" w:eastAsia="Arial" w:hAnsi="Arial"/>
                <w:sz w:val="18"/>
                <w:szCs w:val="18"/>
                <w:color w:val="auto"/>
                <w:w w:val="91"/>
              </w:rPr>
              <w:t>March 18, 2019</w:t>
            </w:r>
          </w:p>
        </w:tc>
      </w:tr>
      <w:tr>
        <w:trPr>
          <w:trHeight w:val="222"/>
        </w:trPr>
        <w:tc>
          <w:tcPr>
            <w:tcW w:w="2380" w:type="dxa"/>
            <w:vAlign w:val="bottom"/>
            <w:gridSpan w:val="2"/>
          </w:tcPr>
          <w:p>
            <w:pPr>
              <w:spacing w:after="0"/>
              <w:rPr>
                <w:sz w:val="20"/>
                <w:szCs w:val="20"/>
                <w:color w:val="auto"/>
              </w:rPr>
            </w:pPr>
            <w:r>
              <w:rPr>
                <w:rFonts w:ascii="Arial" w:cs="Arial" w:eastAsia="Arial" w:hAnsi="Arial"/>
                <w:sz w:val="18"/>
                <w:szCs w:val="18"/>
                <w:color w:val="auto"/>
              </w:rPr>
              <w:t>Stanton Sloane</w:t>
            </w:r>
          </w:p>
        </w:tc>
        <w:tc>
          <w:tcPr>
            <w:tcW w:w="4400" w:type="dxa"/>
            <w:vAlign w:val="bottom"/>
          </w:tcPr>
          <w:p>
            <w:pPr>
              <w:spacing w:after="0"/>
              <w:rPr>
                <w:sz w:val="19"/>
                <w:szCs w:val="19"/>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400" w:type="dxa"/>
            <w:vAlign w:val="bottom"/>
          </w:tcPr>
          <w:p>
            <w:pPr>
              <w:spacing w:after="0"/>
              <w:rPr>
                <w:sz w:val="20"/>
                <w:szCs w:val="20"/>
                <w:color w:val="auto"/>
              </w:rPr>
            </w:pPr>
          </w:p>
        </w:tc>
      </w:tr>
    </w:tbl>
    <w:p>
      <w:pPr>
        <w:sectPr>
          <w:pgSz w:w="11900" w:h="16838" w:orient="portrait"/>
          <w:cols w:equalWidth="0" w:num="1">
            <w:col w:w="11420"/>
          </w:cols>
          <w:pgMar w:left="240" w:top="33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L. Bernstein, certify that</w:t>
      </w:r>
    </w:p>
    <w:p>
      <w:pPr>
        <w:spacing w:after="0" w:line="225"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2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2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8"/>
        <w:spacing w:after="0" w:line="277" w:lineRule="auto"/>
        <w:tabs>
          <w:tab w:leader="none" w:pos="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 w:firstLine="8"/>
        <w:spacing w:after="0" w:line="308" w:lineRule="auto"/>
        <w:tabs>
          <w:tab w:leader="none" w:pos="25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8"/>
        <w:spacing w:after="0" w:line="277" w:lineRule="auto"/>
        <w:tabs>
          <w:tab w:leader="none" w:pos="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L. Bernstein</w:t>
            </w:r>
          </w:p>
        </w:tc>
        <w:tc>
          <w:tcPr>
            <w:tcW w:w="4160" w:type="dxa"/>
            <w:vAlign w:val="bottom"/>
          </w:tcPr>
          <w:p>
            <w:pPr>
              <w:ind w:left="3020"/>
              <w:spacing w:after="0"/>
              <w:rPr>
                <w:sz w:val="20"/>
                <w:szCs w:val="20"/>
                <w:color w:val="auto"/>
              </w:rPr>
            </w:pPr>
            <w:r>
              <w:rPr>
                <w:rFonts w:ascii="Arial" w:cs="Arial" w:eastAsia="Arial" w:hAnsi="Arial"/>
                <w:sz w:val="18"/>
                <w:szCs w:val="18"/>
                <w:color w:val="auto"/>
                <w:w w:val="89"/>
              </w:rPr>
              <w:t>March 18, 2019</w:t>
            </w: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color w:val="auto"/>
              </w:rPr>
              <w:t>Steven L. Bernstein</w:t>
            </w:r>
          </w:p>
        </w:tc>
        <w:tc>
          <w:tcPr>
            <w:tcW w:w="4160" w:type="dxa"/>
            <w:vAlign w:val="bottom"/>
          </w:tcPr>
          <w:p>
            <w:pPr>
              <w:spacing w:after="0"/>
              <w:rPr>
                <w:sz w:val="19"/>
                <w:szCs w:val="19"/>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4160" w:type="dxa"/>
            <w:vAlign w:val="bottom"/>
          </w:tcPr>
          <w:p>
            <w:pPr>
              <w:spacing w:after="0"/>
              <w:rPr>
                <w:sz w:val="20"/>
                <w:szCs w:val="20"/>
                <w:color w:val="auto"/>
              </w:rPr>
            </w:pPr>
          </w:p>
        </w:tc>
      </w:tr>
    </w:tbl>
    <w:p>
      <w:pPr>
        <w:sectPr>
          <w:pgSz w:w="11900" w:h="16838" w:orient="portrait"/>
          <w:cols w:equalWidth="0" w:num="1">
            <w:col w:w="11420"/>
          </w:cols>
          <w:pgMar w:left="240" w:top="33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January 31, 2019 as filed with the Securities and Exchange Commission on the date hereof (the “Report”), I, Stanton Sloane, Chief Executive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960" w:hanging="30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31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Stanton Sloane</w:t>
            </w:r>
          </w:p>
        </w:tc>
        <w:tc>
          <w:tcPr>
            <w:tcW w:w="3720" w:type="dxa"/>
            <w:vAlign w:val="bottom"/>
          </w:tcPr>
          <w:p>
            <w:pPr>
              <w:jc w:val="right"/>
              <w:spacing w:after="0"/>
              <w:rPr>
                <w:sz w:val="20"/>
                <w:szCs w:val="20"/>
                <w:color w:val="auto"/>
              </w:rPr>
            </w:pPr>
            <w:r>
              <w:rPr>
                <w:rFonts w:ascii="Arial" w:cs="Arial" w:eastAsia="Arial" w:hAnsi="Arial"/>
                <w:sz w:val="18"/>
                <w:szCs w:val="18"/>
                <w:color w:val="auto"/>
              </w:rPr>
              <w:t>March 18, 2019</w:t>
            </w:r>
          </w:p>
        </w:tc>
        <w:tc>
          <w:tcPr>
            <w:tcW w:w="0" w:type="dxa"/>
            <w:vAlign w:val="bottom"/>
          </w:tcPr>
          <w:p>
            <w:pPr>
              <w:spacing w:after="0"/>
              <w:rPr>
                <w:sz w:val="1"/>
                <w:szCs w:val="1"/>
                <w:color w:val="auto"/>
              </w:rPr>
            </w:pPr>
          </w:p>
        </w:tc>
      </w:tr>
      <w:tr>
        <w:trPr>
          <w:trHeight w:val="222"/>
        </w:trPr>
        <w:tc>
          <w:tcPr>
            <w:tcW w:w="3780" w:type="dxa"/>
            <w:vAlign w:val="bottom"/>
            <w:gridSpan w:val="3"/>
          </w:tcPr>
          <w:p>
            <w:pPr>
              <w:ind w:left="660"/>
              <w:spacing w:after="0"/>
              <w:rPr>
                <w:sz w:val="20"/>
                <w:szCs w:val="20"/>
                <w:color w:val="auto"/>
              </w:rPr>
            </w:pPr>
            <w:r>
              <w:rPr>
                <w:rFonts w:ascii="Arial" w:cs="Arial" w:eastAsia="Arial" w:hAnsi="Arial"/>
                <w:sz w:val="18"/>
                <w:szCs w:val="18"/>
                <w:color w:val="auto"/>
              </w:rPr>
              <w:t>Stanton Sloane</w:t>
            </w: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3"/>
          </w:tcPr>
          <w:p>
            <w:pPr>
              <w:ind w:left="660"/>
              <w:spacing w:after="0"/>
              <w:rPr>
                <w:sz w:val="20"/>
                <w:szCs w:val="20"/>
                <w:color w:val="auto"/>
              </w:rPr>
            </w:pPr>
            <w:r>
              <w:rPr>
                <w:rFonts w:ascii="Arial" w:cs="Arial" w:eastAsia="Arial" w:hAnsi="Arial"/>
                <w:sz w:val="18"/>
                <w:szCs w:val="18"/>
                <w:color w:val="auto"/>
              </w:rPr>
              <w:t>Chief Executive Officer</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Certification of CFO</w:t>
            </w:r>
          </w:p>
        </w:tc>
        <w:tc>
          <w:tcPr>
            <w:tcW w:w="3720" w:type="dxa"/>
            <w:vAlign w:val="bottom"/>
          </w:tcPr>
          <w:p>
            <w:pPr>
              <w:jc w:val="right"/>
              <w:ind w:right="8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6"/>
        </w:trPr>
        <w:tc>
          <w:tcPr>
            <w:tcW w:w="3780" w:type="dxa"/>
            <w:vAlign w:val="bottom"/>
            <w:gridSpan w:val="3"/>
            <w:vMerge w:val="continue"/>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January 31, 2019 as filed with the Securities and Exchange Commission on the date hereof (the “Report”), I, Steven L. Bernstein, Chief Financial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960" w:hanging="30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L. Bernstein</w:t>
            </w:r>
          </w:p>
        </w:tc>
        <w:tc>
          <w:tcPr>
            <w:tcW w:w="3840" w:type="dxa"/>
            <w:vAlign w:val="bottom"/>
          </w:tcPr>
          <w:p>
            <w:pPr>
              <w:ind w:left="2700"/>
              <w:spacing w:after="0"/>
              <w:rPr>
                <w:sz w:val="20"/>
                <w:szCs w:val="20"/>
                <w:color w:val="auto"/>
              </w:rPr>
            </w:pPr>
            <w:r>
              <w:rPr>
                <w:rFonts w:ascii="Arial" w:cs="Arial" w:eastAsia="Arial" w:hAnsi="Arial"/>
                <w:sz w:val="18"/>
                <w:szCs w:val="18"/>
                <w:color w:val="auto"/>
                <w:w w:val="89"/>
              </w:rPr>
              <w:t>March 18, 2019</w:t>
            </w:r>
          </w:p>
        </w:tc>
      </w:tr>
      <w:tr>
        <w:trPr>
          <w:trHeight w:val="222"/>
        </w:trPr>
        <w:tc>
          <w:tcPr>
            <w:tcW w:w="2920" w:type="dxa"/>
            <w:vAlign w:val="bottom"/>
            <w:gridSpan w:val="2"/>
          </w:tcPr>
          <w:p>
            <w:pPr>
              <w:spacing w:after="0"/>
              <w:rPr>
                <w:sz w:val="20"/>
                <w:szCs w:val="20"/>
                <w:color w:val="auto"/>
              </w:rPr>
            </w:pPr>
            <w:r>
              <w:rPr>
                <w:rFonts w:ascii="Arial" w:cs="Arial" w:eastAsia="Arial" w:hAnsi="Arial"/>
                <w:sz w:val="18"/>
                <w:szCs w:val="18"/>
                <w:color w:val="auto"/>
              </w:rPr>
              <w:t>Steven L. Bernstein</w:t>
            </w:r>
          </w:p>
        </w:tc>
        <w:tc>
          <w:tcPr>
            <w:tcW w:w="3840" w:type="dxa"/>
            <w:vAlign w:val="bottom"/>
          </w:tcPr>
          <w:p>
            <w:pPr>
              <w:spacing w:after="0"/>
              <w:rPr>
                <w:sz w:val="19"/>
                <w:szCs w:val="19"/>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84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5"/>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5"/>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2019-12-28T14:16:49Z</dcterms:created>
  <dcterms:modified xsi:type="dcterms:W3CDTF">2019-12-28T14:16:49Z</dcterms:modified>
</cp:coreProperties>
</file>