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6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10-K</w:t>
      </w:r>
    </w:p>
    <w:p>
      <w:pPr>
        <w:spacing w:after="0" w:line="28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54" w:lineRule="exact"/>
        <w:rPr>
          <w:sz w:val="24"/>
          <w:szCs w:val="24"/>
          <w:color w:val="auto"/>
        </w:rPr>
      </w:pPr>
    </w:p>
    <w:p>
      <w:pPr>
        <w:ind w:left="4240" w:right="1760" w:hanging="3377"/>
        <w:spacing w:after="0" w:line="569" w:lineRule="auto"/>
        <w:tabs>
          <w:tab w:leader="none" w:pos="1328" w:val="left"/>
        </w:tabs>
        <w:numPr>
          <w:ilvl w:val="0"/>
          <w:numId w:val="1"/>
        </w:numPr>
        <w:rPr>
          <w:rFonts w:ascii="Arial" w:cs="Arial" w:eastAsia="Arial" w:hAnsi="Arial"/>
          <w:sz w:val="18"/>
          <w:szCs w:val="18"/>
          <w:color w:val="auto"/>
        </w:rPr>
      </w:pPr>
      <w:r>
        <w:rPr>
          <w:rFonts w:ascii="Arial" w:cs="Arial" w:eastAsia="Arial" w:hAnsi="Arial"/>
          <w:sz w:val="18"/>
          <w:szCs w:val="18"/>
          <w:color w:val="auto"/>
        </w:rPr>
        <w:t>ANNUAL REPORT PURSUANT TO SECTION 13 or 15 (d) OF THE SECURITIES EXCHANGE ACT OF 1934 For the Fiscal Year ended April 30, 2007</w:t>
      </w:r>
    </w:p>
    <w:p>
      <w:pPr>
        <w:ind w:left="5580"/>
        <w:spacing w:after="0"/>
        <w:rPr>
          <w:rFonts w:ascii="Arial" w:cs="Arial" w:eastAsia="Arial" w:hAnsi="Arial"/>
          <w:sz w:val="18"/>
          <w:szCs w:val="18"/>
          <w:color w:val="auto"/>
        </w:rPr>
      </w:pPr>
      <w:r>
        <w:rPr>
          <w:rFonts w:ascii="Arial" w:cs="Arial" w:eastAsia="Arial" w:hAnsi="Arial"/>
          <w:sz w:val="18"/>
          <w:szCs w:val="18"/>
          <w:b w:val="1"/>
          <w:bCs w:val="1"/>
          <w:color w:val="auto"/>
        </w:rPr>
        <w:t>OR</w:t>
      </w:r>
    </w:p>
    <w:p>
      <w:pPr>
        <w:spacing w:after="0" w:line="324" w:lineRule="exact"/>
        <w:rPr>
          <w:sz w:val="24"/>
          <w:szCs w:val="24"/>
          <w:color w:val="auto"/>
        </w:rPr>
      </w:pPr>
    </w:p>
    <w:p>
      <w:pPr>
        <w:jc w:val="center"/>
        <w:ind w:left="3600" w:right="1500" w:hanging="2782"/>
        <w:spacing w:after="0" w:line="571" w:lineRule="auto"/>
        <w:tabs>
          <w:tab w:leader="none" w:pos="12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TRANSITION REPORT PURSUANT TO SECTION 13 or 15 (d) OF THE SECURITIES EXCHANGE ACT OF 1934 For the transition period from __________ to __________</w:t>
      </w:r>
    </w:p>
    <w:p>
      <w:pPr>
        <w:ind w:left="4660"/>
        <w:spacing w:after="0"/>
        <w:rPr>
          <w:rFonts w:ascii="Arial" w:cs="Arial" w:eastAsia="Arial" w:hAnsi="Arial"/>
          <w:sz w:val="18"/>
          <w:szCs w:val="18"/>
          <w:color w:val="auto"/>
        </w:rPr>
      </w:pPr>
      <w:r>
        <w:rPr>
          <w:rFonts w:ascii="Arial" w:cs="Arial" w:eastAsia="Arial" w:hAnsi="Arial"/>
          <w:sz w:val="18"/>
          <w:szCs w:val="18"/>
          <w:color w:val="auto"/>
        </w:rPr>
        <w:t>Commission File No. 1-8061</w:t>
      </w:r>
    </w:p>
    <w:p>
      <w:pPr>
        <w:spacing w:after="0" w:line="28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FREQUENCY ELECTRONICS,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77" w:lineRule="exact"/>
        <w:rPr>
          <w:sz w:val="24"/>
          <w:szCs w:val="24"/>
          <w:color w:val="auto"/>
        </w:rPr>
      </w:pPr>
    </w:p>
    <w:tbl>
      <w:tblPr>
        <w:tblLayout w:type="fixed"/>
        <w:tblInd w:w="0" w:type="dxa"/>
        <w:tblCellMar>
          <w:top w:w="0" w:type="dxa"/>
          <w:left w:w="0" w:type="dxa"/>
          <w:bottom w:w="0" w:type="dxa"/>
          <w:right w:w="0" w:type="dxa"/>
        </w:tblCellMar>
      </w:tblPr>
      <w:tr>
        <w:trPr>
          <w:trHeight w:val="236"/>
        </w:trPr>
        <w:tc>
          <w:tcPr>
            <w:tcW w:w="5020" w:type="dxa"/>
            <w:vAlign w:val="bottom"/>
          </w:tcPr>
          <w:p>
            <w:pPr>
              <w:ind w:left="220"/>
              <w:spacing w:after="0"/>
              <w:rPr>
                <w:sz w:val="20"/>
                <w:szCs w:val="20"/>
                <w:color w:val="auto"/>
              </w:rPr>
            </w:pPr>
            <w:r>
              <w:rPr>
                <w:rFonts w:ascii="Arial" w:cs="Arial" w:eastAsia="Arial" w:hAnsi="Arial"/>
                <w:sz w:val="18"/>
                <w:szCs w:val="18"/>
                <w:b w:val="1"/>
                <w:bCs w:val="1"/>
                <w:color w:val="auto"/>
              </w:rPr>
              <w:t>Delaware</w:t>
            </w:r>
          </w:p>
        </w:tc>
        <w:tc>
          <w:tcPr>
            <w:tcW w:w="1840" w:type="dxa"/>
            <w:vAlign w:val="bottom"/>
          </w:tcPr>
          <w:p>
            <w:pPr>
              <w:spacing w:after="0"/>
              <w:rPr>
                <w:sz w:val="20"/>
                <w:szCs w:val="20"/>
                <w:color w:val="auto"/>
              </w:rPr>
            </w:pPr>
          </w:p>
        </w:tc>
        <w:tc>
          <w:tcPr>
            <w:tcW w:w="3260" w:type="dxa"/>
            <w:vAlign w:val="bottom"/>
          </w:tcPr>
          <w:p>
            <w:pPr>
              <w:jc w:val="right"/>
              <w:ind w:right="791"/>
              <w:spacing w:after="0"/>
              <w:rPr>
                <w:sz w:val="20"/>
                <w:szCs w:val="20"/>
                <w:color w:val="auto"/>
              </w:rPr>
            </w:pPr>
            <w:r>
              <w:rPr>
                <w:rFonts w:ascii="Arial" w:cs="Arial" w:eastAsia="Arial" w:hAnsi="Arial"/>
                <w:sz w:val="18"/>
                <w:szCs w:val="18"/>
                <w:b w:val="1"/>
                <w:bCs w:val="1"/>
                <w:color w:val="auto"/>
              </w:rPr>
              <w:t>11-1986657</w:t>
            </w:r>
          </w:p>
        </w:tc>
        <w:tc>
          <w:tcPr>
            <w:tcW w:w="0" w:type="dxa"/>
            <w:vAlign w:val="bottom"/>
          </w:tcPr>
          <w:p>
            <w:pPr>
              <w:spacing w:after="0"/>
              <w:rPr>
                <w:sz w:val="1"/>
                <w:szCs w:val="1"/>
                <w:color w:val="auto"/>
              </w:rPr>
            </w:pPr>
          </w:p>
        </w:tc>
      </w:tr>
      <w:tr>
        <w:trPr>
          <w:trHeight w:val="222"/>
        </w:trPr>
        <w:tc>
          <w:tcPr>
            <w:tcW w:w="5020" w:type="dxa"/>
            <w:vAlign w:val="bottom"/>
          </w:tcPr>
          <w:p>
            <w:pPr>
              <w:ind w:left="2180"/>
              <w:spacing w:after="0"/>
              <w:rPr>
                <w:sz w:val="20"/>
                <w:szCs w:val="20"/>
                <w:color w:val="auto"/>
              </w:rPr>
            </w:pPr>
            <w:r>
              <w:rPr>
                <w:rFonts w:ascii="Arial" w:cs="Arial" w:eastAsia="Arial" w:hAnsi="Arial"/>
                <w:sz w:val="18"/>
                <w:szCs w:val="18"/>
                <w:color w:val="auto"/>
              </w:rPr>
              <w:t>(State or other jurisdiction</w:t>
            </w:r>
          </w:p>
        </w:tc>
        <w:tc>
          <w:tcPr>
            <w:tcW w:w="1840" w:type="dxa"/>
            <w:vAlign w:val="bottom"/>
          </w:tcPr>
          <w:p>
            <w:pPr>
              <w:spacing w:after="0"/>
              <w:rPr>
                <w:sz w:val="19"/>
                <w:szCs w:val="19"/>
                <w:color w:val="auto"/>
              </w:rPr>
            </w:pPr>
          </w:p>
        </w:tc>
        <w:tc>
          <w:tcPr>
            <w:tcW w:w="3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5020" w:type="dxa"/>
            <w:vAlign w:val="bottom"/>
          </w:tcPr>
          <w:p>
            <w:pPr>
              <w:ind w:left="20"/>
              <w:spacing w:after="0"/>
              <w:rPr>
                <w:sz w:val="20"/>
                <w:szCs w:val="20"/>
                <w:color w:val="auto"/>
              </w:rPr>
            </w:pPr>
            <w:r>
              <w:rPr>
                <w:rFonts w:ascii="Arial" w:cs="Arial" w:eastAsia="Arial" w:hAnsi="Arial"/>
                <w:sz w:val="18"/>
                <w:szCs w:val="18"/>
                <w:color w:val="auto"/>
              </w:rPr>
              <w:t>of</w:t>
            </w:r>
          </w:p>
        </w:tc>
        <w:tc>
          <w:tcPr>
            <w:tcW w:w="1840" w:type="dxa"/>
            <w:vAlign w:val="bottom"/>
          </w:tcPr>
          <w:p>
            <w:pPr>
              <w:ind w:left="220"/>
              <w:spacing w:after="0"/>
              <w:rPr>
                <w:sz w:val="20"/>
                <w:szCs w:val="20"/>
                <w:color w:val="auto"/>
              </w:rPr>
            </w:pPr>
            <w:r>
              <w:rPr>
                <w:rFonts w:ascii="Arial" w:cs="Arial" w:eastAsia="Arial" w:hAnsi="Arial"/>
                <w:sz w:val="18"/>
                <w:szCs w:val="18"/>
                <w:color w:val="auto"/>
              </w:rPr>
              <w:t>incorporation</w:t>
            </w:r>
          </w:p>
        </w:tc>
        <w:tc>
          <w:tcPr>
            <w:tcW w:w="3260" w:type="dxa"/>
            <w:vAlign w:val="bottom"/>
          </w:tcPr>
          <w:p>
            <w:pPr>
              <w:jc w:val="center"/>
              <w:ind w:left="551"/>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230"/>
        </w:trPr>
        <w:tc>
          <w:tcPr>
            <w:tcW w:w="5020" w:type="dxa"/>
            <w:vAlign w:val="bottom"/>
          </w:tcPr>
          <w:p>
            <w:pPr>
              <w:ind w:left="2540"/>
              <w:spacing w:after="0"/>
              <w:rPr>
                <w:sz w:val="20"/>
                <w:szCs w:val="20"/>
                <w:color w:val="auto"/>
              </w:rPr>
            </w:pPr>
            <w:r>
              <w:rPr>
                <w:rFonts w:ascii="Arial" w:cs="Arial" w:eastAsia="Arial" w:hAnsi="Arial"/>
                <w:sz w:val="18"/>
                <w:szCs w:val="18"/>
                <w:color w:val="auto"/>
              </w:rPr>
              <w:t>or organization)</w:t>
            </w:r>
          </w:p>
        </w:tc>
        <w:tc>
          <w:tcPr>
            <w:tcW w:w="184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4"/>
        </w:trPr>
        <w:tc>
          <w:tcPr>
            <w:tcW w:w="5020" w:type="dxa"/>
            <w:vAlign w:val="bottom"/>
          </w:tcPr>
          <w:p>
            <w:pPr>
              <w:spacing w:after="0"/>
              <w:rPr>
                <w:sz w:val="20"/>
                <w:szCs w:val="20"/>
                <w:color w:val="auto"/>
              </w:rPr>
            </w:pPr>
            <w:r>
              <w:rPr>
                <w:rFonts w:ascii="Arial" w:cs="Arial" w:eastAsia="Arial" w:hAnsi="Arial"/>
                <w:sz w:val="18"/>
                <w:szCs w:val="18"/>
                <w:b w:val="1"/>
                <w:bCs w:val="1"/>
                <w:color w:val="auto"/>
              </w:rPr>
              <w:t>55 CHARLES LINDBERGH BLVD., MITCHEL FIELD,</w:t>
            </w:r>
          </w:p>
        </w:tc>
        <w:tc>
          <w:tcPr>
            <w:tcW w:w="1840" w:type="dxa"/>
            <w:vAlign w:val="bottom"/>
          </w:tcPr>
          <w:p>
            <w:pPr>
              <w:spacing w:after="0"/>
              <w:rPr>
                <w:sz w:val="24"/>
                <w:szCs w:val="24"/>
                <w:color w:val="auto"/>
              </w:rPr>
            </w:pPr>
          </w:p>
        </w:tc>
        <w:tc>
          <w:tcPr>
            <w:tcW w:w="3260" w:type="dxa"/>
            <w:vAlign w:val="bottom"/>
            <w:vMerge w:val="restart"/>
          </w:tcPr>
          <w:p>
            <w:pPr>
              <w:jc w:val="right"/>
              <w:ind w:right="1131"/>
              <w:spacing w:after="0"/>
              <w:rPr>
                <w:sz w:val="20"/>
                <w:szCs w:val="20"/>
                <w:color w:val="auto"/>
              </w:rPr>
            </w:pPr>
            <w:r>
              <w:rPr>
                <w:rFonts w:ascii="Arial" w:cs="Arial" w:eastAsia="Arial" w:hAnsi="Arial"/>
                <w:sz w:val="18"/>
                <w:szCs w:val="18"/>
                <w:b w:val="1"/>
                <w:bCs w:val="1"/>
                <w:color w:val="auto"/>
              </w:rPr>
              <w:t>11553</w:t>
            </w:r>
          </w:p>
        </w:tc>
        <w:tc>
          <w:tcPr>
            <w:tcW w:w="0" w:type="dxa"/>
            <w:vAlign w:val="bottom"/>
          </w:tcPr>
          <w:p>
            <w:pPr>
              <w:spacing w:after="0"/>
              <w:rPr>
                <w:sz w:val="1"/>
                <w:szCs w:val="1"/>
                <w:color w:val="auto"/>
              </w:rPr>
            </w:pPr>
          </w:p>
        </w:tc>
      </w:tr>
      <w:tr>
        <w:trPr>
          <w:trHeight w:val="122"/>
        </w:trPr>
        <w:tc>
          <w:tcPr>
            <w:tcW w:w="5020" w:type="dxa"/>
            <w:vAlign w:val="bottom"/>
            <w:vMerge w:val="restart"/>
          </w:tcPr>
          <w:p>
            <w:pPr>
              <w:spacing w:after="0"/>
              <w:rPr>
                <w:sz w:val="20"/>
                <w:szCs w:val="20"/>
                <w:color w:val="auto"/>
              </w:rPr>
            </w:pPr>
            <w:r>
              <w:rPr>
                <w:rFonts w:ascii="Arial" w:cs="Arial" w:eastAsia="Arial" w:hAnsi="Arial"/>
                <w:sz w:val="18"/>
                <w:szCs w:val="18"/>
                <w:b w:val="1"/>
                <w:bCs w:val="1"/>
                <w:color w:val="auto"/>
              </w:rPr>
              <w:t>N.Y.</w:t>
            </w:r>
          </w:p>
        </w:tc>
        <w:tc>
          <w:tcPr>
            <w:tcW w:w="1840" w:type="dxa"/>
            <w:vAlign w:val="bottom"/>
          </w:tcPr>
          <w:p>
            <w:pPr>
              <w:spacing w:after="0"/>
              <w:rPr>
                <w:sz w:val="10"/>
                <w:szCs w:val="10"/>
                <w:color w:val="auto"/>
              </w:rPr>
            </w:pPr>
          </w:p>
        </w:tc>
        <w:tc>
          <w:tcPr>
            <w:tcW w:w="32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5020" w:type="dxa"/>
            <w:vAlign w:val="bottom"/>
            <w:vMerge w:val="continue"/>
          </w:tcPr>
          <w:p>
            <w:pPr>
              <w:spacing w:after="0"/>
              <w:rPr>
                <w:sz w:val="10"/>
                <w:szCs w:val="10"/>
                <w:color w:val="auto"/>
              </w:rPr>
            </w:pPr>
          </w:p>
        </w:tc>
        <w:tc>
          <w:tcPr>
            <w:tcW w:w="1840" w:type="dxa"/>
            <w:vAlign w:val="bottom"/>
          </w:tcPr>
          <w:p>
            <w:pPr>
              <w:spacing w:after="0"/>
              <w:rPr>
                <w:sz w:val="10"/>
                <w:szCs w:val="10"/>
                <w:color w:val="auto"/>
              </w:rPr>
            </w:pPr>
          </w:p>
        </w:tc>
        <w:tc>
          <w:tcPr>
            <w:tcW w:w="3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5020" w:type="dxa"/>
            <w:vAlign w:val="bottom"/>
          </w:tcPr>
          <w:p>
            <w:pPr>
              <w:ind w:left="1580"/>
              <w:spacing w:after="0"/>
              <w:rPr>
                <w:sz w:val="20"/>
                <w:szCs w:val="20"/>
                <w:color w:val="auto"/>
              </w:rPr>
            </w:pPr>
            <w:r>
              <w:rPr>
                <w:rFonts w:ascii="Arial" w:cs="Arial" w:eastAsia="Arial" w:hAnsi="Arial"/>
                <w:sz w:val="18"/>
                <w:szCs w:val="18"/>
                <w:color w:val="auto"/>
              </w:rPr>
              <w:t>(Address of principal executive offices)</w:t>
            </w:r>
          </w:p>
        </w:tc>
        <w:tc>
          <w:tcPr>
            <w:tcW w:w="1840" w:type="dxa"/>
            <w:vAlign w:val="bottom"/>
          </w:tcPr>
          <w:p>
            <w:pPr>
              <w:spacing w:after="0"/>
              <w:rPr>
                <w:sz w:val="21"/>
                <w:szCs w:val="21"/>
                <w:color w:val="auto"/>
              </w:rPr>
            </w:pPr>
          </w:p>
        </w:tc>
        <w:tc>
          <w:tcPr>
            <w:tcW w:w="3260" w:type="dxa"/>
            <w:vAlign w:val="bottom"/>
          </w:tcPr>
          <w:p>
            <w:pPr>
              <w:jc w:val="right"/>
              <w:ind w:right="931"/>
              <w:spacing w:after="0"/>
              <w:rPr>
                <w:sz w:val="20"/>
                <w:szCs w:val="20"/>
                <w:color w:val="auto"/>
              </w:rPr>
            </w:pPr>
            <w:r>
              <w:rPr>
                <w:rFonts w:ascii="Arial" w:cs="Arial" w:eastAsia="Arial" w:hAnsi="Arial"/>
                <w:sz w:val="18"/>
                <w:szCs w:val="18"/>
                <w:color w:val="auto"/>
              </w:rPr>
              <w:t>(Zip Code)</w:t>
            </w:r>
          </w:p>
        </w:tc>
        <w:tc>
          <w:tcPr>
            <w:tcW w:w="0" w:type="dxa"/>
            <w:vAlign w:val="bottom"/>
          </w:tcPr>
          <w:p>
            <w:pPr>
              <w:spacing w:after="0"/>
              <w:rPr>
                <w:sz w:val="1"/>
                <w:szCs w:val="1"/>
                <w:color w:val="auto"/>
              </w:rPr>
            </w:pPr>
          </w:p>
        </w:tc>
      </w:tr>
      <w:tr>
        <w:trPr>
          <w:trHeight w:val="486"/>
        </w:trPr>
        <w:tc>
          <w:tcPr>
            <w:tcW w:w="5020" w:type="dxa"/>
            <w:vAlign w:val="bottom"/>
          </w:tcPr>
          <w:p>
            <w:pPr>
              <w:spacing w:after="0"/>
              <w:rPr>
                <w:sz w:val="20"/>
                <w:szCs w:val="20"/>
                <w:color w:val="auto"/>
              </w:rPr>
            </w:pPr>
            <w:r>
              <w:rPr>
                <w:rFonts w:ascii="Arial" w:cs="Arial" w:eastAsia="Arial" w:hAnsi="Arial"/>
                <w:sz w:val="18"/>
                <w:szCs w:val="18"/>
                <w:color w:val="auto"/>
                <w:w w:val="93"/>
              </w:rPr>
              <w:t xml:space="preserve">Registrant's telephone number, including area code: </w:t>
            </w:r>
            <w:r>
              <w:rPr>
                <w:rFonts w:ascii="Arial" w:cs="Arial" w:eastAsia="Arial" w:hAnsi="Arial"/>
                <w:sz w:val="18"/>
                <w:szCs w:val="18"/>
                <w:b w:val="1"/>
                <w:bCs w:val="1"/>
                <w:color w:val="auto"/>
                <w:w w:val="93"/>
              </w:rPr>
              <w:t>516-794-4500</w:t>
            </w:r>
          </w:p>
        </w:tc>
        <w:tc>
          <w:tcPr>
            <w:tcW w:w="184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5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 (b) of the Act:</w:t>
      </w:r>
    </w:p>
    <w:p>
      <w:pPr>
        <w:spacing w:after="0" w:line="262" w:lineRule="exact"/>
        <w:rPr>
          <w:sz w:val="24"/>
          <w:szCs w:val="24"/>
          <w:color w:val="auto"/>
        </w:rPr>
      </w:pPr>
    </w:p>
    <w:tbl>
      <w:tblPr>
        <w:tblLayout w:type="fixed"/>
        <w:tblInd w:w="1220" w:type="dxa"/>
        <w:tblCellMar>
          <w:top w:w="0" w:type="dxa"/>
          <w:left w:w="0" w:type="dxa"/>
          <w:bottom w:w="0" w:type="dxa"/>
          <w:right w:w="0" w:type="dxa"/>
        </w:tblCellMar>
      </w:tblPr>
      <w:tr>
        <w:trPr>
          <w:trHeight w:val="207"/>
        </w:trPr>
        <w:tc>
          <w:tcPr>
            <w:tcW w:w="102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87"/>
              </w:rPr>
              <w:t>Title of each class</w:t>
            </w:r>
          </w:p>
        </w:tc>
        <w:tc>
          <w:tcPr>
            <w:tcW w:w="2400" w:type="dxa"/>
            <w:vAlign w:val="bottom"/>
          </w:tcPr>
          <w:p>
            <w:pPr>
              <w:spacing w:after="0"/>
              <w:rPr>
                <w:sz w:val="18"/>
                <w:szCs w:val="18"/>
                <w:color w:val="auto"/>
              </w:rPr>
            </w:pPr>
          </w:p>
        </w:tc>
        <w:tc>
          <w:tcPr>
            <w:tcW w:w="4620" w:type="dxa"/>
            <w:vAlign w:val="bottom"/>
            <w:gridSpan w:val="2"/>
          </w:tcPr>
          <w:p>
            <w:pPr>
              <w:ind w:left="1380"/>
              <w:spacing w:after="0"/>
              <w:rPr>
                <w:sz w:val="20"/>
                <w:szCs w:val="20"/>
                <w:color w:val="auto"/>
              </w:rPr>
            </w:pPr>
            <w:r>
              <w:rPr>
                <w:rFonts w:ascii="Arial" w:cs="Arial" w:eastAsia="Arial" w:hAnsi="Arial"/>
                <w:sz w:val="18"/>
                <w:szCs w:val="18"/>
                <w:color w:val="auto"/>
                <w:w w:val="90"/>
              </w:rPr>
              <w:t>Name of each exchange on which registered</w:t>
            </w:r>
          </w:p>
        </w:tc>
      </w:tr>
      <w:tr>
        <w:trPr>
          <w:trHeight w:val="20"/>
        </w:trPr>
        <w:tc>
          <w:tcPr>
            <w:tcW w:w="10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40" w:type="dxa"/>
            <w:vAlign w:val="bottom"/>
            <w:tcBorders>
              <w:bottom w:val="single" w:sz="8" w:color="auto"/>
            </w:tcBorders>
            <w:shd w:val="clear" w:color="auto" w:fill="000000"/>
          </w:tcPr>
          <w:p>
            <w:pPr>
              <w:spacing w:after="0" w:line="20" w:lineRule="exact"/>
              <w:rPr>
                <w:sz w:val="1"/>
                <w:szCs w:val="1"/>
                <w:color w:val="auto"/>
              </w:rPr>
            </w:pPr>
          </w:p>
        </w:tc>
      </w:tr>
      <w:tr>
        <w:trPr>
          <w:trHeight w:val="257"/>
        </w:trPr>
        <w:tc>
          <w:tcPr>
            <w:tcW w:w="4680" w:type="dxa"/>
            <w:vAlign w:val="bottom"/>
            <w:gridSpan w:val="3"/>
          </w:tcPr>
          <w:p>
            <w:pPr>
              <w:jc w:val="center"/>
              <w:ind w:right="1380"/>
              <w:spacing w:after="0"/>
              <w:rPr>
                <w:sz w:val="20"/>
                <w:szCs w:val="20"/>
                <w:color w:val="auto"/>
              </w:rPr>
            </w:pPr>
            <w:r>
              <w:rPr>
                <w:rFonts w:ascii="Arial" w:cs="Arial" w:eastAsia="Arial" w:hAnsi="Arial"/>
                <w:sz w:val="18"/>
                <w:szCs w:val="18"/>
                <w:b w:val="1"/>
                <w:bCs w:val="1"/>
                <w:color w:val="auto"/>
                <w:w w:val="90"/>
              </w:rPr>
              <w:t>Common Stock (par value $1.00 per share)</w:t>
            </w:r>
          </w:p>
        </w:tc>
        <w:tc>
          <w:tcPr>
            <w:tcW w:w="1380" w:type="dxa"/>
            <w:vAlign w:val="bottom"/>
          </w:tcPr>
          <w:p>
            <w:pPr>
              <w:spacing w:after="0"/>
              <w:rPr>
                <w:sz w:val="22"/>
                <w:szCs w:val="22"/>
                <w:color w:val="auto"/>
              </w:rPr>
            </w:pPr>
          </w:p>
        </w:tc>
        <w:tc>
          <w:tcPr>
            <w:tcW w:w="3240" w:type="dxa"/>
            <w:vAlign w:val="bottom"/>
          </w:tcPr>
          <w:p>
            <w:pPr>
              <w:ind w:left="360"/>
              <w:spacing w:after="0"/>
              <w:rPr>
                <w:sz w:val="20"/>
                <w:szCs w:val="20"/>
                <w:color w:val="auto"/>
              </w:rPr>
            </w:pPr>
            <w:r>
              <w:rPr>
                <w:rFonts w:ascii="Arial" w:cs="Arial" w:eastAsia="Arial" w:hAnsi="Arial"/>
                <w:sz w:val="18"/>
                <w:szCs w:val="18"/>
                <w:b w:val="1"/>
                <w:bCs w:val="1"/>
                <w:color w:val="auto"/>
              </w:rPr>
              <w:t>NASDAQ Global Market</w:t>
            </w:r>
          </w:p>
        </w:tc>
      </w:tr>
    </w:tbl>
    <w:p>
      <w:pPr>
        <w:spacing w:after="0" w:line="2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 (g) of the Act:</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None</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a well-known seasoned issuer, as defined in Rule 405 of the Securities Act.</w:t>
      </w:r>
    </w:p>
    <w:p>
      <w:pPr>
        <w:spacing w:after="0" w:line="50" w:lineRule="exact"/>
        <w:rPr>
          <w:sz w:val="24"/>
          <w:szCs w:val="24"/>
          <w:color w:val="auto"/>
        </w:rPr>
      </w:pPr>
    </w:p>
    <w:p>
      <w:pPr>
        <w:spacing w:after="0"/>
        <w:rPr>
          <w:sz w:val="20"/>
          <w:szCs w:val="20"/>
          <w:color w:val="auto"/>
        </w:rPr>
      </w:pPr>
      <w:r>
        <w:rPr>
          <w:rFonts w:ascii="Arial" w:cs="Arial" w:eastAsia="Arial" w:hAnsi="Arial"/>
          <w:sz w:val="18"/>
          <w:szCs w:val="18"/>
          <w:color w:val="auto"/>
        </w:rPr>
        <w:t>Yes o No x</w:t>
      </w:r>
    </w:p>
    <w:p>
      <w:pPr>
        <w:spacing w:after="0" w:line="29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Exchange Act. Yes o No x</w:t>
      </w:r>
    </w:p>
    <w:p>
      <w:pPr>
        <w:spacing w:after="0" w:line="279"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x No o</w:t>
      </w:r>
    </w:p>
    <w:p>
      <w:pPr>
        <w:spacing w:after="0" w:line="235"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235"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265" w:lineRule="exact"/>
        <w:rPr>
          <w:sz w:val="24"/>
          <w:szCs w:val="24"/>
          <w:color w:val="auto"/>
        </w:rPr>
      </w:pPr>
    </w:p>
    <w:p>
      <w:pPr>
        <w:ind w:left="660"/>
        <w:spacing w:after="0"/>
        <w:tabs>
          <w:tab w:leader="none" w:pos="2920" w:val="left"/>
          <w:tab w:leader="none" w:pos="4860" w:val="left"/>
        </w:tabs>
        <w:rPr>
          <w:sz w:val="20"/>
          <w:szCs w:val="20"/>
          <w:color w:val="auto"/>
        </w:rPr>
      </w:pPr>
      <w:r>
        <w:rPr>
          <w:rFonts w:ascii="Arial" w:cs="Arial" w:eastAsia="Arial" w:hAnsi="Arial"/>
          <w:sz w:val="18"/>
          <w:szCs w:val="18"/>
          <w:color w:val="auto"/>
        </w:rPr>
        <w:t>Large accelerated filer o</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6"/>
          <w:szCs w:val="16"/>
          <w:color w:val="auto"/>
        </w:rPr>
        <w:t>Non-accelerated filer x</w:t>
      </w:r>
    </w:p>
    <w:p>
      <w:pPr>
        <w:spacing w:after="0" w:line="293"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The aggregate market value of voting stock held by non-affiliates of the Registrant as of October 31, 2006 - $70,400,000</w:t>
      </w:r>
    </w:p>
    <w:p>
      <w:pPr>
        <w:spacing w:after="0" w:line="27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APPLICABLE ONLY TO CORPORATE ISSUERS:</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The number of shares outstanding of Registrant's Common Stock, par value $1.00 as of July 23, 2007 - 8,704,591</w:t>
      </w:r>
    </w:p>
    <w:p>
      <w:pPr>
        <w:sectPr>
          <w:pgSz w:w="11900" w:h="16838" w:orient="portrait"/>
          <w:cols w:equalWidth="0" w:num="1">
            <w:col w:w="11420"/>
          </w:cols>
          <w:pgMar w:left="240" w:top="472" w:right="239" w:bottom="0" w:gutter="0" w:footer="0" w:header="0"/>
        </w:sectPr>
      </w:pPr>
    </w:p>
    <w:bookmarkStart w:id="1" w:name="page2"/>
    <w:bookmarkEnd w:id="1"/>
    <w:p>
      <w:pPr>
        <w:spacing w:after="0" w:line="277" w:lineRule="auto"/>
        <w:rPr>
          <w:sz w:val="20"/>
          <w:szCs w:val="20"/>
          <w:color w:val="auto"/>
        </w:rPr>
      </w:pPr>
      <w:r>
        <w:rPr>
          <w:rFonts w:ascii="Arial" w:cs="Arial" w:eastAsia="Arial" w:hAnsi="Arial"/>
          <w:sz w:val="18"/>
          <w:szCs w:val="18"/>
          <w:color w:val="auto"/>
        </w:rPr>
        <w:t>DOCUMENTS INCORPORATED BY REFERENCE: PART III incorporates information by reference from the definitive proxy statement for the Annual Meeting of Stockholders to be held on or about September 26, 2007.</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(Cover page 1 of 84 pages)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Exhibit Index at Page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243840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95" w:right="2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color w:val="auto"/>
        </w:rPr>
        <w:t>PART 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 Business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 DISCUSSION</w:t>
      </w:r>
    </w:p>
    <w:p>
      <w:pPr>
        <w:spacing w:after="0" w:line="279"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Frequency Electronics, Inc. (sometimes referred to as "Registrant", "Frequency Electronics" or the "Company") was founded in 1961 as a research and development firm in the technology of time and frequency control. Unless the context indicates otherwise, references to the Registrant or the Company are to Frequency Electronics, Inc. and its subsidiaries. References to “FEI” are to the parent company alone and do not refer to any of the subsidiaries.</w:t>
      </w:r>
    </w:p>
    <w:p>
      <w:pPr>
        <w:spacing w:after="0" w:line="20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 xml:space="preserve">Frequency Electronics was incorporated in Delaware in 1968 and became the successor to the business of Frequency Electronics, Inc., a New York corporation, organized in 1961. The principal executive office of Frequency Electronics is located at 55 Charles Lindbergh Boulevard, Mitchel Field, New York 11553. Its telephone number is 516-794-4500 and its website is </w:t>
      </w:r>
      <w:r>
        <w:rPr>
          <w:rFonts w:ascii="Arial" w:cs="Arial" w:eastAsia="Arial" w:hAnsi="Arial"/>
          <w:sz w:val="18"/>
          <w:szCs w:val="18"/>
          <w:i w:val="1"/>
          <w:iCs w:val="1"/>
          <w:u w:val="single" w:color="auto"/>
          <w:color w:val="auto"/>
        </w:rPr>
        <w:t>www.frequencyelectronics.com</w:t>
      </w:r>
      <w:r>
        <w:rPr>
          <w:rFonts w:ascii="Arial" w:cs="Arial" w:eastAsia="Arial" w:hAnsi="Arial"/>
          <w:sz w:val="18"/>
          <w:szCs w:val="18"/>
          <w:i w:val="1"/>
          <w:iCs w:val="1"/>
          <w:color w:val="auto"/>
        </w:rPr>
        <w:t>.</w:t>
      </w:r>
    </w:p>
    <w:p>
      <w:pPr>
        <w:spacing w:after="0" w:line="23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the mid-1990’s, the Company transformed itself from primarily a defense contract manufacturer into a high-tech provider of precision time and frequency products for commercial applications found in both ground-based communication stations and on-board satellites. The Company also continues to support the United States government with products for defense and space applications.</w:t>
      </w:r>
    </w:p>
    <w:p>
      <w:pPr>
        <w:spacing w:after="0" w:line="235"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The Company is a world leader in the design, development and manufacture of high-technology frequency, timing and synchronization products for satellite and terrestrial voice, video and data telecommunications. The Company’s technologies provide unique solutions that are essential building blocks for the next generation of broadband wireless and for the ongoing expansion of existing wireless and wireline networks. The Company’s mission is to provide the most advanced control of frequency and time - essential factors for synchronizing communication networks and for providing reference frequencies for certain military, commercial and scientific, terrestrial and space applications.</w:t>
      </w:r>
    </w:p>
    <w:p>
      <w:pPr>
        <w:spacing w:after="0" w:line="2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has identified the following major markets for its products and technology: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SATELLITE PAYLOADS</w:t>
      </w:r>
    </w:p>
    <w:p>
      <w:pPr>
        <w:spacing w:after="0" w:line="283" w:lineRule="exact"/>
        <w:rPr>
          <w:sz w:val="20"/>
          <w:szCs w:val="20"/>
          <w:color w:val="auto"/>
        </w:rPr>
      </w:pPr>
    </w:p>
    <w:p>
      <w:pPr>
        <w:jc w:val="both"/>
        <w:ind w:firstLine="494"/>
        <w:spacing w:after="0" w:line="264" w:lineRule="auto"/>
        <w:tabs>
          <w:tab w:leader="none" w:pos="781"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Commercial communication satellites- The globe is encircled by over 120 geostationary satellites used for communication, TV and video broadcasting, and data transmission. These satellites are going through a replacement cycle which will last for many years with an average of 20 such new satellites expected to be built each year.</w:t>
      </w:r>
    </w:p>
    <w:p>
      <w:pPr>
        <w:spacing w:after="0" w:line="235" w:lineRule="exact"/>
        <w:rPr>
          <w:rFonts w:ascii="Arial" w:cs="Arial" w:eastAsia="Arial" w:hAnsi="Arial"/>
          <w:sz w:val="18"/>
          <w:szCs w:val="18"/>
          <w:color w:val="auto"/>
        </w:rPr>
      </w:pPr>
    </w:p>
    <w:p>
      <w:pPr>
        <w:jc w:val="both"/>
        <w:ind w:firstLine="494"/>
        <w:spacing w:after="0" w:line="286" w:lineRule="auto"/>
        <w:tabs>
          <w:tab w:leader="none" w:pos="741" w:val="left"/>
        </w:tabs>
        <w:numPr>
          <w:ilvl w:val="0"/>
          <w:numId w:val="3"/>
        </w:numPr>
        <w:rPr>
          <w:rFonts w:ascii="Arial" w:cs="Arial" w:eastAsia="Arial" w:hAnsi="Arial"/>
          <w:sz w:val="17"/>
          <w:szCs w:val="17"/>
          <w:color w:val="auto"/>
        </w:rPr>
      </w:pPr>
      <w:r>
        <w:rPr>
          <w:rFonts w:ascii="Arial" w:cs="Arial" w:eastAsia="Arial" w:hAnsi="Arial"/>
          <w:sz w:val="17"/>
          <w:szCs w:val="17"/>
          <w:color w:val="auto"/>
        </w:rPr>
        <w:t>Satellites for U.S. Government Department of Defense (“DOD”) and National Aeronautics and Space Administrations (“NASA”)- Such satellites, which may be in geostationary, mid- and low-earth orbits, are used for secure communications, surveillance, guidance, global positioning (GPS) and weather tracking. Industry estimates predict approximately 20 new and replacement satellites will be built each year over the next decade.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TELECOMMUNICATION NETWORKS</w:t>
      </w:r>
    </w:p>
    <w:p>
      <w:pPr>
        <w:spacing w:after="0" w:line="283" w:lineRule="exact"/>
        <w:rPr>
          <w:sz w:val="20"/>
          <w:szCs w:val="20"/>
          <w:color w:val="auto"/>
        </w:rPr>
      </w:pPr>
    </w:p>
    <w:p>
      <w:pPr>
        <w:jc w:val="both"/>
        <w:ind w:firstLine="494"/>
        <w:spacing w:after="0" w:line="264" w:lineRule="auto"/>
        <w:tabs>
          <w:tab w:leader="none" w:pos="754" w:val="left"/>
        </w:tabs>
        <w:numPr>
          <w:ilvl w:val="0"/>
          <w:numId w:val="4"/>
        </w:numPr>
        <w:rPr>
          <w:rFonts w:ascii="Arial" w:cs="Arial" w:eastAsia="Arial" w:hAnsi="Arial"/>
          <w:sz w:val="18"/>
          <w:szCs w:val="18"/>
          <w:color w:val="auto"/>
        </w:rPr>
      </w:pPr>
      <w:r>
        <w:rPr>
          <w:rFonts w:ascii="Arial" w:cs="Arial" w:eastAsia="Arial" w:hAnsi="Arial"/>
          <w:sz w:val="18"/>
          <w:szCs w:val="18"/>
          <w:color w:val="auto"/>
        </w:rPr>
        <w:t>Wireless communications- Cellular telephone infrastructure requires precise signal synchronization. In the architecture of many of the cellular systems, this synchronization is obtained through oscillators provided by the Company. As more services are added and more users come online, the need for synchronization is increased.</w:t>
      </w:r>
    </w:p>
    <w:p>
      <w:pPr>
        <w:spacing w:after="0" w:line="235" w:lineRule="exact"/>
        <w:rPr>
          <w:rFonts w:ascii="Arial" w:cs="Arial" w:eastAsia="Arial" w:hAnsi="Arial"/>
          <w:sz w:val="18"/>
          <w:szCs w:val="18"/>
          <w:color w:val="auto"/>
        </w:rPr>
      </w:pPr>
    </w:p>
    <w:p>
      <w:pPr>
        <w:jc w:val="both"/>
        <w:ind w:firstLine="494"/>
        <w:spacing w:after="0" w:line="264" w:lineRule="auto"/>
        <w:tabs>
          <w:tab w:leader="none" w:pos="741" w:val="left"/>
        </w:tabs>
        <w:numPr>
          <w:ilvl w:val="0"/>
          <w:numId w:val="4"/>
        </w:numPr>
        <w:rPr>
          <w:rFonts w:ascii="Arial" w:cs="Arial" w:eastAsia="Arial" w:hAnsi="Arial"/>
          <w:sz w:val="18"/>
          <w:szCs w:val="18"/>
          <w:color w:val="auto"/>
        </w:rPr>
      </w:pPr>
      <w:r>
        <w:rPr>
          <w:rFonts w:ascii="Arial" w:cs="Arial" w:eastAsia="Arial" w:hAnsi="Arial"/>
          <w:sz w:val="18"/>
          <w:szCs w:val="18"/>
          <w:color w:val="auto"/>
        </w:rPr>
        <w:t>WiMAX- The nascent Internet access technology is part of the wireless communications alternatives. The consortium of Motorola, Intel and Sprint, for example, are currently building WiMax networks in select cities in the United States as well as in other countries. As in cellular telephone networks, precise signal synchronization is provided by Frequency’s oscillators.</w:t>
      </w:r>
    </w:p>
    <w:p>
      <w:pPr>
        <w:spacing w:after="0" w:line="235" w:lineRule="exact"/>
        <w:rPr>
          <w:rFonts w:ascii="Arial" w:cs="Arial" w:eastAsia="Arial" w:hAnsi="Arial"/>
          <w:sz w:val="18"/>
          <w:szCs w:val="18"/>
          <w:color w:val="auto"/>
        </w:rPr>
      </w:pPr>
    </w:p>
    <w:p>
      <w:pPr>
        <w:jc w:val="both"/>
        <w:ind w:firstLine="494"/>
        <w:spacing w:after="0" w:line="264" w:lineRule="auto"/>
        <w:tabs>
          <w:tab w:leader="none" w:pos="741" w:val="left"/>
        </w:tabs>
        <w:numPr>
          <w:ilvl w:val="0"/>
          <w:numId w:val="4"/>
        </w:numPr>
        <w:rPr>
          <w:rFonts w:ascii="Arial" w:cs="Arial" w:eastAsia="Arial" w:hAnsi="Arial"/>
          <w:sz w:val="18"/>
          <w:szCs w:val="18"/>
          <w:color w:val="auto"/>
        </w:rPr>
      </w:pPr>
      <w:r>
        <w:rPr>
          <w:rFonts w:ascii="Arial" w:cs="Arial" w:eastAsia="Arial" w:hAnsi="Arial"/>
          <w:sz w:val="18"/>
          <w:szCs w:val="18"/>
          <w:color w:val="auto"/>
        </w:rPr>
        <w:t>Wireline synchronization- World-wide, a vast infrastructure supports the wired communications networks. These networks also require significant synchronization equipment which is housed in thousands of Central Offices operated by the telephone companies. These equipments require upgrade and replacement to maintain the integrity of the wireline networks.</w:t>
      </w: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auto"/>
        </w:rPr>
        <w:t>U.S. GOVERNMENT &amp; DOD (non-space)</w:t>
      </w:r>
    </w:p>
    <w:p>
      <w:pPr>
        <w:spacing w:after="0" w:line="283" w:lineRule="exact"/>
        <w:rPr>
          <w:sz w:val="20"/>
          <w:szCs w:val="20"/>
          <w:color w:val="auto"/>
        </w:rPr>
      </w:pPr>
    </w:p>
    <w:p>
      <w:pPr>
        <w:jc w:val="both"/>
        <w:ind w:firstLine="494"/>
        <w:spacing w:after="0" w:line="264" w:lineRule="auto"/>
        <w:tabs>
          <w:tab w:leader="none" w:pos="754" w:val="left"/>
        </w:tabs>
        <w:numPr>
          <w:ilvl w:val="0"/>
          <w:numId w:val="5"/>
        </w:numPr>
        <w:rPr>
          <w:rFonts w:ascii="Arial" w:cs="Arial" w:eastAsia="Arial" w:hAnsi="Arial"/>
          <w:sz w:val="18"/>
          <w:szCs w:val="18"/>
          <w:color w:val="auto"/>
        </w:rPr>
      </w:pPr>
      <w:r>
        <w:rPr>
          <w:rFonts w:ascii="Arial" w:cs="Arial" w:eastAsia="Arial" w:hAnsi="Arial"/>
          <w:sz w:val="18"/>
          <w:szCs w:val="18"/>
          <w:color w:val="auto"/>
        </w:rPr>
        <w:t>U.S. Government applications- In addition to DOD and NASA satellites, the U.S. Government is in need of ever more secure communication capabilities and is developing a secure radio for all branches of the military. The military is also increasing its use of unmanned aerial vehicles (UAVs) and improving the accuracy of the radar and guidance systems on all moving platforms.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INDUSTRIAL APPLICATIONS</w:t>
      </w:r>
    </w:p>
    <w:p>
      <w:pPr>
        <w:spacing w:after="0" w:line="283" w:lineRule="exact"/>
        <w:rPr>
          <w:sz w:val="20"/>
          <w:szCs w:val="20"/>
          <w:color w:val="auto"/>
        </w:rPr>
      </w:pPr>
    </w:p>
    <w:p>
      <w:pPr>
        <w:ind w:left="740" w:hanging="246"/>
        <w:spacing w:after="0"/>
        <w:tabs>
          <w:tab w:leader="none" w:pos="740" w:val="left"/>
        </w:tabs>
        <w:numPr>
          <w:ilvl w:val="0"/>
          <w:numId w:val="6"/>
        </w:numPr>
        <w:rPr>
          <w:rFonts w:ascii="Arial" w:cs="Arial" w:eastAsia="Arial" w:hAnsi="Arial"/>
          <w:sz w:val="17"/>
          <w:szCs w:val="17"/>
          <w:color w:val="auto"/>
        </w:rPr>
      </w:pPr>
      <w:r>
        <w:rPr>
          <w:rFonts w:ascii="Arial" w:cs="Arial" w:eastAsia="Arial" w:hAnsi="Arial"/>
          <w:sz w:val="17"/>
          <w:szCs w:val="17"/>
          <w:color w:val="auto"/>
        </w:rPr>
        <w:t>Remote management of networks, such as power grids and gas lines, can be accomplished through the Company’s LYNX SCADA system.</w:t>
      </w:r>
    </w:p>
    <w:p>
      <w:pPr>
        <w:spacing w:after="0" w:line="290" w:lineRule="exact"/>
        <w:rPr>
          <w:rFonts w:ascii="Arial" w:cs="Arial" w:eastAsia="Arial" w:hAnsi="Arial"/>
          <w:sz w:val="17"/>
          <w:szCs w:val="17"/>
          <w:color w:val="auto"/>
        </w:rPr>
      </w:pPr>
    </w:p>
    <w:p>
      <w:pPr>
        <w:ind w:right="20" w:firstLine="494"/>
        <w:spacing w:after="0" w:line="277" w:lineRule="auto"/>
        <w:tabs>
          <w:tab w:leader="none" w:pos="754" w:val="left"/>
        </w:tabs>
        <w:numPr>
          <w:ilvl w:val="0"/>
          <w:numId w:val="6"/>
        </w:numPr>
        <w:rPr>
          <w:rFonts w:ascii="Arial" w:cs="Arial" w:eastAsia="Arial" w:hAnsi="Arial"/>
          <w:sz w:val="18"/>
          <w:szCs w:val="18"/>
          <w:color w:val="auto"/>
        </w:rPr>
      </w:pPr>
      <w:r>
        <w:rPr>
          <w:rFonts w:ascii="Arial" w:cs="Arial" w:eastAsia="Arial" w:hAnsi="Arial"/>
          <w:sz w:val="18"/>
          <w:szCs w:val="18"/>
          <w:color w:val="auto"/>
        </w:rPr>
        <w:t>Deep earth drilling for oil and gas in harsh environments can be done more efficiently through utilization of the Company’s high temperature tolerant oscillators and GPS technology.</w:t>
      </w:r>
    </w:p>
    <w:p>
      <w:pPr>
        <w:spacing w:after="0" w:line="224"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To address these markets, the Company has formed several corporate entities which operate under three reportable segments. (See also the section entitled REPORTABLE SEGMENTS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 w:type="dxa"/>
            <w:vAlign w:val="bottom"/>
          </w:tcPr>
          <w:p>
            <w:pPr>
              <w:jc w:val="right"/>
              <w:ind w:right="90"/>
              <w:spacing w:after="0"/>
              <w:rPr>
                <w:sz w:val="20"/>
                <w:szCs w:val="20"/>
                <w:color w:val="auto"/>
              </w:rPr>
            </w:pPr>
            <w:r>
              <w:rPr>
                <w:rFonts w:ascii="Arial" w:cs="Arial" w:eastAsia="Arial" w:hAnsi="Arial"/>
                <w:sz w:val="18"/>
                <w:szCs w:val="18"/>
                <w:color w:val="auto"/>
                <w:w w:val="79"/>
              </w:rPr>
              <w:t>1.</w:t>
            </w:r>
          </w:p>
        </w:tc>
        <w:tc>
          <w:tcPr>
            <w:tcW w:w="8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60" w:type="dxa"/>
            <w:vAlign w:val="bottom"/>
            <w:gridSpan w:val="5"/>
          </w:tcPr>
          <w:p>
            <w:pPr>
              <w:jc w:val="right"/>
              <w:spacing w:after="0"/>
              <w:rPr>
                <w:sz w:val="20"/>
                <w:szCs w:val="20"/>
                <w:color w:val="auto"/>
              </w:rPr>
            </w:pPr>
            <w:r>
              <w:rPr>
                <w:rFonts w:ascii="Arial" w:cs="Arial" w:eastAsia="Arial" w:hAnsi="Arial"/>
                <w:sz w:val="18"/>
                <w:szCs w:val="18"/>
                <w:b w:val="1"/>
                <w:bCs w:val="1"/>
                <w:color w:val="auto"/>
                <w:w w:val="98"/>
              </w:rPr>
              <w:t xml:space="preserve">FEI-NY </w:t>
            </w:r>
            <w:r>
              <w:rPr>
                <w:rFonts w:ascii="Arial" w:cs="Arial" w:eastAsia="Arial" w:hAnsi="Arial"/>
                <w:sz w:val="18"/>
                <w:szCs w:val="18"/>
                <w:color w:val="auto"/>
                <w:w w:val="98"/>
              </w:rPr>
              <w:t>The Company’s space and</w:t>
            </w:r>
          </w:p>
        </w:tc>
      </w:tr>
      <w:tr>
        <w:trPr>
          <w:trHeight w:val="20"/>
        </w:trPr>
        <w:tc>
          <w:tcPr>
            <w:tcW w:w="3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36"/>
        </w:trPr>
        <w:tc>
          <w:tcPr>
            <w:tcW w:w="320" w:type="dxa"/>
            <w:vAlign w:val="bottom"/>
          </w:tcPr>
          <w:p>
            <w:pPr>
              <w:spacing w:after="0"/>
              <w:rPr>
                <w:sz w:val="20"/>
                <w:szCs w:val="20"/>
                <w:color w:val="auto"/>
              </w:rPr>
            </w:pPr>
          </w:p>
        </w:tc>
        <w:tc>
          <w:tcPr>
            <w:tcW w:w="11100" w:type="dxa"/>
            <w:vAlign w:val="bottom"/>
            <w:gridSpan w:val="7"/>
          </w:tcPr>
          <w:p>
            <w:pPr>
              <w:ind w:left="180"/>
              <w:spacing w:after="0"/>
              <w:rPr>
                <w:sz w:val="20"/>
                <w:szCs w:val="20"/>
                <w:color w:val="auto"/>
              </w:rPr>
            </w:pPr>
            <w:r>
              <w:rPr>
                <w:rFonts w:ascii="Arial" w:cs="Arial" w:eastAsia="Arial" w:hAnsi="Arial"/>
                <w:sz w:val="18"/>
                <w:szCs w:val="18"/>
                <w:color w:val="auto"/>
                <w:w w:val="91"/>
              </w:rPr>
              <w:t>terrestrial commercial communications products are designed, developed and manufactured by its wholly owned subsidiary, FEI Communications, Inc.</w:t>
            </w:r>
          </w:p>
        </w:tc>
      </w:tr>
      <w:tr>
        <w:trPr>
          <w:trHeight w:val="216"/>
        </w:trPr>
        <w:tc>
          <w:tcPr>
            <w:tcW w:w="320" w:type="dxa"/>
            <w:vAlign w:val="bottom"/>
          </w:tcPr>
          <w:p>
            <w:pPr>
              <w:spacing w:after="0"/>
              <w:rPr>
                <w:sz w:val="18"/>
                <w:szCs w:val="18"/>
                <w:color w:val="auto"/>
              </w:rPr>
            </w:pPr>
          </w:p>
        </w:tc>
        <w:tc>
          <w:tcPr>
            <w:tcW w:w="11100" w:type="dxa"/>
            <w:vAlign w:val="bottom"/>
            <w:gridSpan w:val="7"/>
          </w:tcPr>
          <w:p>
            <w:pPr>
              <w:ind w:left="180"/>
              <w:spacing w:after="0"/>
              <w:rPr>
                <w:sz w:val="20"/>
                <w:szCs w:val="20"/>
                <w:color w:val="auto"/>
              </w:rPr>
            </w:pPr>
            <w:r>
              <w:rPr>
                <w:rFonts w:ascii="Arial" w:cs="Arial" w:eastAsia="Arial" w:hAnsi="Arial"/>
                <w:sz w:val="18"/>
                <w:szCs w:val="18"/>
                <w:color w:val="auto"/>
                <w:w w:val="91"/>
              </w:rPr>
              <w:t>(“FEIC”). FEIC was incorporated in Delaware in December 1991, as a separate subsidiary company to provide ownership and management of assets</w:t>
            </w:r>
          </w:p>
        </w:tc>
      </w:tr>
      <w:tr>
        <w:trPr>
          <w:trHeight w:val="230"/>
        </w:trPr>
        <w:tc>
          <w:tcPr>
            <w:tcW w:w="320" w:type="dxa"/>
            <w:vAlign w:val="bottom"/>
          </w:tcPr>
          <w:p>
            <w:pPr>
              <w:spacing w:after="0"/>
              <w:rPr>
                <w:sz w:val="20"/>
                <w:szCs w:val="20"/>
                <w:color w:val="auto"/>
              </w:rPr>
            </w:pPr>
          </w:p>
        </w:tc>
        <w:tc>
          <w:tcPr>
            <w:tcW w:w="11100" w:type="dxa"/>
            <w:vAlign w:val="bottom"/>
            <w:gridSpan w:val="7"/>
          </w:tcPr>
          <w:p>
            <w:pPr>
              <w:ind w:left="180"/>
              <w:spacing w:after="0"/>
              <w:rPr>
                <w:sz w:val="20"/>
                <w:szCs w:val="20"/>
                <w:color w:val="auto"/>
              </w:rPr>
            </w:pPr>
            <w:r>
              <w:rPr>
                <w:rFonts w:ascii="Arial" w:cs="Arial" w:eastAsia="Arial" w:hAnsi="Arial"/>
                <w:sz w:val="18"/>
                <w:szCs w:val="18"/>
                <w:color w:val="auto"/>
              </w:rPr>
              <w:t>and other services appropriate for commercial clients, both domestic and foreign.</w:t>
            </w:r>
          </w:p>
        </w:tc>
      </w:tr>
      <w:tr>
        <w:trPr>
          <w:trHeight w:val="472"/>
        </w:trPr>
        <w:tc>
          <w:tcPr>
            <w:tcW w:w="320" w:type="dxa"/>
            <w:vAlign w:val="bottom"/>
          </w:tcPr>
          <w:p>
            <w:pPr>
              <w:spacing w:after="0"/>
              <w:rPr>
                <w:sz w:val="24"/>
                <w:szCs w:val="24"/>
                <w:color w:val="auto"/>
              </w:rPr>
            </w:pPr>
          </w:p>
        </w:tc>
        <w:tc>
          <w:tcPr>
            <w:tcW w:w="11100" w:type="dxa"/>
            <w:vAlign w:val="bottom"/>
            <w:gridSpan w:val="7"/>
          </w:tcPr>
          <w:p>
            <w:pPr>
              <w:ind w:left="180"/>
              <w:spacing w:after="0"/>
              <w:rPr>
                <w:sz w:val="20"/>
                <w:szCs w:val="20"/>
                <w:color w:val="auto"/>
              </w:rPr>
            </w:pPr>
            <w:r>
              <w:rPr>
                <w:rFonts w:ascii="Arial" w:cs="Arial" w:eastAsia="Arial" w:hAnsi="Arial"/>
                <w:sz w:val="18"/>
                <w:szCs w:val="18"/>
                <w:color w:val="auto"/>
                <w:w w:val="92"/>
              </w:rPr>
              <w:t>Frequency Electronics, Inc. Asia (“FEI-Asia”) was established in fiscal year 2002 to be the Company’s Asian-based low cost manufacturer of certain</w:t>
            </w:r>
          </w:p>
        </w:tc>
      </w:tr>
      <w:tr>
        <w:trPr>
          <w:trHeight w:val="216"/>
        </w:trPr>
        <w:tc>
          <w:tcPr>
            <w:tcW w:w="320" w:type="dxa"/>
            <w:vAlign w:val="bottom"/>
          </w:tcPr>
          <w:p>
            <w:pPr>
              <w:spacing w:after="0"/>
              <w:rPr>
                <w:sz w:val="18"/>
                <w:szCs w:val="18"/>
                <w:color w:val="auto"/>
              </w:rPr>
            </w:pPr>
          </w:p>
        </w:tc>
        <w:tc>
          <w:tcPr>
            <w:tcW w:w="11100" w:type="dxa"/>
            <w:vAlign w:val="bottom"/>
            <w:gridSpan w:val="7"/>
          </w:tcPr>
          <w:p>
            <w:pPr>
              <w:ind w:left="180"/>
              <w:spacing w:after="0"/>
              <w:rPr>
                <w:sz w:val="20"/>
                <w:szCs w:val="20"/>
                <w:color w:val="auto"/>
              </w:rPr>
            </w:pPr>
            <w:r>
              <w:rPr>
                <w:rFonts w:ascii="Arial" w:cs="Arial" w:eastAsia="Arial" w:hAnsi="Arial"/>
                <w:sz w:val="18"/>
                <w:szCs w:val="18"/>
                <w:color w:val="auto"/>
                <w:w w:val="95"/>
              </w:rPr>
              <w:t>commercial communications products used primarily in the wireless and wireline markets. FEI-Asia is located in the Free-Trade Zone in Tianjin,</w:t>
            </w:r>
          </w:p>
        </w:tc>
      </w:tr>
      <w:tr>
        <w:trPr>
          <w:trHeight w:val="230"/>
        </w:trPr>
        <w:tc>
          <w:tcPr>
            <w:tcW w:w="320" w:type="dxa"/>
            <w:vAlign w:val="bottom"/>
          </w:tcPr>
          <w:p>
            <w:pPr>
              <w:spacing w:after="0"/>
              <w:rPr>
                <w:sz w:val="20"/>
                <w:szCs w:val="20"/>
                <w:color w:val="auto"/>
              </w:rPr>
            </w:pPr>
          </w:p>
        </w:tc>
        <w:tc>
          <w:tcPr>
            <w:tcW w:w="11100" w:type="dxa"/>
            <w:vAlign w:val="bottom"/>
            <w:gridSpan w:val="7"/>
          </w:tcPr>
          <w:p>
            <w:pPr>
              <w:ind w:left="180"/>
              <w:spacing w:after="0"/>
              <w:rPr>
                <w:sz w:val="20"/>
                <w:szCs w:val="20"/>
                <w:color w:val="auto"/>
              </w:rPr>
            </w:pPr>
            <w:r>
              <w:rPr>
                <w:rFonts w:ascii="Arial" w:cs="Arial" w:eastAsia="Arial" w:hAnsi="Arial"/>
                <w:sz w:val="18"/>
                <w:szCs w:val="18"/>
                <w:color w:val="auto"/>
              </w:rPr>
              <w:t>China.</w:t>
            </w:r>
          </w:p>
        </w:tc>
      </w:tr>
      <w:tr>
        <w:trPr>
          <w:trHeight w:val="472"/>
        </w:trPr>
        <w:tc>
          <w:tcPr>
            <w:tcW w:w="320" w:type="dxa"/>
            <w:vAlign w:val="bottom"/>
          </w:tcPr>
          <w:p>
            <w:pPr>
              <w:spacing w:after="0"/>
              <w:rPr>
                <w:sz w:val="24"/>
                <w:szCs w:val="24"/>
                <w:color w:val="auto"/>
              </w:rPr>
            </w:pPr>
          </w:p>
        </w:tc>
        <w:tc>
          <w:tcPr>
            <w:tcW w:w="11100" w:type="dxa"/>
            <w:vAlign w:val="bottom"/>
            <w:gridSpan w:val="7"/>
          </w:tcPr>
          <w:p>
            <w:pPr>
              <w:ind w:left="180"/>
              <w:spacing w:after="0"/>
              <w:rPr>
                <w:sz w:val="20"/>
                <w:szCs w:val="20"/>
                <w:color w:val="auto"/>
              </w:rPr>
            </w:pPr>
            <w:r>
              <w:rPr>
                <w:rFonts w:ascii="Arial" w:cs="Arial" w:eastAsia="Arial" w:hAnsi="Arial"/>
                <w:sz w:val="18"/>
                <w:szCs w:val="18"/>
                <w:color w:val="auto"/>
                <w:w w:val="97"/>
              </w:rPr>
              <w:t>The Company’s subsidiary, FEI Government Systems, Inc. (“FEI-GSI”), was formed in fiscal year 2002 to focus on supplying the Company’s</w:t>
            </w:r>
          </w:p>
        </w:tc>
      </w:tr>
      <w:tr>
        <w:trPr>
          <w:trHeight w:val="230"/>
        </w:trPr>
        <w:tc>
          <w:tcPr>
            <w:tcW w:w="320" w:type="dxa"/>
            <w:vAlign w:val="bottom"/>
          </w:tcPr>
          <w:p>
            <w:pPr>
              <w:spacing w:after="0"/>
              <w:rPr>
                <w:sz w:val="20"/>
                <w:szCs w:val="20"/>
                <w:color w:val="auto"/>
              </w:rPr>
            </w:pPr>
          </w:p>
        </w:tc>
        <w:tc>
          <w:tcPr>
            <w:tcW w:w="11100" w:type="dxa"/>
            <w:vAlign w:val="bottom"/>
            <w:gridSpan w:val="7"/>
          </w:tcPr>
          <w:p>
            <w:pPr>
              <w:ind w:left="180"/>
              <w:spacing w:after="0"/>
              <w:rPr>
                <w:sz w:val="20"/>
                <w:szCs w:val="20"/>
                <w:color w:val="auto"/>
              </w:rPr>
            </w:pPr>
            <w:r>
              <w:rPr>
                <w:rFonts w:ascii="Arial" w:cs="Arial" w:eastAsia="Arial" w:hAnsi="Arial"/>
                <w:sz w:val="18"/>
                <w:szCs w:val="18"/>
                <w:color w:val="auto"/>
              </w:rPr>
              <w:t>technology and legacy proprietary products to the United States military and other U.S. Government agencies.</w:t>
            </w:r>
          </w:p>
        </w:tc>
      </w:tr>
      <w:tr>
        <w:trPr>
          <w:trHeight w:val="486"/>
        </w:trPr>
        <w:tc>
          <w:tcPr>
            <w:tcW w:w="320" w:type="dxa"/>
            <w:vAlign w:val="bottom"/>
          </w:tcPr>
          <w:p>
            <w:pPr>
              <w:jc w:val="right"/>
              <w:ind w:right="90"/>
              <w:spacing w:after="0"/>
              <w:rPr>
                <w:sz w:val="20"/>
                <w:szCs w:val="20"/>
                <w:color w:val="auto"/>
              </w:rPr>
            </w:pPr>
            <w:r>
              <w:rPr>
                <w:rFonts w:ascii="Arial" w:cs="Arial" w:eastAsia="Arial" w:hAnsi="Arial"/>
                <w:sz w:val="18"/>
                <w:szCs w:val="18"/>
                <w:color w:val="auto"/>
                <w:w w:val="79"/>
              </w:rPr>
              <w:t>2.</w:t>
            </w:r>
          </w:p>
        </w:tc>
        <w:tc>
          <w:tcPr>
            <w:tcW w:w="8260" w:type="dxa"/>
            <w:vAlign w:val="bottom"/>
          </w:tcPr>
          <w:p>
            <w:pPr>
              <w:spacing w:after="0"/>
              <w:rPr>
                <w:sz w:val="24"/>
                <w:szCs w:val="24"/>
                <w:color w:val="auto"/>
              </w:rPr>
            </w:pPr>
          </w:p>
        </w:tc>
        <w:tc>
          <w:tcPr>
            <w:tcW w:w="2840" w:type="dxa"/>
            <w:vAlign w:val="bottom"/>
            <w:gridSpan w:val="6"/>
          </w:tcPr>
          <w:p>
            <w:pPr>
              <w:jc w:val="right"/>
              <w:spacing w:after="0"/>
              <w:rPr>
                <w:sz w:val="20"/>
                <w:szCs w:val="20"/>
                <w:color w:val="auto"/>
              </w:rPr>
            </w:pPr>
            <w:r>
              <w:rPr>
                <w:rFonts w:ascii="Arial" w:cs="Arial" w:eastAsia="Arial" w:hAnsi="Arial"/>
                <w:sz w:val="18"/>
                <w:szCs w:val="18"/>
                <w:b w:val="1"/>
                <w:bCs w:val="1"/>
                <w:color w:val="auto"/>
                <w:w w:val="95"/>
              </w:rPr>
              <w:t xml:space="preserve">Gillam-FEI </w:t>
            </w:r>
            <w:r>
              <w:rPr>
                <w:rFonts w:ascii="Arial" w:cs="Arial" w:eastAsia="Arial" w:hAnsi="Arial"/>
                <w:sz w:val="18"/>
                <w:szCs w:val="18"/>
                <w:color w:val="auto"/>
                <w:w w:val="95"/>
              </w:rPr>
              <w:t>- The Company’s Belgian</w:t>
            </w:r>
          </w:p>
        </w:tc>
      </w:tr>
      <w:tr>
        <w:trPr>
          <w:trHeight w:val="20"/>
        </w:trPr>
        <w:tc>
          <w:tcPr>
            <w:tcW w:w="3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36"/>
        </w:trPr>
        <w:tc>
          <w:tcPr>
            <w:tcW w:w="320" w:type="dxa"/>
            <w:vAlign w:val="bottom"/>
          </w:tcPr>
          <w:p>
            <w:pPr>
              <w:spacing w:after="0"/>
              <w:rPr>
                <w:sz w:val="20"/>
                <w:szCs w:val="20"/>
                <w:color w:val="auto"/>
              </w:rPr>
            </w:pPr>
          </w:p>
        </w:tc>
        <w:tc>
          <w:tcPr>
            <w:tcW w:w="11100" w:type="dxa"/>
            <w:vAlign w:val="bottom"/>
            <w:gridSpan w:val="7"/>
          </w:tcPr>
          <w:p>
            <w:pPr>
              <w:ind w:left="180"/>
              <w:spacing w:after="0"/>
              <w:rPr>
                <w:sz w:val="20"/>
                <w:szCs w:val="20"/>
                <w:color w:val="auto"/>
              </w:rPr>
            </w:pPr>
            <w:r>
              <w:rPr>
                <w:rFonts w:ascii="Arial" w:cs="Arial" w:eastAsia="Arial" w:hAnsi="Arial"/>
                <w:sz w:val="18"/>
                <w:szCs w:val="18"/>
                <w:color w:val="auto"/>
                <w:w w:val="90"/>
              </w:rPr>
              <w:t>subsidiary, acquired in September 2000, develops and manufactures products for wireline and network synchronization systems. Products delivered by</w:t>
            </w:r>
          </w:p>
        </w:tc>
      </w:tr>
      <w:tr>
        <w:trPr>
          <w:trHeight w:val="216"/>
        </w:trPr>
        <w:tc>
          <w:tcPr>
            <w:tcW w:w="320" w:type="dxa"/>
            <w:vAlign w:val="bottom"/>
          </w:tcPr>
          <w:p>
            <w:pPr>
              <w:spacing w:after="0"/>
              <w:rPr>
                <w:sz w:val="18"/>
                <w:szCs w:val="18"/>
                <w:color w:val="auto"/>
              </w:rPr>
            </w:pPr>
          </w:p>
        </w:tc>
        <w:tc>
          <w:tcPr>
            <w:tcW w:w="11100" w:type="dxa"/>
            <w:vAlign w:val="bottom"/>
            <w:gridSpan w:val="7"/>
          </w:tcPr>
          <w:p>
            <w:pPr>
              <w:ind w:left="180"/>
              <w:spacing w:after="0"/>
              <w:rPr>
                <w:sz w:val="20"/>
                <w:szCs w:val="20"/>
                <w:color w:val="auto"/>
              </w:rPr>
            </w:pPr>
            <w:r>
              <w:rPr>
                <w:rFonts w:ascii="Arial" w:cs="Arial" w:eastAsia="Arial" w:hAnsi="Arial"/>
                <w:sz w:val="18"/>
                <w:szCs w:val="18"/>
                <w:color w:val="auto"/>
                <w:w w:val="96"/>
              </w:rPr>
              <w:t>Gillam-FEI provide essential network management and wireline synchronization for a variety of industries and telecommunications providers in</w:t>
            </w:r>
          </w:p>
        </w:tc>
      </w:tr>
      <w:tr>
        <w:trPr>
          <w:trHeight w:val="230"/>
        </w:trPr>
        <w:tc>
          <w:tcPr>
            <w:tcW w:w="320" w:type="dxa"/>
            <w:vAlign w:val="bottom"/>
          </w:tcPr>
          <w:p>
            <w:pPr>
              <w:spacing w:after="0"/>
              <w:rPr>
                <w:sz w:val="20"/>
                <w:szCs w:val="20"/>
                <w:color w:val="auto"/>
              </w:rPr>
            </w:pPr>
          </w:p>
        </w:tc>
        <w:tc>
          <w:tcPr>
            <w:tcW w:w="11100" w:type="dxa"/>
            <w:vAlign w:val="bottom"/>
            <w:gridSpan w:val="7"/>
          </w:tcPr>
          <w:p>
            <w:pPr>
              <w:ind w:left="180"/>
              <w:spacing w:after="0"/>
              <w:rPr>
                <w:sz w:val="20"/>
                <w:szCs w:val="20"/>
                <w:color w:val="auto"/>
              </w:rPr>
            </w:pPr>
            <w:r>
              <w:rPr>
                <w:rFonts w:ascii="Arial" w:cs="Arial" w:eastAsia="Arial" w:hAnsi="Arial"/>
                <w:sz w:val="18"/>
                <w:szCs w:val="18"/>
                <w:color w:val="auto"/>
              </w:rPr>
              <w:t>Europe, Africa, the Middle East and Asia.</w:t>
            </w:r>
          </w:p>
        </w:tc>
      </w:tr>
      <w:tr>
        <w:trPr>
          <w:trHeight w:val="486"/>
        </w:trPr>
        <w:tc>
          <w:tcPr>
            <w:tcW w:w="320" w:type="dxa"/>
            <w:vAlign w:val="bottom"/>
          </w:tcPr>
          <w:p>
            <w:pPr>
              <w:jc w:val="right"/>
              <w:ind w:right="90"/>
              <w:spacing w:after="0"/>
              <w:rPr>
                <w:sz w:val="20"/>
                <w:szCs w:val="20"/>
                <w:color w:val="auto"/>
              </w:rPr>
            </w:pPr>
            <w:r>
              <w:rPr>
                <w:rFonts w:ascii="Arial" w:cs="Arial" w:eastAsia="Arial" w:hAnsi="Arial"/>
                <w:sz w:val="18"/>
                <w:szCs w:val="18"/>
                <w:color w:val="auto"/>
                <w:w w:val="79"/>
              </w:rPr>
              <w:t>3.</w:t>
            </w:r>
          </w:p>
        </w:tc>
        <w:tc>
          <w:tcPr>
            <w:tcW w:w="8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w w:val="99"/>
              </w:rPr>
              <w:t xml:space="preserve">FEI-Zyfer  </w:t>
            </w:r>
            <w:r>
              <w:rPr>
                <w:rFonts w:ascii="Arial" w:cs="Arial" w:eastAsia="Arial" w:hAnsi="Arial"/>
                <w:sz w:val="18"/>
                <w:szCs w:val="18"/>
                <w:color w:val="auto"/>
                <w:w w:val="99"/>
              </w:rPr>
              <w:t>-  Precision  time  and</w:t>
            </w:r>
          </w:p>
        </w:tc>
      </w:tr>
      <w:tr>
        <w:trPr>
          <w:trHeight w:val="20"/>
        </w:trPr>
        <w:tc>
          <w:tcPr>
            <w:tcW w:w="320" w:type="dxa"/>
            <w:vAlign w:val="bottom"/>
          </w:tcPr>
          <w:p>
            <w:pPr>
              <w:spacing w:after="0" w:line="20" w:lineRule="exact"/>
              <w:rPr>
                <w:sz w:val="1"/>
                <w:szCs w:val="1"/>
                <w:color w:val="auto"/>
              </w:rPr>
            </w:pPr>
          </w:p>
        </w:tc>
        <w:tc>
          <w:tcPr>
            <w:tcW w:w="8440" w:type="dxa"/>
            <w:vAlign w:val="bottom"/>
            <w:gridSpan w:val="3"/>
          </w:tcPr>
          <w:p>
            <w:pPr>
              <w:spacing w:after="0" w:line="20" w:lineRule="exact"/>
              <w:rPr>
                <w:sz w:val="1"/>
                <w:szCs w:val="1"/>
                <w:color w:val="auto"/>
              </w:rPr>
            </w:pPr>
          </w:p>
        </w:tc>
        <w:tc>
          <w:tcPr>
            <w:tcW w:w="780" w:type="dxa"/>
            <w:vAlign w:val="bottom"/>
            <w:gridSpan w:val="3"/>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236"/>
        </w:trPr>
        <w:tc>
          <w:tcPr>
            <w:tcW w:w="320" w:type="dxa"/>
            <w:vAlign w:val="bottom"/>
          </w:tcPr>
          <w:p>
            <w:pPr>
              <w:spacing w:after="0"/>
              <w:rPr>
                <w:sz w:val="20"/>
                <w:szCs w:val="20"/>
                <w:color w:val="auto"/>
              </w:rPr>
            </w:pPr>
          </w:p>
        </w:tc>
        <w:tc>
          <w:tcPr>
            <w:tcW w:w="11100" w:type="dxa"/>
            <w:vAlign w:val="bottom"/>
            <w:gridSpan w:val="7"/>
          </w:tcPr>
          <w:p>
            <w:pPr>
              <w:ind w:left="180"/>
              <w:spacing w:after="0"/>
              <w:rPr>
                <w:sz w:val="20"/>
                <w:szCs w:val="20"/>
                <w:color w:val="auto"/>
              </w:rPr>
            </w:pPr>
            <w:r>
              <w:rPr>
                <w:rFonts w:ascii="Arial" w:cs="Arial" w:eastAsia="Arial" w:hAnsi="Arial"/>
                <w:sz w:val="18"/>
                <w:szCs w:val="18"/>
                <w:color w:val="auto"/>
                <w:w w:val="97"/>
              </w:rPr>
              <w:t>frequency generation and synchronization products that incorporate global positioning systems (“GPS”) technology are manufactured by the</w:t>
            </w:r>
          </w:p>
        </w:tc>
      </w:tr>
      <w:tr>
        <w:trPr>
          <w:trHeight w:val="216"/>
        </w:trPr>
        <w:tc>
          <w:tcPr>
            <w:tcW w:w="320" w:type="dxa"/>
            <w:vAlign w:val="bottom"/>
          </w:tcPr>
          <w:p>
            <w:pPr>
              <w:spacing w:after="0"/>
              <w:rPr>
                <w:sz w:val="18"/>
                <w:szCs w:val="18"/>
                <w:color w:val="auto"/>
              </w:rPr>
            </w:pPr>
          </w:p>
        </w:tc>
        <w:tc>
          <w:tcPr>
            <w:tcW w:w="11100" w:type="dxa"/>
            <w:vAlign w:val="bottom"/>
            <w:gridSpan w:val="7"/>
          </w:tcPr>
          <w:p>
            <w:pPr>
              <w:ind w:left="180"/>
              <w:spacing w:after="0"/>
              <w:rPr>
                <w:sz w:val="20"/>
                <w:szCs w:val="20"/>
                <w:color w:val="auto"/>
              </w:rPr>
            </w:pPr>
            <w:r>
              <w:rPr>
                <w:rFonts w:ascii="Arial" w:cs="Arial" w:eastAsia="Arial" w:hAnsi="Arial"/>
                <w:sz w:val="18"/>
                <w:szCs w:val="18"/>
                <w:color w:val="auto"/>
                <w:w w:val="92"/>
              </w:rPr>
              <w:t>Company’s subsidiary FEI-Zyfer, Inc. (“FEI-Zyfer”), which was acquired in fiscal year 2004. FEI-Zyfer’s GPS capability complements the Company’s</w:t>
            </w:r>
          </w:p>
        </w:tc>
      </w:tr>
      <w:tr>
        <w:trPr>
          <w:trHeight w:val="230"/>
        </w:trPr>
        <w:tc>
          <w:tcPr>
            <w:tcW w:w="320" w:type="dxa"/>
            <w:vAlign w:val="bottom"/>
          </w:tcPr>
          <w:p>
            <w:pPr>
              <w:spacing w:after="0"/>
              <w:rPr>
                <w:sz w:val="20"/>
                <w:szCs w:val="20"/>
                <w:color w:val="auto"/>
              </w:rPr>
            </w:pPr>
          </w:p>
        </w:tc>
        <w:tc>
          <w:tcPr>
            <w:tcW w:w="11100" w:type="dxa"/>
            <w:vAlign w:val="bottom"/>
            <w:gridSpan w:val="7"/>
          </w:tcPr>
          <w:p>
            <w:pPr>
              <w:ind w:left="180"/>
              <w:spacing w:after="0"/>
              <w:rPr>
                <w:sz w:val="20"/>
                <w:szCs w:val="20"/>
                <w:color w:val="auto"/>
              </w:rPr>
            </w:pPr>
            <w:r>
              <w:rPr>
                <w:rFonts w:ascii="Arial" w:cs="Arial" w:eastAsia="Arial" w:hAnsi="Arial"/>
                <w:sz w:val="18"/>
                <w:szCs w:val="18"/>
                <w:color w:val="auto"/>
                <w:w w:val="99"/>
              </w:rPr>
              <w:t>existing technologies and permits the combined entities to provide a broader range of embedded systems for a variety of timing functions.</w:t>
            </w:r>
          </w:p>
        </w:tc>
      </w:tr>
    </w:tbl>
    <w:p>
      <w:pPr>
        <w:spacing w:after="0" w:line="256"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In addition to the operating segments, the Company has made a strategic investment in Morion, Inc. (“Morion”), a Russian crystal oscillator manufacturer located in St. Petersburg, Russia. The Company’s equity investment in Morion permits the Company to secure a cost-effective source for high precision quartz resonators and crystal oscillators, many of which are based on the Company’s design and development work. As of April 30, 2007, the Company owned 36.6% of the outstanding shares of Morion’s common stock. Accordingly, the Morion investment was accounted for under the equity method and the Company’s statement of operations includes its proportionate share of the earnings of Morion.</w:t>
      </w:r>
    </w:p>
    <w:p>
      <w:pPr>
        <w:spacing w:after="0" w:line="22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December 2006, the Company acquired a 25% interest (20% on a fully-diluted basis) in Elcom Technologies, Inc. (“Elcom”), a privately-held RF microwave company. Elcom designs and manufactures high switching speed, low phase noise microwave synthesizers, up-down converters, receivers, ceramic resonant oscillators and dielectric resonant oscillators up to 40 GHz. These instruments and components are critical for communication, surveillance, signal intelligence, automatic testing, satellite ground stations and satellite payloads.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t>FISCAL 2007 SIGNIFICANT EVENT</w:t>
      </w:r>
    </w:p>
    <w:p>
      <w:pPr>
        <w:spacing w:after="0" w:line="27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Subsequent Event</w:t>
      </w:r>
    </w:p>
    <w:p>
      <w:pPr>
        <w:spacing w:after="0" w:line="28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June 2007, the Company reduced its investment in Morion from 36.6% to 8% of Morion’s outstanding shares. Based upon a determination by the Russian Federation that Morion was in a “strategic industry,” Gazprombank, a Russian government majority-owned joint stock bank, acquired the majority interest in Morion previously held by the European Bank for Reconstruction and Development and a portion of the shares previously held by Frequency Electronics, both at the same price per share. Gazprombank, through its wholly-owned subsidiary, Finproject, Ltd., paid the Company approximately $5.8 million. In the first quarter of fiscal year 2008, which ends July 31, 2007, the Company will recognize a pre-tax gain of approximately $3.0 million. This is in addition to approximately $2.0 million in equity income realized in prior periods from the Morion investment. In future periods, the Company will account for its remaining investment in Morion on the cost basis.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REPORTABLE SEGMENTS</w:t>
      </w:r>
    </w:p>
    <w:p>
      <w:pPr>
        <w:spacing w:after="0" w:line="27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 operates under three reportable segments, primarily aligned with its geographical locations: (1) FEI-NY, (2) Gillam-FEI; and (3) FEI-Zyfer. Within each segment the Company designs, develops, manufactures and markets precision time and frequency control products for different markets as described below.</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Beginning with the first quarter of fiscal year 2007, the Company is reporting its segment information on an essentially geographic basis. The former Commercial Communications and U.S. Government segments, which operate out of the Company’s New York headquarters facility, have been combined into the new segment, FEI-NY. This segment also includes the operations of the Company’s wholly-owned subsidiary, FEI-Asia, which functions primarily as a manufacturing facility for the FEI-NY segment.</w:t>
      </w:r>
    </w:p>
    <w:p>
      <w:pPr>
        <w:spacing w:after="0" w:line="24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Previously, the Company identified its New York-based U.S. Government business as a separate segment even though that segment shared the same facility, equipment and personnel with the Commercial Communications segment. With the acquisition of FEI-Zyfer in fiscal year 2004, the Company now does business on U.S. Government programs out of two separate subsidiaries. The Company’s Chief Executive Officer measures segment performance based on total revenues and profits generated by each geographic center rather than on the specific types of customers or end-users. Consequently, the Company determined that limiting the number of segments to the three indicated above more appropriately reflects the way the Company’s management views the business.</w:t>
      </w:r>
    </w:p>
    <w:p>
      <w:pPr>
        <w:spacing w:after="0" w:line="2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Prior year segment information has been reclassified to conform to the new segment presentation. This includes reclassifying the property, plant and equipment located in the New York facility to the FEI-NY segment and not to corporate assets.</w:t>
      </w:r>
    </w:p>
    <w:p>
      <w:pPr>
        <w:spacing w:after="0" w:line="224"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The products for the FEI-NY segment are principally marketed to wireless communications networks, to the commercial and U.S. Government satellite markets and to other U.S. Department of Defense programs. The Gillam-FEI segment designs, develops and manufactures products for wireline and network synchronization. Its products are currently sold to non-U.S. customers and its US5G system has recently been introduced to the domestic U.S. market. The FEI-Zyfer segment designs and manufactures products which incorporate GPS technologies. FEI-Zyfer sells its products to both commercial and U.S. Government customers and collaborates with other FEI segments on joint product development activities.</w:t>
      </w:r>
    </w:p>
    <w:p>
      <w:pPr>
        <w:spacing w:after="0" w:line="22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During fiscal years 2007, 2006 and 2005 approximately 71%, 68% and 67%, respectively, of the Company’s consolidated revenues were from products sold by the FEI-NY segment. Sales by Gillam-FEI were approximately 20%, 17% and 23% of fiscal years 2007, 2006 and 2005 consolidated revenues, respectively. In fiscal years 2007, 2006 and 2005, sales for the FEI-Zyfer segment were 13%, 19% and 16% of consolidated revenues, respectively. Additional sales information for the FEI-NY, Gillam-FEI, and FEI-Zyfer segments during each of the last five years is set forth in Item 6 (Selected Financial Data).</w:t>
      </w:r>
    </w:p>
    <w:p>
      <w:pPr>
        <w:spacing w:after="0" w:line="24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Consolidated revenues include sales to end-users in countries located outside of the United States. During fiscal years 2007, 2006 and 2005, foreign sales comprised 32%, 35% and 50%, respectively, of consolidated revenues. Segment information regarding revenues, including foreign sales, operating profits, depreciation and assets is more fully disclosed in Note 16 to the accompanying financial statements.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 xml:space="preserve">FEI-NY </w:t>
      </w:r>
      <w:r>
        <w:rPr>
          <w:rFonts w:ascii="Arial" w:cs="Arial" w:eastAsia="Arial" w:hAnsi="Arial"/>
          <w:sz w:val="14"/>
          <w:szCs w:val="14"/>
          <w:b w:val="1"/>
          <w:bCs w:val="1"/>
          <w:color w:val="auto"/>
        </w:rPr>
        <w:t>SEGMENT:</w:t>
      </w:r>
    </w:p>
    <w:p>
      <w:pPr>
        <w:spacing w:after="0" w:line="283"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The Company provides precision time, frequency and synchronization products that are found in ground-based communication stations, on-board earth-orbiting satellites and imbedded in moving platforms operated by the U.S. military. The Company has made a substantial investment in research and development to apply its core technologies to telecommunication and satellite payload markets. Revenues for this segment have varied considerably over the past eight fiscal years, based on infrastructure spending patterns by wireless telecommunication companies and demand for new satellites. Over this eight-year time frame, the Company initially experienced accelerated growth in wireless infrastructure revenues followed by a “telecom trough” in fiscal years 2002 and 2003. Accelerated growth began again in late fiscal year 2004 and continued through early fiscal year 2005, to be followed by another slow down into the first two quarters of fiscal year 2006. Beginning in the latter portion of fiscal year 2006, revenues from satellite payloads, both for commercial and U.S. Government applications, began to accelerate. The Company expects to continue to generate substantial revenues from deployment of new and replacement satellites. The Company also believes that the wireless industry provides a large opportunity for future sales growth but the timing of any growth will be based on capital spending decisions by domestic and worldwide telecommunications companies.</w:t>
      </w: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Terrestrial Communications</w:t>
      </w:r>
    </w:p>
    <w:p>
      <w:pPr>
        <w:spacing w:after="0" w:line="283"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The development of new and enhanced technologies will bring expanded and more reliable telecommunications services to the public. As digital cellular systems and PCS networks grow they require more base stations to meet the demand for better connectivity, higher data rates and dependable high quality for cell phone service. Cellular infrastructure integrators and original equipment manufacturers, consisting of some of the world’s largest telecommunications companies, are building out existing networks even as they develop new technologies for future systems. These new technologies include</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advances such as EDGE (Enhanced Data rates for Global Evolution), 3G (3</w:t>
      </w:r>
      <w:r>
        <w:rPr>
          <w:rFonts w:ascii="Arial" w:cs="Arial" w:eastAsia="Arial" w:hAnsi="Arial"/>
          <w:sz w:val="28"/>
          <w:szCs w:val="28"/>
          <w:color w:val="auto"/>
          <w:vertAlign w:val="superscript"/>
        </w:rPr>
        <w:t>rd</w:t>
      </w:r>
      <w:r>
        <w:rPr>
          <w:rFonts w:ascii="Arial" w:cs="Arial" w:eastAsia="Arial" w:hAnsi="Arial"/>
          <w:sz w:val="17"/>
          <w:szCs w:val="17"/>
          <w:color w:val="auto"/>
        </w:rPr>
        <w:t xml:space="preserve"> Generation) and others, that can provide not only improved voice connectivity but also Internet, video and data transmission. A full buildout of WiMAX networks in the United States alone, contemplates hundreds of thousands of base stations. Mobile WiMAX would require high levels of synchronization such as that provided by Frequency Electronics.</w:t>
      </w:r>
    </w:p>
    <w:p>
      <w:pPr>
        <w:spacing w:after="0" w:line="25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Wireless communication networks consist of numerous installations located throughout a service area, each with its own base station connected by wire or microwave radio through a network switch. Network operators are in the process of converting older networks from analog to digital technology and enhanced systems such as CDMA (Code Division Multiple Access). These upgrades require more precise frequency control at the base stations to achieve a higher dependability and quality of services.</w:t>
      </w:r>
    </w:p>
    <w:p>
      <w:pPr>
        <w:spacing w:after="0" w:line="241"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With increased demand for wireless services on limited bandwidth, the requirement for precise timing to ensure system-wide synchronization becomes paramount. The Company manufactures a Rubidium Atomic Standard, a small, low cost, temperature-stable atomic “clock” as well as temperature-stable quartz crystal oscillators, which are ideally suited for use in advanced cellular communications base stations. Whether the network uses CDMA (Code Division Multiple Access), TDMA (Time Division Multiple Access), UMTS (Universal Mobile Telecommunications System) or GSM (Global System for Mobile Communications) or a hybrid of these systems, timing to ensure signal synchronization is essential.</w:t>
      </w:r>
    </w:p>
    <w:p>
      <w:pPr>
        <w:spacing w:after="0" w:line="22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Over the past five years, in conjunction with its European subsidiary, Gillam-FEI, the Company has developed a new, state-of-the-art signal synchronization unit identified as the US5G. This unit is intended to provide synchronization for wireline networks within the United States where approximately 35,000 “shelves” are located in 25,000 Central Offices around the country. The current equipment in these Central Offices is old and in need of upgrade or replacement. The Company’s US5G unit is currently in the validation phase at two of the Regional Bell Operating Companies (“RBOC”) and the Company anticipates initial U.S. sales of this product during fiscal year 2008.</w:t>
      </w:r>
    </w:p>
    <w:p>
      <w:pPr>
        <w:spacing w:after="0" w:line="23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Satellite Payloads</w:t>
      </w:r>
    </w:p>
    <w:p>
      <w:pPr>
        <w:spacing w:after="0" w:line="283"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The use of satellites launched for communications, navigation, weather forecasting, video and data transmissions has expanded the need to transmit increasing amounts of voice, video, and data to earth-based receivers. This requires more precise timing and frequency control at the satellite. The Company manufactures the master clocks (quartz, rubidium and cesium) and other significant timing products for many satellite communication systems, and many of the Company’s other space assemblies are used onboard spacecraft for command, control and power distribution. Efficient and reliable DC-DC power converters are also manufactured for the Company’s own instruments and as stand-alone products for space applications. The Company’s oven-controlled quartz crystal oscillators are cost-effective precision clocks suited for high-end performance required in satellite transmissions, airborne telephony and geophysical survey positioning systems. Newly developed frequency generators, synthesizers, distribution amplifiers and up/down converters and receivers have augmented the Company’s product offerings and positioned the Company to provide a greater share of a typical satellite’s payload. Commercial satellite programs such as Intelsat, ANIK, Eutelsat, Inmarsat and Worldstar have utilized the Company’s space-qualified products.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jc w:val="both"/>
        <w:ind w:firstLine="486"/>
        <w:spacing w:after="0" w:line="257" w:lineRule="auto"/>
        <w:rPr>
          <w:sz w:val="20"/>
          <w:szCs w:val="20"/>
          <w:color w:val="auto"/>
        </w:rPr>
      </w:pPr>
      <w:r>
        <w:rPr>
          <w:rFonts w:ascii="Arial" w:cs="Arial" w:eastAsia="Arial" w:hAnsi="Arial"/>
          <w:sz w:val="18"/>
          <w:szCs w:val="18"/>
          <w:color w:val="auto"/>
        </w:rPr>
        <w:t>In the years ahead, the U.S. Government’s DOD will require more secure communication capabilities, more assets in space and greater bandwidth. The Global Positioning Satellite System, the MILSTAR Satellite System and the AEHF Satellite System, are examples of the programs in which the Company participates. The Company has manufactured the master clock for the Trident missile, the basic timing system for the Voyager I and Voyager II deep space exploratory missions and the quartz timing system for the Space Shuttle. The Company’s product offerings for U.S. Government satellite programs are similar in design and function to those used on commercial satellites, as described above.</w:t>
      </w:r>
    </w:p>
    <w:p>
      <w:pPr>
        <w:spacing w:after="0" w:line="23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U.S. Government- non-space:</w:t>
      </w:r>
    </w:p>
    <w:p>
      <w:pPr>
        <w:spacing w:after="0" w:line="28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addition to space-based programs, the Company’s proprietary products have been used in airborne and ground-based guidance, navigation, communications, radar, sonar surveillance and electronic countermeasure and timing systems. The Company has recently developed a low-g (gravity) sensitivity oscillator which offers a 100-fold improvement in accuracy for certain guidance and targeting systems. The Company has demonstrated the functionality of its oscillators on over a dozen U.S. Government platforms and anticipates that many of these programs will be a source of substantial future revenue. Products are built in accordance with DOD standards and are in use on many of the United States’ most sophisticated military aircraft, satellites and missiles.</w:t>
      </w:r>
    </w:p>
    <w:p>
      <w:pPr>
        <w:spacing w:after="0" w:line="24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Company’s sales on U.S. Government programs are generally made under fixed price contracts either directly with U.S. Government agencies or indirectly through subcontracts intended for government end-use. The price paid to the Company is not subject to adjustment by reason of the costs incurred by the Company in the performance of the contract, except for costs incurred due to contract changes ordered by the customer. These contracts are negotiated on terms under which the Company bears the risk of cost overruns and derives the benefit from cost savings.</w:t>
      </w:r>
    </w:p>
    <w:p>
      <w:pPr>
        <w:spacing w:after="0" w:line="22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Negotiations on U.S. Government contracts are sometimes based in part on Certificates of Current Costs. An inaccuracy in such certificates may entitle the government to an appropriate recovery. From time to time, the Defense Contracts Audit Agency ("DCAA") audits the Company's accounts with respect to these contracts. The Company is not aware of any basis for recovery with respect to past certificates.</w:t>
      </w:r>
    </w:p>
    <w:p>
      <w:pPr>
        <w:spacing w:after="0" w:line="235"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All U.S. Government end-use contracts are subject to termination by the purchaser for the convenience of the U.S. Government and are subject to various other provisions for the protection of the U.S. Government. In the event of such termination, the Company is entitled to receive compensation as provided under such contracts and in the applicable U.S. Government regulations.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w:t>
      </w:r>
      <w:r>
        <w:rPr>
          <w:rFonts w:ascii="Arial" w:cs="Arial" w:eastAsia="Arial" w:hAnsi="Arial"/>
          <w:sz w:val="14"/>
          <w:szCs w:val="14"/>
          <w:b w:val="1"/>
          <w:bCs w:val="1"/>
          <w:color w:val="auto"/>
        </w:rPr>
        <w:t>ILLAM</w:t>
      </w:r>
      <w:r>
        <w:rPr>
          <w:rFonts w:ascii="Arial" w:cs="Arial" w:eastAsia="Arial" w:hAnsi="Arial"/>
          <w:sz w:val="18"/>
          <w:szCs w:val="18"/>
          <w:b w:val="1"/>
          <w:bCs w:val="1"/>
          <w:color w:val="auto"/>
        </w:rPr>
        <w:t xml:space="preserve">-FEI </w:t>
      </w:r>
      <w:r>
        <w:rPr>
          <w:rFonts w:ascii="Arial" w:cs="Arial" w:eastAsia="Arial" w:hAnsi="Arial"/>
          <w:sz w:val="14"/>
          <w:szCs w:val="14"/>
          <w:b w:val="1"/>
          <w:bCs w:val="1"/>
          <w:color w:val="auto"/>
        </w:rPr>
        <w:t>SEGMENT:</w:t>
      </w:r>
    </w:p>
    <w:p>
      <w:pPr>
        <w:spacing w:after="0" w:line="283"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Gillam-FEI extends the Company’s competencies into wireline synchronization, network management, and specialized test equipment. With the advent of new digital broadband transmission technologies, reliable synchronization has become the warranty to quality of service for telecommunications operators. Gillam-FEI is among the world leaders in the field of wireline synchronization technology, and its products are targeted for telecommunication operators and network equipment manufacturers that utilize modular and flexible platforms to build reliable digital-network-systems worldwide. Telecommunications operators such as Belgacom, France Telecom, Telefonica and other service providers are among Gillam-FEI’s major customers. With the development of the US5G unit for the FEI-NY segment and the U.S. market, Gillam-FEI also developed a state-of-the-art US5Ge unit and ancillary products intended for deployment in the European, Middle Eastern, Asian and African markets.</w:t>
      </w:r>
    </w:p>
    <w:p>
      <w:pPr>
        <w:spacing w:after="0" w:line="23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Network management systems marketed under the brand name LYNX, are a flexible suite of complementary software modules that are arranged to satisfy the specific needs of telecom operators, electrical utilities, and other operators of distribution networks. The multi-task capability of the LYNX system allows operators to supervise and manage the distribution of electricity, gas, video cables, public lighting, and other networks. Deregulation of utilities, especially in Europe, has created a greater demand for the LYNX product. Major customers presently using LYNX include SIG Electrical Services of Geneva, Switzerland; Electricity Distribution Management for the city of Lausanne, Switzerland; UEM Electricity Distribution Management for the city of Metz, France; Brussels International Airport and Belgian Railways.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7" w:name="page8"/>
    <w:bookmarkEnd w:id="7"/>
    <w:p>
      <w:pPr>
        <w:ind w:left="500"/>
        <w:spacing w:after="0"/>
        <w:rPr>
          <w:sz w:val="20"/>
          <w:szCs w:val="20"/>
          <w:color w:val="auto"/>
        </w:rPr>
      </w:pPr>
      <w:r>
        <w:rPr>
          <w:rFonts w:ascii="Arial" w:cs="Arial" w:eastAsia="Arial" w:hAnsi="Arial"/>
          <w:sz w:val="18"/>
          <w:szCs w:val="18"/>
          <w:color w:val="auto"/>
        </w:rPr>
        <w:t>Gillam-FEI’s specialized test equipment is mainly targeted for the telecommunications industry.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FEI-Z</w:t>
      </w:r>
      <w:r>
        <w:rPr>
          <w:rFonts w:ascii="Arial" w:cs="Arial" w:eastAsia="Arial" w:hAnsi="Arial"/>
          <w:sz w:val="14"/>
          <w:szCs w:val="14"/>
          <w:b w:val="1"/>
          <w:bCs w:val="1"/>
          <w:color w:val="auto"/>
        </w:rPr>
        <w:t>YFER SEGMENT:</w:t>
      </w:r>
    </w:p>
    <w:p>
      <w:pPr>
        <w:spacing w:after="0" w:line="28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FEI-Zyfer designs, develops and manufactures products for precision time and frequency generation and synchronization, primarily incorporating GPS technology. FEI-Zyfer’s products make use of both “in-the-clear” civil and “crypto-secured” military signals from GPS. In most cases, FEI-Zyfer’s products are integrated into communications systems, computer networks, test equipment, and military command and control terminals for ground and satellite link applications. More than 60% of revenues are derived from sales where the end user is the U.S. Government. FEI-Zyfer’s products are an important extension of FEI’s core product line, specifically in the area of GPS capabilities.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PRODUCTS</w:t>
      </w:r>
    </w:p>
    <w:p>
      <w:pPr>
        <w:spacing w:after="0" w:line="27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Company's products are manufactured from raw material which, when combined with conventional electronic parts available from multiple sources, become finished products used for commercial wireless and wireline communications, satellite applications, space exploration, position location, radar, sonar and electronic counter-measures. These products are employed in ground-based earth stations, fixed, transportable, portable and mobile communications installations, domestic and international satellites, as well as aircraft, ships, submarines and missiles. The Company’s products are marketed as components, instruments, or complete systems. Prices are determined based upon the complexity, design requirement, purchased quantity and delivery schedule.</w:t>
      </w:r>
    </w:p>
    <w:p>
      <w:pPr>
        <w:spacing w:after="0" w:line="243" w:lineRule="exact"/>
        <w:rPr>
          <w:sz w:val="20"/>
          <w:szCs w:val="20"/>
          <w:color w:val="auto"/>
        </w:rPr>
      </w:pPr>
    </w:p>
    <w:p>
      <w:pPr>
        <w:jc w:val="both"/>
        <w:ind w:firstLine="486"/>
        <w:spacing w:after="0" w:line="281" w:lineRule="auto"/>
        <w:rPr>
          <w:sz w:val="20"/>
          <w:szCs w:val="20"/>
          <w:color w:val="auto"/>
        </w:rPr>
      </w:pPr>
      <w:r>
        <w:rPr>
          <w:rFonts w:ascii="Arial" w:cs="Arial" w:eastAsia="Arial" w:hAnsi="Arial"/>
          <w:sz w:val="17"/>
          <w:szCs w:val="17"/>
          <w:b w:val="1"/>
          <w:bCs w:val="1"/>
          <w:u w:val="single" w:color="auto"/>
          <w:color w:val="auto"/>
        </w:rPr>
        <w:t>Components</w:t>
      </w:r>
      <w:r>
        <w:rPr>
          <w:rFonts w:ascii="Arial" w:cs="Arial" w:eastAsia="Arial" w:hAnsi="Arial"/>
          <w:sz w:val="17"/>
          <w:szCs w:val="17"/>
          <w:b w:val="1"/>
          <w:bCs w:val="1"/>
          <w:color w:val="auto"/>
        </w:rPr>
        <w:t xml:space="preserve"> </w:t>
      </w:r>
      <w:r>
        <w:rPr>
          <w:rFonts w:ascii="Arial" w:cs="Arial" w:eastAsia="Arial" w:hAnsi="Arial"/>
          <w:sz w:val="17"/>
          <w:szCs w:val="17"/>
          <w:color w:val="auto"/>
        </w:rPr>
        <w:t>- The Company's key technologies utilize quartz, rubidium and cesium to manufacture precision time and frequency standards and higher</w:t>
      </w:r>
      <w:r>
        <w:rPr>
          <w:rFonts w:ascii="Arial" w:cs="Arial" w:eastAsia="Arial" w:hAnsi="Arial"/>
          <w:sz w:val="17"/>
          <w:szCs w:val="17"/>
          <w:b w:val="1"/>
          <w:bCs w:val="1"/>
          <w:color w:val="auto"/>
        </w:rPr>
        <w:t xml:space="preserve"> </w:t>
      </w:r>
      <w:r>
        <w:rPr>
          <w:rFonts w:ascii="Arial" w:cs="Arial" w:eastAsia="Arial" w:hAnsi="Arial"/>
          <w:sz w:val="17"/>
          <w:szCs w:val="17"/>
          <w:color w:val="auto"/>
        </w:rPr>
        <w:t>level assemblies which allow the users to generate, transmit, and receive synchronous signals in order to communicate effectively, locate position accurately, secure a communications system, or guide a missile. The components class of the Company's products includes crystal filters and discriminators, surface acoustic wave resonators, and high-reliability thick and thin film hybrid assemblies for space and other applications.</w:t>
      </w:r>
    </w:p>
    <w:p>
      <w:pPr>
        <w:spacing w:after="0" w:line="22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Precision quartz oscillators use quartz resonators in conjunction with electronic circuitry to produce signals with accurate and stable frequency. The Company's products include several types of quartz oscillators, suited to a wide range of applications, including ultrastable and low-g sensitivity units for moving platforms and satellite systems. These products also feature fast warm-up and low power consumption for mobile applications, including voice and data communications.</w:t>
      </w:r>
    </w:p>
    <w:p>
      <w:pPr>
        <w:spacing w:after="0" w:line="24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ovenized quartz oscillator is the most accurate of the Company’s crystal oscillators. The crystal is enclosed in a temperature controlled environment called a proportional oven. The Company manufactures several varieties of temperature controlling devices and ovens.</w:t>
      </w:r>
    </w:p>
    <w:p>
      <w:pPr>
        <w:spacing w:after="0" w:line="22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voltage-controlled quartz oscillator features electronic controls for frequency stabilization or modulation, depending upon the application.</w:t>
      </w:r>
    </w:p>
    <w:p>
      <w:pPr>
        <w:spacing w:after="0" w:line="29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temperature compensated quartz oscillator is controlled using a temperature sensitive device to directly compensate for the effect of temperature on the oscillator's frequency.</w:t>
      </w:r>
    </w:p>
    <w:p>
      <w:pPr>
        <w:spacing w:after="0" w:line="224" w:lineRule="exact"/>
        <w:rPr>
          <w:sz w:val="20"/>
          <w:szCs w:val="20"/>
          <w:color w:val="auto"/>
        </w:rPr>
      </w:pPr>
    </w:p>
    <w:p>
      <w:pPr>
        <w:jc w:val="both"/>
        <w:ind w:right="20" w:firstLine="486"/>
        <w:spacing w:after="0" w:line="308" w:lineRule="auto"/>
        <w:rPr>
          <w:sz w:val="20"/>
          <w:szCs w:val="20"/>
          <w:color w:val="auto"/>
        </w:rPr>
      </w:pPr>
      <w:r>
        <w:rPr>
          <w:rFonts w:ascii="Arial" w:cs="Arial" w:eastAsia="Arial" w:hAnsi="Arial"/>
          <w:sz w:val="17"/>
          <w:szCs w:val="17"/>
          <w:color w:val="auto"/>
        </w:rPr>
        <w:t>The rubidium lamp, filter and resonance cell provide the optical subassembly for the manufacture of the Company's optically pumped atomic rubidium frequency standards. The cesium tube resonator is used in the manufacture of the Company's cesium primary standard atomic clocks.</w:t>
      </w:r>
    </w:p>
    <w:p>
      <w:pPr>
        <w:spacing w:after="0" w:line="20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High reliability hybrid assemblies are manufactured in thick and thin film technologies for applications from DC to 44 GHz. These hybrids are used in manufacturing the Company's products and also supplied directly to customers, for use in space and other high reliability systems.</w:t>
      </w:r>
    </w:p>
    <w:p>
      <w:pPr>
        <w:spacing w:after="0" w:line="22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Efficient and reliable DC-DC power converters are manufactured for the Company's own instruments and as stand alone products, for space applications.</w:t>
      </w:r>
    </w:p>
    <w:p>
      <w:pPr>
        <w:spacing w:after="0" w:line="22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manufactures filters and discriminators using its crystal resonators for its own radio-frequency and microwave receiver, signal conditioner and signal processor products.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8" w:name="page9"/>
    <w:bookmarkEnd w:id="8"/>
    <w:p>
      <w:pPr>
        <w:jc w:val="both"/>
        <w:ind w:firstLine="486"/>
        <w:spacing w:after="0" w:line="266" w:lineRule="auto"/>
        <w:rPr>
          <w:sz w:val="20"/>
          <w:szCs w:val="20"/>
          <w:color w:val="auto"/>
        </w:rPr>
      </w:pPr>
      <w:r>
        <w:rPr>
          <w:rFonts w:ascii="Arial" w:cs="Arial" w:eastAsia="Arial" w:hAnsi="Arial"/>
          <w:sz w:val="18"/>
          <w:szCs w:val="18"/>
          <w:b w:val="1"/>
          <w:bCs w:val="1"/>
          <w:u w:val="single" w:color="auto"/>
          <w:color w:val="auto"/>
        </w:rPr>
        <w:t>Instruments</w:t>
      </w:r>
      <w:r>
        <w:rPr>
          <w:rFonts w:ascii="Arial" w:cs="Arial" w:eastAsia="Arial" w:hAnsi="Arial"/>
          <w:sz w:val="18"/>
          <w:szCs w:val="18"/>
          <w:b w:val="1"/>
          <w:bCs w:val="1"/>
          <w:color w:val="auto"/>
        </w:rPr>
        <w:t xml:space="preserve"> </w:t>
      </w:r>
      <w:r>
        <w:rPr>
          <w:rFonts w:ascii="Arial" w:cs="Arial" w:eastAsia="Arial" w:hAnsi="Arial"/>
          <w:sz w:val="18"/>
          <w:szCs w:val="18"/>
          <w:color w:val="auto"/>
        </w:rPr>
        <w:t>- The Company's instrument line consists of three basic time and frequency generating instruments and a number of instruments which</w:t>
      </w:r>
      <w:r>
        <w:rPr>
          <w:rFonts w:ascii="Arial" w:cs="Arial" w:eastAsia="Arial" w:hAnsi="Arial"/>
          <w:sz w:val="18"/>
          <w:szCs w:val="18"/>
          <w:b w:val="1"/>
          <w:bCs w:val="1"/>
          <w:color w:val="auto"/>
        </w:rPr>
        <w:t xml:space="preserve"> </w:t>
      </w:r>
      <w:r>
        <w:rPr>
          <w:rFonts w:ascii="Arial" w:cs="Arial" w:eastAsia="Arial" w:hAnsi="Arial"/>
          <w:sz w:val="18"/>
          <w:szCs w:val="18"/>
          <w:color w:val="auto"/>
        </w:rPr>
        <w:t>test and distribute the time and frequency. The Company's time and frequency generating instruments are the quartz frequency standard, rubidium atomic standard and cesium beam atomic standard.</w:t>
      </w:r>
    </w:p>
    <w:p>
      <w:pPr>
        <w:spacing w:after="0" w:line="23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quartz frequency standard is an electronically controlled solid-state device which utilizes a quartz crystal oscillator to produce a highly stable output signal at a standardized frequency. These frequency standards are used in communications, guidance and navigation and time synchronization systems. The Company's products also include a precision frequency standard with battery back-up and memory capability enabling it to remain in operation if a loss of power has occurred.</w:t>
      </w:r>
    </w:p>
    <w:p>
      <w:pPr>
        <w:spacing w:after="0" w:line="24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optically pumped atomic rubidium frequency standard is a solid-state instrument which provides both timing and low phase noise frequency references used in commercial communications systems. Rubidium oscillators combine sophisticated glassware, light detection devices and electronics packages to generate a highly stable frequency output. Rubidium, when energized by a specific radio frequency, will absorb less light. The oscillator’s electronics package generates this specific frequency and the light detection device ensures, through monitoring the decreased absorption of light by the rubidium and the use of feedback control loops, that this specific frequency is maintained. This highly stable frequency is then captured by the electronics package and generated as an output signal. Rubidium oscillators provide atomic oscillator stability, at lower costs and in smaller packages.</w:t>
      </w:r>
    </w:p>
    <w:p>
      <w:pPr>
        <w:spacing w:after="0" w:line="233"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The cesium beam atomic standard utilizes the atomic resonance characteristics of cesium atoms to generate precise frequency several orders of magnitude more accurate and stable than other types of quartz frequency generators. The Company’s atomic standard is a compact, militarized solid-state device which generates these precision frequencies for use with advanced communications and navigation equipment. A digital time-of-day clock is incorporated which provides visual universal time display and digital timing for systems use. The atomic standard manufactured by the Company is a primary standard, capable of producing time accuracies of better than one second in several hundred thousand years.</w:t>
      </w:r>
    </w:p>
    <w:p>
      <w:pPr>
        <w:spacing w:after="0" w:line="22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As the demands on communications systems increase, the requirement for precise frequency signals to drive a multitude of electronic equipment is greatly expanded. To meet this growing requirement, the Company manufactures a distribution amplifier which is an electronically controlled solid-state device that receives a base frequency from a frequency standard and provides multiple signal outputs of the input frequency. A distribution amplifier enables many items of electronic equipment in a single facility, aircraft or ship to receive a standardized frequency and/or time signal from a quartz, rubidium or cesium atomic standard.</w:t>
      </w:r>
    </w:p>
    <w:p>
      <w:pPr>
        <w:spacing w:after="0" w:line="238"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8"/>
          <w:szCs w:val="18"/>
          <w:b w:val="1"/>
          <w:bCs w:val="1"/>
          <w:u w:val="single" w:color="auto"/>
          <w:color w:val="auto"/>
        </w:rPr>
        <w:t>Systems</w:t>
      </w:r>
      <w:r>
        <w:rPr>
          <w:rFonts w:ascii="Arial" w:cs="Arial" w:eastAsia="Arial" w:hAnsi="Arial"/>
          <w:sz w:val="18"/>
          <w:szCs w:val="18"/>
          <w:b w:val="1"/>
          <w:bCs w:val="1"/>
          <w:color w:val="auto"/>
        </w:rPr>
        <w:t xml:space="preserve"> </w:t>
      </w:r>
      <w:r>
        <w:rPr>
          <w:rFonts w:ascii="Arial" w:cs="Arial" w:eastAsia="Arial" w:hAnsi="Arial"/>
          <w:sz w:val="18"/>
          <w:szCs w:val="18"/>
          <w:color w:val="auto"/>
        </w:rPr>
        <w:t>- The systems portion of the Company's business includes manufacturing and integrating selections of its specialized components into higher</w:t>
      </w:r>
      <w:r>
        <w:rPr>
          <w:rFonts w:ascii="Arial" w:cs="Arial" w:eastAsia="Arial" w:hAnsi="Arial"/>
          <w:sz w:val="18"/>
          <w:szCs w:val="18"/>
          <w:b w:val="1"/>
          <w:bCs w:val="1"/>
          <w:color w:val="auto"/>
        </w:rPr>
        <w:t xml:space="preserve"> </w:t>
      </w:r>
      <w:r>
        <w:rPr>
          <w:rFonts w:ascii="Arial" w:cs="Arial" w:eastAsia="Arial" w:hAnsi="Arial"/>
          <w:sz w:val="18"/>
          <w:szCs w:val="18"/>
          <w:color w:val="auto"/>
        </w:rPr>
        <w:t>level subsystems and systems that meet customer-defined needs. The Company has a unique knowledge and demonstrated capability to interface these technologies and experience in applying them to a wide range of systems. The systems generate electronic frequencies of predetermined value and then divide, multiply, mix, convert, modulate, demodulate, filter, distribute, combine, separate, switch, measure, analyze, and/or compare these signals depending on the system application.</w:t>
      </w:r>
    </w:p>
    <w:p>
      <w:pPr>
        <w:spacing w:after="0" w:line="24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This portion of the Company’s business includes a complete line of time and frequency control systems, capable of generating many frequencies and time scales that may be distributed to widely dispersed users, or within the confines of a facility or platform, or for a single dedicated purpose. Time and frequency control systems combine the Company's cesium, rubidium and/or crystal instruments with its other components, to provide systems for wireless, wireline, space and defense applications.</w:t>
      </w:r>
    </w:p>
    <w:p>
      <w:pPr>
        <w:spacing w:after="0" w:line="24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For the wireless industry, the Company integrates its core components such as quartz oscillators and rubidium atomic standards with software applications, microprocessors, and other digital circuitry into complete subsystems. These subsystems supply frequency and time reference signals that facilitate wireless communications and are necessary for the various wireless technologies to operate properly. The customers for these subsystems are global wireless infrastructure manufacturers.</w:t>
      </w:r>
    </w:p>
    <w:p>
      <w:pPr>
        <w:spacing w:after="0" w:line="24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For the wireline industry, the Company integrates its core components with other electronic modules into high-level platforms that provide a total synchronization solution. These signal synchronization units (“SSUs”) are designed and manufactured by Gillam-FEI. SSUs are inserted into digital telecommunication networks and provide reliable synchronization for proper operation of the network. The systems are primarily sold to telecommunication operators and vary from a few SSUs for a simple network to hundreds of units for complex networks. For operators of distribution networks such as electrical utilities and telecommunications operators, the Company offers the LYNX system—a flexible suite of complementary software modules that are distinctively combined to satisfy the requirements of the users. With the advent of digital broadband transmission technologies, reliable synchronization has become the Quality of Service for telecommunications operators world-wide.</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9" w:name="page10"/>
    <w:bookmarkEnd w:id="9"/>
    <w:p>
      <w:pPr>
        <w:jc w:val="both"/>
        <w:ind w:firstLine="486"/>
        <w:spacing w:after="0" w:line="273" w:lineRule="auto"/>
        <w:rPr>
          <w:sz w:val="20"/>
          <w:szCs w:val="20"/>
          <w:color w:val="auto"/>
        </w:rPr>
      </w:pPr>
      <w:r>
        <w:rPr>
          <w:rFonts w:ascii="Arial" w:cs="Arial" w:eastAsia="Arial" w:hAnsi="Arial"/>
          <w:sz w:val="17"/>
          <w:szCs w:val="17"/>
          <w:color w:val="auto"/>
        </w:rPr>
        <w:t>For the space and defense sectors the Company combines its core products in a wide range of diverse applications that provide systems for space and ground based communications, space exploration, satellite tracking stations, satellite-based navigation and position location, secure communication, submarine and ship navigation, calibration, and electronic counter-measures applications. These time and frequency control systems can provide up to quadruple redundancy to assure operational longevity and dependability. The past experience of major contactors in these sectors has led satellite integrators to outsource increasing amounts of these systems to highly qualified producers who have validated their capabilities through extensive successful participation in past defense and space programs. Historically, the Company ranks among the top producers in this category.</w:t>
      </w:r>
    </w:p>
    <w:p>
      <w:pPr>
        <w:spacing w:after="0" w:line="23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Company’s subsidiary, FEI-Zyfer, manufactures products incorporating GPS technology by utilizing GPS signals to provide required performance in conjunction with precision time and frequency information. These systems and subsystems are used in secure government programs such as SAASM (Selective Acquisition Anti-spoofing Module) and commercial communications and other applications.</w:t>
      </w:r>
    </w:p>
    <w:p>
      <w:pPr>
        <w:spacing w:after="0" w:line="23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GPS expertise of FEI-Zyfer has been joined with the technological capabilities and experience of the FEI-NY segment in building crystal oscillators for harsh environments, to jointly develop a new system to be utilized to enhance seismic data in deep earth and other exploratory drilling for natural resources.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BACKLOG</w:t>
      </w:r>
    </w:p>
    <w:p>
      <w:pPr>
        <w:spacing w:after="0" w:line="279"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As of April 30, 2007, the Company's consolidated backlog amounted to approximately $44 million (see Item 7. Management’s Discussion and Analysis of Financial Condition and Results of Operations). Approximately 80% of this backlog is expected to be filled during the Company’s fiscal year ending April 30, 2008. The backlog, which reflects only firm purchase orders and contracts, is subject to change by reason of several factors including possible cancellation of orders, change orders, terms of the contracts and other factors beyond the Company's control. Accordingly, the backlog is not necessarily indicative of the revenues or profits (losses) which may be realized when the results of such contracts are reported.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CUSTOMERS AND SUPPLIERS</w:t>
      </w:r>
    </w:p>
    <w:p>
      <w:pPr>
        <w:spacing w:after="0" w:line="27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 markets its products both directly and through approximately 50 independent sales representative organizations located in the United States, Europe and Asia. Sales to non-U.S. customers, including the revenues of its overseas subsidiaries, totaled approximately 32%, 35% and 50% of net sales in fiscal years 2007, 2006 and 2005, respectively.</w:t>
      </w:r>
    </w:p>
    <w:p>
      <w:pPr>
        <w:spacing w:after="0" w:line="235"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The Company's products are sold to both commercial and governmental customers. For the years ended April 30, 2007, 2006 and 2005, approximately 24%, 25% and 20%, respectively, of the Company's sales were made under contracts to the U.S. Government or subcontracts for U.S. Government end-use.</w:t>
      </w:r>
    </w:p>
    <w:p>
      <w:pPr>
        <w:spacing w:after="0" w:line="178"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Company’s consolidated sales for each of the years ended April 30, 2007 and 2006 included sales to Motorola Corp. (“Motorola”), Alcatel-Lucent (“Lucent”) and Space Systems/Loral (“SS/L”), each of which accounted for greater than 10% of consolidated sales. In fiscal year 2005, Motorola and Lucent each accounted for greater than 10% of consolidated sales. In the aggregate, for fiscal years 2007 and 2006 these three customers accounted for 43% and 42%, respectively, of consolidated sales. In fiscal year 2005 Motorola and Lucent accounted for an aggregate of 40% of consolidated sales. In fiscal years 2007 and 2006, revenues from these three companies accounted for an aggregate of 61% and 63% of the Company’s FEI-NY segment. In fiscal year 2005, Motorola and Lucent accounted for an aggregate of 59% of that segment’s sales.</w:t>
      </w:r>
    </w:p>
    <w:p>
      <w:pPr>
        <w:spacing w:after="0" w:line="232"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During fiscal years 2007, 2006 and 2005, France Telecom and Belgacom were major customers of the Gillam-FEI segment. These European telecommunication companies accounted for an aggregate of 35%, 41% and 59%, respectively, of the segment’s revenues in those fiscal years.</w:t>
      </w:r>
    </w:p>
    <w:p>
      <w:pPr>
        <w:spacing w:after="0" w:line="20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the FEI-Zyfer segment, during fiscal year 2007, Computer Sciences Corporation (“CSC”) and SI International accounted for an aggregate of 21% of the segment’s revenues; in fiscal year 2006, CSC and L-3 Communications accounted for 19% of revenues and in fiscal year 2005, Northrop Grumman Corporation and CSC accounted for an aggregate of 21% of revenues.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0" w:name="page11"/>
    <w:bookmarkEnd w:id="10"/>
    <w:p>
      <w:pPr>
        <w:ind w:left="500"/>
        <w:spacing w:after="0"/>
        <w:rPr>
          <w:sz w:val="20"/>
          <w:szCs w:val="20"/>
          <w:color w:val="auto"/>
        </w:rPr>
      </w:pPr>
      <w:r>
        <w:rPr>
          <w:rFonts w:ascii="Arial" w:cs="Arial" w:eastAsia="Arial" w:hAnsi="Arial"/>
          <w:sz w:val="18"/>
          <w:szCs w:val="18"/>
          <w:color w:val="auto"/>
        </w:rPr>
        <w:t>None of the customers in the Gillam-FEI or FEI-Zyfer segments accounted for more than 10% of consolidated revenues.</w:t>
      </w:r>
    </w:p>
    <w:p>
      <w:pPr>
        <w:spacing w:after="0" w:line="27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loss by the Company of any one of these customers would have a material adverse effect on the Company’s business. The Company believes its relationship with these companies to be mutually satisfactory and is not aware of any prospect for the cancellation or significant reduction of any of its commercial or existing U.S. Government contracts.</w:t>
      </w:r>
    </w:p>
    <w:p>
      <w:pPr>
        <w:spacing w:after="0" w:line="23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Company purchases a variety of components such as transistors, resistors, capacitors, connectors and diodes for use in the manufacture of its products. The Company is not dependent upon any one supplier or source of supply for any of its component part purchases and maintains alternative sources of supply for all of its purchased components. The Company has found its suppliers generally to be reliable and price-competitive.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w:t>
      </w:r>
    </w:p>
    <w:p>
      <w:pPr>
        <w:spacing w:after="0" w:line="279"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Company's technological expertise continues to be an important factor to support future growth in revenues and earnings. The Company has focused its internal research and development efforts on improving the core physics and electronic packages in its time and frequency products, conducting research to develop new time and frequency technologies, improving product manufacturability by seeking to reduce its production costs through product redesign and process improvements and other measures to take advantage of lower cost components.</w:t>
      </w:r>
    </w:p>
    <w:p>
      <w:pPr>
        <w:spacing w:after="0" w:line="2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 continues to focus a significant portion of its own resources and efforts on developing hardware for satellite (commercial and U.S. Government) and terrestrial commercial communications systems, including wireless, wireline and GPS-related systems. During fiscal years 2007, 2006 and 2005, the Company expended $9.4 million, $6.3 million and $6.8 million of its own funds, respectively, on such research and development activity. (See also Item 7. Management’s Discussion and Analysis of Financial Condition and Results of Operations.) For fiscal year 2008, the Company is targeting to spend between $6.0 million and $8.0 million on research and development in similar areas. The actual amount spent will depend on market conditions and identification of new opportunities.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PATENTS AND LICENSES</w:t>
      </w:r>
    </w:p>
    <w:p>
      <w:pPr>
        <w:spacing w:after="0" w:line="279"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Company believes that its business is generally not dependent on patent or license protection. Rather, it is primarily dependent upon the Company's technical competence, the quality of its products and its prompt and responsible contract performance. However, employees working for the Company assign all rights to inventions to the Company and the Company presently holds such patents and licenses. In certain limited circumstances, the U.S. Government may use or permit the use by the Company’s competitors of certain patents or licenses the government has funded. During fiscal year 2003, the Company received a broad and significant patent for new, proprietary quartz oscillator technology which the Company intends to exploit in both legacy and new applications. In 2006, the Company obtained a basic patent for its low-g technology.</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COMPETITION</w:t>
      </w:r>
    </w:p>
    <w:p>
      <w:pPr>
        <w:spacing w:after="0" w:line="27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 experiences competition in all areas of its business. The Company competes primarily on the basis of the accuracy, performance and reliability of its products, the ability of its products to function under severe conditions, such as in space or other extreme hostile environments, prompt and responsive contract performance, technical competence and price. The Company has a unique and broad product line which includes all three frequency standards - quartz, rubidium, and cesium. Because of the very high precision of certain of its products, the Company has few competitors. For lower precision components there is significant competition from a number of suppliers.</w:t>
      </w:r>
    </w:p>
    <w:p>
      <w:pPr>
        <w:spacing w:after="0" w:line="24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recent years, the Company has successfully outsourced certain component manufacturing processes to third parties and more recently to its wholly-owned subsidiary, FEI-Asia in Tianjin, China and to Russian-based Morion, Inc., in which the Company is a minority shareholder. The Company expects this outsourcing to enhance its competitive position on cost while maintaining its high quality standards. The Company believes its ability to obtain raw materials, manufacture finished products, integrate them into systems and sub-systems and interface these systems with end-user applications provides a strong competitive advantage.</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1" w:name="page12"/>
    <w:bookmarkEnd w:id="11"/>
    <w:p>
      <w:pPr>
        <w:jc w:val="both"/>
        <w:ind w:right="20" w:firstLine="486"/>
        <w:spacing w:after="0" w:line="264" w:lineRule="auto"/>
        <w:rPr>
          <w:sz w:val="20"/>
          <w:szCs w:val="20"/>
          <w:color w:val="auto"/>
        </w:rPr>
      </w:pPr>
      <w:r>
        <w:rPr>
          <w:rFonts w:ascii="Arial" w:cs="Arial" w:eastAsia="Arial" w:hAnsi="Arial"/>
          <w:sz w:val="18"/>
          <w:szCs w:val="18"/>
          <w:color w:val="auto"/>
        </w:rPr>
        <w:t>Certain of the Company's competitors are larger, have greater financial resources and have larger research and development and marketing staffs. The Company has a strong history of competing successfully in this environment due to the quality, reliability and outstanding record of performance its products have achieved.</w:t>
      </w:r>
    </w:p>
    <w:p>
      <w:pPr>
        <w:spacing w:after="0" w:line="23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With respect to its instruments and systems for timing and synchronization, the Company competes with Agilent Technologies, Symmetricom, Inc, E. G. and G., Inc., Vectron, Inc. and others. Systems for the wireline industry produced by the Gillam-FEI segment compete with Symmetricom, Inc. and Oscilloquartz, a division of Swatch. The Company’s principal competition for space products is the in-house capability of its major customers.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EMPLOYEES</w:t>
      </w:r>
    </w:p>
    <w:p>
      <w:pPr>
        <w:spacing w:after="0" w:line="27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employs approximately 500 persons worldwide. None of the U.S. employees are represented by labor unions, while in Europe approximately five employees in one facility are represented by a French labor union.</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ASPECTS</w:t>
      </w:r>
    </w:p>
    <w:p>
      <w:pPr>
        <w:spacing w:after="0" w:line="279"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Company's business is not seasonal although it expects to experience some fluctuation in revenues during the second fiscal quarter as a result of extended holiday periods in August. No unusual working capital requirements exist.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EXECUTIVE OFFICERS OF THE COMPANY</w:t>
      </w:r>
    </w:p>
    <w:p>
      <w:pPr>
        <w:spacing w:after="0" w:line="27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executive officers hold office until the annual meeting of the Board of Directors following the annual meeting of stockholders, subject to earlier removal by the Board of Directors.</w:t>
      </w:r>
    </w:p>
    <w:p>
      <w:pPr>
        <w:spacing w:after="0" w:line="22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names of all executive officers of the Company and all positions and offices with the Company which they presently hold are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Joseph P. Franklin</w:t>
            </w:r>
          </w:p>
        </w:tc>
        <w:tc>
          <w:tcPr>
            <w:tcW w:w="7720" w:type="dxa"/>
            <w:vAlign w:val="bottom"/>
            <w:gridSpan w:val="2"/>
          </w:tcPr>
          <w:p>
            <w:pPr>
              <w:ind w:left="660"/>
              <w:spacing w:after="0"/>
              <w:rPr>
                <w:sz w:val="20"/>
                <w:szCs w:val="20"/>
                <w:color w:val="auto"/>
              </w:rPr>
            </w:pPr>
            <w:r>
              <w:rPr>
                <w:rFonts w:ascii="Arial" w:cs="Arial" w:eastAsia="Arial" w:hAnsi="Arial"/>
                <w:sz w:val="18"/>
                <w:szCs w:val="18"/>
                <w:color w:val="auto"/>
              </w:rPr>
              <w:t>-   Chairman of the Board of Directors</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Martin B. Bloch</w:t>
            </w:r>
          </w:p>
        </w:tc>
        <w:tc>
          <w:tcPr>
            <w:tcW w:w="7720" w:type="dxa"/>
            <w:vAlign w:val="bottom"/>
            <w:gridSpan w:val="2"/>
          </w:tcPr>
          <w:p>
            <w:pPr>
              <w:ind w:left="660"/>
              <w:spacing w:after="0"/>
              <w:rPr>
                <w:sz w:val="20"/>
                <w:szCs w:val="20"/>
                <w:color w:val="auto"/>
              </w:rPr>
            </w:pPr>
            <w:r>
              <w:rPr>
                <w:rFonts w:ascii="Arial" w:cs="Arial" w:eastAsia="Arial" w:hAnsi="Arial"/>
                <w:sz w:val="18"/>
                <w:szCs w:val="18"/>
                <w:color w:val="auto"/>
              </w:rPr>
              <w:t>-   President, Chief Executive Officer and Director</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Markus Hechler</w:t>
            </w:r>
          </w:p>
        </w:tc>
        <w:tc>
          <w:tcPr>
            <w:tcW w:w="7720" w:type="dxa"/>
            <w:vAlign w:val="bottom"/>
            <w:gridSpan w:val="2"/>
          </w:tcPr>
          <w:p>
            <w:pPr>
              <w:ind w:left="660"/>
              <w:spacing w:after="0"/>
              <w:rPr>
                <w:sz w:val="20"/>
                <w:szCs w:val="20"/>
                <w:color w:val="auto"/>
              </w:rPr>
            </w:pPr>
            <w:r>
              <w:rPr>
                <w:rFonts w:ascii="Arial" w:cs="Arial" w:eastAsia="Arial" w:hAnsi="Arial"/>
                <w:sz w:val="18"/>
                <w:szCs w:val="18"/>
                <w:color w:val="auto"/>
                <w:w w:val="91"/>
              </w:rPr>
              <w:t>-   Executive Vice President, President of FEI Government Systems, Inc. and Assistant Secretary</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Steven Strang</w:t>
            </w:r>
          </w:p>
        </w:tc>
        <w:tc>
          <w:tcPr>
            <w:tcW w:w="840" w:type="dxa"/>
            <w:vAlign w:val="bottom"/>
          </w:tcPr>
          <w:p>
            <w:pPr>
              <w:ind w:left="660"/>
              <w:spacing w:after="0"/>
              <w:rPr>
                <w:sz w:val="20"/>
                <w:szCs w:val="20"/>
                <w:color w:val="auto"/>
              </w:rPr>
            </w:pPr>
            <w:r>
              <w:rPr>
                <w:rFonts w:ascii="Arial" w:cs="Arial" w:eastAsia="Arial" w:hAnsi="Arial"/>
                <w:sz w:val="18"/>
                <w:szCs w:val="18"/>
                <w:color w:val="auto"/>
              </w:rPr>
              <w:t>-</w:t>
            </w:r>
          </w:p>
        </w:tc>
        <w:tc>
          <w:tcPr>
            <w:tcW w:w="6880" w:type="dxa"/>
            <w:vAlign w:val="bottom"/>
          </w:tcPr>
          <w:p>
            <w:pPr>
              <w:ind w:left="120"/>
              <w:spacing w:after="0"/>
              <w:rPr>
                <w:sz w:val="20"/>
                <w:szCs w:val="20"/>
                <w:color w:val="auto"/>
              </w:rPr>
            </w:pPr>
            <w:r>
              <w:rPr>
                <w:rFonts w:ascii="Arial" w:cs="Arial" w:eastAsia="Arial" w:hAnsi="Arial"/>
                <w:sz w:val="18"/>
                <w:szCs w:val="18"/>
                <w:color w:val="auto"/>
              </w:rPr>
              <w:t>President, FEI-Zyfer</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Hugo Fruehauf</w:t>
            </w:r>
          </w:p>
        </w:tc>
        <w:tc>
          <w:tcPr>
            <w:tcW w:w="840" w:type="dxa"/>
            <w:vAlign w:val="bottom"/>
          </w:tcPr>
          <w:p>
            <w:pPr>
              <w:ind w:left="660"/>
              <w:spacing w:after="0"/>
              <w:rPr>
                <w:sz w:val="20"/>
                <w:szCs w:val="20"/>
                <w:color w:val="auto"/>
              </w:rPr>
            </w:pPr>
            <w:r>
              <w:rPr>
                <w:rFonts w:ascii="Arial" w:cs="Arial" w:eastAsia="Arial" w:hAnsi="Arial"/>
                <w:sz w:val="18"/>
                <w:szCs w:val="18"/>
                <w:color w:val="auto"/>
              </w:rPr>
              <w:t>-</w:t>
            </w:r>
          </w:p>
        </w:tc>
        <w:tc>
          <w:tcPr>
            <w:tcW w:w="6880" w:type="dxa"/>
            <w:vAlign w:val="bottom"/>
          </w:tcPr>
          <w:p>
            <w:pPr>
              <w:ind w:left="120"/>
              <w:spacing w:after="0"/>
              <w:rPr>
                <w:sz w:val="20"/>
                <w:szCs w:val="20"/>
                <w:color w:val="auto"/>
              </w:rPr>
            </w:pPr>
            <w:r>
              <w:rPr>
                <w:rFonts w:ascii="Arial" w:cs="Arial" w:eastAsia="Arial" w:hAnsi="Arial"/>
                <w:sz w:val="18"/>
                <w:szCs w:val="18"/>
                <w:color w:val="auto"/>
              </w:rPr>
              <w:t>Chief Technical Officer</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Charles S. Stone</w:t>
            </w:r>
          </w:p>
        </w:tc>
        <w:tc>
          <w:tcPr>
            <w:tcW w:w="7720" w:type="dxa"/>
            <w:vAlign w:val="bottom"/>
            <w:gridSpan w:val="2"/>
          </w:tcPr>
          <w:p>
            <w:pPr>
              <w:ind w:left="660"/>
              <w:spacing w:after="0"/>
              <w:rPr>
                <w:sz w:val="20"/>
                <w:szCs w:val="20"/>
                <w:color w:val="auto"/>
              </w:rPr>
            </w:pPr>
            <w:r>
              <w:rPr>
                <w:rFonts w:ascii="Arial" w:cs="Arial" w:eastAsia="Arial" w:hAnsi="Arial"/>
                <w:sz w:val="18"/>
                <w:szCs w:val="18"/>
                <w:color w:val="auto"/>
              </w:rPr>
              <w:t>-   Vice President, Low Noise Development</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Leonard Martire</w:t>
            </w:r>
          </w:p>
        </w:tc>
        <w:tc>
          <w:tcPr>
            <w:tcW w:w="7720" w:type="dxa"/>
            <w:vAlign w:val="bottom"/>
            <w:gridSpan w:val="2"/>
          </w:tcPr>
          <w:p>
            <w:pPr>
              <w:ind w:left="660"/>
              <w:spacing w:after="0"/>
              <w:rPr>
                <w:sz w:val="20"/>
                <w:szCs w:val="20"/>
                <w:color w:val="auto"/>
              </w:rPr>
            </w:pPr>
            <w:r>
              <w:rPr>
                <w:rFonts w:ascii="Arial" w:cs="Arial" w:eastAsia="Arial" w:hAnsi="Arial"/>
                <w:sz w:val="18"/>
                <w:szCs w:val="18"/>
                <w:color w:val="auto"/>
              </w:rPr>
              <w:t>-   Vice President, Program Management</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Oleandro Mancini</w:t>
            </w:r>
          </w:p>
        </w:tc>
        <w:tc>
          <w:tcPr>
            <w:tcW w:w="7720" w:type="dxa"/>
            <w:vAlign w:val="bottom"/>
            <w:gridSpan w:val="2"/>
          </w:tcPr>
          <w:p>
            <w:pPr>
              <w:ind w:left="660"/>
              <w:spacing w:after="0"/>
              <w:rPr>
                <w:sz w:val="20"/>
                <w:szCs w:val="20"/>
                <w:color w:val="auto"/>
              </w:rPr>
            </w:pPr>
            <w:r>
              <w:rPr>
                <w:rFonts w:ascii="Arial" w:cs="Arial" w:eastAsia="Arial" w:hAnsi="Arial"/>
                <w:sz w:val="18"/>
                <w:szCs w:val="18"/>
                <w:color w:val="auto"/>
              </w:rPr>
              <w:t>-   Vice President, Business Development</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Thomas McClelland</w:t>
            </w:r>
          </w:p>
        </w:tc>
        <w:tc>
          <w:tcPr>
            <w:tcW w:w="7720" w:type="dxa"/>
            <w:vAlign w:val="bottom"/>
            <w:gridSpan w:val="2"/>
          </w:tcPr>
          <w:p>
            <w:pPr>
              <w:ind w:left="660"/>
              <w:spacing w:after="0"/>
              <w:rPr>
                <w:sz w:val="20"/>
                <w:szCs w:val="20"/>
                <w:color w:val="auto"/>
              </w:rPr>
            </w:pPr>
            <w:r>
              <w:rPr>
                <w:rFonts w:ascii="Arial" w:cs="Arial" w:eastAsia="Arial" w:hAnsi="Arial"/>
                <w:sz w:val="18"/>
                <w:szCs w:val="18"/>
                <w:color w:val="auto"/>
              </w:rPr>
              <w:t>-   Vice President, Commercial Products</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Adrian Lalicata</w:t>
            </w:r>
          </w:p>
        </w:tc>
        <w:tc>
          <w:tcPr>
            <w:tcW w:w="7720" w:type="dxa"/>
            <w:vAlign w:val="bottom"/>
            <w:gridSpan w:val="2"/>
          </w:tcPr>
          <w:p>
            <w:pPr>
              <w:ind w:left="660"/>
              <w:spacing w:after="0"/>
              <w:rPr>
                <w:sz w:val="20"/>
                <w:szCs w:val="20"/>
                <w:color w:val="auto"/>
              </w:rPr>
            </w:pPr>
            <w:r>
              <w:rPr>
                <w:rFonts w:ascii="Arial" w:cs="Arial" w:eastAsia="Arial" w:hAnsi="Arial"/>
                <w:sz w:val="18"/>
                <w:szCs w:val="18"/>
                <w:color w:val="auto"/>
              </w:rPr>
              <w:t>-   Vice President, RF &amp; Microwave Systems</w:t>
            </w:r>
          </w:p>
        </w:tc>
      </w:tr>
      <w:tr>
        <w:trPr>
          <w:trHeight w:val="216"/>
        </w:trPr>
        <w:tc>
          <w:tcPr>
            <w:tcW w:w="2140" w:type="dxa"/>
            <w:vAlign w:val="bottom"/>
          </w:tcPr>
          <w:p>
            <w:pPr>
              <w:spacing w:after="0"/>
              <w:rPr>
                <w:sz w:val="20"/>
                <w:szCs w:val="20"/>
                <w:color w:val="auto"/>
              </w:rPr>
            </w:pPr>
            <w:r>
              <w:rPr>
                <w:rFonts w:ascii="Arial" w:cs="Arial" w:eastAsia="Arial" w:hAnsi="Arial"/>
                <w:sz w:val="18"/>
                <w:szCs w:val="18"/>
                <w:color w:val="auto"/>
              </w:rPr>
              <w:t>Alan Miller</w:t>
            </w:r>
          </w:p>
        </w:tc>
        <w:tc>
          <w:tcPr>
            <w:tcW w:w="7720" w:type="dxa"/>
            <w:vAlign w:val="bottom"/>
            <w:gridSpan w:val="2"/>
          </w:tcPr>
          <w:p>
            <w:pPr>
              <w:ind w:left="660"/>
              <w:spacing w:after="0"/>
              <w:rPr>
                <w:sz w:val="20"/>
                <w:szCs w:val="20"/>
                <w:color w:val="auto"/>
              </w:rPr>
            </w:pPr>
            <w:r>
              <w:rPr>
                <w:rFonts w:ascii="Arial" w:cs="Arial" w:eastAsia="Arial" w:hAnsi="Arial"/>
                <w:sz w:val="18"/>
                <w:szCs w:val="18"/>
                <w:color w:val="auto"/>
              </w:rPr>
              <w:t>-   Treasurer and Chief Financial Officer</w:t>
            </w:r>
          </w:p>
        </w:tc>
      </w:tr>
      <w:tr>
        <w:trPr>
          <w:trHeight w:val="230"/>
        </w:trPr>
        <w:tc>
          <w:tcPr>
            <w:tcW w:w="2140" w:type="dxa"/>
            <w:vAlign w:val="bottom"/>
          </w:tcPr>
          <w:p>
            <w:pPr>
              <w:spacing w:after="0"/>
              <w:rPr>
                <w:sz w:val="20"/>
                <w:szCs w:val="20"/>
                <w:color w:val="auto"/>
              </w:rPr>
            </w:pPr>
            <w:r>
              <w:rPr>
                <w:rFonts w:ascii="Arial" w:cs="Arial" w:eastAsia="Arial" w:hAnsi="Arial"/>
                <w:sz w:val="18"/>
                <w:szCs w:val="18"/>
                <w:color w:val="auto"/>
              </w:rPr>
              <w:t>Harry Newman</w:t>
            </w:r>
          </w:p>
        </w:tc>
        <w:tc>
          <w:tcPr>
            <w:tcW w:w="840" w:type="dxa"/>
            <w:vAlign w:val="bottom"/>
          </w:tcPr>
          <w:p>
            <w:pPr>
              <w:ind w:left="660"/>
              <w:spacing w:after="0"/>
              <w:rPr>
                <w:sz w:val="20"/>
                <w:szCs w:val="20"/>
                <w:color w:val="auto"/>
              </w:rPr>
            </w:pPr>
            <w:r>
              <w:rPr>
                <w:rFonts w:ascii="Arial" w:cs="Arial" w:eastAsia="Arial" w:hAnsi="Arial"/>
                <w:sz w:val="18"/>
                <w:szCs w:val="18"/>
                <w:color w:val="auto"/>
              </w:rPr>
              <w:t>-</w:t>
            </w:r>
          </w:p>
        </w:tc>
        <w:tc>
          <w:tcPr>
            <w:tcW w:w="6880" w:type="dxa"/>
            <w:vAlign w:val="bottom"/>
          </w:tcPr>
          <w:p>
            <w:pPr>
              <w:ind w:left="120"/>
              <w:spacing w:after="0"/>
              <w:rPr>
                <w:sz w:val="20"/>
                <w:szCs w:val="20"/>
                <w:color w:val="auto"/>
              </w:rPr>
            </w:pPr>
            <w:r>
              <w:rPr>
                <w:rFonts w:ascii="Arial" w:cs="Arial" w:eastAsia="Arial" w:hAnsi="Arial"/>
                <w:sz w:val="18"/>
                <w:szCs w:val="18"/>
                <w:color w:val="auto"/>
              </w:rPr>
              <w:t>Secretary</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None of the officers and directors is related.</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Joseph P. Franklin, age 73, has served as a Director of the Company since March 1990. In December 1993 he was elected Chairman of the Board of Directors. He also served as Chief Executive Officer from December 1993 through October 1998 and as Chief Financial Officer from September 1996 through October 1998. From August 1987 to November 1993, he was the Chief Executive Officer of Franklin S.A., a Spanish business consulting company located in Madrid, Spain, specializing in joint ventures, and was a director of several prominent Spanish companies. General Franklin was a Major General in the United States Army until he retired in July 1987.</w:t>
      </w:r>
    </w:p>
    <w:p>
      <w:pPr>
        <w:spacing w:after="0" w:line="24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Martin B. Bloch, age 71, has been a Director of the Company and of its predecessor since 1961. Mr. Bloch is the Company’s President and Chief Executive Officer and has held such positions since inception of the Company, except for the period from December 1993 through October 1998 when General Franklin held the CEO position. Previous to forming the Company, Mr. Bloch served as chief electronics engineer of the Electronics Division of Bulova Watch Company.</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2" w:name="page13"/>
    <w:bookmarkEnd w:id="12"/>
    <w:p>
      <w:pPr>
        <w:jc w:val="both"/>
        <w:ind w:firstLine="648"/>
        <w:spacing w:after="0" w:line="264" w:lineRule="auto"/>
        <w:rPr>
          <w:sz w:val="20"/>
          <w:szCs w:val="20"/>
          <w:color w:val="auto"/>
        </w:rPr>
      </w:pPr>
      <w:r>
        <w:rPr>
          <w:rFonts w:ascii="Arial" w:cs="Arial" w:eastAsia="Arial" w:hAnsi="Arial"/>
          <w:sz w:val="18"/>
          <w:szCs w:val="18"/>
          <w:color w:val="auto"/>
        </w:rPr>
        <w:t>Markus Hechler, age 61, joined the Company in 1967. He was elected to the position of Executive Vice President in February 1999, prior to which he served as Vice President, Manufacturing since 1982. In October 2001, he was named President of the Company’s subsidiary, FEI Government Systems, Inc. He has served as Assistant Secretary since 1978.</w:t>
      </w:r>
    </w:p>
    <w:p>
      <w:pPr>
        <w:spacing w:after="0" w:line="23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Steven Strang, age 43, was named President of FEI-Zyfer, Inc., effective May 1, 2005. Previously, Mr. Strang was Executive Vice President of this subsidiary and its predecessor companies where he has served for 17 years in various technical and management positions.</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Hugo Fruehauf, age 68, became an officer of the Company when the net assets of Zyfer, Inc. were acquired in May 2003. Effective May 1, 2005, Mr. Fruehauf was named Chief Technical Officer of the Company. Mr. Fruehauf served as CEO and CTO of Zyfer, Inc. for 6 years. Prior to joining Zyfer, Mr. Fruehauf was vice president of Alliant Techsystems from 1995 to 1997 and from 1982 to 1995 was president of Datum-Efratom and its predecessor, Ball-Efratom.</w:t>
      </w:r>
    </w:p>
    <w:p>
      <w:pPr>
        <w:spacing w:after="0" w:line="241"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Charles S. Stone, age 76, joined the Company in 1984, and has served as its Vice President since that time. Prior to joining the Company, Mr. Stone served as Senior Vice President of Austron Inc., from 1966 to 1979, and Senior Scientist of Tracor Inc., from 1962 to 1966.</w:t>
      </w:r>
    </w:p>
    <w:p>
      <w:pPr>
        <w:spacing w:after="0" w:line="20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Leonard Martire, age 70, joined the Company in August 1987 and served as Executive Vice President of FEI Microwave, Inc., the Company's wholly-owned subsidiary, until May 1993 when he was elected Vice President, Marketing and Sales. In fiscal year 2007, Mr. Martire assumed a new role as Vice President Program Management.</w:t>
      </w:r>
    </w:p>
    <w:p>
      <w:pPr>
        <w:spacing w:after="0" w:line="23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Oleandro Mancini, age 58, joined the Company in August 2000 as Vice President, Business Development. Prior to joining the Company, Mr. Mancini served from 1998 as Vice President, Sales and Marketing at Satellite Transmission Systems, Inc. and from 1995 to 1998 as Vice President, Business Development at Cardion, Inc., a Siemens A.G. company. From 1987 to 1995, he held the position of Vice President, Engineering at Cardion, Inc.</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Thomas McClelland, age 52, joined the Company as an engineer in 1984 and was elected Vice President, Commercial Products in March 1999.</w:t>
      </w:r>
    </w:p>
    <w:p>
      <w:pPr>
        <w:spacing w:after="0" w:line="30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Adrian Lalicata, age 60, joined the Company in 2006 as Vice President, RF &amp; Microwave Systems. Prior to joining the Company, Mr. Lalicata served as Vice President of Engineering at Herley-CTI and Communication Techniques, a Dover Company. Mr Lalicata has served as Director of Engineering at Microphase Corp. and Adcomm, Inc. He also held leading engineering positions at Loral Electronic Systems, Cardion Electronics, and Airborne Instruments Laboratories.</w:t>
      </w:r>
    </w:p>
    <w:p>
      <w:pPr>
        <w:spacing w:after="0" w:line="24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Alan Miller, age 58, joined the Company in November 1995 as its corporate controller and was elected to the position of Treasurer and Chief Financial Officer in October 1998. Prior to joining the Company, Mr. Miller served as an operations manager and a consultant to small businesses from 1992 through 1995 and as a Senior Audit Manager with Ernst &amp; Young, L.L.P. from 1980 to 1991.</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Harry Newman, age 60, Secretary, has been employed by the Company since 1979, prior to which he served as Divisional Controller of Jonathan Logan, Inc., apparel manufacturers, from 1976 to 1979, and as supervising Senior Accountant with Clarence Rainess and Co., Certified Public Accountants, from 1971 to 1975.</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1A. Risk Factors</w:t>
      </w:r>
    </w:p>
    <w:p>
      <w:pPr>
        <w:spacing w:after="0" w:line="27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addition to the other information contained in this Form 10-K and the exhibits hereto, the following risk factors should be considered carefully in evaluating the Company’s business. Additional risks not presently known to the Company or that the Company currently deems immaterial may also adversely affect its business, financial condition, or results of operations.</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 variety of factors may cause the price of the Company’s stock to be volatile.</w:t>
      </w:r>
    </w:p>
    <w:p>
      <w:pPr>
        <w:spacing w:after="0" w:line="283"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In recent years, the stock market in general, and the market for shares of technology companies in particular, including Frequency Electronics, have experienced price fluctuations. For example, for fiscal year 2007, the price of the Company’s Common Stock ranged from a closing high of $14.25 to a closing low of $10.30. The market price of the Company’s Common Stock is likely to continue to fluctuate significantly in the future, including fluctuations unrelated to its performance. The Company believes that fluctuations of its stock price may be caused by a variety of factors, including:</w:t>
      </w:r>
    </w:p>
    <w:p>
      <w:pPr>
        <w:spacing w:after="0" w:line="225"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fluctuations in the Company’s operating results;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3" w:name="page14"/>
    <w:bookmarkEnd w:id="13"/>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announcements of technological innovations, new commercial products or other developments by the Company or its competitors;</w:t>
      </w:r>
    </w:p>
    <w:p>
      <w:pPr>
        <w:spacing w:after="0" w:line="33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published reports by securities analysts;</w:t>
      </w:r>
    </w:p>
    <w:p>
      <w:pPr>
        <w:spacing w:after="0" w:line="33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general market conditions, general economic conditions;</w:t>
      </w:r>
    </w:p>
    <w:p>
      <w:pPr>
        <w:spacing w:after="0" w:line="33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announcements by the Company or its competitors of significant acquisitions, strategic partnerships or joint ventures;</w:t>
      </w:r>
    </w:p>
    <w:p>
      <w:pPr>
        <w:spacing w:after="0" w:line="33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Company’s cash position and cash commitments;</w:t>
      </w:r>
    </w:p>
    <w:p>
      <w:pPr>
        <w:spacing w:after="0" w:line="33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33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sales or purchases of the Company’s Common Stock in the marketplace;</w:t>
      </w:r>
    </w:p>
    <w:p>
      <w:pPr>
        <w:spacing w:after="0" w:line="33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outbreak of hostilities, diseases, natural disasters or terrorism;</w:t>
      </w:r>
    </w:p>
    <w:p>
      <w:pPr>
        <w:spacing w:after="0" w:line="33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developments in patents or other intellectual property rights; and</w:t>
      </w:r>
    </w:p>
    <w:p>
      <w:pPr>
        <w:spacing w:after="0" w:line="333"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developments in the Company’s relationships with customers and suppliers.</w:t>
      </w:r>
    </w:p>
    <w:p>
      <w:pPr>
        <w:spacing w:after="0" w:line="329"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If the Company fails to keep pace with rapid technological change and evolving industry standards, its products could become less competitive or obsolete.</w:t>
      </w:r>
    </w:p>
    <w:p>
      <w:pPr>
        <w:spacing w:after="0" w:line="22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markets for the Company’s products are characterized by technological change, new product introductions, changes in customer requirements and evolving industry standards. The Company may cease to be competitive if it fails to timely introduce new products or product enhancements that address these factors. To continue to introduce new products and product enhancements on a timely basis, the Company must:</w:t>
      </w:r>
    </w:p>
    <w:p>
      <w:pPr>
        <w:spacing w:after="0" w:line="220"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identify emerging technological trends in the Company’s target markets;</w:t>
      </w:r>
    </w:p>
    <w:p>
      <w:pPr>
        <w:spacing w:after="0" w:line="33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accurately define and design new products or product enhancements to meet market needs;</w:t>
      </w:r>
    </w:p>
    <w:p>
      <w:pPr>
        <w:spacing w:after="0" w:line="33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develop or license the underlying core technologies necessary to create new products and product enhancements; and</w:t>
      </w:r>
    </w:p>
    <w:p>
      <w:pPr>
        <w:spacing w:after="0" w:line="333"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respond effectively to technological changes and product introductions by the Company’s competitors.</w:t>
      </w:r>
    </w:p>
    <w:p>
      <w:pPr>
        <w:spacing w:after="0" w:line="3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the Company fails to timely identify, develop, manufacture, market or support new or enhanced products successfully, its competitors could gain market share or its new or enhanced products might not gain market acceptance.</w:t>
      </w:r>
    </w:p>
    <w:p>
      <w:pPr>
        <w:spacing w:after="0" w:line="220"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auto"/>
        </w:rPr>
        <w:t>Delays in the development of new or enhanced products could harm the Company’s operating results and its competitive position.</w:t>
      </w:r>
    </w:p>
    <w:p>
      <w:pPr>
        <w:spacing w:after="0" w:line="29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development of new, technologically advanced products is a complex and uncertain process requiring high levels of innovation, highly skilled engineering and development personnel and accurate anticipation of technological and market trends. Consequently, product development delays are typical in the Company’s industry. If the Company fails to timely introduce a product for an emerging standard or customers defer or cancel orders expecting the release of a new or enhanced product, its operating results could suffer. Product development delays may result from numerous factors, including:</w:t>
      </w:r>
    </w:p>
    <w:p>
      <w:pPr>
        <w:spacing w:after="0" w:line="208" w:lineRule="exact"/>
        <w:rPr>
          <w:sz w:val="20"/>
          <w:szCs w:val="20"/>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changing product specifications and customer requirements;</w:t>
      </w:r>
    </w:p>
    <w:p>
      <w:pPr>
        <w:spacing w:after="0" w:line="33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unanticipated engineering complexities;</w:t>
      </w:r>
    </w:p>
    <w:p>
      <w:pPr>
        <w:spacing w:after="0" w:line="33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with or delays by contract manufacturers or suppliers of key components or technologies;</w:t>
      </w:r>
    </w:p>
    <w:p>
      <w:pPr>
        <w:spacing w:after="0" w:line="33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allocating engineering resources and overcoming resource limitations; and</w:t>
      </w:r>
    </w:p>
    <w:p>
      <w:pPr>
        <w:spacing w:after="0" w:line="333"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difficulties in hiring and retaining necessary technical personnel.</w:t>
      </w:r>
    </w:p>
    <w:p>
      <w:pPr>
        <w:spacing w:after="0" w:line="3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Company faces uncertainty relating to economic conditions affecting its customers.</w:t>
      </w:r>
    </w:p>
    <w:p>
      <w:pPr>
        <w:spacing w:after="0" w:line="28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Company faces uncertainty in the degree to which the current global economic climate will affect the rate of growth for its existing and potential customers. In particular, the timing and magnitude of capital spending by international telecommunications companies, including those in China, will materially impact the Company’s business. Frequency Electronics may experience instances of customers delaying or deferring orders and longer lead times to close sales. Similarly, spending on U.S. Government programs is determined by the annual defense department budget. To the extent that support for the liberation and rebuilding of Iraq takes precedence, funding for certain Department of Defense programs may be delayed or significantly reduced in the near term. Such delays can have a materially negative impact on the Company’s business, its operating results and financial condition.</w:t>
      </w:r>
    </w:p>
    <w:p>
      <w:pPr>
        <w:sectPr>
          <w:pgSz w:w="11900" w:h="16838" w:orient="portrait"/>
          <w:cols w:equalWidth="0" w:num="1">
            <w:col w:w="11420"/>
          </w:cols>
          <w:pgMar w:left="240" w:top="395" w:right="239" w:bottom="0" w:gutter="0" w:footer="0" w:header="0"/>
        </w:sectPr>
      </w:pPr>
    </w:p>
    <w:bookmarkStart w:id="14" w:name="page15"/>
    <w:bookmarkEnd w:id="14"/>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5" w:name="page16"/>
    <w:bookmarkEnd w:id="15"/>
    <w:p>
      <w:pPr>
        <w:jc w:val="both"/>
        <w:ind w:firstLine="324"/>
        <w:spacing w:after="0" w:line="282" w:lineRule="auto"/>
        <w:rPr>
          <w:sz w:val="20"/>
          <w:szCs w:val="20"/>
          <w:color w:val="auto"/>
        </w:rPr>
      </w:pPr>
      <w:r>
        <w:rPr>
          <w:rFonts w:ascii="Arial" w:cs="Arial" w:eastAsia="Arial" w:hAnsi="Arial"/>
          <w:sz w:val="18"/>
          <w:szCs w:val="18"/>
          <w:b w:val="1"/>
          <w:bCs w:val="1"/>
          <w:color w:val="auto"/>
        </w:rPr>
        <w:t>The Company faces competition. Its inability to remain competitive in the industry would adversely affect the Company’s ability to maintain its current sales and growth.</w:t>
      </w:r>
    </w:p>
    <w:p>
      <w:pPr>
        <w:spacing w:after="0" w:line="22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Company experiences competition in all areas of its business. Frequency Electronics competes primarily on the basis of the accuracy, performance and reliability of its products, the ability of its products to function under severe conditions, such as in space or other extreme hostile environments, prompt and responsive contract performance, technical competence and price. The Company has a unique and broad product line which includes all three frequency standards - quartz, rubidium, and cesium. For its high precision products, the Company has few competitors, but for lower precision components, the Company faces significant competition from a number of suppliers. Certain of the Company’s competitors are larger, have greater financial resources and have larger research and development and marketing staffs. If its competitors develop more accurate or reliable products, or otherwise improve their products, Frequency Electronics could experience a decline in its sales or loss of market acceptance of its products.</w:t>
      </w:r>
    </w:p>
    <w:p>
      <w:pPr>
        <w:spacing w:after="0" w:line="22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With respect to the Company’s instruments and systems, it competes with Agilent Technologies, Symmetricom, Inc, E. G. and G., Inc., Vectron, Inc. and others. Systems for the wireline industry produced by the Gillam-FEI segment compete with Symmetricom, Inc. and Oscilloquartz, a division of Swatch. Frequency Electronics’ principal competition for space products is the in-house capability of its major customers.</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Company’s reliance on third parties could materially adversely affect its business.</w:t>
      </w:r>
    </w:p>
    <w:p>
      <w:pPr>
        <w:spacing w:after="0" w:line="28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recent years, the Company has outsourced certain component manufacturing processes to third parties and more recently to its wholly-owned subsidiary, FEI-Asia in Tianjin, China and to Russian-based Morion, Inc., in which the Company is a minority shareholder. The Company expects this outsourcing to enhance its competitive position on cost while maintaining its high quality standards. Any unanticipated changes in such third parties’ ability to perform the component manufacturing processes or any delay in such manufacturing could materially adversely affect the Company’s business, financial condition and operating results.</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Company’s executive officers and certain key personnel are critical to its business.</w:t>
      </w:r>
    </w:p>
    <w:p>
      <w:pPr>
        <w:spacing w:after="0" w:line="28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future success is dependent upon the contributions of its senior corporate management team, particularly Martin Bloch, President and Chief Executive Officer, who has been with the Company since 1961, Markus Hechler, Executive Vice President, who has been with the Company since 1967, Oleandro Mancini, Vice President of Business Development, who has been with the Company since 2001 and certain other key employees. If Messrs. Bloch, Hechler and Mancini no longer serve in their positions, the Company’s business, financial conditions and results of operation could be substantially adversely affected.</w:t>
      </w:r>
    </w:p>
    <w:p>
      <w:pPr>
        <w:spacing w:after="0" w:line="24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future operating results also depend in significant part upon its ability to attract and retain qualified management, manufacturing, technical, engineering, marketing, sales and support personnel. Competition for qualified personnel is intense, and the Company cannot ensure success in attracting or retaining qualified personnel. There may be only a limited number of persons with the requisite skills to serve in these positions and it may be increasingly difficult for the Company to hire personnel over time. The Company’s business, financial conditions and results of operation could be substantially adversely affected by its inability to attract and retain skilled employees.</w:t>
      </w:r>
    </w:p>
    <w:p>
      <w:pPr>
        <w:spacing w:after="0" w:line="23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Economic, political and other risks associated with international sales and operations could adversely affect sales.</w:t>
      </w:r>
    </w:p>
    <w:p>
      <w:pPr>
        <w:spacing w:after="0" w:line="28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Because the Company sells its products worldwide, its business is subject to risks associated with doing business internationally. The Company recognized 32% of its revenue from sales to end-users in countries located outside of the United States in the fiscal year ended April 30, 2007. The Company anticipates that revenue from international operations will continue to represent a substantial portion of its revenue. In addition, several of the Company’s manufacturing facilities and suppliers are located outside the United States of America. Accordingly, the Company’s future results could be harmed by a variety of factors, including:</w:t>
      </w:r>
    </w:p>
    <w:p>
      <w:pPr>
        <w:spacing w:after="0" w:line="242" w:lineRule="exact"/>
        <w:rPr>
          <w:sz w:val="20"/>
          <w:szCs w:val="20"/>
          <w:color w:val="auto"/>
        </w:rPr>
      </w:pPr>
    </w:p>
    <w:p>
      <w:pPr>
        <w:ind w:left="5620" w:right="2560" w:hanging="4964"/>
        <w:spacing w:after="0" w:line="653" w:lineRule="auto"/>
        <w:tabs>
          <w:tab w:leader="none" w:pos="977"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conditions, particularly in emerging markets;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6" w:name="page17"/>
    <w:bookmarkEnd w:id="16"/>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tariff and trade policies;</w:t>
      </w:r>
    </w:p>
    <w:p>
      <w:pPr>
        <w:spacing w:after="0" w:line="33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export license requirements and restrictions of the export of technology;</w:t>
      </w:r>
    </w:p>
    <w:p>
      <w:pPr>
        <w:spacing w:after="0" w:line="33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import regulations;</w:t>
      </w:r>
    </w:p>
    <w:p>
      <w:pPr>
        <w:spacing w:after="0" w:line="33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domestic and foreign tax policies;</w:t>
      </w:r>
    </w:p>
    <w:p>
      <w:pPr>
        <w:spacing w:after="0" w:line="33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foreign governmental regulations;</w:t>
      </w:r>
    </w:p>
    <w:p>
      <w:pPr>
        <w:spacing w:after="0" w:line="33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difficulty in staffing and managing widespread operations;</w:t>
      </w:r>
    </w:p>
    <w:p>
      <w:pPr>
        <w:spacing w:after="0" w:line="33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ongoing health epidemics (e.g., Bird Flu);</w:t>
      </w:r>
    </w:p>
    <w:p>
      <w:pPr>
        <w:spacing w:after="0" w:line="33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33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stability of international monetary conditions;</w:t>
      </w:r>
    </w:p>
    <w:p>
      <w:pPr>
        <w:spacing w:after="0" w:line="33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differing labor regulations;</w:t>
      </w:r>
    </w:p>
    <w:p>
      <w:pPr>
        <w:spacing w:after="0" w:line="333"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political unrest, war, actual or threatened acts of terrorism, other international conflicts and the resulting military, economic and political responses (including, without limitation, war between sovereign nations) as well as heightened security measures which may cause significant disruption to commerce worldwide;</w:t>
      </w:r>
    </w:p>
    <w:p>
      <w:pPr>
        <w:spacing w:after="0" w:line="235"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differing protection of intellectual property; and</w:t>
      </w:r>
    </w:p>
    <w:p>
      <w:pPr>
        <w:spacing w:after="0" w:line="33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329"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The Company’s products may contain defects that cause it to incur significant corrective costs, divert its attention from product development efforts and result in a loss of customers.</w:t>
      </w:r>
    </w:p>
    <w:p>
      <w:pPr>
        <w:spacing w:after="0" w:line="22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Highly complex products such as the Company’s high-technology frequency, timing and synchronization products may contain defects when they are installed in its customers’ systems. If any of the Company’s products contain defects or have reliability, quality or compatibility problems, its reputation may be damaged and customers may be reluctant to buy its products. In addition, these defects could interrupt or delay sales. The Company may have to invest significant capital and other resources to alleviate these problems. If any problem remains undiscovered until after the Company has commenced production of a new product, it may be required to incur additional development costs and product recall, repair or replacement costs. These problems may also result in claims against the Company by its customers or others. In addition, these problems may divert the Company’s technical and other resources from other development efforts.</w:t>
      </w:r>
    </w:p>
    <w:p>
      <w:pPr>
        <w:spacing w:after="0" w:line="23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If the Company fails to manage its operations effectively, its business could suffer.</w:t>
      </w:r>
    </w:p>
    <w:p>
      <w:pPr>
        <w:spacing w:after="0" w:line="28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Company’s ability to offer products and implement its business plan successfully in a rapidly evolving market requires effective planning and management. Failure by the Company’s management or personnel to properly allocate resources to meet its current and existing needs as well as unforeseen complications and inefficiencies in planning its operations can adversely impact the morale of the Company’s personnel and lead to further complications and operational inefficiencies. If this were to occur, the Company’s profitability or financial position could be negatively impacted and its operating results could suffer.</w:t>
      </w:r>
    </w:p>
    <w:p>
      <w:pPr>
        <w:spacing w:after="0" w:line="23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Claims that the Company infringed third-party intellectual property rights could result in significant expenses or restrictions on its ability to sell its products.</w:t>
      </w:r>
    </w:p>
    <w:p>
      <w:pPr>
        <w:spacing w:after="0" w:line="22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Although the Company’s industry is not characterized by frequent claims or litigation regarding patent rights, the Company cannot be certain that its products do not or will not infringe issued patents or the intellectual property rights of others. Historically, patent applications in the United States of America have not been publicly disclosed until the patent is issued, and the Company may not be aware of filed patent applications that relate to its products or technology. If patents are later issued in connection with these applications, the Company may be liable for infringement. Periodically, other parties, including some of the Company’s competitors, may assert patent, copyright and other rights to technologies in various jurisdictions that are important to its business. Any claims asserting that the Company’s products infringe or may infringe the rights of third parties, including claims arising through its contractual indemnification of its customers, regardless of their merit or resolution, would likely be costly and time-consuming, divert the efforts of the Company’s technical and management personnel, cause product shipment delays or require the Company to enter into royalty or licensing agreements. Royalty or licensing agreements, if required, may not be available on terms acceptable to the Company, or at all.</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031" w:gutter="0" w:footer="0" w:header="0"/>
        </w:sectPr>
      </w:pPr>
    </w:p>
    <w:bookmarkStart w:id="17" w:name="page18"/>
    <w:bookmarkEnd w:id="17"/>
    <w:p>
      <w:pPr>
        <w:jc w:val="both"/>
        <w:ind w:firstLine="324"/>
        <w:spacing w:after="0" w:line="272" w:lineRule="auto"/>
        <w:rPr>
          <w:sz w:val="20"/>
          <w:szCs w:val="20"/>
          <w:color w:val="auto"/>
        </w:rPr>
      </w:pPr>
      <w:r>
        <w:rPr>
          <w:rFonts w:ascii="Arial" w:cs="Arial" w:eastAsia="Arial" w:hAnsi="Arial"/>
          <w:sz w:val="17"/>
          <w:szCs w:val="17"/>
          <w:color w:val="auto"/>
        </w:rPr>
        <w:t>At present, the Company does not believe that its products infringe any other party’s intellectual property rights in any way that would have a material adverse effect on the Company’s operations. However, if any material claims do arise and if these claims cannot be resolved through a license or similar arrangement, the Company could become a party to litigation. The results of any litigation are inherently uncertain. In the event of an adverse result in any litigation with third parties that could arise in the future, the Company could be required to pay substantial damages, including treble damages if it is held to have willfully infringed, to cease the manufacture, use and sale of infringing products, to expend significant resources to develop non-infringing technology, or to obtain licenses to the infringing technology. In addition, lawsuits, regardless of their success, would likely be time consuming and expensive to resolve and would divert management time and attention from the Company’s business.</w:t>
      </w:r>
    </w:p>
    <w:p>
      <w:pPr>
        <w:spacing w:after="0" w:line="22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Any failure to protect the Company’s intellectual property adequately may significantly harm its business.</w:t>
      </w:r>
    </w:p>
    <w:p>
      <w:pPr>
        <w:spacing w:after="0" w:line="28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Company protects its proprietary processes, software, know-how and other intellectual property and related rights through copyrights, patents, trademarks and the maintenance of trade secrets, including entering into confidentiality agreements. The Company’s success and ability to compete depends in part on its proprietary technology. However, the Company cannot provide any assurance that other companies will not develop technologies that are similar to its technology. Although the Company has patent applications pending, patents may not issue as a result of these or other patent applications. Any patents that ultimately issue may be successfully challenged or invalidated, or may not provide the Company with a significant competitive advantage. Despite the Company’s efforts to protect its intellectual property rights, existing laws in the United States of America and in differing international jurisdictions and its contractual arrangements provide only limited protection. Unauthorized parties may attempt to copy or otherwise obtain and use the Company’s products or technology. Third parties may breach confidentiality agreements or other protective contracts with the Company and it may not be able to enforce its rights in the event of these breaches.</w:t>
      </w:r>
    </w:p>
    <w:p>
      <w:pPr>
        <w:spacing w:after="0" w:line="23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Monitoring unauthorized use of the Company’s products is difficult and may be expensive, and the Company cannot be certain that the steps it has taken will prevent unauthorized use of its intellectual property, particularly in foreign countries where the laws may not protect the Company’s proprietary rights as fully as in the United States of America. The Company may be required to spend significant resources to protect its intellectual property rights, including pursuing remedies in court. Frequency Electronics may become involved in legal proceedings against other parties, which may also cause other parties to assert claims against it. In the future the Company may not be able to detect infringements and may lose its competitive position in its markets before it does so. In addition, competitors may design around the Company’s technologies or develop competing technologies. The laws of other countries in which the Company markets its products might offer little or no effective protection of its proprietary technology. Reverse engineering, unauthorized copying or other misappropriation of the Company’s proprietary technology could enable third parties to benefit from its technology without payment, which could significantly harm the Company’s business. The Company’s failure to enforce and protect its intellectual property rights or any adverse change in the laws protecting intellectual property rights could harm its business. Furthermore, the Company may become involved in legal proceedings against other parties, which may also cause other parties to assert claims against it.</w:t>
      </w:r>
    </w:p>
    <w:p>
      <w:pPr>
        <w:spacing w:after="0" w:line="233"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Future sales of substantial amounts of the Company’s common stock by it or by its existing stockholders could cause the Company’s stock price to fall.</w:t>
      </w:r>
    </w:p>
    <w:p>
      <w:pPr>
        <w:spacing w:after="0" w:line="22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Additional equity financings or other share issuances by the Company could adversely affect the market price of its Common Stock. Sales by existing stockholders of a large number of shares of Frequency Electronics’ Common Stock in the public trading market (or in private transactions) such as offerings by Selling Stockholders under the Form S-8 filed in February 2007, or the perception that such additional sales could occur, could cause the market price of the Company’s common stock to drop.</w:t>
      </w:r>
    </w:p>
    <w:p>
      <w:pPr>
        <w:spacing w:after="0" w:line="237"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Some of the Company’s revenue is generated from a limited number of key customers and the loss of a key customer could substantially reduce its revenues.</w:t>
      </w:r>
    </w:p>
    <w:p>
      <w:pPr>
        <w:spacing w:after="0" w:line="22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A large portion of the Company’s sales are generated from a small number of key customers at each of the Company’s segments, including, without limitation, three customers of the FEI-NY segment, Space Systems/Loral, Lucent Technologies and Motorola Corp., which together accounted for 43% of consolidated sales for fiscal 2007. In fiscal year 2007, France Telecom and Belgacom were significant customers of the Company’s Gillam-FEI segment; and Computer Sciences Corporation and SI International were significant customers of the FEI-Zyfer segment. The Company’s top 10 customers accounted for 69% of its consolidated sales for fiscal year 2007. The Company expects that its top 10 customers in the aggregate will continue to account for a large portion of its consolidated sales in the foreseeable future, and the loss of one or more of these customers would materially harm the Company’s business and operating results. The loss of a key customer could also be perceived as a loss of momentum in the Company’s business and an adverse impact on its financial results, and this may cause the market price of the Company’s common stock to fall.</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18" w:name="page19"/>
    <w:bookmarkEnd w:id="18"/>
    <w:p>
      <w:pPr>
        <w:ind w:left="340"/>
        <w:spacing w:after="0"/>
        <w:rPr>
          <w:sz w:val="20"/>
          <w:szCs w:val="20"/>
          <w:color w:val="auto"/>
        </w:rPr>
      </w:pPr>
      <w:r>
        <w:rPr>
          <w:rFonts w:ascii="Arial" w:cs="Arial" w:eastAsia="Arial" w:hAnsi="Arial"/>
          <w:sz w:val="18"/>
          <w:szCs w:val="18"/>
          <w:b w:val="1"/>
          <w:bCs w:val="1"/>
          <w:color w:val="auto"/>
        </w:rPr>
        <w:t>The Company is subject to anti-takeover provisions that could delay or prevent an acquisition of the Company</w:t>
      </w:r>
    </w:p>
    <w:p>
      <w:pPr>
        <w:spacing w:after="0" w:line="283"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Company is subject to the anti-takeover provisions of the Delaware General Corporation Law, which could have the effect of delaying or preventing a change of control of Frequency Electronics. These factors could materially adversely affect the price of the Company’s common stock.</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Unresolved Staff Comments</w:t>
      </w:r>
    </w:p>
    <w:p>
      <w:pPr>
        <w:spacing w:after="0" w:line="2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 Properties</w:t>
      </w:r>
    </w:p>
    <w:p>
      <w:pPr>
        <w:spacing w:after="0" w:line="27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 operates out of several facilities located around the world. Each facility is used for manufacturing its products and for administrative activities. The following table presents the location, size and terms of ownership/occupation:</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Borders>
              <w:bottom w:val="single" w:sz="8" w:color="auto"/>
            </w:tcBorders>
          </w:tcPr>
          <w:p>
            <w:pPr>
              <w:ind w:left="3740"/>
              <w:spacing w:after="0"/>
              <w:rPr>
                <w:sz w:val="20"/>
                <w:szCs w:val="20"/>
                <w:color w:val="auto"/>
              </w:rPr>
            </w:pPr>
            <w:r>
              <w:rPr>
                <w:rFonts w:ascii="Arial" w:cs="Arial" w:eastAsia="Arial" w:hAnsi="Arial"/>
                <w:sz w:val="18"/>
                <w:szCs w:val="18"/>
                <w:color w:val="auto"/>
              </w:rPr>
              <w:t>Location</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Size (sq. ft.)</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Own or Lease</w:t>
            </w:r>
          </w:p>
        </w:tc>
        <w:tc>
          <w:tcPr>
            <w:tcW w:w="100" w:type="dxa"/>
            <w:vAlign w:val="bottom"/>
          </w:tcPr>
          <w:p>
            <w:pPr>
              <w:spacing w:after="0"/>
              <w:rPr>
                <w:sz w:val="20"/>
                <w:szCs w:val="20"/>
                <w:color w:val="auto"/>
              </w:rPr>
            </w:pPr>
          </w:p>
        </w:tc>
      </w:tr>
      <w:tr>
        <w:trPr>
          <w:trHeight w:val="237"/>
        </w:trPr>
        <w:tc>
          <w:tcPr>
            <w:tcW w:w="8120" w:type="dxa"/>
            <w:vAlign w:val="bottom"/>
            <w:shd w:val="clear" w:color="auto" w:fill="CCFFCC"/>
          </w:tcPr>
          <w:p>
            <w:pPr>
              <w:spacing w:after="0"/>
              <w:rPr>
                <w:sz w:val="20"/>
                <w:szCs w:val="20"/>
                <w:color w:val="auto"/>
              </w:rPr>
            </w:pPr>
            <w:r>
              <w:rPr>
                <w:rFonts w:ascii="Arial" w:cs="Arial" w:eastAsia="Arial" w:hAnsi="Arial"/>
                <w:sz w:val="18"/>
                <w:szCs w:val="18"/>
                <w:color w:val="auto"/>
              </w:rPr>
              <w:t>Long Island, NY</w:t>
            </w:r>
          </w:p>
        </w:tc>
        <w:tc>
          <w:tcPr>
            <w:tcW w:w="182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93,000</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Lease</w:t>
            </w:r>
          </w:p>
        </w:tc>
      </w:tr>
      <w:tr>
        <w:trPr>
          <w:trHeight w:val="243"/>
        </w:trPr>
        <w:tc>
          <w:tcPr>
            <w:tcW w:w="8120" w:type="dxa"/>
            <w:vAlign w:val="bottom"/>
          </w:tcPr>
          <w:p>
            <w:pPr>
              <w:spacing w:after="0"/>
              <w:rPr>
                <w:sz w:val="20"/>
                <w:szCs w:val="20"/>
                <w:color w:val="auto"/>
              </w:rPr>
            </w:pPr>
            <w:r>
              <w:rPr>
                <w:rFonts w:ascii="Arial" w:cs="Arial" w:eastAsia="Arial" w:hAnsi="Arial"/>
                <w:sz w:val="18"/>
                <w:szCs w:val="18"/>
                <w:color w:val="auto"/>
              </w:rPr>
              <w:t>Anaheim, CA</w:t>
            </w:r>
          </w:p>
        </w:tc>
        <w:tc>
          <w:tcPr>
            <w:tcW w:w="1820" w:type="dxa"/>
            <w:vAlign w:val="bottom"/>
            <w:gridSpan w:val="3"/>
          </w:tcPr>
          <w:p>
            <w:pPr>
              <w:jc w:val="right"/>
              <w:ind w:right="220"/>
              <w:spacing w:after="0"/>
              <w:rPr>
                <w:sz w:val="20"/>
                <w:szCs w:val="20"/>
                <w:color w:val="auto"/>
              </w:rPr>
            </w:pPr>
            <w:r>
              <w:rPr>
                <w:rFonts w:ascii="Arial" w:cs="Arial" w:eastAsia="Arial" w:hAnsi="Arial"/>
                <w:sz w:val="18"/>
                <w:szCs w:val="18"/>
                <w:color w:val="auto"/>
              </w:rPr>
              <w:t>20,885</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Lease</w:t>
            </w:r>
          </w:p>
        </w:tc>
      </w:tr>
      <w:tr>
        <w:trPr>
          <w:trHeight w:val="243"/>
        </w:trPr>
        <w:tc>
          <w:tcPr>
            <w:tcW w:w="8120" w:type="dxa"/>
            <w:vAlign w:val="bottom"/>
            <w:shd w:val="clear" w:color="auto" w:fill="CCFFCC"/>
          </w:tcPr>
          <w:p>
            <w:pPr>
              <w:spacing w:after="0"/>
              <w:rPr>
                <w:sz w:val="20"/>
                <w:szCs w:val="20"/>
                <w:color w:val="auto"/>
              </w:rPr>
            </w:pPr>
            <w:r>
              <w:rPr>
                <w:rFonts w:ascii="Arial" w:cs="Arial" w:eastAsia="Arial" w:hAnsi="Arial"/>
                <w:sz w:val="18"/>
                <w:szCs w:val="18"/>
                <w:color w:val="auto"/>
              </w:rPr>
              <w:t>Liege, Belgium</w:t>
            </w:r>
          </w:p>
        </w:tc>
        <w:tc>
          <w:tcPr>
            <w:tcW w:w="182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34,000</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Own</w:t>
            </w:r>
          </w:p>
        </w:tc>
      </w:tr>
      <w:tr>
        <w:trPr>
          <w:trHeight w:val="243"/>
        </w:trPr>
        <w:tc>
          <w:tcPr>
            <w:tcW w:w="8120" w:type="dxa"/>
            <w:vAlign w:val="bottom"/>
          </w:tcPr>
          <w:p>
            <w:pPr>
              <w:spacing w:after="0"/>
              <w:rPr>
                <w:sz w:val="20"/>
                <w:szCs w:val="20"/>
                <w:color w:val="auto"/>
              </w:rPr>
            </w:pPr>
            <w:r>
              <w:rPr>
                <w:rFonts w:ascii="Arial" w:cs="Arial" w:eastAsia="Arial" w:hAnsi="Arial"/>
                <w:sz w:val="18"/>
                <w:szCs w:val="18"/>
                <w:color w:val="auto"/>
              </w:rPr>
              <w:t>Chalon Sur Saone, France</w:t>
            </w:r>
          </w:p>
        </w:tc>
        <w:tc>
          <w:tcPr>
            <w:tcW w:w="1820" w:type="dxa"/>
            <w:vAlign w:val="bottom"/>
            <w:gridSpan w:val="3"/>
          </w:tcPr>
          <w:p>
            <w:pPr>
              <w:jc w:val="right"/>
              <w:ind w:right="220"/>
              <w:spacing w:after="0"/>
              <w:rPr>
                <w:sz w:val="20"/>
                <w:szCs w:val="20"/>
                <w:color w:val="auto"/>
              </w:rPr>
            </w:pPr>
            <w:r>
              <w:rPr>
                <w:rFonts w:ascii="Arial" w:cs="Arial" w:eastAsia="Arial" w:hAnsi="Arial"/>
                <w:sz w:val="18"/>
                <w:szCs w:val="18"/>
                <w:color w:val="auto"/>
              </w:rPr>
              <w:t>5,000</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Lease</w:t>
            </w:r>
          </w:p>
        </w:tc>
      </w:tr>
      <w:tr>
        <w:trPr>
          <w:trHeight w:val="243"/>
        </w:trPr>
        <w:tc>
          <w:tcPr>
            <w:tcW w:w="8120" w:type="dxa"/>
            <w:vAlign w:val="bottom"/>
            <w:shd w:val="clear" w:color="auto" w:fill="CCFFCC"/>
          </w:tcPr>
          <w:p>
            <w:pPr>
              <w:spacing w:after="0"/>
              <w:rPr>
                <w:sz w:val="20"/>
                <w:szCs w:val="20"/>
                <w:color w:val="auto"/>
              </w:rPr>
            </w:pPr>
            <w:r>
              <w:rPr>
                <w:rFonts w:ascii="Arial" w:cs="Arial" w:eastAsia="Arial" w:hAnsi="Arial"/>
                <w:sz w:val="18"/>
                <w:szCs w:val="18"/>
                <w:color w:val="auto"/>
              </w:rPr>
              <w:t>Tianjin, China</w:t>
            </w:r>
          </w:p>
        </w:tc>
        <w:tc>
          <w:tcPr>
            <w:tcW w:w="1820" w:type="dxa"/>
            <w:vAlign w:val="bottom"/>
            <w:gridSpan w:val="3"/>
            <w:shd w:val="clear" w:color="auto" w:fill="CCFFCC"/>
          </w:tcPr>
          <w:p>
            <w:pPr>
              <w:jc w:val="right"/>
              <w:ind w:right="220"/>
              <w:spacing w:after="0"/>
              <w:rPr>
                <w:sz w:val="20"/>
                <w:szCs w:val="20"/>
                <w:color w:val="auto"/>
              </w:rPr>
            </w:pPr>
            <w:r>
              <w:rPr>
                <w:rFonts w:ascii="Arial" w:cs="Arial" w:eastAsia="Arial" w:hAnsi="Arial"/>
                <w:sz w:val="18"/>
                <w:szCs w:val="18"/>
                <w:color w:val="auto"/>
              </w:rPr>
              <w:t>27,000</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Lease</w:t>
            </w:r>
          </w:p>
        </w:tc>
      </w:tr>
    </w:tbl>
    <w:p>
      <w:pPr>
        <w:spacing w:after="0" w:line="25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Company’s facility located in Mitchel Field, Long Island, New York, is part of the building that the Company constructed in 1981 and expanded in 1988 on land leased from Nassau County. In January 1998, the Company sold this building and the related land lease to Reckson Associates Realty Corp. (“Reckson”), leasing back the space that it presently occupies.</w:t>
      </w:r>
    </w:p>
    <w:p>
      <w:pPr>
        <w:spacing w:after="0" w:line="23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 leases its manufacturing and office space from Reckson under an 11-year lease at an annual rental of $400,000 per year with the Company paying its pro rata share of real estate taxes along with the costs of utilities and insurance. The lease provides for two 5-year renewal periods, exercisable at the option of the Company, with annual rentals of $600,000 during the first renewal period and $800,000 during the second renewal period. Subsequent to the end of fiscal year 2007, the Company notified Reckson that it would renew the lease for the first 5-year renewal period which will end in January 2014. The leased space is adequate to meet the Company’s domestic operational needs which encompass the principal operations of the FEI-NY segment and also serves as the Company’s world-wide corporate headquarters.</w:t>
      </w:r>
    </w:p>
    <w:p>
      <w:pPr>
        <w:spacing w:after="0" w:line="24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sale of its building to Reckson, a real estate investment trust (“REIT”) whose shares were then traded on the New York Stock Exchange, was effected through a tax-deferred exchange of the building for approximately 513,000 participation units of Reckson Operating Partnership, L.P. (“REIT units”) which were valued at closing at $12 million. In March 2005, the Company exercised its option to convert all of the REIT units into 513,000 shares of the REIT. Upon conversion of the REIT units, the Company recognized a gain of $4.6 million and deferred an additional $1.3 million gain. The deferred gain will be recognized into income over the remaining term of the initial leaseback period which ends in January 2009. (See Note 6 to the accompanying financial statements.)</w:t>
      </w:r>
    </w:p>
    <w:p>
      <w:pPr>
        <w:spacing w:after="0" w:line="247"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When the Company completed the acquisition of Gillam-FEI it also acquired the property located in Belgium as well as a manufacturing facility in France. During fiscal year 2006, the Company sold the French building at an appraised value of $975,000 and recognized a gain of approximately $680,000. The France sales office is now housed in a leased facility. These facilities are adequate to meet the present and future operational requirements of Gillam-FEI.</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19" w:name="page20"/>
    <w:bookmarkEnd w:id="19"/>
    <w:p>
      <w:pPr>
        <w:jc w:val="both"/>
        <w:ind w:firstLine="486"/>
        <w:spacing w:after="0" w:line="264" w:lineRule="auto"/>
        <w:rPr>
          <w:sz w:val="20"/>
          <w:szCs w:val="20"/>
          <w:color w:val="auto"/>
        </w:rPr>
      </w:pPr>
      <w:r>
        <w:rPr>
          <w:rFonts w:ascii="Arial" w:cs="Arial" w:eastAsia="Arial" w:hAnsi="Arial"/>
          <w:sz w:val="18"/>
          <w:szCs w:val="18"/>
          <w:color w:val="auto"/>
        </w:rPr>
        <w:t>The Tianjin, China facility is the location of the Company’s wholly-owned subsidiary, FEI-Asia. In late fiscal year 2005, the subsidiary acquired additional leased space within a manufacturing facility located in the Tianjin Free-Trade Zone. The lease is renewable annually with rent of $15,000 payable quarterly. The new facility is adequate for the near-term manufacturing expectations for the Company.</w:t>
      </w:r>
    </w:p>
    <w:p>
      <w:pPr>
        <w:spacing w:after="0" w:line="23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Anaheim, California facility is leased by the Company’s subsidiary, FEI-Zyfer, Inc. The facility consists of a combination office and manufacturing space. The lease, which expires in June 2007, requires monthly payments of $22,600. In July 2007, FEI-Zyfer expects to move into newly leased space encompassing 27,850 square feet. Monthly rental payments will be $23,700 for the first year and will increase each year over the 125 month lease term.</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Legal Proceedings</w:t>
      </w:r>
    </w:p>
    <w:p>
      <w:pPr>
        <w:spacing w:after="0" w:line="27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From time to time, the Company is a defendant in litigation arising out of the ordinary course of business. The Company is not a party to any material, pending legal proceeding other than routine litigation incidental to its business.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Submission of Matters to a Vote of Security Holders</w:t>
      </w:r>
    </w:p>
    <w:p>
      <w:pPr>
        <w:spacing w:after="0" w:line="2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 matters were required to be submitted by Registrant to a vote of security holders during the fourth quarter of fiscal year 2007.</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PART II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Market for Registrant's Common Equity, Related Stockholder Matters and Issuer Purchases of Equity Securities</w:t>
      </w:r>
    </w:p>
    <w:p>
      <w:pPr>
        <w:spacing w:after="0" w:line="27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Effective August 1, 2006, the Common Stock of the Company was listed on The Nasdaq Global Market (“NASDAQ”) under the ticker symbol “FEIM.” Prior to that date, the Company’s shares were traded on the American Stock Exchange under the symbol "FEI".</w:t>
      </w:r>
    </w:p>
    <w:p>
      <w:pPr>
        <w:spacing w:after="0" w:line="22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shows the high and low sale price for the Company's Common Stock for the quarters indicated, as reported by the American Stock Exchange through July 31, 2006 and on the NASDAQ from August 1, 2006 through April 30, 2007.</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20" w:type="dxa"/>
            <w:vAlign w:val="bottom"/>
          </w:tcPr>
          <w:p>
            <w:pPr>
              <w:spacing w:after="0"/>
              <w:rPr>
                <w:sz w:val="20"/>
                <w:szCs w:val="20"/>
                <w:color w:val="auto"/>
              </w:rPr>
            </w:pPr>
            <w:r>
              <w:rPr>
                <w:rFonts w:ascii="Arial" w:cs="Arial" w:eastAsia="Arial" w:hAnsi="Arial"/>
                <w:sz w:val="18"/>
                <w:szCs w:val="18"/>
                <w:color w:val="auto"/>
              </w:rPr>
              <w:t>FISCAL QUARTER</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color w:val="auto"/>
              </w:rPr>
              <w:t>HIGH SALE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color w:val="auto"/>
              </w:rPr>
              <w:t>LOW SALE</w:t>
            </w:r>
          </w:p>
        </w:tc>
      </w:tr>
      <w:tr>
        <w:trPr>
          <w:trHeight w:val="237"/>
        </w:trPr>
        <w:tc>
          <w:tcPr>
            <w:tcW w:w="812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2007 -</w:t>
            </w:r>
          </w:p>
        </w:tc>
        <w:tc>
          <w:tcPr>
            <w:tcW w:w="220" w:type="dxa"/>
            <w:vAlign w:val="bottom"/>
            <w:shd w:val="clear" w:color="auto" w:fill="CCFFCC"/>
          </w:tcPr>
          <w:p>
            <w:pPr>
              <w:spacing w:after="0"/>
              <w:rPr>
                <w:sz w:val="20"/>
                <w:szCs w:val="20"/>
                <w:color w:val="auto"/>
              </w:rPr>
            </w:pPr>
          </w:p>
        </w:tc>
        <w:tc>
          <w:tcPr>
            <w:tcW w:w="160" w:type="dxa"/>
            <w:vAlign w:val="bottom"/>
            <w:tcBorders>
              <w:top w:val="single" w:sz="8" w:color="auto"/>
            </w:tcBorders>
            <w:shd w:val="clear" w:color="auto" w:fill="CCFFCC"/>
          </w:tcPr>
          <w:p>
            <w:pPr>
              <w:spacing w:after="0"/>
              <w:rPr>
                <w:sz w:val="20"/>
                <w:szCs w:val="20"/>
                <w:color w:val="auto"/>
              </w:rPr>
            </w:pPr>
          </w:p>
        </w:tc>
        <w:tc>
          <w:tcPr>
            <w:tcW w:w="1220" w:type="dxa"/>
            <w:vAlign w:val="bottom"/>
            <w:tcBorders>
              <w:top w:val="single" w:sz="8" w:color="auto"/>
            </w:tcBorders>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60" w:type="dxa"/>
            <w:vAlign w:val="bottom"/>
            <w:tcBorders>
              <w:top w:val="single" w:sz="8" w:color="auto"/>
            </w:tcBorders>
            <w:shd w:val="clear" w:color="auto" w:fill="CCFFCC"/>
          </w:tcPr>
          <w:p>
            <w:pPr>
              <w:spacing w:after="0"/>
              <w:rPr>
                <w:sz w:val="20"/>
                <w:szCs w:val="20"/>
                <w:color w:val="auto"/>
              </w:rPr>
            </w:pPr>
          </w:p>
        </w:tc>
        <w:tc>
          <w:tcPr>
            <w:tcW w:w="122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8120" w:type="dxa"/>
            <w:vAlign w:val="bottom"/>
          </w:tcPr>
          <w:p>
            <w:pPr>
              <w:ind w:left="340"/>
              <w:spacing w:after="0"/>
              <w:rPr>
                <w:sz w:val="20"/>
                <w:szCs w:val="20"/>
                <w:color w:val="auto"/>
              </w:rPr>
            </w:pPr>
            <w:r>
              <w:rPr>
                <w:rFonts w:ascii="Arial" w:cs="Arial" w:eastAsia="Arial" w:hAnsi="Arial"/>
                <w:sz w:val="18"/>
                <w:szCs w:val="18"/>
                <w:color w:val="auto"/>
              </w:rPr>
              <w:t>FIRST QUARTER</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15.00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11.20</w:t>
            </w:r>
          </w:p>
        </w:tc>
      </w:tr>
      <w:tr>
        <w:trPr>
          <w:trHeight w:val="243"/>
        </w:trPr>
        <w:tc>
          <w:tcPr>
            <w:tcW w:w="8120" w:type="dxa"/>
            <w:vAlign w:val="bottom"/>
            <w:shd w:val="clear" w:color="auto" w:fill="CCFFCC"/>
          </w:tcPr>
          <w:p>
            <w:pPr>
              <w:ind w:left="340"/>
              <w:spacing w:after="0"/>
              <w:rPr>
                <w:sz w:val="20"/>
                <w:szCs w:val="20"/>
                <w:color w:val="auto"/>
              </w:rPr>
            </w:pPr>
            <w:r>
              <w:rPr>
                <w:rFonts w:ascii="Arial" w:cs="Arial" w:eastAsia="Arial" w:hAnsi="Arial"/>
                <w:sz w:val="18"/>
                <w:szCs w:val="18"/>
                <w:color w:val="auto"/>
              </w:rPr>
              <w:t>SECOND QUARTER</w:t>
            </w:r>
          </w:p>
        </w:tc>
        <w:tc>
          <w:tcPr>
            <w:tcW w:w="2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14.00</w:t>
            </w:r>
          </w:p>
        </w:tc>
        <w:tc>
          <w:tcPr>
            <w:tcW w:w="10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10.04</w:t>
            </w:r>
          </w:p>
        </w:tc>
      </w:tr>
      <w:tr>
        <w:trPr>
          <w:trHeight w:val="243"/>
        </w:trPr>
        <w:tc>
          <w:tcPr>
            <w:tcW w:w="8120" w:type="dxa"/>
            <w:vAlign w:val="bottom"/>
          </w:tcPr>
          <w:p>
            <w:pPr>
              <w:ind w:left="340"/>
              <w:spacing w:after="0"/>
              <w:rPr>
                <w:sz w:val="20"/>
                <w:szCs w:val="20"/>
                <w:color w:val="auto"/>
              </w:rPr>
            </w:pPr>
            <w:r>
              <w:rPr>
                <w:rFonts w:ascii="Arial" w:cs="Arial" w:eastAsia="Arial" w:hAnsi="Arial"/>
                <w:sz w:val="18"/>
                <w:szCs w:val="18"/>
                <w:color w:val="auto"/>
              </w:rPr>
              <w:t>THIRD QUARTER</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13.60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11.01</w:t>
            </w:r>
          </w:p>
        </w:tc>
      </w:tr>
      <w:tr>
        <w:trPr>
          <w:trHeight w:val="243"/>
        </w:trPr>
        <w:tc>
          <w:tcPr>
            <w:tcW w:w="8120" w:type="dxa"/>
            <w:vAlign w:val="bottom"/>
            <w:shd w:val="clear" w:color="auto" w:fill="CCFFCC"/>
          </w:tcPr>
          <w:p>
            <w:pPr>
              <w:ind w:left="340"/>
              <w:spacing w:after="0"/>
              <w:rPr>
                <w:sz w:val="20"/>
                <w:szCs w:val="20"/>
                <w:color w:val="auto"/>
              </w:rPr>
            </w:pPr>
            <w:r>
              <w:rPr>
                <w:rFonts w:ascii="Arial" w:cs="Arial" w:eastAsia="Arial" w:hAnsi="Arial"/>
                <w:sz w:val="18"/>
                <w:szCs w:val="18"/>
                <w:color w:val="auto"/>
              </w:rPr>
              <w:t>FOURTH QUARTER</w:t>
            </w:r>
          </w:p>
        </w:tc>
        <w:tc>
          <w:tcPr>
            <w:tcW w:w="2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12.47</w:t>
            </w:r>
          </w:p>
        </w:tc>
        <w:tc>
          <w:tcPr>
            <w:tcW w:w="10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9.86</w:t>
            </w:r>
          </w:p>
        </w:tc>
      </w:tr>
      <w:tr>
        <w:trPr>
          <w:trHeight w:val="243"/>
        </w:trPr>
        <w:tc>
          <w:tcPr>
            <w:tcW w:w="8120" w:type="dxa"/>
            <w:vAlign w:val="bottom"/>
          </w:tcPr>
          <w:p>
            <w:pPr>
              <w:spacing w:after="0"/>
              <w:rPr>
                <w:sz w:val="20"/>
                <w:szCs w:val="20"/>
                <w:color w:val="auto"/>
              </w:rPr>
            </w:pPr>
            <w:r>
              <w:rPr>
                <w:rFonts w:ascii="Arial" w:cs="Arial" w:eastAsia="Arial" w:hAnsi="Arial"/>
                <w:sz w:val="18"/>
                <w:szCs w:val="18"/>
                <w:color w:val="auto"/>
              </w:rPr>
              <w:t>2006 -</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120" w:type="dxa"/>
            <w:vAlign w:val="bottom"/>
            <w:shd w:val="clear" w:color="auto" w:fill="CCFFCC"/>
          </w:tcPr>
          <w:p>
            <w:pPr>
              <w:ind w:left="340"/>
              <w:spacing w:after="0"/>
              <w:rPr>
                <w:sz w:val="20"/>
                <w:szCs w:val="20"/>
                <w:color w:val="auto"/>
              </w:rPr>
            </w:pPr>
            <w:r>
              <w:rPr>
                <w:rFonts w:ascii="Arial" w:cs="Arial" w:eastAsia="Arial" w:hAnsi="Arial"/>
                <w:sz w:val="18"/>
                <w:szCs w:val="18"/>
                <w:color w:val="auto"/>
              </w:rPr>
              <w:t>FIRST QUARTER</w:t>
            </w:r>
          </w:p>
        </w:tc>
        <w:tc>
          <w:tcPr>
            <w:tcW w:w="3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13.75</w:t>
            </w:r>
          </w:p>
        </w:tc>
        <w:tc>
          <w:tcPr>
            <w:tcW w:w="2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10.56</w:t>
            </w:r>
          </w:p>
        </w:tc>
      </w:tr>
      <w:tr>
        <w:trPr>
          <w:trHeight w:val="243"/>
        </w:trPr>
        <w:tc>
          <w:tcPr>
            <w:tcW w:w="8120" w:type="dxa"/>
            <w:vAlign w:val="bottom"/>
          </w:tcPr>
          <w:p>
            <w:pPr>
              <w:ind w:left="340"/>
              <w:spacing w:after="0"/>
              <w:rPr>
                <w:sz w:val="20"/>
                <w:szCs w:val="20"/>
                <w:color w:val="auto"/>
              </w:rPr>
            </w:pPr>
            <w:r>
              <w:rPr>
                <w:rFonts w:ascii="Arial" w:cs="Arial" w:eastAsia="Arial" w:hAnsi="Arial"/>
                <w:sz w:val="18"/>
                <w:szCs w:val="18"/>
                <w:color w:val="auto"/>
              </w:rPr>
              <w:t>SECOND QUARTER</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12.95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10.14</w:t>
            </w:r>
          </w:p>
        </w:tc>
      </w:tr>
      <w:tr>
        <w:trPr>
          <w:trHeight w:val="243"/>
        </w:trPr>
        <w:tc>
          <w:tcPr>
            <w:tcW w:w="8120" w:type="dxa"/>
            <w:vAlign w:val="bottom"/>
            <w:shd w:val="clear" w:color="auto" w:fill="CCFFCC"/>
          </w:tcPr>
          <w:p>
            <w:pPr>
              <w:ind w:left="340"/>
              <w:spacing w:after="0"/>
              <w:rPr>
                <w:sz w:val="20"/>
                <w:szCs w:val="20"/>
                <w:color w:val="auto"/>
              </w:rPr>
            </w:pPr>
            <w:r>
              <w:rPr>
                <w:rFonts w:ascii="Arial" w:cs="Arial" w:eastAsia="Arial" w:hAnsi="Arial"/>
                <w:sz w:val="18"/>
                <w:szCs w:val="18"/>
                <w:color w:val="auto"/>
              </w:rPr>
              <w:t>THIRD QUARTER</w:t>
            </w:r>
          </w:p>
        </w:tc>
        <w:tc>
          <w:tcPr>
            <w:tcW w:w="2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3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12.60</w:t>
            </w:r>
          </w:p>
        </w:tc>
        <w:tc>
          <w:tcPr>
            <w:tcW w:w="10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9.90</w:t>
            </w:r>
          </w:p>
        </w:tc>
      </w:tr>
      <w:tr>
        <w:trPr>
          <w:trHeight w:val="243"/>
        </w:trPr>
        <w:tc>
          <w:tcPr>
            <w:tcW w:w="8120" w:type="dxa"/>
            <w:vAlign w:val="bottom"/>
          </w:tcPr>
          <w:p>
            <w:pPr>
              <w:ind w:left="340"/>
              <w:spacing w:after="0"/>
              <w:rPr>
                <w:sz w:val="20"/>
                <w:szCs w:val="20"/>
                <w:color w:val="auto"/>
              </w:rPr>
            </w:pPr>
            <w:r>
              <w:rPr>
                <w:rFonts w:ascii="Arial" w:cs="Arial" w:eastAsia="Arial" w:hAnsi="Arial"/>
                <w:sz w:val="18"/>
                <w:szCs w:val="18"/>
                <w:color w:val="auto"/>
              </w:rPr>
              <w:t>FOURTH QUARTER</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14.35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11.00</w:t>
            </w:r>
          </w:p>
        </w:tc>
      </w:tr>
    </w:tbl>
    <w:p>
      <w:pPr>
        <w:spacing w:after="0" w:line="25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As of July 23, 2007, the approximate number of holders of record of common stock was 600. The closing share price of the Company’s stock on April 30, 2007 was $10.83. The closing share price of the Company’s stock on July 23, 2007 was $11.11.</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auto"/>
        </w:rPr>
        <w:t>PERFORMANCE GRAPH</w:t>
      </w:r>
    </w:p>
    <w:p>
      <w:pPr>
        <w:spacing w:after="0" w:line="279"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The following graph compares the cumulative total shareholder return on the Common Stock of the Company with the cumulative total return of the companies listed in the Standards &amp; Poors' Small Cap 600 Stock Index (the "S&amp;P 600 Small Cap Index") and an industry peer group index (the "New Peer Group Index"). The New Peer Group Index includes all of the same companies that were included in the “Old Peer Group” except for Scientific Atlanta, Inc., which was acquired by another company, and includes four additional peer companies: ComDev International, Ltd., Endwave Corporation, Giga-Tronics, Inc. and Herley Industries, Inc. For this fiscal year, the performance graph includes values for the Old Peer Group as well. The graph assumes that $100 was invested on May 1, 2002 in each of the Common Stock of the Company, the stock of the companies comprising the S&amp;P 600 Small Cap Index and the common stock of the companies comprising the Old and New Peer Group Indices, including the reinvestment of dividends, through April 30, 2007. The New Peer Group Index consists of Aeroflex Inc., Anaren Inc., Ball Corp., *ComDev International, Ltd., Comtech Telecommunications Corp., EDO Corp., *Endwave Corporation, *Giga-Tronics, Inc., *Herley Industries, Inc., Iteris Holdings, Inc., Merrimac Industries, Inc., , Skyworks Solutions, Inc., Symmetricom Inc. and Trimble Navigation, Ltd. (“*” indicates new member of Peer Group.)</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Cumulative Total Shareholder Return 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Five-year Period Ended April 30,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177165</wp:posOffset>
            </wp:positionV>
            <wp:extent cx="4373880" cy="2710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373880" cy="2710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60" w:type="dxa"/>
            <w:vAlign w:val="bottom"/>
            <w:gridSpan w:val="9"/>
          </w:tcPr>
          <w:p>
            <w:pPr>
              <w:jc w:val="right"/>
              <w:ind w:right="740"/>
              <w:spacing w:after="0"/>
              <w:rPr>
                <w:sz w:val="20"/>
                <w:szCs w:val="20"/>
                <w:color w:val="auto"/>
              </w:rPr>
            </w:pPr>
            <w:r>
              <w:rPr>
                <w:rFonts w:ascii="Arial" w:cs="Arial" w:eastAsia="Arial" w:hAnsi="Arial"/>
                <w:sz w:val="18"/>
                <w:szCs w:val="18"/>
                <w:b w:val="1"/>
                <w:bCs w:val="1"/>
                <w:color w:val="auto"/>
              </w:rPr>
              <w:t>Performance Graph Data Table:</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13"/>
        </w:trPr>
        <w:tc>
          <w:tcPr>
            <w:tcW w:w="39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2002</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2003</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2004</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2005</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2006</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4"/>
                <w:szCs w:val="24"/>
                <w:color w:val="auto"/>
              </w:rPr>
            </w:pPr>
          </w:p>
        </w:tc>
      </w:tr>
      <w:tr>
        <w:trPr>
          <w:trHeight w:val="237"/>
        </w:trPr>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Frequency Electronics</w:t>
            </w: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100.00</w:t>
            </w: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81.13</w:t>
            </w:r>
          </w:p>
        </w:tc>
        <w:tc>
          <w:tcPr>
            <w:tcW w:w="2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111.07</w:t>
            </w: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95.33</w:t>
            </w: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FFCC"/>
          </w:tcPr>
          <w:p>
            <w:pPr>
              <w:ind w:left="400"/>
              <w:spacing w:after="0"/>
              <w:rPr>
                <w:sz w:val="20"/>
                <w:szCs w:val="20"/>
                <w:color w:val="auto"/>
              </w:rPr>
            </w:pPr>
            <w:r>
              <w:rPr>
                <w:rFonts w:ascii="Arial" w:cs="Arial" w:eastAsia="Arial" w:hAnsi="Arial"/>
                <w:sz w:val="18"/>
                <w:szCs w:val="18"/>
                <w:color w:val="auto"/>
                <w:w w:val="83"/>
              </w:rPr>
              <w:t>116.93</w:t>
            </w:r>
          </w:p>
        </w:tc>
        <w:tc>
          <w:tcPr>
            <w:tcW w:w="60" w:type="dxa"/>
            <w:vAlign w:val="bottom"/>
            <w:shd w:val="clear" w:color="auto" w:fill="CCFFCC"/>
          </w:tcPr>
          <w:p>
            <w:pPr>
              <w:spacing w:after="0"/>
              <w:rPr>
                <w:sz w:val="20"/>
                <w:szCs w:val="20"/>
                <w:color w:val="auto"/>
              </w:rPr>
            </w:pPr>
          </w:p>
        </w:tc>
        <w:tc>
          <w:tcPr>
            <w:tcW w:w="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92.12</w:t>
            </w: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S&amp;P 600 Small Cap</w:t>
            </w:r>
          </w:p>
        </w:tc>
        <w:tc>
          <w:tcPr>
            <w:tcW w:w="24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100.00</w:t>
            </w:r>
          </w:p>
        </w:tc>
        <w:tc>
          <w:tcPr>
            <w:tcW w:w="24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79.05</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110.63</w:t>
            </w:r>
          </w:p>
        </w:tc>
        <w:tc>
          <w:tcPr>
            <w:tcW w:w="24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122.17</w:t>
            </w:r>
          </w:p>
        </w:tc>
        <w:tc>
          <w:tcPr>
            <w:tcW w:w="240" w:type="dxa"/>
            <w:vAlign w:val="bottom"/>
          </w:tcPr>
          <w:p>
            <w:pPr>
              <w:spacing w:after="0"/>
              <w:rPr>
                <w:sz w:val="21"/>
                <w:szCs w:val="21"/>
                <w:color w:val="auto"/>
              </w:rPr>
            </w:pPr>
          </w:p>
        </w:tc>
        <w:tc>
          <w:tcPr>
            <w:tcW w:w="940" w:type="dxa"/>
            <w:vAlign w:val="bottom"/>
            <w:gridSpan w:val="2"/>
          </w:tcPr>
          <w:p>
            <w:pPr>
              <w:ind w:left="400"/>
              <w:spacing w:after="0"/>
              <w:rPr>
                <w:sz w:val="20"/>
                <w:szCs w:val="20"/>
                <w:color w:val="auto"/>
              </w:rPr>
            </w:pPr>
            <w:r>
              <w:rPr>
                <w:rFonts w:ascii="Arial" w:cs="Arial" w:eastAsia="Arial" w:hAnsi="Arial"/>
                <w:sz w:val="18"/>
                <w:szCs w:val="18"/>
                <w:color w:val="auto"/>
                <w:w w:val="94"/>
              </w:rPr>
              <w:t>160.52</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172.80</w:t>
            </w:r>
          </w:p>
        </w:tc>
      </w:tr>
      <w:tr>
        <w:trPr>
          <w:trHeight w:val="243"/>
        </w:trPr>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New Peer Group</w:t>
            </w:r>
          </w:p>
        </w:tc>
        <w:tc>
          <w:tcPr>
            <w:tcW w:w="240" w:type="dxa"/>
            <w:vAlign w:val="bottom"/>
            <w:shd w:val="clear" w:color="auto" w:fill="CCFFCC"/>
          </w:tcPr>
          <w:p>
            <w:pPr>
              <w:spacing w:after="0"/>
              <w:rPr>
                <w:sz w:val="21"/>
                <w:szCs w:val="21"/>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100.00</w:t>
            </w:r>
          </w:p>
        </w:tc>
        <w:tc>
          <w:tcPr>
            <w:tcW w:w="240" w:type="dxa"/>
            <w:vAlign w:val="bottom"/>
            <w:shd w:val="clear" w:color="auto" w:fill="CCFFCC"/>
          </w:tcPr>
          <w:p>
            <w:pPr>
              <w:spacing w:after="0"/>
              <w:rPr>
                <w:sz w:val="21"/>
                <w:szCs w:val="21"/>
                <w:color w:val="auto"/>
              </w:rPr>
            </w:pPr>
          </w:p>
        </w:tc>
        <w:tc>
          <w:tcPr>
            <w:tcW w:w="9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90.20</w:t>
            </w:r>
          </w:p>
        </w:tc>
        <w:tc>
          <w:tcPr>
            <w:tcW w:w="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127.68</w:t>
            </w:r>
          </w:p>
        </w:tc>
        <w:tc>
          <w:tcPr>
            <w:tcW w:w="240" w:type="dxa"/>
            <w:vAlign w:val="bottom"/>
            <w:shd w:val="clear" w:color="auto" w:fill="CCFFCC"/>
          </w:tcPr>
          <w:p>
            <w:pPr>
              <w:spacing w:after="0"/>
              <w:rPr>
                <w:sz w:val="21"/>
                <w:szCs w:val="21"/>
                <w:color w:val="auto"/>
              </w:rPr>
            </w:pPr>
          </w:p>
        </w:tc>
        <w:tc>
          <w:tcPr>
            <w:tcW w:w="10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145.32</w:t>
            </w:r>
          </w:p>
        </w:tc>
        <w:tc>
          <w:tcPr>
            <w:tcW w:w="240" w:type="dxa"/>
            <w:vAlign w:val="bottom"/>
            <w:shd w:val="clear" w:color="auto" w:fill="CCFFCC"/>
          </w:tcPr>
          <w:p>
            <w:pPr>
              <w:spacing w:after="0"/>
              <w:rPr>
                <w:sz w:val="21"/>
                <w:szCs w:val="21"/>
                <w:color w:val="auto"/>
              </w:rPr>
            </w:pPr>
          </w:p>
        </w:tc>
        <w:tc>
          <w:tcPr>
            <w:tcW w:w="940" w:type="dxa"/>
            <w:vAlign w:val="bottom"/>
            <w:gridSpan w:val="2"/>
            <w:shd w:val="clear" w:color="auto" w:fill="CCFFCC"/>
          </w:tcPr>
          <w:p>
            <w:pPr>
              <w:ind w:left="400"/>
              <w:spacing w:after="0"/>
              <w:rPr>
                <w:sz w:val="20"/>
                <w:szCs w:val="20"/>
                <w:color w:val="auto"/>
              </w:rPr>
            </w:pPr>
            <w:r>
              <w:rPr>
                <w:rFonts w:ascii="Arial" w:cs="Arial" w:eastAsia="Arial" w:hAnsi="Arial"/>
                <w:sz w:val="18"/>
                <w:szCs w:val="18"/>
                <w:color w:val="auto"/>
                <w:w w:val="94"/>
              </w:rPr>
              <w:t>164.03</w:t>
            </w:r>
          </w:p>
        </w:tc>
        <w:tc>
          <w:tcPr>
            <w:tcW w:w="6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190.62</w:t>
            </w: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Old Peer Group</w:t>
            </w:r>
          </w:p>
        </w:tc>
        <w:tc>
          <w:tcPr>
            <w:tcW w:w="24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100.00</w:t>
            </w:r>
          </w:p>
        </w:tc>
        <w:tc>
          <w:tcPr>
            <w:tcW w:w="240" w:type="dxa"/>
            <w:vAlign w:val="bottom"/>
          </w:tcPr>
          <w:p>
            <w:pPr>
              <w:spacing w:after="0"/>
              <w:rPr>
                <w:sz w:val="21"/>
                <w:szCs w:val="21"/>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91.80</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128.82</w:t>
            </w:r>
          </w:p>
        </w:tc>
        <w:tc>
          <w:tcPr>
            <w:tcW w:w="24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145.17</w:t>
            </w:r>
          </w:p>
        </w:tc>
        <w:tc>
          <w:tcPr>
            <w:tcW w:w="240" w:type="dxa"/>
            <w:vAlign w:val="bottom"/>
          </w:tcPr>
          <w:p>
            <w:pPr>
              <w:spacing w:after="0"/>
              <w:rPr>
                <w:sz w:val="21"/>
                <w:szCs w:val="21"/>
                <w:color w:val="auto"/>
              </w:rPr>
            </w:pPr>
          </w:p>
        </w:tc>
        <w:tc>
          <w:tcPr>
            <w:tcW w:w="940" w:type="dxa"/>
            <w:vAlign w:val="bottom"/>
            <w:gridSpan w:val="2"/>
          </w:tcPr>
          <w:p>
            <w:pPr>
              <w:ind w:left="400"/>
              <w:spacing w:after="0"/>
              <w:rPr>
                <w:sz w:val="20"/>
                <w:szCs w:val="20"/>
                <w:color w:val="auto"/>
              </w:rPr>
            </w:pPr>
            <w:r>
              <w:rPr>
                <w:rFonts w:ascii="Arial" w:cs="Arial" w:eastAsia="Arial" w:hAnsi="Arial"/>
                <w:sz w:val="18"/>
                <w:szCs w:val="18"/>
                <w:color w:val="auto"/>
                <w:w w:val="94"/>
              </w:rPr>
              <w:t>164.95</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195.48</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 POLICY</w:t>
      </w:r>
    </w:p>
    <w:p>
      <w:pPr>
        <w:spacing w:after="0" w:line="27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Since 1997, the Company has adhered to a policy of distributing a semi-annual cash dividend to its shareholders. The Board of Directors will determine dividend amounts prior to each declaration based on the Company’s financial condition and financial performance. For fiscal years 2007 and 2006, the Company declared semi-annual cash dividends of $0.10 per share of common stock to shareholders of record as of April 30 and October 31, payable on June 1 and December 1, of the respective fiscal year.</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auto"/>
        </w:rPr>
        <w:t>STOCK BUYBACK PROGRAM</w:t>
      </w:r>
    </w:p>
    <w:p>
      <w:pPr>
        <w:spacing w:after="0" w:line="279"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In March 2005, the Company’s Board of Directors authorized a stock repurchase program for up to $5 million of the Company’s outstanding common stock. Shares may be purchased in open market purchases, private transactions or otherwise at such times and from time to time, and at such prices and in such amounts as the Company believes appropriate and in the best interests of its shareholders. The timing and volume of repurchases will vary depending on market conditions and other factors. Purchases may be commenced or suspended at any time without notice. During fiscal year 2005, the Company repurchased 6,300 shares under the buyback program, paying an average of $10.38 per share. No shares were repurchased during fiscal years 2007 and 2006.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COMPENSATION PLAN INFORMATION</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2"/>
          </w:tcPr>
          <w:p>
            <w:pPr>
              <w:jc w:val="center"/>
              <w:spacing w:after="0"/>
              <w:rPr>
                <w:sz w:val="20"/>
                <w:szCs w:val="20"/>
                <w:color w:val="auto"/>
              </w:rPr>
            </w:pPr>
            <w:r>
              <w:rPr>
                <w:rFonts w:ascii="Arial" w:cs="Arial" w:eastAsia="Arial" w:hAnsi="Arial"/>
                <w:sz w:val="18"/>
                <w:szCs w:val="18"/>
                <w:color w:val="auto"/>
                <w:w w:val="91"/>
              </w:rPr>
              <w:t>Number of Securities</w:t>
            </w:r>
          </w:p>
        </w:tc>
      </w:tr>
      <w:tr>
        <w:trPr>
          <w:trHeight w:val="216"/>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00" w:type="dxa"/>
            <w:vAlign w:val="bottom"/>
            <w:gridSpan w:val="2"/>
          </w:tcPr>
          <w:p>
            <w:pPr>
              <w:jc w:val="center"/>
              <w:spacing w:after="0"/>
              <w:rPr>
                <w:sz w:val="20"/>
                <w:szCs w:val="20"/>
                <w:color w:val="auto"/>
              </w:rPr>
            </w:pPr>
            <w:r>
              <w:rPr>
                <w:rFonts w:ascii="Arial" w:cs="Arial" w:eastAsia="Arial" w:hAnsi="Arial"/>
                <w:sz w:val="18"/>
                <w:szCs w:val="18"/>
                <w:color w:val="auto"/>
                <w:w w:val="92"/>
              </w:rPr>
              <w:t>Remaining available for</w:t>
            </w:r>
          </w:p>
        </w:tc>
      </w:tr>
      <w:tr>
        <w:trPr>
          <w:trHeight w:val="216"/>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Number of Securities to</w:t>
            </w:r>
          </w:p>
        </w:tc>
        <w:tc>
          <w:tcPr>
            <w:tcW w:w="300" w:type="dxa"/>
            <w:vAlign w:val="bottom"/>
          </w:tcPr>
          <w:p>
            <w:pPr>
              <w:spacing w:after="0"/>
              <w:rPr>
                <w:sz w:val="18"/>
                <w:szCs w:val="18"/>
                <w:color w:val="auto"/>
              </w:rPr>
            </w:pPr>
          </w:p>
        </w:tc>
        <w:tc>
          <w:tcPr>
            <w:tcW w:w="2300" w:type="dxa"/>
            <w:vAlign w:val="bottom"/>
            <w:gridSpan w:val="2"/>
          </w:tcPr>
          <w:p>
            <w:pPr>
              <w:jc w:val="center"/>
              <w:ind w:right="400"/>
              <w:spacing w:after="0"/>
              <w:rPr>
                <w:sz w:val="20"/>
                <w:szCs w:val="20"/>
                <w:color w:val="auto"/>
              </w:rPr>
            </w:pPr>
            <w:r>
              <w:rPr>
                <w:rFonts w:ascii="Arial" w:cs="Arial" w:eastAsia="Arial" w:hAnsi="Arial"/>
                <w:sz w:val="18"/>
                <w:szCs w:val="18"/>
                <w:color w:val="auto"/>
                <w:w w:val="89"/>
              </w:rPr>
              <w:t>Weighted-Average</w:t>
            </w:r>
          </w:p>
        </w:tc>
        <w:tc>
          <w:tcPr>
            <w:tcW w:w="2500" w:type="dxa"/>
            <w:vAlign w:val="bottom"/>
            <w:gridSpan w:val="2"/>
          </w:tcPr>
          <w:p>
            <w:pPr>
              <w:jc w:val="center"/>
              <w:spacing w:after="0"/>
              <w:rPr>
                <w:sz w:val="20"/>
                <w:szCs w:val="20"/>
                <w:color w:val="auto"/>
              </w:rPr>
            </w:pPr>
            <w:r>
              <w:rPr>
                <w:rFonts w:ascii="Arial" w:cs="Arial" w:eastAsia="Arial" w:hAnsi="Arial"/>
                <w:sz w:val="18"/>
                <w:szCs w:val="18"/>
                <w:color w:val="auto"/>
                <w:w w:val="87"/>
              </w:rPr>
              <w:t>Future Issuance under</w:t>
            </w:r>
          </w:p>
        </w:tc>
      </w:tr>
      <w:tr>
        <w:trPr>
          <w:trHeight w:val="216"/>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be Issued upon exercise</w:t>
            </w:r>
          </w:p>
        </w:tc>
        <w:tc>
          <w:tcPr>
            <w:tcW w:w="300" w:type="dxa"/>
            <w:vAlign w:val="bottom"/>
          </w:tcPr>
          <w:p>
            <w:pPr>
              <w:spacing w:after="0"/>
              <w:rPr>
                <w:sz w:val="18"/>
                <w:szCs w:val="18"/>
                <w:color w:val="auto"/>
              </w:rPr>
            </w:pPr>
          </w:p>
        </w:tc>
        <w:tc>
          <w:tcPr>
            <w:tcW w:w="2300" w:type="dxa"/>
            <w:vAlign w:val="bottom"/>
            <w:gridSpan w:val="2"/>
          </w:tcPr>
          <w:p>
            <w:pPr>
              <w:jc w:val="center"/>
              <w:ind w:right="420"/>
              <w:spacing w:after="0"/>
              <w:rPr>
                <w:sz w:val="20"/>
                <w:szCs w:val="20"/>
                <w:color w:val="auto"/>
              </w:rPr>
            </w:pPr>
            <w:r>
              <w:rPr>
                <w:rFonts w:ascii="Arial" w:cs="Arial" w:eastAsia="Arial" w:hAnsi="Arial"/>
                <w:sz w:val="18"/>
                <w:szCs w:val="18"/>
                <w:color w:val="auto"/>
                <w:w w:val="91"/>
              </w:rPr>
              <w:t>Exercise Price of</w:t>
            </w:r>
          </w:p>
        </w:tc>
        <w:tc>
          <w:tcPr>
            <w:tcW w:w="2500" w:type="dxa"/>
            <w:vAlign w:val="bottom"/>
            <w:gridSpan w:val="2"/>
          </w:tcPr>
          <w:p>
            <w:pPr>
              <w:jc w:val="center"/>
              <w:spacing w:after="0"/>
              <w:rPr>
                <w:sz w:val="20"/>
                <w:szCs w:val="20"/>
                <w:color w:val="auto"/>
              </w:rPr>
            </w:pPr>
            <w:r>
              <w:rPr>
                <w:rFonts w:ascii="Arial" w:cs="Arial" w:eastAsia="Arial" w:hAnsi="Arial"/>
                <w:sz w:val="18"/>
                <w:szCs w:val="18"/>
                <w:color w:val="auto"/>
                <w:w w:val="90"/>
              </w:rPr>
              <w:t>Equity Compensation Plans</w:t>
            </w:r>
          </w:p>
        </w:tc>
      </w:tr>
      <w:tr>
        <w:trPr>
          <w:trHeight w:val="216"/>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of Outstanding Options</w:t>
            </w:r>
          </w:p>
        </w:tc>
        <w:tc>
          <w:tcPr>
            <w:tcW w:w="300" w:type="dxa"/>
            <w:vAlign w:val="bottom"/>
          </w:tcPr>
          <w:p>
            <w:pPr>
              <w:spacing w:after="0"/>
              <w:rPr>
                <w:sz w:val="18"/>
                <w:szCs w:val="18"/>
                <w:color w:val="auto"/>
              </w:rPr>
            </w:pPr>
          </w:p>
        </w:tc>
        <w:tc>
          <w:tcPr>
            <w:tcW w:w="2300" w:type="dxa"/>
            <w:vAlign w:val="bottom"/>
            <w:gridSpan w:val="2"/>
          </w:tcPr>
          <w:p>
            <w:pPr>
              <w:jc w:val="center"/>
              <w:ind w:right="400"/>
              <w:spacing w:after="0"/>
              <w:rPr>
                <w:sz w:val="20"/>
                <w:szCs w:val="20"/>
                <w:color w:val="auto"/>
              </w:rPr>
            </w:pPr>
            <w:r>
              <w:rPr>
                <w:rFonts w:ascii="Arial" w:cs="Arial" w:eastAsia="Arial" w:hAnsi="Arial"/>
                <w:sz w:val="18"/>
                <w:szCs w:val="18"/>
                <w:color w:val="auto"/>
                <w:w w:val="91"/>
              </w:rPr>
              <w:t>Outstanding Options</w:t>
            </w:r>
          </w:p>
        </w:tc>
        <w:tc>
          <w:tcPr>
            <w:tcW w:w="2500" w:type="dxa"/>
            <w:vAlign w:val="bottom"/>
            <w:gridSpan w:val="2"/>
          </w:tcPr>
          <w:p>
            <w:pPr>
              <w:jc w:val="center"/>
              <w:spacing w:after="0"/>
              <w:rPr>
                <w:sz w:val="20"/>
                <w:szCs w:val="20"/>
                <w:color w:val="auto"/>
              </w:rPr>
            </w:pPr>
            <w:r>
              <w:rPr>
                <w:rFonts w:ascii="Arial" w:cs="Arial" w:eastAsia="Arial" w:hAnsi="Arial"/>
                <w:sz w:val="18"/>
                <w:szCs w:val="18"/>
                <w:color w:val="auto"/>
                <w:w w:val="91"/>
              </w:rPr>
              <w:t>(Excluding Securities</w:t>
            </w:r>
          </w:p>
        </w:tc>
      </w:tr>
      <w:tr>
        <w:trPr>
          <w:trHeight w:val="216"/>
        </w:trPr>
        <w:tc>
          <w:tcPr>
            <w:tcW w:w="3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Warrants and Rights</w:t>
            </w:r>
          </w:p>
        </w:tc>
        <w:tc>
          <w:tcPr>
            <w:tcW w:w="300" w:type="dxa"/>
            <w:vAlign w:val="bottom"/>
          </w:tcPr>
          <w:p>
            <w:pPr>
              <w:spacing w:after="0"/>
              <w:rPr>
                <w:sz w:val="18"/>
                <w:szCs w:val="18"/>
                <w:color w:val="auto"/>
              </w:rPr>
            </w:pPr>
          </w:p>
        </w:tc>
        <w:tc>
          <w:tcPr>
            <w:tcW w:w="230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Warrants and Rights</w:t>
            </w:r>
          </w:p>
        </w:tc>
        <w:tc>
          <w:tcPr>
            <w:tcW w:w="2500" w:type="dxa"/>
            <w:vAlign w:val="bottom"/>
            <w:gridSpan w:val="2"/>
          </w:tcPr>
          <w:p>
            <w:pPr>
              <w:jc w:val="center"/>
              <w:spacing w:after="0"/>
              <w:rPr>
                <w:sz w:val="20"/>
                <w:szCs w:val="20"/>
                <w:color w:val="auto"/>
              </w:rPr>
            </w:pPr>
            <w:r>
              <w:rPr>
                <w:rFonts w:ascii="Arial" w:cs="Arial" w:eastAsia="Arial" w:hAnsi="Arial"/>
                <w:sz w:val="18"/>
                <w:szCs w:val="18"/>
                <w:color w:val="auto"/>
                <w:w w:val="93"/>
              </w:rPr>
              <w:t>Reflected in Column (a))</w:t>
            </w: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Plan Category</w:t>
            </w:r>
          </w:p>
        </w:tc>
        <w:tc>
          <w:tcPr>
            <w:tcW w:w="220" w:type="dxa"/>
            <w:vAlign w:val="bottom"/>
          </w:tcPr>
          <w:p>
            <w:pPr>
              <w:spacing w:after="0"/>
              <w:rPr>
                <w:sz w:val="20"/>
                <w:szCs w:val="20"/>
                <w:color w:val="auto"/>
              </w:rPr>
            </w:pPr>
          </w:p>
        </w:tc>
        <w:tc>
          <w:tcPr>
            <w:tcW w:w="266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(a)</w:t>
            </w:r>
          </w:p>
        </w:tc>
        <w:tc>
          <w:tcPr>
            <w:tcW w:w="300" w:type="dxa"/>
            <w:vAlign w:val="bottom"/>
          </w:tcPr>
          <w:p>
            <w:pPr>
              <w:spacing w:after="0"/>
              <w:rPr>
                <w:sz w:val="20"/>
                <w:szCs w:val="20"/>
                <w:color w:val="auto"/>
              </w:rPr>
            </w:pPr>
          </w:p>
        </w:tc>
        <w:tc>
          <w:tcPr>
            <w:tcW w:w="2300" w:type="dxa"/>
            <w:vAlign w:val="bottom"/>
            <w:gridSpan w:val="2"/>
          </w:tcPr>
          <w:p>
            <w:pPr>
              <w:jc w:val="center"/>
              <w:ind w:right="420"/>
              <w:spacing w:after="0"/>
              <w:rPr>
                <w:sz w:val="20"/>
                <w:szCs w:val="20"/>
                <w:color w:val="auto"/>
              </w:rPr>
            </w:pPr>
            <w:r>
              <w:rPr>
                <w:rFonts w:ascii="Arial" w:cs="Arial" w:eastAsia="Arial" w:hAnsi="Arial"/>
                <w:sz w:val="18"/>
                <w:szCs w:val="18"/>
                <w:color w:val="auto"/>
                <w:w w:val="90"/>
              </w:rPr>
              <w:t>(b)</w:t>
            </w:r>
          </w:p>
        </w:tc>
        <w:tc>
          <w:tcPr>
            <w:tcW w:w="2500" w:type="dxa"/>
            <w:vAlign w:val="bottom"/>
            <w:gridSpan w:val="2"/>
          </w:tcPr>
          <w:p>
            <w:pPr>
              <w:jc w:val="center"/>
              <w:spacing w:after="0"/>
              <w:rPr>
                <w:sz w:val="20"/>
                <w:szCs w:val="20"/>
                <w:color w:val="auto"/>
              </w:rPr>
            </w:pPr>
            <w:r>
              <w:rPr>
                <w:rFonts w:ascii="Arial" w:cs="Arial" w:eastAsia="Arial" w:hAnsi="Arial"/>
                <w:sz w:val="18"/>
                <w:szCs w:val="18"/>
                <w:color w:val="auto"/>
                <w:w w:val="95"/>
              </w:rPr>
              <w:t>(c)</w:t>
            </w:r>
          </w:p>
        </w:tc>
      </w:tr>
      <w:tr>
        <w:trPr>
          <w:trHeight w:val="237"/>
        </w:trPr>
        <w:tc>
          <w:tcPr>
            <w:tcW w:w="3440" w:type="dxa"/>
            <w:vAlign w:val="bottom"/>
            <w:tcBorders>
              <w:top w:val="single" w:sz="8" w:color="auto"/>
            </w:tcBorders>
            <w:shd w:val="clear" w:color="auto" w:fill="CCFFCC"/>
          </w:tcPr>
          <w:p>
            <w:pPr>
              <w:spacing w:after="0"/>
              <w:rPr>
                <w:sz w:val="20"/>
                <w:szCs w:val="20"/>
                <w:color w:val="auto"/>
              </w:rPr>
            </w:pPr>
            <w:r>
              <w:rPr>
                <w:rFonts w:ascii="Arial" w:cs="Arial" w:eastAsia="Arial" w:hAnsi="Arial"/>
                <w:sz w:val="18"/>
                <w:szCs w:val="18"/>
                <w:color w:val="auto"/>
              </w:rPr>
              <w:t>Equity Compensation Plans</w:t>
            </w:r>
          </w:p>
        </w:tc>
        <w:tc>
          <w:tcPr>
            <w:tcW w:w="220" w:type="dxa"/>
            <w:vAlign w:val="bottom"/>
            <w:shd w:val="clear" w:color="auto" w:fill="CCFFCC"/>
          </w:tcPr>
          <w:p>
            <w:pPr>
              <w:spacing w:after="0"/>
              <w:rPr>
                <w:sz w:val="20"/>
                <w:szCs w:val="20"/>
                <w:color w:val="auto"/>
              </w:rPr>
            </w:pPr>
          </w:p>
        </w:tc>
        <w:tc>
          <w:tcPr>
            <w:tcW w:w="2420" w:type="dxa"/>
            <w:vAlign w:val="bottom"/>
            <w:tcBorders>
              <w:top w:val="single" w:sz="8" w:color="auto"/>
            </w:tcBorders>
            <w:shd w:val="clear" w:color="auto" w:fill="CCFFCC"/>
          </w:tcPr>
          <w:p>
            <w:pPr>
              <w:spacing w:after="0"/>
              <w:rPr>
                <w:sz w:val="20"/>
                <w:szCs w:val="20"/>
                <w:color w:val="auto"/>
              </w:rPr>
            </w:pPr>
          </w:p>
        </w:tc>
        <w:tc>
          <w:tcPr>
            <w:tcW w:w="240" w:type="dxa"/>
            <w:vAlign w:val="bottom"/>
            <w:shd w:val="clear" w:color="auto" w:fill="CCFFCC"/>
          </w:tcPr>
          <w:p>
            <w:pPr>
              <w:spacing w:after="0"/>
              <w:rPr>
                <w:sz w:val="20"/>
                <w:szCs w:val="20"/>
                <w:color w:val="auto"/>
              </w:rPr>
            </w:pPr>
          </w:p>
        </w:tc>
        <w:tc>
          <w:tcPr>
            <w:tcW w:w="300" w:type="dxa"/>
            <w:vAlign w:val="bottom"/>
            <w:tcBorders>
              <w:top w:val="single" w:sz="8" w:color="auto"/>
            </w:tcBorders>
            <w:shd w:val="clear" w:color="auto" w:fill="CCFFCC"/>
          </w:tcPr>
          <w:p>
            <w:pPr>
              <w:spacing w:after="0"/>
              <w:rPr>
                <w:sz w:val="20"/>
                <w:szCs w:val="20"/>
                <w:color w:val="auto"/>
              </w:rPr>
            </w:pPr>
          </w:p>
        </w:tc>
        <w:tc>
          <w:tcPr>
            <w:tcW w:w="20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240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3440" w:type="dxa"/>
            <w:vAlign w:val="bottom"/>
            <w:shd w:val="clear" w:color="auto" w:fill="CCFFCC"/>
          </w:tcPr>
          <w:p>
            <w:pPr>
              <w:ind w:left="180"/>
              <w:spacing w:after="0"/>
              <w:rPr>
                <w:sz w:val="20"/>
                <w:szCs w:val="20"/>
                <w:color w:val="auto"/>
              </w:rPr>
            </w:pPr>
            <w:r>
              <w:rPr>
                <w:rFonts w:ascii="Arial" w:cs="Arial" w:eastAsia="Arial" w:hAnsi="Arial"/>
                <w:sz w:val="18"/>
                <w:szCs w:val="18"/>
                <w:color w:val="auto"/>
              </w:rPr>
              <w:t>Approved by Security Holders</w:t>
            </w:r>
          </w:p>
        </w:tc>
        <w:tc>
          <w:tcPr>
            <w:tcW w:w="26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631,900</w:t>
            </w:r>
          </w:p>
        </w:tc>
        <w:tc>
          <w:tcPr>
            <w:tcW w:w="240" w:type="dxa"/>
            <w:vAlign w:val="bottom"/>
            <w:shd w:val="clear" w:color="auto" w:fill="CCFFCC"/>
          </w:tcPr>
          <w:p>
            <w:pPr>
              <w:spacing w:after="0"/>
              <w:rPr>
                <w:sz w:val="21"/>
                <w:szCs w:val="21"/>
                <w:color w:val="auto"/>
              </w:rPr>
            </w:pPr>
          </w:p>
        </w:tc>
        <w:tc>
          <w:tcPr>
            <w:tcW w:w="300" w:type="dxa"/>
            <w:vAlign w:val="bottom"/>
            <w:shd w:val="clear" w:color="auto" w:fill="CCFFCC"/>
          </w:tcPr>
          <w:p>
            <w:pPr>
              <w:jc w:val="right"/>
              <w:ind w:right="145"/>
              <w:spacing w:after="0"/>
              <w:rPr>
                <w:sz w:val="20"/>
                <w:szCs w:val="20"/>
                <w:color w:val="auto"/>
              </w:rPr>
            </w:pPr>
            <w:r>
              <w:rPr>
                <w:rFonts w:ascii="Arial" w:cs="Arial" w:eastAsia="Arial" w:hAnsi="Arial"/>
                <w:sz w:val="15"/>
                <w:szCs w:val="15"/>
                <w:color w:val="auto"/>
                <w:w w:val="71"/>
              </w:rPr>
              <w:t>$</w:t>
            </w:r>
          </w:p>
        </w:tc>
        <w:tc>
          <w:tcPr>
            <w:tcW w:w="2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10.33</w:t>
            </w:r>
          </w:p>
        </w:tc>
        <w:tc>
          <w:tcPr>
            <w:tcW w:w="220" w:type="dxa"/>
            <w:vAlign w:val="bottom"/>
            <w:shd w:val="clear" w:color="auto" w:fill="CCFFCC"/>
          </w:tcPr>
          <w:p>
            <w:pPr>
              <w:spacing w:after="0"/>
              <w:rPr>
                <w:sz w:val="21"/>
                <w:szCs w:val="21"/>
                <w:color w:val="auto"/>
              </w:rPr>
            </w:pPr>
          </w:p>
        </w:tc>
        <w:tc>
          <w:tcPr>
            <w:tcW w:w="25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226,500</w:t>
            </w:r>
          </w:p>
        </w:tc>
      </w:tr>
      <w:tr>
        <w:trPr>
          <w:trHeight w:val="243"/>
        </w:trPr>
        <w:tc>
          <w:tcPr>
            <w:tcW w:w="3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3440" w:type="dxa"/>
            <w:vAlign w:val="bottom"/>
            <w:shd w:val="clear" w:color="auto" w:fill="CCFFCC"/>
          </w:tcPr>
          <w:p>
            <w:pPr>
              <w:spacing w:after="0"/>
              <w:rPr>
                <w:sz w:val="20"/>
                <w:szCs w:val="20"/>
                <w:color w:val="auto"/>
              </w:rPr>
            </w:pPr>
            <w:r>
              <w:rPr>
                <w:rFonts w:ascii="Arial" w:cs="Arial" w:eastAsia="Arial" w:hAnsi="Arial"/>
                <w:sz w:val="18"/>
                <w:szCs w:val="18"/>
                <w:color w:val="auto"/>
              </w:rPr>
              <w:t>Equity Compensation Plans Not</w:t>
            </w:r>
          </w:p>
        </w:tc>
        <w:tc>
          <w:tcPr>
            <w:tcW w:w="220" w:type="dxa"/>
            <w:vAlign w:val="bottom"/>
            <w:shd w:val="clear" w:color="auto" w:fill="CCFFCC"/>
          </w:tcPr>
          <w:p>
            <w:pPr>
              <w:spacing w:after="0"/>
              <w:rPr>
                <w:sz w:val="21"/>
                <w:szCs w:val="21"/>
                <w:color w:val="auto"/>
              </w:rPr>
            </w:pPr>
          </w:p>
        </w:tc>
        <w:tc>
          <w:tcPr>
            <w:tcW w:w="242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20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24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50"/>
        </w:trPr>
        <w:tc>
          <w:tcPr>
            <w:tcW w:w="3440" w:type="dxa"/>
            <w:vAlign w:val="bottom"/>
            <w:tcBorders>
              <w:bottom w:val="single" w:sz="8" w:color="CCFFCC"/>
            </w:tcBorders>
            <w:shd w:val="clear" w:color="auto" w:fill="CCFFCC"/>
          </w:tcPr>
          <w:p>
            <w:pPr>
              <w:ind w:left="340"/>
              <w:spacing w:after="0"/>
              <w:rPr>
                <w:sz w:val="20"/>
                <w:szCs w:val="20"/>
                <w:color w:val="auto"/>
              </w:rPr>
            </w:pPr>
            <w:r>
              <w:rPr>
                <w:rFonts w:ascii="Arial" w:cs="Arial" w:eastAsia="Arial" w:hAnsi="Arial"/>
                <w:sz w:val="18"/>
                <w:szCs w:val="18"/>
                <w:color w:val="auto"/>
              </w:rPr>
              <w:t>Approved by Security Holders</w:t>
            </w:r>
          </w:p>
        </w:tc>
        <w:tc>
          <w:tcPr>
            <w:tcW w:w="220" w:type="dxa"/>
            <w:vAlign w:val="bottom"/>
            <w:tcBorders>
              <w:bottom w:val="single" w:sz="8" w:color="CCFFCC"/>
            </w:tcBorders>
            <w:shd w:val="clear" w:color="auto" w:fill="CCFFCC"/>
          </w:tcPr>
          <w:p>
            <w:pPr>
              <w:spacing w:after="0"/>
              <w:rPr>
                <w:sz w:val="21"/>
                <w:szCs w:val="21"/>
                <w:color w:val="auto"/>
              </w:rPr>
            </w:pPr>
          </w:p>
        </w:tc>
        <w:tc>
          <w:tcPr>
            <w:tcW w:w="24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797,237</w:t>
            </w:r>
          </w:p>
        </w:tc>
        <w:tc>
          <w:tcPr>
            <w:tcW w:w="240" w:type="dxa"/>
            <w:vAlign w:val="bottom"/>
            <w:tcBorders>
              <w:bottom w:val="single" w:sz="8" w:color="CCFFCC"/>
            </w:tcBorders>
            <w:shd w:val="clear" w:color="auto" w:fill="CCFFCC"/>
          </w:tcPr>
          <w:p>
            <w:pPr>
              <w:spacing w:after="0"/>
              <w:rPr>
                <w:sz w:val="21"/>
                <w:szCs w:val="21"/>
                <w:color w:val="auto"/>
              </w:rPr>
            </w:pPr>
          </w:p>
        </w:tc>
        <w:tc>
          <w:tcPr>
            <w:tcW w:w="300" w:type="dxa"/>
            <w:vAlign w:val="bottom"/>
            <w:tcBorders>
              <w:bottom w:val="single" w:sz="8" w:color="CCFFCC"/>
            </w:tcBorders>
            <w:shd w:val="clear" w:color="auto" w:fill="CCFFCC"/>
          </w:tcPr>
          <w:p>
            <w:pPr>
              <w:jc w:val="right"/>
              <w:ind w:right="145"/>
              <w:spacing w:after="0"/>
              <w:rPr>
                <w:sz w:val="20"/>
                <w:szCs w:val="20"/>
                <w:color w:val="auto"/>
              </w:rPr>
            </w:pPr>
            <w:r>
              <w:rPr>
                <w:rFonts w:ascii="Arial" w:cs="Arial" w:eastAsia="Arial" w:hAnsi="Arial"/>
                <w:sz w:val="15"/>
                <w:szCs w:val="15"/>
                <w:color w:val="auto"/>
                <w:w w:val="71"/>
              </w:rPr>
              <w:t>$</w:t>
            </w:r>
          </w:p>
        </w:tc>
        <w:tc>
          <w:tcPr>
            <w:tcW w:w="2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12.94</w:t>
            </w:r>
          </w:p>
        </w:tc>
        <w:tc>
          <w:tcPr>
            <w:tcW w:w="220" w:type="dxa"/>
            <w:vAlign w:val="bottom"/>
            <w:tcBorders>
              <w:bottom w:val="single" w:sz="8" w:color="CCFFCC"/>
            </w:tcBorders>
            <w:shd w:val="clear" w:color="auto" w:fill="CCFFCC"/>
          </w:tcPr>
          <w:p>
            <w:pPr>
              <w:spacing w:after="0"/>
              <w:rPr>
                <w:sz w:val="21"/>
                <w:szCs w:val="21"/>
                <w:color w:val="auto"/>
              </w:rPr>
            </w:pPr>
          </w:p>
        </w:tc>
        <w:tc>
          <w:tcPr>
            <w:tcW w:w="250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344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242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37"/>
        </w:trPr>
        <w:tc>
          <w:tcPr>
            <w:tcW w:w="3440" w:type="dxa"/>
            <w:vAlign w:val="bottom"/>
          </w:tcPr>
          <w:p>
            <w:pPr>
              <w:ind w:left="66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0"/>
                <w:szCs w:val="20"/>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1,429,137</w:t>
            </w:r>
          </w:p>
        </w:tc>
        <w:tc>
          <w:tcPr>
            <w:tcW w:w="240" w:type="dxa"/>
            <w:vAlign w:val="bottom"/>
          </w:tcPr>
          <w:p>
            <w:pPr>
              <w:spacing w:after="0"/>
              <w:rPr>
                <w:sz w:val="20"/>
                <w:szCs w:val="20"/>
                <w:color w:val="auto"/>
              </w:rPr>
            </w:pP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2300" w:type="dxa"/>
            <w:vAlign w:val="bottom"/>
            <w:gridSpan w:val="2"/>
          </w:tcPr>
          <w:p>
            <w:pPr>
              <w:jc w:val="right"/>
              <w:ind w:right="220"/>
              <w:spacing w:after="0"/>
              <w:rPr>
                <w:sz w:val="20"/>
                <w:szCs w:val="20"/>
                <w:color w:val="auto"/>
              </w:rPr>
            </w:pPr>
            <w:r>
              <w:rPr>
                <w:rFonts w:ascii="Arial" w:cs="Arial" w:eastAsia="Arial" w:hAnsi="Arial"/>
                <w:sz w:val="18"/>
                <w:szCs w:val="18"/>
                <w:color w:val="auto"/>
              </w:rPr>
              <w:t>11.79</w:t>
            </w:r>
          </w:p>
        </w:tc>
        <w:tc>
          <w:tcPr>
            <w:tcW w:w="2500" w:type="dxa"/>
            <w:vAlign w:val="bottom"/>
            <w:gridSpan w:val="2"/>
          </w:tcPr>
          <w:p>
            <w:pPr>
              <w:jc w:val="right"/>
              <w:ind w:right="100"/>
              <w:spacing w:after="0"/>
              <w:rPr>
                <w:sz w:val="20"/>
                <w:szCs w:val="20"/>
                <w:color w:val="auto"/>
              </w:rPr>
            </w:pPr>
            <w:r>
              <w:rPr>
                <w:rFonts w:ascii="Arial" w:cs="Arial" w:eastAsia="Arial" w:hAnsi="Arial"/>
                <w:sz w:val="18"/>
                <w:szCs w:val="18"/>
                <w:color w:val="auto"/>
              </w:rPr>
              <w:t>226,500</w:t>
            </w:r>
          </w:p>
        </w:tc>
      </w:tr>
      <w:tr>
        <w:trPr>
          <w:trHeight w:val="20"/>
        </w:trPr>
        <w:tc>
          <w:tcPr>
            <w:tcW w:w="3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Selected Financial Data</w:t>
      </w:r>
    </w:p>
    <w:p>
      <w:pPr>
        <w:spacing w:after="0" w:line="27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sets forth selected financial data including net sales and operating profit (loss) for the five-year period ended April 30, 2007. The information has been derived from the audited financial statements of the Company for the respective periods.</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CONSOLIDATED STATEMENTS OF OPERATIONS DATA</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8"/>
                <w:szCs w:val="18"/>
                <w:color w:val="auto"/>
                <w:w w:val="97"/>
              </w:rPr>
              <w:t>Years Ended April 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66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color w:val="auto"/>
              </w:rPr>
              <w:t>2007</w:t>
            </w:r>
          </w:p>
        </w:tc>
        <w:tc>
          <w:tcPr>
            <w:tcW w:w="200" w:type="dxa"/>
            <w:vAlign w:val="bottom"/>
          </w:tcPr>
          <w:p>
            <w:pPr>
              <w:spacing w:after="0"/>
              <w:rPr>
                <w:sz w:val="22"/>
                <w:szCs w:val="22"/>
                <w:color w:val="auto"/>
              </w:rPr>
            </w:pPr>
          </w:p>
        </w:tc>
        <w:tc>
          <w:tcPr>
            <w:tcW w:w="1060" w:type="dxa"/>
            <w:vAlign w:val="bottom"/>
            <w:tcBorders>
              <w:bottom w:val="single" w:sz="8" w:color="auto"/>
            </w:tcBorders>
            <w:gridSpan w:val="2"/>
          </w:tcPr>
          <w:p>
            <w:pPr>
              <w:jc w:val="right"/>
              <w:ind w:right="216"/>
              <w:spacing w:after="0"/>
              <w:rPr>
                <w:sz w:val="20"/>
                <w:szCs w:val="20"/>
                <w:color w:val="auto"/>
              </w:rPr>
            </w:pPr>
            <w:r>
              <w:rPr>
                <w:rFonts w:ascii="Arial" w:cs="Arial" w:eastAsia="Arial" w:hAnsi="Arial"/>
                <w:sz w:val="18"/>
                <w:szCs w:val="18"/>
                <w:color w:val="auto"/>
              </w:rPr>
              <w:t>2006</w:t>
            </w:r>
          </w:p>
        </w:tc>
        <w:tc>
          <w:tcPr>
            <w:tcW w:w="220" w:type="dxa"/>
            <w:vAlign w:val="bottom"/>
          </w:tcPr>
          <w:p>
            <w:pPr>
              <w:spacing w:after="0"/>
              <w:rPr>
                <w:sz w:val="22"/>
                <w:szCs w:val="22"/>
                <w:color w:val="auto"/>
              </w:rPr>
            </w:pPr>
          </w:p>
        </w:tc>
        <w:tc>
          <w:tcPr>
            <w:tcW w:w="6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2005</w:t>
            </w:r>
          </w:p>
        </w:tc>
        <w:tc>
          <w:tcPr>
            <w:tcW w:w="2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2004</w:t>
            </w:r>
          </w:p>
        </w:tc>
        <w:tc>
          <w:tcPr>
            <w:tcW w:w="1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6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520" w:type="dxa"/>
            <w:vAlign w:val="bottom"/>
            <w:gridSpan w:val="11"/>
          </w:tcPr>
          <w:p>
            <w:pPr>
              <w:jc w:val="right"/>
              <w:ind w:right="50"/>
              <w:spacing w:after="0"/>
              <w:rPr>
                <w:sz w:val="20"/>
                <w:szCs w:val="20"/>
                <w:color w:val="auto"/>
              </w:rPr>
            </w:pPr>
            <w:r>
              <w:rPr>
                <w:rFonts w:ascii="Arial" w:cs="Arial" w:eastAsia="Arial" w:hAnsi="Arial"/>
                <w:sz w:val="18"/>
                <w:szCs w:val="18"/>
                <w:color w:val="auto"/>
                <w:w w:val="90"/>
              </w:rPr>
              <w:t>(in thousands, except share and dividend data)</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5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440" w:type="dxa"/>
            <w:vAlign w:val="bottom"/>
            <w:tcBorders>
              <w:right w:val="single" w:sz="8" w:color="CCFFCC"/>
            </w:tcBorders>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640" w:type="dxa"/>
            <w:vAlign w:val="bottom"/>
            <w:tcBorders>
              <w:right w:val="single" w:sz="8" w:color="CCFFCC"/>
            </w:tcBorders>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5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7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880" w:type="dxa"/>
            <w:vAlign w:val="bottom"/>
            <w:tcBorders>
              <w:right w:val="single" w:sz="8" w:color="CCFFCC"/>
            </w:tcBorders>
            <w:shd w:val="clear" w:color="auto" w:fill="CCFFCC"/>
          </w:tcPr>
          <w:p>
            <w:pPr>
              <w:spacing w:after="0"/>
              <w:rPr>
                <w:sz w:val="21"/>
                <w:szCs w:val="21"/>
                <w:color w:val="auto"/>
              </w:rPr>
            </w:pPr>
          </w:p>
        </w:tc>
        <w:tc>
          <w:tcPr>
            <w:tcW w:w="160" w:type="dxa"/>
            <w:vAlign w:val="bottom"/>
            <w:tcBorders>
              <w:right w:val="single" w:sz="8" w:color="CCFFCC"/>
            </w:tcBorders>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9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gridSpan w:val="3"/>
          </w:tcPr>
          <w:p>
            <w:pPr>
              <w:ind w:left="180"/>
              <w:spacing w:after="0"/>
              <w:rPr>
                <w:sz w:val="20"/>
                <w:szCs w:val="20"/>
                <w:color w:val="auto"/>
              </w:rPr>
            </w:pPr>
            <w:r>
              <w:rPr>
                <w:rFonts w:ascii="Arial" w:cs="Arial" w:eastAsia="Arial" w:hAnsi="Arial"/>
                <w:sz w:val="18"/>
                <w:szCs w:val="18"/>
                <w:color w:val="auto"/>
              </w:rPr>
              <w:t>FEI-NY</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40,184</w:t>
            </w:r>
          </w:p>
        </w:tc>
        <w:tc>
          <w:tcPr>
            <w:tcW w:w="200" w:type="dxa"/>
            <w:vAlign w:val="bottom"/>
          </w:tcPr>
          <w:p>
            <w:pPr>
              <w:spacing w:after="0"/>
              <w:rPr>
                <w:sz w:val="21"/>
                <w:szCs w:val="21"/>
                <w:color w:val="auto"/>
              </w:rPr>
            </w:pP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30"/>
              <w:spacing w:after="0"/>
              <w:rPr>
                <w:sz w:val="20"/>
                <w:szCs w:val="20"/>
                <w:color w:val="auto"/>
              </w:rPr>
            </w:pPr>
            <w:r>
              <w:rPr>
                <w:rFonts w:ascii="Arial" w:cs="Arial" w:eastAsia="Arial" w:hAnsi="Arial"/>
                <w:sz w:val="18"/>
                <w:szCs w:val="18"/>
                <w:color w:val="auto"/>
                <w:w w:val="72"/>
              </w:rPr>
              <w:t>35,801</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37,067</w:t>
            </w:r>
          </w:p>
        </w:tc>
        <w:tc>
          <w:tcPr>
            <w:tcW w:w="120" w:type="dxa"/>
            <w:vAlign w:val="bottom"/>
          </w:tcPr>
          <w:p>
            <w:pPr>
              <w:spacing w:after="0"/>
              <w:rPr>
                <w:sz w:val="21"/>
                <w:szCs w:val="21"/>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35,288</w:t>
            </w:r>
          </w:p>
        </w:tc>
        <w:tc>
          <w:tcPr>
            <w:tcW w:w="160" w:type="dxa"/>
            <w:vAlign w:val="bottom"/>
          </w:tcPr>
          <w:p>
            <w:pPr>
              <w:spacing w:after="0"/>
              <w:rPr>
                <w:sz w:val="21"/>
                <w:szCs w:val="21"/>
                <w:color w:val="auto"/>
              </w:rPr>
            </w:pPr>
          </w:p>
        </w:tc>
        <w:tc>
          <w:tcPr>
            <w:tcW w:w="160" w:type="dxa"/>
            <w:vAlign w:val="bottom"/>
          </w:tcPr>
          <w:p>
            <w:pPr>
              <w:jc w:val="right"/>
              <w:ind w:right="3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23,957</w:t>
            </w:r>
          </w:p>
        </w:tc>
        <w:tc>
          <w:tcPr>
            <w:tcW w:w="0" w:type="dxa"/>
            <w:vAlign w:val="bottom"/>
          </w:tcPr>
          <w:p>
            <w:pPr>
              <w:spacing w:after="0"/>
              <w:rPr>
                <w:sz w:val="1"/>
                <w:szCs w:val="1"/>
                <w:color w:val="auto"/>
              </w:rPr>
            </w:pPr>
          </w:p>
        </w:tc>
      </w:tr>
      <w:tr>
        <w:trPr>
          <w:trHeight w:val="243"/>
        </w:trPr>
        <w:tc>
          <w:tcPr>
            <w:tcW w:w="4520" w:type="dxa"/>
            <w:vAlign w:val="bottom"/>
            <w:gridSpan w:val="3"/>
            <w:shd w:val="clear" w:color="auto" w:fill="CCFFCC"/>
          </w:tcPr>
          <w:p>
            <w:pPr>
              <w:ind w:left="180"/>
              <w:spacing w:after="0"/>
              <w:rPr>
                <w:sz w:val="20"/>
                <w:szCs w:val="20"/>
                <w:color w:val="auto"/>
              </w:rPr>
            </w:pPr>
            <w:r>
              <w:rPr>
                <w:rFonts w:ascii="Arial" w:cs="Arial" w:eastAsia="Arial" w:hAnsi="Arial"/>
                <w:sz w:val="18"/>
                <w:szCs w:val="18"/>
                <w:color w:val="auto"/>
              </w:rPr>
              <w:t>Gillam-FEI</w:t>
            </w:r>
          </w:p>
        </w:tc>
        <w:tc>
          <w:tcPr>
            <w:tcW w:w="240" w:type="dxa"/>
            <w:vAlign w:val="bottom"/>
            <w:shd w:val="clear" w:color="auto" w:fill="CCFFCC"/>
          </w:tcPr>
          <w:p>
            <w:pPr>
              <w:spacing w:after="0"/>
              <w:rPr>
                <w:sz w:val="21"/>
                <w:szCs w:val="21"/>
                <w:color w:val="auto"/>
              </w:rPr>
            </w:pPr>
          </w:p>
        </w:tc>
        <w:tc>
          <w:tcPr>
            <w:tcW w:w="104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11,382(1)</w:t>
            </w:r>
          </w:p>
        </w:tc>
        <w:tc>
          <w:tcPr>
            <w:tcW w:w="640" w:type="dxa"/>
            <w:vAlign w:val="bottom"/>
            <w:tcBorders>
              <w:right w:val="single" w:sz="8" w:color="CCFFCC"/>
            </w:tcBorders>
            <w:shd w:val="clear" w:color="auto" w:fill="CCFFCC"/>
          </w:tcPr>
          <w:p>
            <w:pPr>
              <w:spacing w:after="0"/>
              <w:rPr>
                <w:sz w:val="21"/>
                <w:szCs w:val="21"/>
                <w:color w:val="auto"/>
              </w:rPr>
            </w:pPr>
          </w:p>
        </w:tc>
        <w:tc>
          <w:tcPr>
            <w:tcW w:w="6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w w:val="92"/>
              </w:rPr>
              <w:t>9,170(1)</w:t>
            </w:r>
          </w:p>
        </w:tc>
        <w:tc>
          <w:tcPr>
            <w:tcW w:w="5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000" w:type="dxa"/>
            <w:vAlign w:val="bottom"/>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12,599(1)</w:t>
            </w:r>
          </w:p>
        </w:tc>
        <w:tc>
          <w:tcPr>
            <w:tcW w:w="240" w:type="dxa"/>
            <w:vAlign w:val="bottom"/>
            <w:shd w:val="clear" w:color="auto" w:fill="CCFFCC"/>
          </w:tcPr>
          <w:p>
            <w:pPr>
              <w:spacing w:after="0"/>
              <w:rPr>
                <w:sz w:val="21"/>
                <w:szCs w:val="21"/>
                <w:color w:val="auto"/>
              </w:rPr>
            </w:pPr>
          </w:p>
        </w:tc>
        <w:tc>
          <w:tcPr>
            <w:tcW w:w="1040" w:type="dxa"/>
            <w:vAlign w:val="bottom"/>
            <w:tcBorders>
              <w:righ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12,197(1)</w:t>
            </w:r>
          </w:p>
        </w:tc>
        <w:tc>
          <w:tcPr>
            <w:tcW w:w="160" w:type="dxa"/>
            <w:vAlign w:val="bottom"/>
            <w:shd w:val="clear" w:color="auto" w:fill="CCFFCC"/>
          </w:tcPr>
          <w:p>
            <w:pPr>
              <w:spacing w:after="0"/>
              <w:rPr>
                <w:sz w:val="21"/>
                <w:szCs w:val="21"/>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8,137</w:t>
            </w:r>
          </w:p>
        </w:tc>
        <w:tc>
          <w:tcPr>
            <w:tcW w:w="0" w:type="dxa"/>
            <w:vAlign w:val="bottom"/>
          </w:tcPr>
          <w:p>
            <w:pPr>
              <w:spacing w:after="0"/>
              <w:rPr>
                <w:sz w:val="1"/>
                <w:szCs w:val="1"/>
                <w:color w:val="auto"/>
              </w:rPr>
            </w:pPr>
          </w:p>
        </w:tc>
      </w:tr>
      <w:tr>
        <w:trPr>
          <w:trHeight w:val="243"/>
        </w:trPr>
        <w:tc>
          <w:tcPr>
            <w:tcW w:w="4520" w:type="dxa"/>
            <w:vAlign w:val="bottom"/>
            <w:gridSpan w:val="3"/>
          </w:tcPr>
          <w:p>
            <w:pPr>
              <w:ind w:left="180"/>
              <w:spacing w:after="0"/>
              <w:rPr>
                <w:sz w:val="20"/>
                <w:szCs w:val="20"/>
                <w:color w:val="auto"/>
              </w:rPr>
            </w:pPr>
            <w:r>
              <w:rPr>
                <w:rFonts w:ascii="Arial" w:cs="Arial" w:eastAsia="Arial" w:hAnsi="Arial"/>
                <w:sz w:val="18"/>
                <w:szCs w:val="18"/>
                <w:color w:val="auto"/>
              </w:rPr>
              <w:t>FEI-Zyfer</w:t>
            </w:r>
          </w:p>
        </w:tc>
        <w:tc>
          <w:tcPr>
            <w:tcW w:w="24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7,542</w:t>
            </w: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40" w:type="dxa"/>
            <w:vAlign w:val="bottom"/>
            <w:gridSpan w:val="2"/>
          </w:tcPr>
          <w:p>
            <w:pPr>
              <w:jc w:val="right"/>
              <w:ind w:right="130"/>
              <w:spacing w:after="0"/>
              <w:rPr>
                <w:sz w:val="20"/>
                <w:szCs w:val="20"/>
                <w:color w:val="auto"/>
              </w:rPr>
            </w:pPr>
            <w:r>
              <w:rPr>
                <w:rFonts w:ascii="Arial" w:cs="Arial" w:eastAsia="Arial" w:hAnsi="Arial"/>
                <w:sz w:val="18"/>
                <w:szCs w:val="18"/>
                <w:color w:val="auto"/>
                <w:w w:val="72"/>
              </w:rPr>
              <w:t>10,055</w:t>
            </w: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8,803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6,560</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520" w:type="dxa"/>
            <w:vAlign w:val="bottom"/>
            <w:tcBorders>
              <w:bottom w:val="single" w:sz="8" w:color="CCFFCC"/>
            </w:tcBorders>
            <w:gridSpan w:val="3"/>
            <w:shd w:val="clear" w:color="auto" w:fill="CCFFCC"/>
          </w:tcPr>
          <w:p>
            <w:pPr>
              <w:ind w:left="340"/>
              <w:spacing w:after="0"/>
              <w:rPr>
                <w:sz w:val="20"/>
                <w:szCs w:val="20"/>
                <w:color w:val="auto"/>
              </w:rPr>
            </w:pPr>
            <w:r>
              <w:rPr>
                <w:rFonts w:ascii="Arial" w:cs="Arial" w:eastAsia="Arial" w:hAnsi="Arial"/>
                <w:sz w:val="18"/>
                <w:szCs w:val="18"/>
                <w:color w:val="auto"/>
              </w:rPr>
              <w:t>less intersegment sales</w:t>
            </w:r>
          </w:p>
        </w:tc>
        <w:tc>
          <w:tcPr>
            <w:tcW w:w="24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gridSpan w:val="3"/>
            <w:shd w:val="clear" w:color="auto" w:fill="CCFFCC"/>
          </w:tcPr>
          <w:p>
            <w:pPr>
              <w:jc w:val="right"/>
              <w:spacing w:after="0"/>
              <w:rPr>
                <w:sz w:val="20"/>
                <w:szCs w:val="20"/>
                <w:color w:val="auto"/>
              </w:rPr>
            </w:pPr>
            <w:r>
              <w:rPr>
                <w:rFonts w:ascii="Arial" w:cs="Arial" w:eastAsia="Arial" w:hAnsi="Arial"/>
                <w:sz w:val="18"/>
                <w:szCs w:val="18"/>
                <w:color w:val="auto"/>
              </w:rPr>
              <w:t>(2,902)(1)</w:t>
            </w:r>
          </w:p>
        </w:tc>
        <w:tc>
          <w:tcPr>
            <w:tcW w:w="1280" w:type="dxa"/>
            <w:vAlign w:val="bottom"/>
            <w:tcBorders>
              <w:bottom w:val="single" w:sz="8" w:color="CCFFCC"/>
            </w:tcBorders>
            <w:gridSpan w:val="3"/>
            <w:shd w:val="clear" w:color="auto" w:fill="CCFFCC"/>
          </w:tcPr>
          <w:p>
            <w:pPr>
              <w:jc w:val="right"/>
              <w:spacing w:after="0"/>
              <w:rPr>
                <w:sz w:val="20"/>
                <w:szCs w:val="20"/>
                <w:color w:val="auto"/>
              </w:rPr>
            </w:pPr>
            <w:r>
              <w:rPr>
                <w:rFonts w:ascii="Arial" w:cs="Arial" w:eastAsia="Arial" w:hAnsi="Arial"/>
                <w:sz w:val="18"/>
                <w:szCs w:val="18"/>
                <w:color w:val="auto"/>
              </w:rPr>
              <w:t>(2,216)(1)</w:t>
            </w:r>
          </w:p>
        </w:tc>
        <w:tc>
          <w:tcPr>
            <w:tcW w:w="5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000" w:type="dxa"/>
            <w:vAlign w:val="bottom"/>
            <w:tcBorders>
              <w:bottom w:val="single" w:sz="8" w:color="CCFFCC"/>
            </w:tcBorders>
            <w:gridSpan w:val="3"/>
            <w:shd w:val="clear" w:color="auto" w:fill="CCFFCC"/>
          </w:tcPr>
          <w:p>
            <w:pPr>
              <w:jc w:val="right"/>
              <w:ind w:right="20"/>
              <w:spacing w:after="0"/>
              <w:rPr>
                <w:sz w:val="20"/>
                <w:szCs w:val="20"/>
                <w:color w:val="auto"/>
              </w:rPr>
            </w:pPr>
            <w:r>
              <w:rPr>
                <w:rFonts w:ascii="Arial" w:cs="Arial" w:eastAsia="Arial" w:hAnsi="Arial"/>
                <w:sz w:val="18"/>
                <w:szCs w:val="18"/>
                <w:color w:val="auto"/>
              </w:rPr>
              <w:t>(3,296)(1)</w:t>
            </w:r>
          </w:p>
        </w:tc>
        <w:tc>
          <w:tcPr>
            <w:tcW w:w="24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right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(3,939)(1)</w:t>
            </w:r>
          </w:p>
        </w:tc>
        <w:tc>
          <w:tcPr>
            <w:tcW w:w="16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(567)</w:t>
            </w:r>
          </w:p>
        </w:tc>
        <w:tc>
          <w:tcPr>
            <w:tcW w:w="0" w:type="dxa"/>
            <w:vAlign w:val="bottom"/>
          </w:tcPr>
          <w:p>
            <w:pPr>
              <w:spacing w:after="0"/>
              <w:rPr>
                <w:sz w:val="1"/>
                <w:szCs w:val="1"/>
                <w:color w:val="auto"/>
              </w:rPr>
            </w:pPr>
          </w:p>
        </w:tc>
      </w:tr>
      <w:tr>
        <w:trPr>
          <w:trHeight w:val="20"/>
        </w:trPr>
        <w:tc>
          <w:tcPr>
            <w:tcW w:w="660" w:type="dxa"/>
            <w:vAlign w:val="bottom"/>
            <w:shd w:val="clear" w:color="auto" w:fill="CCFFCC"/>
          </w:tcPr>
          <w:p>
            <w:pPr>
              <w:spacing w:after="0" w:line="20" w:lineRule="exact"/>
              <w:rPr>
                <w:sz w:val="1"/>
                <w:szCs w:val="1"/>
                <w:color w:val="auto"/>
              </w:rPr>
            </w:pPr>
          </w:p>
        </w:tc>
        <w:tc>
          <w:tcPr>
            <w:tcW w:w="3380" w:type="dxa"/>
            <w:vAlign w:val="bottom"/>
            <w:shd w:val="clear" w:color="auto" w:fill="CCFFCC"/>
          </w:tcPr>
          <w:p>
            <w:pPr>
              <w:spacing w:after="0" w:line="20" w:lineRule="exact"/>
              <w:rPr>
                <w:sz w:val="1"/>
                <w:szCs w:val="1"/>
                <w:color w:val="auto"/>
              </w:rPr>
            </w:pPr>
          </w:p>
        </w:tc>
        <w:tc>
          <w:tcPr>
            <w:tcW w:w="48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tcBorders>
              <w:right w:val="single" w:sz="8" w:color="CCFFCC"/>
            </w:tcBorders>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tcBorders>
              <w:right w:val="single" w:sz="8" w:color="CCFFCC"/>
            </w:tcBorders>
            <w:shd w:val="clear" w:color="auto" w:fill="000000"/>
          </w:tcPr>
          <w:p>
            <w:pPr>
              <w:spacing w:after="0" w:line="20" w:lineRule="exact"/>
              <w:rPr>
                <w:sz w:val="1"/>
                <w:szCs w:val="1"/>
                <w:color w:val="auto"/>
              </w:rPr>
            </w:pPr>
          </w:p>
        </w:tc>
        <w:tc>
          <w:tcPr>
            <w:tcW w:w="160" w:type="dxa"/>
            <w:vAlign w:val="bottom"/>
            <w:tcBorders>
              <w:right w:val="single" w:sz="8" w:color="CCFFCC"/>
            </w:tcBorders>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520" w:type="dxa"/>
            <w:vAlign w:val="bottom"/>
            <w:gridSpan w:val="3"/>
          </w:tcPr>
          <w:p>
            <w:pPr>
              <w:spacing w:after="0"/>
              <w:rPr>
                <w:sz w:val="20"/>
                <w:szCs w:val="20"/>
                <w:color w:val="auto"/>
              </w:rPr>
            </w:pPr>
            <w:r>
              <w:rPr>
                <w:rFonts w:ascii="Arial" w:cs="Arial" w:eastAsia="Arial" w:hAnsi="Arial"/>
                <w:sz w:val="18"/>
                <w:szCs w:val="18"/>
                <w:color w:val="auto"/>
              </w:rPr>
              <w:t>Total Net Sales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56,206</w:t>
            </w:r>
          </w:p>
        </w:tc>
        <w:tc>
          <w:tcPr>
            <w:tcW w:w="200" w:type="dxa"/>
            <w:vAlign w:val="bottom"/>
          </w:tcPr>
          <w:p>
            <w:pPr>
              <w:spacing w:after="0"/>
              <w:rPr>
                <w:sz w:val="20"/>
                <w:szCs w:val="20"/>
                <w:color w:val="auto"/>
              </w:rPr>
            </w:pP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30"/>
              <w:spacing w:after="0"/>
              <w:rPr>
                <w:sz w:val="20"/>
                <w:szCs w:val="20"/>
                <w:color w:val="auto"/>
              </w:rPr>
            </w:pPr>
            <w:r>
              <w:rPr>
                <w:rFonts w:ascii="Arial" w:cs="Arial" w:eastAsia="Arial" w:hAnsi="Arial"/>
                <w:sz w:val="18"/>
                <w:szCs w:val="18"/>
                <w:color w:val="auto"/>
                <w:w w:val="72"/>
              </w:rPr>
              <w:t>52,810</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55,173</w:t>
            </w:r>
          </w:p>
        </w:tc>
        <w:tc>
          <w:tcPr>
            <w:tcW w:w="120" w:type="dxa"/>
            <w:vAlign w:val="bottom"/>
          </w:tcPr>
          <w:p>
            <w:pPr>
              <w:spacing w:after="0"/>
              <w:rPr>
                <w:sz w:val="20"/>
                <w:szCs w:val="20"/>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50,106</w:t>
            </w:r>
          </w:p>
        </w:tc>
        <w:tc>
          <w:tcPr>
            <w:tcW w:w="160" w:type="dxa"/>
            <w:vAlign w:val="bottom"/>
          </w:tcPr>
          <w:p>
            <w:pPr>
              <w:spacing w:after="0"/>
              <w:rPr>
                <w:sz w:val="20"/>
                <w:szCs w:val="20"/>
                <w:color w:val="auto"/>
              </w:rPr>
            </w:pPr>
          </w:p>
        </w:tc>
        <w:tc>
          <w:tcPr>
            <w:tcW w:w="160" w:type="dxa"/>
            <w:vAlign w:val="bottom"/>
          </w:tcPr>
          <w:p>
            <w:pPr>
              <w:jc w:val="right"/>
              <w:ind w:right="30"/>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31,527</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5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Operating (Loss) Profit</w:t>
            </w: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(3,721)</w:t>
            </w:r>
          </w:p>
        </w:tc>
        <w:tc>
          <w:tcPr>
            <w:tcW w:w="640" w:type="dxa"/>
            <w:vAlign w:val="bottom"/>
            <w:tcBorders>
              <w:right w:val="single" w:sz="8" w:color="CCFFCC"/>
            </w:tcBorders>
            <w:shd w:val="clear" w:color="auto" w:fill="CCFFCC"/>
          </w:tcPr>
          <w:p>
            <w:pPr>
              <w:jc w:val="right"/>
              <w:ind w:right="45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w w:val="88"/>
              </w:rPr>
              <w:t>1,710</w:t>
            </w:r>
          </w:p>
        </w:tc>
        <w:tc>
          <w:tcPr>
            <w:tcW w:w="50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8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(1,269)</w:t>
            </w:r>
          </w:p>
        </w:tc>
        <w:tc>
          <w:tcPr>
            <w:tcW w:w="120" w:type="dxa"/>
            <w:vAlign w:val="bottom"/>
            <w:shd w:val="clear" w:color="auto" w:fill="CCFFCC"/>
          </w:tcPr>
          <w:p>
            <w:pPr>
              <w:spacing w:after="0"/>
              <w:rPr>
                <w:sz w:val="21"/>
                <w:szCs w:val="21"/>
                <w:color w:val="auto"/>
              </w:rPr>
            </w:pP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(1,646)</w:t>
            </w:r>
          </w:p>
        </w:tc>
        <w:tc>
          <w:tcPr>
            <w:tcW w:w="160" w:type="dxa"/>
            <w:vAlign w:val="bottom"/>
            <w:tcBorders>
              <w:right w:val="single" w:sz="8" w:color="CCFFCC"/>
            </w:tcBorders>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0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w w:val="98"/>
              </w:rPr>
              <w:t>($12,490)(6)</w:t>
            </w:r>
          </w:p>
        </w:tc>
        <w:tc>
          <w:tcPr>
            <w:tcW w:w="0" w:type="dxa"/>
            <w:vAlign w:val="bottom"/>
          </w:tcPr>
          <w:p>
            <w:pPr>
              <w:spacing w:after="0"/>
              <w:rPr>
                <w:sz w:val="1"/>
                <w:szCs w:val="1"/>
                <w:color w:val="auto"/>
              </w:rPr>
            </w:pPr>
          </w:p>
        </w:tc>
      </w:tr>
      <w:tr>
        <w:trPr>
          <w:trHeight w:val="20"/>
        </w:trPr>
        <w:tc>
          <w:tcPr>
            <w:tcW w:w="660" w:type="dxa"/>
            <w:vAlign w:val="bottom"/>
            <w:tcBorders>
              <w:top w:val="single" w:sz="8" w:color="CCFFCC"/>
            </w:tcBorders>
            <w:shd w:val="clear" w:color="auto" w:fill="CCFFCC"/>
          </w:tcPr>
          <w:p>
            <w:pPr>
              <w:spacing w:after="0" w:line="20" w:lineRule="exact"/>
              <w:rPr>
                <w:sz w:val="1"/>
                <w:szCs w:val="1"/>
                <w:color w:val="auto"/>
              </w:rPr>
            </w:pPr>
          </w:p>
        </w:tc>
        <w:tc>
          <w:tcPr>
            <w:tcW w:w="338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20" w:type="dxa"/>
            <w:vAlign w:val="bottom"/>
            <w:gridSpan w:val="3"/>
          </w:tcPr>
          <w:p>
            <w:pPr>
              <w:spacing w:after="0"/>
              <w:rPr>
                <w:sz w:val="20"/>
                <w:szCs w:val="20"/>
                <w:color w:val="auto"/>
              </w:rPr>
            </w:pPr>
            <w:r>
              <w:rPr>
                <w:rFonts w:ascii="Arial" w:cs="Arial" w:eastAsia="Arial" w:hAnsi="Arial"/>
                <w:sz w:val="18"/>
                <w:szCs w:val="18"/>
                <w:color w:val="auto"/>
              </w:rPr>
              <w:t>Net (Loss) Income</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(257)</w:t>
            </w:r>
          </w:p>
        </w:tc>
        <w:tc>
          <w:tcPr>
            <w:tcW w:w="640" w:type="dxa"/>
            <w:vAlign w:val="bottom"/>
          </w:tcPr>
          <w:p>
            <w:pPr>
              <w:jc w:val="right"/>
              <w:ind w:right="450"/>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310"/>
              <w:spacing w:after="0"/>
              <w:rPr>
                <w:sz w:val="20"/>
                <w:szCs w:val="20"/>
                <w:color w:val="auto"/>
              </w:rPr>
            </w:pPr>
            <w:r>
              <w:rPr>
                <w:rFonts w:ascii="Arial" w:cs="Arial" w:eastAsia="Arial" w:hAnsi="Arial"/>
                <w:sz w:val="18"/>
                <w:szCs w:val="18"/>
                <w:color w:val="auto"/>
                <w:w w:val="93"/>
              </w:rPr>
              <w:t>4,798(2)$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5,037(3)</w:t>
            </w:r>
          </w:p>
        </w:tc>
        <w:tc>
          <w:tcPr>
            <w:tcW w:w="12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320(4,5)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($ 8,811)(5)</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66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Average Common Shares Outstanding</w:t>
            </w:r>
          </w:p>
        </w:tc>
        <w:tc>
          <w:tcPr>
            <w:tcW w:w="240" w:type="dxa"/>
            <w:vAlign w:val="bottom"/>
            <w:shd w:val="clear" w:color="auto" w:fill="CCFFCC"/>
          </w:tcPr>
          <w:p>
            <w:pPr>
              <w:spacing w:after="0"/>
              <w:rPr>
                <w:sz w:val="21"/>
                <w:szCs w:val="21"/>
                <w:color w:val="auto"/>
              </w:rPr>
            </w:pPr>
          </w:p>
        </w:tc>
        <w:tc>
          <w:tcPr>
            <w:tcW w:w="400" w:type="dxa"/>
            <w:vAlign w:val="bottom"/>
            <w:shd w:val="clear" w:color="auto" w:fill="CCFFCC"/>
          </w:tcPr>
          <w:p>
            <w:pPr>
              <w:spacing w:after="0"/>
              <w:rPr>
                <w:sz w:val="21"/>
                <w:szCs w:val="21"/>
                <w:color w:val="auto"/>
              </w:rPr>
            </w:pPr>
          </w:p>
        </w:tc>
        <w:tc>
          <w:tcPr>
            <w:tcW w:w="440" w:type="dxa"/>
            <w:vAlign w:val="bottom"/>
            <w:tcBorders>
              <w:right w:val="single" w:sz="8" w:color="CCFFCC"/>
            </w:tcBorders>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640" w:type="dxa"/>
            <w:vAlign w:val="bottom"/>
            <w:tcBorders>
              <w:right w:val="single" w:sz="8" w:color="CCFFCC"/>
            </w:tcBorders>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5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7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880" w:type="dxa"/>
            <w:vAlign w:val="bottom"/>
            <w:tcBorders>
              <w:right w:val="single" w:sz="8" w:color="CCFFCC"/>
            </w:tcBorders>
            <w:shd w:val="clear" w:color="auto" w:fill="CCFFCC"/>
          </w:tcPr>
          <w:p>
            <w:pPr>
              <w:spacing w:after="0"/>
              <w:rPr>
                <w:sz w:val="21"/>
                <w:szCs w:val="21"/>
                <w:color w:val="auto"/>
              </w:rPr>
            </w:pPr>
          </w:p>
        </w:tc>
        <w:tc>
          <w:tcPr>
            <w:tcW w:w="160" w:type="dxa"/>
            <w:vAlign w:val="bottom"/>
            <w:tcBorders>
              <w:right w:val="single" w:sz="8" w:color="CCFFCC"/>
            </w:tcBorders>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9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20" w:type="dxa"/>
            <w:vAlign w:val="bottom"/>
            <w:gridSpan w:val="3"/>
          </w:tcPr>
          <w:p>
            <w:pPr>
              <w:ind w:left="500"/>
              <w:spacing w:after="0"/>
              <w:rPr>
                <w:sz w:val="20"/>
                <w:szCs w:val="20"/>
                <w:color w:val="auto"/>
              </w:rPr>
            </w:pPr>
            <w:r>
              <w:rPr>
                <w:rFonts w:ascii="Arial" w:cs="Arial" w:eastAsia="Arial" w:hAnsi="Arial"/>
                <w:sz w:val="18"/>
                <w:szCs w:val="18"/>
                <w:color w:val="auto"/>
              </w:rPr>
              <w:t>Basic</w:t>
            </w:r>
          </w:p>
        </w:tc>
        <w:tc>
          <w:tcPr>
            <w:tcW w:w="240" w:type="dxa"/>
            <w:vAlign w:val="bottom"/>
          </w:tcPr>
          <w:p>
            <w:pPr>
              <w:spacing w:after="0"/>
              <w:rPr>
                <w:sz w:val="21"/>
                <w:szCs w:val="21"/>
                <w:color w:val="auto"/>
              </w:rPr>
            </w:pPr>
          </w:p>
        </w:tc>
        <w:tc>
          <w:tcPr>
            <w:tcW w:w="1680" w:type="dxa"/>
            <w:vAlign w:val="bottom"/>
            <w:gridSpan w:val="4"/>
          </w:tcPr>
          <w:p>
            <w:pPr>
              <w:jc w:val="right"/>
              <w:ind w:right="30"/>
              <w:spacing w:after="0"/>
              <w:rPr>
                <w:sz w:val="20"/>
                <w:szCs w:val="20"/>
                <w:color w:val="auto"/>
              </w:rPr>
            </w:pPr>
            <w:r>
              <w:rPr>
                <w:rFonts w:ascii="Arial" w:cs="Arial" w:eastAsia="Arial" w:hAnsi="Arial"/>
                <w:sz w:val="18"/>
                <w:szCs w:val="18"/>
                <w:color w:val="auto"/>
              </w:rPr>
              <w:t>8,620,776</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8,537,427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8,484,682</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8,374,399</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8,331,785</w:t>
            </w:r>
          </w:p>
        </w:tc>
        <w:tc>
          <w:tcPr>
            <w:tcW w:w="0" w:type="dxa"/>
            <w:vAlign w:val="bottom"/>
          </w:tcPr>
          <w:p>
            <w:pPr>
              <w:spacing w:after="0"/>
              <w:rPr>
                <w:sz w:val="1"/>
                <w:szCs w:val="1"/>
                <w:color w:val="auto"/>
              </w:rPr>
            </w:pPr>
          </w:p>
        </w:tc>
      </w:tr>
      <w:tr>
        <w:trPr>
          <w:trHeight w:val="243"/>
        </w:trPr>
        <w:tc>
          <w:tcPr>
            <w:tcW w:w="4520" w:type="dxa"/>
            <w:vAlign w:val="bottom"/>
            <w:gridSpan w:val="3"/>
            <w:shd w:val="clear" w:color="auto" w:fill="CCFFCC"/>
          </w:tcPr>
          <w:p>
            <w:pPr>
              <w:ind w:left="500"/>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CFFCC"/>
          </w:tcPr>
          <w:p>
            <w:pPr>
              <w:spacing w:after="0"/>
              <w:rPr>
                <w:sz w:val="21"/>
                <w:szCs w:val="21"/>
                <w:color w:val="auto"/>
              </w:rPr>
            </w:pPr>
          </w:p>
        </w:tc>
        <w:tc>
          <w:tcPr>
            <w:tcW w:w="1680" w:type="dxa"/>
            <w:vAlign w:val="bottom"/>
            <w:tcBorders>
              <w:right w:val="single" w:sz="8" w:color="CCFFCC"/>
            </w:tcBorders>
            <w:gridSpan w:val="4"/>
            <w:shd w:val="clear" w:color="auto" w:fill="CCFFCC"/>
          </w:tcPr>
          <w:p>
            <w:pPr>
              <w:jc w:val="right"/>
              <w:ind w:right="30"/>
              <w:spacing w:after="0"/>
              <w:rPr>
                <w:sz w:val="20"/>
                <w:szCs w:val="20"/>
                <w:color w:val="auto"/>
              </w:rPr>
            </w:pPr>
            <w:r>
              <w:rPr>
                <w:rFonts w:ascii="Arial" w:cs="Arial" w:eastAsia="Arial" w:hAnsi="Arial"/>
                <w:sz w:val="18"/>
                <w:szCs w:val="18"/>
                <w:color w:val="auto"/>
              </w:rPr>
              <w:t>8,620,776</w:t>
            </w:r>
          </w:p>
        </w:tc>
        <w:tc>
          <w:tcPr>
            <w:tcW w:w="114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8,690,617</w:t>
            </w:r>
          </w:p>
        </w:tc>
        <w:tc>
          <w:tcPr>
            <w:tcW w:w="120" w:type="dxa"/>
            <w:vAlign w:val="bottom"/>
            <w:shd w:val="clear" w:color="auto" w:fill="CCFFCC"/>
          </w:tcPr>
          <w:p>
            <w:pPr>
              <w:spacing w:after="0"/>
              <w:rPr>
                <w:sz w:val="21"/>
                <w:szCs w:val="21"/>
                <w:color w:val="auto"/>
              </w:rPr>
            </w:pPr>
          </w:p>
        </w:tc>
        <w:tc>
          <w:tcPr>
            <w:tcW w:w="240" w:type="dxa"/>
            <w:vAlign w:val="bottom"/>
            <w:shd w:val="clear" w:color="auto" w:fill="CCFFCC"/>
          </w:tcPr>
          <w:p>
            <w:pPr>
              <w:spacing w:after="0"/>
              <w:rPr>
                <w:sz w:val="21"/>
                <w:szCs w:val="21"/>
                <w:color w:val="auto"/>
              </w:rPr>
            </w:pPr>
          </w:p>
        </w:tc>
        <w:tc>
          <w:tcPr>
            <w:tcW w:w="10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8,684,758</w:t>
            </w:r>
          </w:p>
        </w:tc>
        <w:tc>
          <w:tcPr>
            <w:tcW w:w="240" w:type="dxa"/>
            <w:vAlign w:val="bottom"/>
            <w:shd w:val="clear" w:color="auto" w:fill="CCFFCC"/>
          </w:tcPr>
          <w:p>
            <w:pPr>
              <w:spacing w:after="0"/>
              <w:rPr>
                <w:sz w:val="21"/>
                <w:szCs w:val="21"/>
                <w:color w:val="auto"/>
              </w:rPr>
            </w:pPr>
          </w:p>
        </w:tc>
        <w:tc>
          <w:tcPr>
            <w:tcW w:w="8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8,542,575</w:t>
            </w:r>
          </w:p>
        </w:tc>
        <w:tc>
          <w:tcPr>
            <w:tcW w:w="160" w:type="dxa"/>
            <w:vAlign w:val="bottom"/>
            <w:tcBorders>
              <w:right w:val="single" w:sz="8" w:color="CCFFCC"/>
            </w:tcBorders>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8,331,785</w:t>
            </w:r>
          </w:p>
        </w:tc>
        <w:tc>
          <w:tcPr>
            <w:tcW w:w="0" w:type="dxa"/>
            <w:vAlign w:val="bottom"/>
          </w:tcPr>
          <w:p>
            <w:pPr>
              <w:spacing w:after="0"/>
              <w:rPr>
                <w:sz w:val="1"/>
                <w:szCs w:val="1"/>
                <w:color w:val="auto"/>
              </w:rPr>
            </w:pPr>
          </w:p>
        </w:tc>
      </w:tr>
      <w:tr>
        <w:trPr>
          <w:trHeight w:val="243"/>
        </w:trPr>
        <w:tc>
          <w:tcPr>
            <w:tcW w:w="4520" w:type="dxa"/>
            <w:vAlign w:val="bottom"/>
            <w:gridSpan w:val="3"/>
          </w:tcPr>
          <w:p>
            <w:pPr>
              <w:spacing w:after="0"/>
              <w:rPr>
                <w:sz w:val="20"/>
                <w:szCs w:val="20"/>
                <w:color w:val="auto"/>
              </w:rPr>
            </w:pPr>
            <w:r>
              <w:rPr>
                <w:rFonts w:ascii="Arial" w:cs="Arial" w:eastAsia="Arial" w:hAnsi="Arial"/>
                <w:sz w:val="18"/>
                <w:szCs w:val="18"/>
                <w:color w:val="auto"/>
              </w:rPr>
              <w:t>Earnings (Loss) per Common Share</w:t>
            </w:r>
          </w:p>
        </w:tc>
        <w:tc>
          <w:tcPr>
            <w:tcW w:w="2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520" w:type="dxa"/>
            <w:vAlign w:val="bottom"/>
            <w:gridSpan w:val="3"/>
            <w:shd w:val="clear" w:color="auto" w:fill="CCFFCC"/>
          </w:tcPr>
          <w:p>
            <w:pPr>
              <w:ind w:left="50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FFCC"/>
          </w:tcPr>
          <w:p>
            <w:pPr>
              <w:spacing w:after="0"/>
              <w:rPr>
                <w:sz w:val="22"/>
                <w:szCs w:val="22"/>
                <w:color w:val="auto"/>
              </w:rPr>
            </w:pPr>
          </w:p>
        </w:tc>
        <w:tc>
          <w:tcPr>
            <w:tcW w:w="400" w:type="dxa"/>
            <w:vAlign w:val="bottom"/>
            <w:shd w:val="clear" w:color="auto" w:fill="CCFFCC"/>
          </w:tcPr>
          <w:p>
            <w:pPr>
              <w:spacing w:after="0"/>
              <w:rPr>
                <w:sz w:val="22"/>
                <w:szCs w:val="22"/>
                <w:color w:val="auto"/>
              </w:rPr>
            </w:pPr>
          </w:p>
        </w:tc>
        <w:tc>
          <w:tcPr>
            <w:tcW w:w="440" w:type="dxa"/>
            <w:vAlign w:val="bottom"/>
            <w:tcBorders>
              <w:right w:val="single" w:sz="8" w:color="CCFFCC"/>
            </w:tcBorders>
            <w:shd w:val="clear" w:color="auto" w:fill="CCFFCC"/>
          </w:tcPr>
          <w:p>
            <w:pPr>
              <w:spacing w:after="0"/>
              <w:rPr>
                <w:sz w:val="22"/>
                <w:szCs w:val="22"/>
                <w:color w:val="auto"/>
              </w:rPr>
            </w:pPr>
          </w:p>
        </w:tc>
        <w:tc>
          <w:tcPr>
            <w:tcW w:w="200" w:type="dxa"/>
            <w:vAlign w:val="bottom"/>
            <w:shd w:val="clear" w:color="auto" w:fill="CCFFCC"/>
          </w:tcPr>
          <w:p>
            <w:pPr>
              <w:spacing w:after="0"/>
              <w:rPr>
                <w:sz w:val="22"/>
                <w:szCs w:val="22"/>
                <w:color w:val="auto"/>
              </w:rPr>
            </w:pPr>
          </w:p>
        </w:tc>
        <w:tc>
          <w:tcPr>
            <w:tcW w:w="6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0"/>
              </w:rPr>
              <w:t>($ 0.03)</w:t>
            </w:r>
          </w:p>
        </w:tc>
        <w:tc>
          <w:tcPr>
            <w:tcW w:w="420" w:type="dxa"/>
            <w:vAlign w:val="bottom"/>
            <w:shd w:val="clear" w:color="auto" w:fill="CCFFCC"/>
          </w:tcPr>
          <w:p>
            <w:pPr>
              <w:jc w:val="right"/>
              <w:ind w:right="256"/>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FFCC"/>
          </w:tcPr>
          <w:p>
            <w:pPr>
              <w:spacing w:after="0"/>
              <w:rPr>
                <w:sz w:val="22"/>
                <w:szCs w:val="22"/>
                <w:color w:val="auto"/>
              </w:rPr>
            </w:pPr>
          </w:p>
        </w:tc>
        <w:tc>
          <w:tcPr>
            <w:tcW w:w="6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0.56</w:t>
            </w: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0.59</w:t>
            </w: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0.04(5)</w:t>
            </w:r>
          </w:p>
        </w:tc>
        <w:tc>
          <w:tcPr>
            <w:tcW w:w="160" w:type="dxa"/>
            <w:vAlign w:val="bottom"/>
            <w:shd w:val="clear" w:color="auto" w:fill="CCFFCC"/>
          </w:tcPr>
          <w:p>
            <w:pPr>
              <w:spacing w:after="0"/>
              <w:rPr>
                <w:sz w:val="22"/>
                <w:szCs w:val="22"/>
                <w:color w:val="auto"/>
              </w:rPr>
            </w:pPr>
          </w:p>
        </w:tc>
        <w:tc>
          <w:tcPr>
            <w:tcW w:w="10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($ 1.06)</w:t>
            </w:r>
          </w:p>
        </w:tc>
        <w:tc>
          <w:tcPr>
            <w:tcW w:w="0" w:type="dxa"/>
            <w:vAlign w:val="bottom"/>
          </w:tcPr>
          <w:p>
            <w:pPr>
              <w:spacing w:after="0"/>
              <w:rPr>
                <w:sz w:val="1"/>
                <w:szCs w:val="1"/>
                <w:color w:val="auto"/>
              </w:rPr>
            </w:pPr>
          </w:p>
        </w:tc>
      </w:tr>
      <w:tr>
        <w:trPr>
          <w:trHeight w:val="20"/>
        </w:trPr>
        <w:tc>
          <w:tcPr>
            <w:tcW w:w="660" w:type="dxa"/>
            <w:vAlign w:val="bottom"/>
            <w:tcBorders>
              <w:top w:val="single" w:sz="8" w:color="CCFFCC"/>
            </w:tcBorders>
            <w:shd w:val="clear" w:color="auto" w:fill="CCFFCC"/>
          </w:tcPr>
          <w:p>
            <w:pPr>
              <w:spacing w:after="0" w:line="20" w:lineRule="exact"/>
              <w:rPr>
                <w:sz w:val="1"/>
                <w:szCs w:val="1"/>
                <w:color w:val="auto"/>
              </w:rPr>
            </w:pPr>
          </w:p>
        </w:tc>
        <w:tc>
          <w:tcPr>
            <w:tcW w:w="3380" w:type="dxa"/>
            <w:vAlign w:val="bottom"/>
            <w:tcBorders>
              <w:top w:val="single" w:sz="8" w:color="CCFFCC"/>
            </w:tcBorders>
            <w:shd w:val="clear" w:color="auto" w:fill="CCFFCC"/>
          </w:tcPr>
          <w:p>
            <w:pPr>
              <w:spacing w:after="0" w:line="20" w:lineRule="exact"/>
              <w:rPr>
                <w:sz w:val="1"/>
                <w:szCs w:val="1"/>
                <w:color w:val="auto"/>
              </w:rPr>
            </w:pPr>
          </w:p>
        </w:tc>
        <w:tc>
          <w:tcPr>
            <w:tcW w:w="48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40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right w:val="single" w:sz="8" w:color="auto"/>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20" w:type="dxa"/>
            <w:vAlign w:val="bottom"/>
            <w:gridSpan w:val="3"/>
          </w:tcPr>
          <w:p>
            <w:pPr>
              <w:ind w:left="50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0"/>
              </w:rPr>
              <w:t>($ 0.03)</w:t>
            </w:r>
          </w:p>
        </w:tc>
        <w:tc>
          <w:tcPr>
            <w:tcW w:w="420" w:type="dxa"/>
            <w:vAlign w:val="bottom"/>
          </w:tcPr>
          <w:p>
            <w:pPr>
              <w:jc w:val="right"/>
              <w:ind w:right="256"/>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19"/>
                <w:szCs w:val="19"/>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0.55</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0.58</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0.04(5)</w:t>
            </w:r>
          </w:p>
        </w:tc>
        <w:tc>
          <w:tcPr>
            <w:tcW w:w="16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($ 1.06)</w:t>
            </w:r>
          </w:p>
        </w:tc>
        <w:tc>
          <w:tcPr>
            <w:tcW w:w="0" w:type="dxa"/>
            <w:vAlign w:val="bottom"/>
          </w:tcPr>
          <w:p>
            <w:pPr>
              <w:spacing w:after="0"/>
              <w:rPr>
                <w:sz w:val="1"/>
                <w:szCs w:val="1"/>
                <w:color w:val="auto"/>
              </w:rPr>
            </w:pPr>
          </w:p>
        </w:tc>
      </w:tr>
      <w:tr>
        <w:trPr>
          <w:trHeight w:val="20"/>
        </w:trPr>
        <w:tc>
          <w:tcPr>
            <w:tcW w:w="4520" w:type="dxa"/>
            <w:vAlign w:val="bottom"/>
            <w:gridSpan w:val="3"/>
            <w:vMerge w:val="restart"/>
          </w:tcPr>
          <w:p>
            <w:pPr>
              <w:ind w:left="660"/>
              <w:spacing w:after="0"/>
              <w:rPr>
                <w:sz w:val="20"/>
                <w:szCs w:val="20"/>
                <w:color w:val="auto"/>
              </w:rPr>
            </w:pPr>
            <w:r>
              <w:rPr>
                <w:rFonts w:ascii="Arial" w:cs="Arial" w:eastAsia="Arial" w:hAnsi="Arial"/>
                <w:sz w:val="18"/>
                <w:szCs w:val="18"/>
                <w:color w:val="auto"/>
              </w:rPr>
              <w:t>CONSOLIDATED BALANCE SHEET DATA</w:t>
            </w: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52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660" w:type="dxa"/>
            <w:vAlign w:val="bottom"/>
          </w:tcPr>
          <w:p>
            <w:pPr>
              <w:spacing w:after="0"/>
              <w:rPr>
                <w:sz w:val="24"/>
                <w:szCs w:val="24"/>
                <w:color w:val="auto"/>
              </w:rPr>
            </w:pPr>
          </w:p>
        </w:tc>
        <w:tc>
          <w:tcPr>
            <w:tcW w:w="3380" w:type="dxa"/>
            <w:vAlign w:val="bottom"/>
            <w:tcBorders>
              <w:top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5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FFCC"/>
          </w:tcPr>
          <w:p>
            <w:pPr>
              <w:spacing w:after="0"/>
              <w:rPr>
                <w:sz w:val="24"/>
                <w:szCs w:val="24"/>
                <w:color w:val="auto"/>
              </w:rPr>
            </w:pPr>
          </w:p>
        </w:tc>
        <w:tc>
          <w:tcPr>
            <w:tcW w:w="840" w:type="dxa"/>
            <w:vAlign w:val="bottom"/>
            <w:tcBorders>
              <w:right w:val="single" w:sz="8" w:color="CCFFCC"/>
            </w:tcBorders>
            <w:gridSpan w:val="2"/>
            <w:shd w:val="clear" w:color="auto" w:fill="CCFFCC"/>
          </w:tcPr>
          <w:p>
            <w:pPr>
              <w:jc w:val="right"/>
              <w:ind w:right="2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24"/>
                <w:szCs w:val="24"/>
                <w:color w:val="auto"/>
              </w:rPr>
            </w:pPr>
          </w:p>
        </w:tc>
        <w:tc>
          <w:tcPr>
            <w:tcW w:w="640" w:type="dxa"/>
            <w:vAlign w:val="bottom"/>
            <w:tcBorders>
              <w:right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w w:val="90"/>
              </w:rPr>
              <w:t>93,826</w:t>
            </w:r>
          </w:p>
        </w:tc>
        <w:tc>
          <w:tcPr>
            <w:tcW w:w="420" w:type="dxa"/>
            <w:vAlign w:val="bottom"/>
            <w:shd w:val="clear" w:color="auto" w:fill="CCFFCC"/>
          </w:tcPr>
          <w:p>
            <w:pPr>
              <w:jc w:val="right"/>
              <w:ind w:right="256"/>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FFCC"/>
          </w:tcPr>
          <w:p>
            <w:pPr>
              <w:spacing w:after="0"/>
              <w:rPr>
                <w:sz w:val="24"/>
                <w:szCs w:val="24"/>
                <w:color w:val="auto"/>
              </w:rPr>
            </w:pPr>
          </w:p>
        </w:tc>
        <w:tc>
          <w:tcPr>
            <w:tcW w:w="6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87"/>
              </w:rPr>
              <w:t>86,741</w:t>
            </w: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88,374</w:t>
            </w: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1200" w:type="dxa"/>
            <w:vAlign w:val="bottom"/>
            <w:gridSpan w:val="3"/>
            <w:shd w:val="clear" w:color="auto" w:fill="CCFFCC"/>
          </w:tcPr>
          <w:p>
            <w:pPr>
              <w:jc w:val="right"/>
              <w:ind w:right="70"/>
              <w:spacing w:after="0"/>
              <w:rPr>
                <w:sz w:val="20"/>
                <w:szCs w:val="20"/>
                <w:color w:val="auto"/>
              </w:rPr>
            </w:pPr>
            <w:r>
              <w:rPr>
                <w:rFonts w:ascii="Arial" w:cs="Arial" w:eastAsia="Arial" w:hAnsi="Arial"/>
                <w:sz w:val="18"/>
                <w:szCs w:val="18"/>
                <w:color w:val="auto"/>
              </w:rPr>
              <w:t>92,867(7) $</w:t>
            </w:r>
          </w:p>
        </w:tc>
        <w:tc>
          <w:tcPr>
            <w:tcW w:w="10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85,778(7)</w:t>
            </w:r>
          </w:p>
        </w:tc>
        <w:tc>
          <w:tcPr>
            <w:tcW w:w="0" w:type="dxa"/>
            <w:vAlign w:val="bottom"/>
          </w:tcPr>
          <w:p>
            <w:pPr>
              <w:spacing w:after="0"/>
              <w:rPr>
                <w:sz w:val="1"/>
                <w:szCs w:val="1"/>
                <w:color w:val="auto"/>
              </w:rPr>
            </w:pPr>
          </w:p>
        </w:tc>
      </w:tr>
      <w:tr>
        <w:trPr>
          <w:trHeight w:val="224"/>
        </w:trPr>
        <w:tc>
          <w:tcPr>
            <w:tcW w:w="4520" w:type="dxa"/>
            <w:vAlign w:val="bottom"/>
            <w:tcBorders>
              <w:top w:val="single" w:sz="8" w:color="CCFFCC"/>
            </w:tcBorders>
            <w:gridSpan w:val="3"/>
          </w:tcPr>
          <w:p>
            <w:pPr>
              <w:spacing w:after="0"/>
              <w:rPr>
                <w:sz w:val="20"/>
                <w:szCs w:val="20"/>
                <w:color w:val="auto"/>
              </w:rPr>
            </w:pPr>
            <w:r>
              <w:rPr>
                <w:rFonts w:ascii="Arial" w:cs="Arial" w:eastAsia="Arial" w:hAnsi="Arial"/>
                <w:sz w:val="18"/>
                <w:szCs w:val="18"/>
                <w:color w:val="auto"/>
              </w:rPr>
              <w:t>Long-Term Obligations</w:t>
            </w:r>
          </w:p>
        </w:tc>
        <w:tc>
          <w:tcPr>
            <w:tcW w:w="240" w:type="dxa"/>
            <w:vAlign w:val="bottom"/>
            <w:tcBorders>
              <w:top w:val="single" w:sz="8" w:color="CCFFCC"/>
            </w:tcBorders>
          </w:tcPr>
          <w:p>
            <w:pPr>
              <w:spacing w:after="0"/>
              <w:rPr>
                <w:sz w:val="19"/>
                <w:szCs w:val="19"/>
                <w:color w:val="auto"/>
              </w:rPr>
            </w:pPr>
          </w:p>
        </w:tc>
        <w:tc>
          <w:tcPr>
            <w:tcW w:w="400" w:type="dxa"/>
            <w:vAlign w:val="bottom"/>
            <w:tcBorders>
              <w:top w:val="single" w:sz="8" w:color="CCFFCC"/>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120" w:type="dxa"/>
            <w:vAlign w:val="bottom"/>
            <w:tcBorders>
              <w:top w:val="single" w:sz="8" w:color="CCFFC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CCFFC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60" w:type="dxa"/>
            <w:vAlign w:val="bottom"/>
            <w:tcBorders>
              <w:top w:val="single" w:sz="8" w:color="CCFFC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520" w:type="dxa"/>
            <w:vAlign w:val="bottom"/>
            <w:gridSpan w:val="3"/>
          </w:tcPr>
          <w:p>
            <w:pPr>
              <w:ind w:left="340"/>
              <w:spacing w:after="0"/>
              <w:rPr>
                <w:sz w:val="20"/>
                <w:szCs w:val="20"/>
                <w:color w:val="auto"/>
              </w:rPr>
            </w:pPr>
            <w:r>
              <w:rPr>
                <w:rFonts w:ascii="Arial" w:cs="Arial" w:eastAsia="Arial" w:hAnsi="Arial"/>
                <w:sz w:val="18"/>
                <w:szCs w:val="18"/>
                <w:color w:val="auto"/>
              </w:rPr>
              <w:t>and Deferred Items</w:t>
            </w:r>
          </w:p>
        </w:tc>
        <w:tc>
          <w:tcPr>
            <w:tcW w:w="240" w:type="dxa"/>
            <w:vAlign w:val="bottom"/>
          </w:tcPr>
          <w:p>
            <w:pPr>
              <w:spacing w:after="0"/>
              <w:rPr>
                <w:sz w:val="21"/>
                <w:szCs w:val="21"/>
                <w:color w:val="auto"/>
              </w:rPr>
            </w:pPr>
          </w:p>
        </w:tc>
        <w:tc>
          <w:tcPr>
            <w:tcW w:w="84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9,311</w:t>
            </w:r>
          </w:p>
        </w:tc>
        <w:tc>
          <w:tcPr>
            <w:tcW w:w="420" w:type="dxa"/>
            <w:vAlign w:val="bottom"/>
          </w:tcPr>
          <w:p>
            <w:pPr>
              <w:jc w:val="right"/>
              <w:ind w:right="256"/>
              <w:spacing w:after="0"/>
              <w:rPr>
                <w:sz w:val="20"/>
                <w:szCs w:val="20"/>
                <w:color w:val="auto"/>
              </w:rPr>
            </w:pPr>
            <w:r>
              <w:rPr>
                <w:rFonts w:ascii="Arial" w:cs="Arial" w:eastAsia="Arial" w:hAnsi="Arial"/>
                <w:sz w:val="15"/>
                <w:szCs w:val="15"/>
                <w:color w:val="auto"/>
                <w:w w:val="71"/>
              </w:rPr>
              <w:t>$</w:t>
            </w:r>
          </w:p>
        </w:tc>
        <w:tc>
          <w:tcPr>
            <w:tcW w:w="220" w:type="dxa"/>
            <w:vAlign w:val="bottom"/>
          </w:tcPr>
          <w:p>
            <w:pPr>
              <w:spacing w:after="0"/>
              <w:rPr>
                <w:sz w:val="21"/>
                <w:szCs w:val="2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9,120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jc w:val="right"/>
              <w:ind w:right="120"/>
              <w:spacing w:after="0"/>
              <w:rPr>
                <w:sz w:val="20"/>
                <w:szCs w:val="20"/>
                <w:color w:val="auto"/>
              </w:rPr>
            </w:pPr>
            <w:r>
              <w:rPr>
                <w:rFonts w:ascii="Arial" w:cs="Arial" w:eastAsia="Arial" w:hAnsi="Arial"/>
                <w:sz w:val="18"/>
                <w:szCs w:val="18"/>
                <w:color w:val="auto"/>
              </w:rPr>
              <w:t>9,337</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17,609</w:t>
            </w:r>
          </w:p>
        </w:tc>
        <w:tc>
          <w:tcPr>
            <w:tcW w:w="160" w:type="dxa"/>
            <w:vAlign w:val="bottom"/>
          </w:tcPr>
          <w:p>
            <w:pPr>
              <w:jc w:val="right"/>
              <w:ind w:right="70"/>
              <w:spacing w:after="0"/>
              <w:rPr>
                <w:sz w:val="20"/>
                <w:szCs w:val="20"/>
                <w:color w:val="auto"/>
              </w:rPr>
            </w:pPr>
            <w:r>
              <w:rPr>
                <w:rFonts w:ascii="Arial" w:cs="Arial" w:eastAsia="Arial" w:hAnsi="Arial"/>
                <w:sz w:val="5"/>
                <w:szCs w:val="5"/>
                <w:color w:val="auto"/>
                <w:w w:val="70"/>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17,903</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2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Cash dividend declared</w:t>
            </w:r>
          </w:p>
        </w:tc>
        <w:tc>
          <w:tcPr>
            <w:tcW w:w="240" w:type="dxa"/>
            <w:vAlign w:val="bottom"/>
            <w:shd w:val="clear" w:color="auto" w:fill="CCFFCC"/>
          </w:tcPr>
          <w:p>
            <w:pPr>
              <w:spacing w:after="0"/>
              <w:rPr>
                <w:sz w:val="19"/>
                <w:szCs w:val="19"/>
                <w:color w:val="auto"/>
              </w:rPr>
            </w:pPr>
          </w:p>
        </w:tc>
        <w:tc>
          <w:tcPr>
            <w:tcW w:w="400" w:type="dxa"/>
            <w:vAlign w:val="bottom"/>
            <w:shd w:val="clear" w:color="auto" w:fill="CCFFCC"/>
          </w:tcPr>
          <w:p>
            <w:pPr>
              <w:spacing w:after="0"/>
              <w:rPr>
                <w:sz w:val="19"/>
                <w:szCs w:val="19"/>
                <w:color w:val="auto"/>
              </w:rPr>
            </w:pPr>
          </w:p>
        </w:tc>
        <w:tc>
          <w:tcPr>
            <w:tcW w:w="440" w:type="dxa"/>
            <w:vAlign w:val="bottom"/>
            <w:tcBorders>
              <w:right w:val="single" w:sz="8" w:color="CCFFCC"/>
            </w:tcBorders>
            <w:shd w:val="clear" w:color="auto" w:fill="CCFFCC"/>
          </w:tcPr>
          <w:p>
            <w:pPr>
              <w:spacing w:after="0"/>
              <w:rPr>
                <w:sz w:val="19"/>
                <w:szCs w:val="19"/>
                <w:color w:val="auto"/>
              </w:rPr>
            </w:pPr>
          </w:p>
        </w:tc>
        <w:tc>
          <w:tcPr>
            <w:tcW w:w="200" w:type="dxa"/>
            <w:vAlign w:val="bottom"/>
            <w:shd w:val="clear" w:color="auto" w:fill="CCFFCC"/>
          </w:tcPr>
          <w:p>
            <w:pPr>
              <w:spacing w:after="0"/>
              <w:rPr>
                <w:sz w:val="19"/>
                <w:szCs w:val="19"/>
                <w:color w:val="auto"/>
              </w:rPr>
            </w:pPr>
          </w:p>
        </w:tc>
        <w:tc>
          <w:tcPr>
            <w:tcW w:w="640" w:type="dxa"/>
            <w:vAlign w:val="bottom"/>
            <w:tcBorders>
              <w:right w:val="single" w:sz="8" w:color="CCFFCC"/>
            </w:tcBorders>
            <w:shd w:val="clear" w:color="auto" w:fill="CCFFCC"/>
          </w:tcPr>
          <w:p>
            <w:pPr>
              <w:spacing w:after="0"/>
              <w:rPr>
                <w:sz w:val="19"/>
                <w:szCs w:val="19"/>
                <w:color w:val="auto"/>
              </w:rPr>
            </w:pPr>
          </w:p>
        </w:tc>
        <w:tc>
          <w:tcPr>
            <w:tcW w:w="42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5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7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240" w:type="dxa"/>
            <w:vAlign w:val="bottom"/>
            <w:shd w:val="clear" w:color="auto" w:fill="CCFFCC"/>
          </w:tcPr>
          <w:p>
            <w:pPr>
              <w:spacing w:after="0"/>
              <w:rPr>
                <w:sz w:val="19"/>
                <w:szCs w:val="19"/>
                <w:color w:val="auto"/>
              </w:rPr>
            </w:pPr>
          </w:p>
        </w:tc>
        <w:tc>
          <w:tcPr>
            <w:tcW w:w="880" w:type="dxa"/>
            <w:vAlign w:val="bottom"/>
            <w:tcBorders>
              <w:right w:val="single" w:sz="8" w:color="CCFFCC"/>
            </w:tcBorders>
            <w:shd w:val="clear" w:color="auto" w:fill="CCFFCC"/>
          </w:tcPr>
          <w:p>
            <w:pPr>
              <w:spacing w:after="0"/>
              <w:rPr>
                <w:sz w:val="19"/>
                <w:szCs w:val="19"/>
                <w:color w:val="auto"/>
              </w:rPr>
            </w:pPr>
          </w:p>
        </w:tc>
        <w:tc>
          <w:tcPr>
            <w:tcW w:w="160" w:type="dxa"/>
            <w:vAlign w:val="bottom"/>
            <w:tcBorders>
              <w:right w:val="single" w:sz="8" w:color="CCFFCC"/>
            </w:tcBorders>
            <w:shd w:val="clear" w:color="auto" w:fill="CCFFCC"/>
          </w:tcPr>
          <w:p>
            <w:pPr>
              <w:spacing w:after="0"/>
              <w:rPr>
                <w:sz w:val="19"/>
                <w:szCs w:val="19"/>
                <w:color w:val="auto"/>
              </w:rPr>
            </w:pPr>
          </w:p>
        </w:tc>
        <w:tc>
          <w:tcPr>
            <w:tcW w:w="160" w:type="dxa"/>
            <w:vAlign w:val="bottom"/>
            <w:shd w:val="clear" w:color="auto" w:fill="CCFFCC"/>
          </w:tcPr>
          <w:p>
            <w:pPr>
              <w:spacing w:after="0"/>
              <w:rPr>
                <w:sz w:val="19"/>
                <w:szCs w:val="19"/>
                <w:color w:val="auto"/>
              </w:rPr>
            </w:pPr>
          </w:p>
        </w:tc>
        <w:tc>
          <w:tcPr>
            <w:tcW w:w="9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4520" w:type="dxa"/>
            <w:vAlign w:val="bottom"/>
            <w:gridSpan w:val="3"/>
            <w:shd w:val="clear" w:color="auto" w:fill="CCFFCC"/>
          </w:tcPr>
          <w:p>
            <w:pPr>
              <w:ind w:left="340"/>
              <w:spacing w:after="0"/>
              <w:rPr>
                <w:sz w:val="20"/>
                <w:szCs w:val="20"/>
                <w:color w:val="auto"/>
              </w:rPr>
            </w:pPr>
            <w:r>
              <w:rPr>
                <w:rFonts w:ascii="Arial" w:cs="Arial" w:eastAsia="Arial" w:hAnsi="Arial"/>
                <w:sz w:val="18"/>
                <w:szCs w:val="18"/>
                <w:color w:val="auto"/>
              </w:rPr>
              <w:t>per common share</w:t>
            </w:r>
          </w:p>
        </w:tc>
        <w:tc>
          <w:tcPr>
            <w:tcW w:w="240" w:type="dxa"/>
            <w:vAlign w:val="bottom"/>
            <w:shd w:val="clear" w:color="auto" w:fill="CCFFCC"/>
          </w:tcPr>
          <w:p>
            <w:pPr>
              <w:spacing w:after="0"/>
              <w:rPr>
                <w:sz w:val="24"/>
                <w:szCs w:val="24"/>
                <w:color w:val="auto"/>
              </w:rPr>
            </w:pPr>
          </w:p>
        </w:tc>
        <w:tc>
          <w:tcPr>
            <w:tcW w:w="840" w:type="dxa"/>
            <w:vAlign w:val="bottom"/>
            <w:tcBorders>
              <w:right w:val="single" w:sz="8" w:color="CCFFCC"/>
            </w:tcBorders>
            <w:gridSpan w:val="2"/>
            <w:shd w:val="clear" w:color="auto" w:fill="CCFFCC"/>
          </w:tcPr>
          <w:p>
            <w:pPr>
              <w:jc w:val="right"/>
              <w:ind w:right="27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24"/>
                <w:szCs w:val="24"/>
                <w:color w:val="auto"/>
              </w:rPr>
            </w:pPr>
          </w:p>
        </w:tc>
        <w:tc>
          <w:tcPr>
            <w:tcW w:w="640" w:type="dxa"/>
            <w:vAlign w:val="bottom"/>
            <w:tcBorders>
              <w:right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0.20</w:t>
            </w:r>
          </w:p>
        </w:tc>
        <w:tc>
          <w:tcPr>
            <w:tcW w:w="420" w:type="dxa"/>
            <w:vAlign w:val="bottom"/>
            <w:shd w:val="clear" w:color="auto" w:fill="CCFFCC"/>
          </w:tcPr>
          <w:p>
            <w:pPr>
              <w:jc w:val="right"/>
              <w:ind w:right="256"/>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FFCC"/>
          </w:tcPr>
          <w:p>
            <w:pPr>
              <w:spacing w:after="0"/>
              <w:rPr>
                <w:sz w:val="24"/>
                <w:szCs w:val="24"/>
                <w:color w:val="auto"/>
              </w:rPr>
            </w:pPr>
          </w:p>
        </w:tc>
        <w:tc>
          <w:tcPr>
            <w:tcW w:w="6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0.20</w:t>
            </w: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gridSpan w:val="3"/>
            <w:shd w:val="clear" w:color="auto" w:fill="CCFFCC"/>
          </w:tcPr>
          <w:p>
            <w:pPr>
              <w:jc w:val="right"/>
              <w:ind w:right="120"/>
              <w:spacing w:after="0"/>
              <w:rPr>
                <w:sz w:val="20"/>
                <w:szCs w:val="20"/>
                <w:color w:val="auto"/>
              </w:rPr>
            </w:pPr>
            <w:r>
              <w:rPr>
                <w:rFonts w:ascii="Arial" w:cs="Arial" w:eastAsia="Arial" w:hAnsi="Arial"/>
                <w:sz w:val="18"/>
                <w:szCs w:val="18"/>
                <w:color w:val="auto"/>
              </w:rPr>
              <w:t>0.20</w:t>
            </w:r>
          </w:p>
        </w:tc>
        <w:tc>
          <w:tcPr>
            <w:tcW w:w="240" w:type="dxa"/>
            <w:vAlign w:val="bottom"/>
            <w:shd w:val="clear" w:color="auto" w:fill="CCFFCC"/>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tcBorders>
              <w:right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0.20</w:t>
            </w:r>
          </w:p>
        </w:tc>
        <w:tc>
          <w:tcPr>
            <w:tcW w:w="160" w:type="dxa"/>
            <w:vAlign w:val="bottom"/>
            <w:shd w:val="clear" w:color="auto" w:fill="CCFFCC"/>
          </w:tcPr>
          <w:p>
            <w:pPr>
              <w:jc w:val="right"/>
              <w:ind w:right="70"/>
              <w:spacing w:after="0"/>
              <w:rPr>
                <w:sz w:val="20"/>
                <w:szCs w:val="20"/>
                <w:color w:val="auto"/>
              </w:rPr>
            </w:pPr>
            <w:r>
              <w:rPr>
                <w:rFonts w:ascii="Arial" w:cs="Arial" w:eastAsia="Arial" w:hAnsi="Arial"/>
                <w:sz w:val="5"/>
                <w:szCs w:val="5"/>
                <w:color w:val="auto"/>
                <w:w w:val="70"/>
              </w:rPr>
              <w:t>$</w:t>
            </w:r>
          </w:p>
        </w:tc>
        <w:tc>
          <w:tcPr>
            <w:tcW w:w="10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467"/>
        </w:trPr>
        <w:tc>
          <w:tcPr>
            <w:tcW w:w="660" w:type="dxa"/>
            <w:vAlign w:val="bottom"/>
            <w:tcBorders>
              <w:top w:val="single" w:sz="8" w:color="CCFFCC"/>
            </w:tcBorders>
          </w:tcPr>
          <w:p>
            <w:pPr>
              <w:spacing w:after="0"/>
              <w:rPr>
                <w:sz w:val="24"/>
                <w:szCs w:val="24"/>
                <w:color w:val="auto"/>
              </w:rPr>
            </w:pPr>
          </w:p>
        </w:tc>
        <w:tc>
          <w:tcPr>
            <w:tcW w:w="3380" w:type="dxa"/>
            <w:vAlign w:val="bottom"/>
            <w:tcBorders>
              <w:top w:val="single" w:sz="8" w:color="CCFFCC"/>
            </w:tcBorders>
          </w:tcPr>
          <w:p>
            <w:pPr>
              <w:spacing w:after="0"/>
              <w:rPr>
                <w:sz w:val="24"/>
                <w:szCs w:val="24"/>
                <w:color w:val="auto"/>
              </w:rPr>
            </w:pPr>
          </w:p>
        </w:tc>
        <w:tc>
          <w:tcPr>
            <w:tcW w:w="480" w:type="dxa"/>
            <w:vAlign w:val="bottom"/>
            <w:tcBorders>
              <w:top w:val="single" w:sz="8" w:color="CCFFCC"/>
            </w:tcBorders>
          </w:tcPr>
          <w:p>
            <w:pPr>
              <w:spacing w:after="0"/>
              <w:rPr>
                <w:sz w:val="24"/>
                <w:szCs w:val="24"/>
                <w:color w:val="auto"/>
              </w:rPr>
            </w:pPr>
          </w:p>
        </w:tc>
        <w:tc>
          <w:tcPr>
            <w:tcW w:w="240" w:type="dxa"/>
            <w:vAlign w:val="bottom"/>
            <w:tcBorders>
              <w:top w:val="single" w:sz="8" w:color="CCFFCC"/>
            </w:tcBorders>
          </w:tcPr>
          <w:p>
            <w:pPr>
              <w:spacing w:after="0"/>
              <w:rPr>
                <w:sz w:val="24"/>
                <w:szCs w:val="24"/>
                <w:color w:val="auto"/>
              </w:rPr>
            </w:pPr>
          </w:p>
        </w:tc>
        <w:tc>
          <w:tcPr>
            <w:tcW w:w="400" w:type="dxa"/>
            <w:vAlign w:val="bottom"/>
            <w:tcBorders>
              <w:top w:val="single" w:sz="8" w:color="CCFFCC"/>
            </w:tcBorders>
          </w:tcPr>
          <w:p>
            <w:pPr>
              <w:spacing w:after="0"/>
              <w:rPr>
                <w:sz w:val="24"/>
                <w:szCs w:val="24"/>
                <w:color w:val="auto"/>
              </w:rPr>
            </w:pPr>
          </w:p>
        </w:tc>
        <w:tc>
          <w:tcPr>
            <w:tcW w:w="1280" w:type="dxa"/>
            <w:vAlign w:val="bottom"/>
            <w:tcBorders>
              <w:top w:val="single" w:sz="8" w:color="auto"/>
            </w:tcBorders>
            <w:gridSpan w:val="3"/>
          </w:tcPr>
          <w:p>
            <w:pPr>
              <w:jc w:val="right"/>
              <w:ind w:right="550"/>
              <w:spacing w:after="0"/>
              <w:rPr>
                <w:sz w:val="20"/>
                <w:szCs w:val="20"/>
                <w:color w:val="auto"/>
              </w:rPr>
            </w:pPr>
            <w:r>
              <w:rPr>
                <w:rFonts w:ascii="Arial" w:cs="Arial" w:eastAsia="Arial" w:hAnsi="Arial"/>
                <w:sz w:val="18"/>
                <w:szCs w:val="18"/>
                <w:color w:val="auto"/>
              </w:rPr>
              <w:t>20</w:t>
            </w:r>
          </w:p>
        </w:tc>
        <w:tc>
          <w:tcPr>
            <w:tcW w:w="4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60" w:type="dxa"/>
            <w:vAlign w:val="bottom"/>
            <w:tcBorders>
              <w:top w:val="single" w:sz="8" w:color="CCFFC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660" w:type="dxa"/>
            <w:vAlign w:val="bottom"/>
            <w:tcBorders>
              <w:bottom w:val="single" w:sz="8" w:color="808080"/>
            </w:tcBorders>
          </w:tcPr>
          <w:p>
            <w:pPr>
              <w:spacing w:after="0"/>
              <w:rPr>
                <w:sz w:val="10"/>
                <w:szCs w:val="10"/>
                <w:color w:val="auto"/>
              </w:rPr>
            </w:pPr>
          </w:p>
        </w:tc>
        <w:tc>
          <w:tcPr>
            <w:tcW w:w="338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640" w:type="dxa"/>
            <w:vAlign w:val="bottom"/>
            <w:tcBorders>
              <w:bottom w:val="single" w:sz="8" w:color="808080"/>
            </w:tcBorders>
          </w:tcPr>
          <w:p>
            <w:pPr>
              <w:spacing w:after="0"/>
              <w:rPr>
                <w:sz w:val="10"/>
                <w:szCs w:val="10"/>
                <w:color w:val="auto"/>
              </w:rPr>
            </w:pPr>
          </w:p>
        </w:tc>
        <w:tc>
          <w:tcPr>
            <w:tcW w:w="4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7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9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5" w:right="239" w:bottom="816"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auto"/>
        </w:rPr>
        <w:t>Notes to Selected Financial Data</w:t>
      </w:r>
    </w:p>
    <w:p>
      <w:pPr>
        <w:spacing w:after="0" w:line="279" w:lineRule="exact"/>
        <w:rPr>
          <w:sz w:val="20"/>
          <w:szCs w:val="20"/>
          <w:color w:val="auto"/>
        </w:rPr>
      </w:pPr>
    </w:p>
    <w:p>
      <w:pPr>
        <w:ind w:left="820" w:hanging="326"/>
        <w:spacing w:after="0" w:line="277"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intercompany sales to FEI-NY segment of $0.5 million, $0.9 million, $2.4 million and $3.5 million in fiscal years 2007, 2006, 2005 and 2004, respectively, for development of US5G product.</w:t>
      </w:r>
    </w:p>
    <w:p>
      <w:pPr>
        <w:spacing w:after="0" w:line="224"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$2.1 million from gain on the sale of REIT common shares and $680,000 from gain on the sale of a European subsidiary’s former manufacturing facility.</w:t>
      </w:r>
    </w:p>
    <w:p>
      <w:pPr>
        <w:spacing w:after="0" w:line="224"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$6.9 million from gain on conversion of REIT units into REIT common shares and subsequent sale of a portion of the REIT common shares.</w:t>
      </w:r>
    </w:p>
    <w:p>
      <w:pPr>
        <w:spacing w:after="0" w:line="224"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$400,000 reversal of tax liabilities established in prior years.</w:t>
      </w:r>
    </w:p>
    <w:p>
      <w:pPr>
        <w:spacing w:after="0" w:line="333"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$158,000 and $49,000, respectively, for restatement of equity income from Morion, Inc. in fiscal years 2004 and 2003, which also increased fiscal year 2004 Earnings per Common Share by $0.02 from the amount reported before restatement.</w:t>
      </w:r>
    </w:p>
    <w:p>
      <w:pPr>
        <w:spacing w:after="0" w:line="224" w:lineRule="exact"/>
        <w:rPr>
          <w:rFonts w:ascii="Arial" w:cs="Arial" w:eastAsia="Arial" w:hAnsi="Arial"/>
          <w:sz w:val="18"/>
          <w:szCs w:val="18"/>
          <w:color w:val="auto"/>
        </w:rPr>
      </w:pPr>
    </w:p>
    <w:p>
      <w:pPr>
        <w:ind w:left="820" w:hanging="326"/>
        <w:spacing w:after="0"/>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Includes goodwill impairment of $6.2 million and adjustments to inventory of $3.6 million.</w:t>
      </w:r>
    </w:p>
    <w:p>
      <w:pPr>
        <w:spacing w:after="0" w:line="333" w:lineRule="exact"/>
        <w:rPr>
          <w:rFonts w:ascii="Arial" w:cs="Arial" w:eastAsia="Arial" w:hAnsi="Arial"/>
          <w:sz w:val="18"/>
          <w:szCs w:val="18"/>
          <w:color w:val="auto"/>
        </w:rPr>
      </w:pPr>
    </w:p>
    <w:p>
      <w:pPr>
        <w:ind w:left="820" w:hanging="326"/>
        <w:spacing w:after="0" w:line="277" w:lineRule="auto"/>
        <w:tabs>
          <w:tab w:leader="none" w:pos="8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Total assets are restated by $207,000 for fiscal year 2004 and by $49,000 for fiscal year 2003 from amounts reported in prior fiscal years to reflect the Company’s equity interest in Morion, Inc.</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Management’s Discussion and Analysis of Financial Condition and Results of Operations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“Safe Harbor” Statement under the Private Securities Litigation Reform Act of 1995:</w:t>
      </w:r>
    </w:p>
    <w:p>
      <w:pPr>
        <w:spacing w:after="0" w:line="283"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The statements in this Annual Report on Form 10-K regarding future earnings and operations and other statements relating to the future constitute "forward-looking" statements pursuant to the safe harbor provisions of the Private Securities Litigation Reform Act of 1995. Forward-looking statements inherently involve risks and uncertainties that could cause actual results to differ materially from the forward-looking statements. Factors that would cause or contribute to such differences include, but are not limited to, inability to integrate operations and personnel, actions by significant customers or competitors, general domestic and international economic conditions, consumer spending trends, reliance on key customers, continued acceptance of the Company's products in the marketplace, competitive factors, new products and technological changes, product prices and raw material costs, dependence upon third-party vendors, competitive developments, changes in manufacturing and transportation costs, the availability of capital, and the outcome of any litigation and arbitration proceedings. By making these forward-looking statements, the Company undertakes no obligation to update these statements for revisions or changes after the date of this report.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83"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Company’s significant accounting policies are described in Note 1 to the consolidated financial statements. The Company believes its most critical accounting policies to be the recognition of revenue and costs on production contracts and the valuation of inventory. Each of these areas requires the Company to make use of reasonable estimates including estimating the cost to complete a contract, the realizable value of its inventory or the market value of its products. Changes in estimates can have a material impact on the Company’s financial position and results of operations.</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Revenue Recognition</w:t>
      </w:r>
    </w:p>
    <w:p>
      <w:pPr>
        <w:spacing w:after="0" w:line="27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Revenues under larger, long-term contracts which generally require billings based on achievement of milestones rather than delivery of product, are reported in operating results using the percentage of completion method. On fixed-price contracts, which are typical for commercial and U.S. Government satellite programs and other long-term U.S. Government projects, and which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Each month management reviews estimated contract costs. The effect of any change in the estimated gross margin percentage for a contract is reflected in revenues in the period in which the change is known. Provisions for anticipated losses on contracts are made in the period in which they become determinable.</w:t>
      </w:r>
    </w:p>
    <w:p>
      <w:pPr>
        <w:spacing w:after="0" w:line="24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production-type orders, revenue is recorded as units are delivered with the related cost of sales recognized on each shipment based upon a percentage of estimated final program costs. Changes in job performance may result in revisions to costs and income and are recognized in the period in which revisions are determined to be required. Provisions for anticipated losses on customer orders are made in the period in which they become determinable.</w:t>
      </w:r>
    </w:p>
    <w:p>
      <w:pPr>
        <w:sectPr>
          <w:pgSz w:w="11900" w:h="16838" w:orient="portrait"/>
          <w:cols w:equalWidth="0" w:num="1">
            <w:col w:w="11420"/>
          </w:cols>
          <w:pgMar w:left="240" w:top="368" w:right="239"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23" w:name="page24"/>
    <w:bookmarkEnd w:id="23"/>
    <w:p>
      <w:pPr>
        <w:jc w:val="both"/>
        <w:ind w:firstLine="486"/>
        <w:spacing w:after="0" w:line="259" w:lineRule="auto"/>
        <w:rPr>
          <w:sz w:val="20"/>
          <w:szCs w:val="20"/>
          <w:color w:val="auto"/>
        </w:rPr>
      </w:pPr>
      <w:r>
        <w:rPr>
          <w:rFonts w:ascii="Arial" w:cs="Arial" w:eastAsia="Arial" w:hAnsi="Arial"/>
          <w:sz w:val="18"/>
          <w:szCs w:val="18"/>
          <w:color w:val="auto"/>
        </w:rPr>
        <w:t>For customer orders in the Company’s Gillam-FEI and FEI-Zyfer segments or smaller contracts or orders in the other business segments, sales of products and services to customers are reported in operating results based upon (i) shipment of the product or (ii) performance of the services pursuant to terms of the customer order. When payment is contingent upon customer acceptance of the installed system, revenue is deferred until such acceptance is received and installation completed.</w:t>
      </w:r>
    </w:p>
    <w:p>
      <w:pPr>
        <w:spacing w:after="0" w:line="241"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Costs and Expenses</w:t>
      </w:r>
    </w:p>
    <w:p>
      <w:pPr>
        <w:spacing w:after="0" w:line="27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Contract costs include all direct material, direct labor costs, manufacturing overhead and other direct costs related to contract performance. Selling, general and administrative costs are charged to expense as incurred.</w:t>
      </w:r>
    </w:p>
    <w:p>
      <w:pPr>
        <w:spacing w:after="0" w:line="224"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Inventory</w:t>
      </w:r>
    </w:p>
    <w:p>
      <w:pPr>
        <w:spacing w:after="0" w:line="27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accordance with industry practice, inventoried costs contain amounts relating to contracts and programs with long production cycles, a portion of which will not be realized within one year. Inventory reserves are established for slow-moving and obsolete items and are based upon management’s experience and expectations for future business. Any changes in reserves arising from revised expectations are reflected in cost of sales in the period the revision is made.</w:t>
      </w:r>
    </w:p>
    <w:p>
      <w:pPr>
        <w:spacing w:after="0" w:line="241"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Equity-based Compensation</w:t>
      </w:r>
    </w:p>
    <w:p>
      <w:pPr>
        <w:spacing w:after="0" w:line="27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Effective May 1, 2006, the Company adopted the fair value recognition provisions of Statement of Financial Accounting Standards No. 123(R), “Share-Based Payment” (“FAS 123(R)”), using the modified prospective transition method. Under the modified prospective transition method, compensation cost of $559,000 was recognized during the year ended April 30, 2007, and includes: (a) compensation cost for all share-based payments granted prior to, but not yet vested as of May 1, 2006, based on the grant date fair value estimated in accordance with the original provisions of FAS 123, and (b) compensation cost for all share-based payments granted subsequent to May 1, 2006, based on the grant-date fair value estimated in accordance with the provisions of FAS 123(R). Results for prior periods have not been restated.</w:t>
      </w:r>
    </w:p>
    <w:p>
      <w:pPr>
        <w:spacing w:after="0" w:line="24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Upon adoption of FAS 123(R), the Company elected to continue to value its share-based payment transactions using the Black-Scholes valuation model, which was previously used by the Company for purposes of preparing the pro forma disclosures under FAS 123. Such value is recognized as expense on a straight-line basis over the service period of the awards, which is generally the vesting period, net of estimated forfeitures. This is the same attribution method that was used by the Company for purposes of its pro forma disclosures under FAS 123.</w:t>
      </w:r>
    </w:p>
    <w:p>
      <w:pPr>
        <w:spacing w:after="0" w:line="24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At April 30, 2007, unrecognized compensation cost for all the Company’s stock-based compensation awards was approximately $1.0 million which is expected to be recognized over a weighted average period of 2.7 years.</w:t>
      </w:r>
    </w:p>
    <w:p>
      <w:pPr>
        <w:spacing w:after="0" w:line="22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addition, the Company applied the provisions of Staff Accounting Bulletin No. 107 (“SAB 107”), issued by the Securities and Exchange Commission in March 2005 in its adoption of FAS 123(R). SAB 107 requires stock-based compensation to be classified in the same expense line items as cash compensation. Accordingly, during the year ended April 30, 2007, stock-based compensation expense was $285,000 in cost of sales and $274,000 in selling, general and administrative expense.</w:t>
      </w:r>
    </w:p>
    <w:p>
      <w:pPr>
        <w:spacing w:after="0" w:line="24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Prior to the adoption of FAS 123(R), the Company presented all tax benefits resulting from tax deductions associated with the exercise of stock options by employees as cash flows from operating activities in the Consolidated Statements of Cash Flows. Under FAS 123(R) “excess tax benefits” are to be classified as cash flows from financing activities in the Consolidated Statement of Cash Flows. For this purpose, the excess tax benefits are tax benefits related to the difference between the total tax deduction associated with the exercise of stock options by employees and the amount of compensation cost recognized for those options. For the year ended April 30, 2007, there were no excess tax benefits to be included within Other Financing Activities of the Cash Flows from Financing Activities pursuant to this requirement of FAS 123(R).</w:t>
      </w:r>
    </w:p>
    <w:p>
      <w:pPr>
        <w:spacing w:after="0" w:line="23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Effect of Adoption of FAS 123(R)</w:t>
      </w:r>
    </w:p>
    <w:p>
      <w:pPr>
        <w:spacing w:after="0" w:line="27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application of FAS 123(R) had the following effect on the reported amounts for the year ended April 30, 2007, relative to amounts that would have been reported using the intrinsic value method under previous accounting (in thousands, except for per share amounts).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Using Intrinsic</w:t>
            </w:r>
          </w:p>
        </w:tc>
        <w:tc>
          <w:tcPr>
            <w:tcW w:w="1600" w:type="dxa"/>
            <w:vAlign w:val="bottom"/>
            <w:gridSpan w:val="2"/>
          </w:tcPr>
          <w:p>
            <w:pPr>
              <w:ind w:left="240"/>
              <w:spacing w:after="0"/>
              <w:rPr>
                <w:sz w:val="20"/>
                <w:szCs w:val="20"/>
                <w:color w:val="auto"/>
              </w:rPr>
            </w:pPr>
            <w:r>
              <w:rPr>
                <w:rFonts w:ascii="Arial" w:cs="Arial" w:eastAsia="Arial" w:hAnsi="Arial"/>
                <w:sz w:val="18"/>
                <w:szCs w:val="18"/>
                <w:color w:val="auto"/>
              </w:rPr>
              <w:t>FAS 123(R)</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As</w:t>
            </w:r>
          </w:p>
        </w:tc>
      </w:tr>
      <w:tr>
        <w:trPr>
          <w:trHeight w:val="270"/>
        </w:trPr>
        <w:tc>
          <w:tcPr>
            <w:tcW w:w="674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1"/>
              </w:rPr>
              <w:t>Value Method</w:t>
            </w:r>
          </w:p>
        </w:tc>
        <w:tc>
          <w:tcPr>
            <w:tcW w:w="240" w:type="dxa"/>
            <w:vAlign w:val="bottom"/>
          </w:tcPr>
          <w:p>
            <w:pPr>
              <w:spacing w:after="0"/>
              <w:rPr>
                <w:sz w:val="23"/>
                <w:szCs w:val="23"/>
                <w:color w:val="auto"/>
              </w:rPr>
            </w:pPr>
          </w:p>
        </w:tc>
        <w:tc>
          <w:tcPr>
            <w:tcW w:w="13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Adjustments</w:t>
            </w:r>
          </w:p>
        </w:tc>
        <w:tc>
          <w:tcPr>
            <w:tcW w:w="220" w:type="dxa"/>
            <w:vAlign w:val="bottom"/>
          </w:tcPr>
          <w:p>
            <w:pPr>
              <w:spacing w:after="0"/>
              <w:rPr>
                <w:sz w:val="23"/>
                <w:szCs w:val="23"/>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Reported</w:t>
            </w:r>
          </w:p>
        </w:tc>
        <w:tc>
          <w:tcPr>
            <w:tcW w:w="100" w:type="dxa"/>
            <w:vAlign w:val="bottom"/>
          </w:tcPr>
          <w:p>
            <w:pPr>
              <w:spacing w:after="0"/>
              <w:rPr>
                <w:sz w:val="23"/>
                <w:szCs w:val="23"/>
                <w:color w:val="auto"/>
              </w:rPr>
            </w:pPr>
          </w:p>
        </w:tc>
      </w:tr>
      <w:tr>
        <w:trPr>
          <w:trHeight w:val="237"/>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Operating Loss</w:t>
            </w:r>
          </w:p>
        </w:tc>
        <w:tc>
          <w:tcPr>
            <w:tcW w:w="120" w:type="dxa"/>
            <w:vAlign w:val="bottom"/>
            <w:shd w:val="clear" w:color="auto" w:fill="CCFFCC"/>
          </w:tcPr>
          <w:p>
            <w:pPr>
              <w:spacing w:after="0"/>
              <w:rPr>
                <w:sz w:val="20"/>
                <w:szCs w:val="20"/>
                <w:color w:val="auto"/>
              </w:rPr>
            </w:pPr>
          </w:p>
        </w:tc>
        <w:tc>
          <w:tcPr>
            <w:tcW w:w="15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($3,162)</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($559)</w:t>
            </w:r>
          </w:p>
        </w:tc>
        <w:tc>
          <w:tcPr>
            <w:tcW w:w="14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($3,721)</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Loss before benefit</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for income taxes</w:t>
            </w:r>
          </w:p>
        </w:tc>
        <w:tc>
          <w:tcPr>
            <w:tcW w:w="120" w:type="dxa"/>
            <w:vAlign w:val="bottom"/>
          </w:tcPr>
          <w:p>
            <w:pPr>
              <w:spacing w:after="0"/>
              <w:rPr>
                <w:sz w:val="21"/>
                <w:szCs w:val="21"/>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($1,253)</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($559)</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($1,812)</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122</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($379)</w:t>
            </w:r>
          </w:p>
        </w:tc>
        <w:tc>
          <w:tcPr>
            <w:tcW w:w="14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($257)</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Basic Earnings (Loss)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0.01</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($0.03)</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Diluted Earnings (Loss) per Share</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0.01</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($0.01)</w:t>
            </w:r>
          </w:p>
        </w:tc>
        <w:tc>
          <w:tcPr>
            <w:tcW w:w="14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($0.03)</w:t>
            </w:r>
          </w:p>
        </w:tc>
      </w:tr>
    </w:tbl>
    <w:p>
      <w:pPr>
        <w:spacing w:after="0" w:line="25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weighted average fair value of each option has been estimated on the date of grant using the Black-Scholes options pricing model with the following weighted average assumptions used for grants in each of the years ended April 30, 2007, 2006 and 2005: dividend yield of 1.3%, 1.4%, and 1.1%; expected volatility of 59%; risk free interest rate of 5.0%, 4.1%, and 3.9%; and expected lives of six and one-half years, respectively.</w:t>
      </w:r>
    </w:p>
    <w:p>
      <w:pPr>
        <w:spacing w:after="0" w:line="22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expected life assumption was determined based on the Company’s historical experience. For purposes of both FAS 123 and FAS 123(R), the expected volatility assumption was based on the historical volatility of the Company’s common stock. The dividend yield assumption was determined based upon the Company’s past history of dividend payments and its intention to make future dividend payments. The risk-free interest rate assumption was determined using the implied yield currently available for zero-coupon U.S. government issues with a remaining term equal to the expected life of the stock options.</w:t>
      </w:r>
    </w:p>
    <w:p>
      <w:pPr>
        <w:spacing w:after="0" w:line="24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Fiscal years 2006 and 2005</w:t>
      </w:r>
    </w:p>
    <w:p>
      <w:pPr>
        <w:spacing w:after="0" w:line="27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Through fiscal year 2006, the Company applied the disclosure-only provisions of FAS No. 148, “</w:t>
      </w:r>
      <w:r>
        <w:rPr>
          <w:rFonts w:ascii="Arial" w:cs="Arial" w:eastAsia="Arial" w:hAnsi="Arial"/>
          <w:sz w:val="18"/>
          <w:szCs w:val="18"/>
          <w:i w:val="1"/>
          <w:iCs w:val="1"/>
          <w:color w:val="auto"/>
        </w:rPr>
        <w:t>Accounting for Stock-Based Compensation-Transition and Disclosure</w:t>
      </w:r>
      <w:r>
        <w:rPr>
          <w:rFonts w:ascii="Arial" w:cs="Arial" w:eastAsia="Arial" w:hAnsi="Arial"/>
          <w:sz w:val="18"/>
          <w:szCs w:val="18"/>
          <w:color w:val="auto"/>
        </w:rPr>
        <w:t>” and continued to measure compensation cost in accordance with APB Opinion No. 25, “</w:t>
      </w:r>
      <w:r>
        <w:rPr>
          <w:rFonts w:ascii="Arial" w:cs="Arial" w:eastAsia="Arial" w:hAnsi="Arial"/>
          <w:sz w:val="18"/>
          <w:szCs w:val="18"/>
          <w:i w:val="1"/>
          <w:iCs w:val="1"/>
          <w:color w:val="auto"/>
        </w:rPr>
        <w:t>Accounting for Stock Issued to Employees.</w:t>
      </w:r>
      <w:r>
        <w:rPr>
          <w:rFonts w:ascii="Arial" w:cs="Arial" w:eastAsia="Arial" w:hAnsi="Arial"/>
          <w:sz w:val="18"/>
          <w:szCs w:val="18"/>
          <w:color w:val="auto"/>
        </w:rPr>
        <w:t>” Historically, this did not result in compensation cost upon the grant of options under a qualified stock option plan. However, in accordance with</w:t>
      </w:r>
      <w:r>
        <w:rPr>
          <w:rFonts w:ascii="Arial" w:cs="Arial" w:eastAsia="Arial" w:hAnsi="Arial"/>
          <w:sz w:val="18"/>
          <w:szCs w:val="18"/>
          <w:i w:val="1"/>
          <w:iCs w:val="1"/>
          <w:color w:val="auto"/>
        </w:rPr>
        <w:t xml:space="preserve"> </w:t>
      </w:r>
      <w:r>
        <w:rPr>
          <w:rFonts w:ascii="Arial" w:cs="Arial" w:eastAsia="Arial" w:hAnsi="Arial"/>
          <w:sz w:val="18"/>
          <w:szCs w:val="18"/>
          <w:color w:val="auto"/>
        </w:rPr>
        <w:t>FAS No. 148, the Company provided pro forma disclosures of net income (loss) and income (loss) per share as if the fair value method had been applied beginning in fiscal 1996.</w:t>
      </w:r>
    </w:p>
    <w:p>
      <w:pPr>
        <w:spacing w:after="0" w:line="242"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The following table illustrates the effect on the Company’s consolidated statements of operations for the fiscal years ended April 30, had compensation cost for stock option awards under the plans been determined based on the fair value at the grant dates consistent with the provisions of FAS No. 148:</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p>
        </w:tc>
        <w:tc>
          <w:tcPr>
            <w:tcW w:w="3080" w:type="dxa"/>
            <w:vAlign w:val="bottom"/>
            <w:gridSpan w:val="7"/>
          </w:tcPr>
          <w:p>
            <w:pPr>
              <w:jc w:val="right"/>
              <w:ind w:right="260"/>
              <w:spacing w:after="0"/>
              <w:rPr>
                <w:sz w:val="20"/>
                <w:szCs w:val="20"/>
                <w:color w:val="auto"/>
              </w:rPr>
            </w:pPr>
            <w:r>
              <w:rPr>
                <w:rFonts w:ascii="Arial" w:cs="Arial" w:eastAsia="Arial" w:hAnsi="Arial"/>
                <w:sz w:val="18"/>
                <w:szCs w:val="18"/>
                <w:color w:val="auto"/>
                <w:w w:val="93"/>
              </w:rPr>
              <w:t>(in thousands, except per share data)</w:t>
            </w:r>
          </w:p>
        </w:tc>
      </w:tr>
      <w:tr>
        <w:trPr>
          <w:trHeight w:val="264"/>
        </w:trPr>
        <w:tc>
          <w:tcPr>
            <w:tcW w:w="834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46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22"/>
                <w:szCs w:val="22"/>
                <w:color w:val="auto"/>
              </w:rPr>
            </w:pPr>
          </w:p>
        </w:tc>
      </w:tr>
      <w:tr>
        <w:trPr>
          <w:trHeight w:val="237"/>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Net Income, as reported</w:t>
            </w:r>
          </w:p>
        </w:tc>
        <w:tc>
          <w:tcPr>
            <w:tcW w:w="920" w:type="dxa"/>
            <w:vAlign w:val="bottom"/>
            <w:shd w:val="clear" w:color="auto" w:fill="CCFFCC"/>
          </w:tcPr>
          <w:p>
            <w:pPr>
              <w:jc w:val="right"/>
              <w:ind w:right="73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4,798</w:t>
            </w:r>
          </w:p>
        </w:tc>
        <w:tc>
          <w:tcPr>
            <w:tcW w:w="140" w:type="dxa"/>
            <w:vAlign w:val="bottom"/>
            <w:shd w:val="clear" w:color="auto" w:fill="CCFFCC"/>
          </w:tcPr>
          <w:p>
            <w:pPr>
              <w:spacing w:after="0"/>
              <w:rPr>
                <w:sz w:val="20"/>
                <w:szCs w:val="20"/>
                <w:color w:val="auto"/>
              </w:rPr>
            </w:pPr>
          </w:p>
        </w:tc>
        <w:tc>
          <w:tcPr>
            <w:tcW w:w="38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5,037</w:t>
            </w:r>
          </w:p>
        </w:tc>
      </w:tr>
      <w:tr>
        <w:trPr>
          <w:trHeight w:val="270"/>
        </w:trPr>
        <w:tc>
          <w:tcPr>
            <w:tcW w:w="8340" w:type="dxa"/>
            <w:vAlign w:val="bottom"/>
          </w:tcPr>
          <w:p>
            <w:pPr>
              <w:spacing w:after="0"/>
              <w:rPr>
                <w:sz w:val="20"/>
                <w:szCs w:val="20"/>
                <w:color w:val="auto"/>
              </w:rPr>
            </w:pPr>
            <w:r>
              <w:rPr>
                <w:rFonts w:ascii="Arial" w:cs="Arial" w:eastAsia="Arial" w:hAnsi="Arial"/>
                <w:sz w:val="18"/>
                <w:szCs w:val="18"/>
                <w:color w:val="auto"/>
              </w:rPr>
              <w:t>Cost of stock options, net of taxes</w:t>
            </w:r>
          </w:p>
        </w:tc>
        <w:tc>
          <w:tcPr>
            <w:tcW w:w="920" w:type="dxa"/>
            <w:vAlign w:val="bottom"/>
          </w:tcPr>
          <w:p>
            <w:pPr>
              <w:spacing w:after="0"/>
              <w:rPr>
                <w:sz w:val="23"/>
                <w:szCs w:val="2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(309)</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(525)</w:t>
            </w:r>
          </w:p>
        </w:tc>
      </w:tr>
      <w:tr>
        <w:trPr>
          <w:trHeight w:val="277"/>
        </w:trPr>
        <w:tc>
          <w:tcPr>
            <w:tcW w:w="83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Income - pro forma</w:t>
            </w:r>
          </w:p>
        </w:tc>
        <w:tc>
          <w:tcPr>
            <w:tcW w:w="920" w:type="dxa"/>
            <w:vAlign w:val="bottom"/>
            <w:tcBorders>
              <w:top w:val="single" w:sz="8" w:color="auto"/>
              <w:bottom w:val="single" w:sz="8" w:color="auto"/>
            </w:tcBorders>
            <w:shd w:val="clear" w:color="auto" w:fill="CCFFCC"/>
          </w:tcPr>
          <w:p>
            <w:pPr>
              <w:jc w:val="right"/>
              <w:ind w:right="73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7"/>
              </w:rPr>
              <w:t>4,489</w:t>
            </w:r>
          </w:p>
        </w:tc>
        <w:tc>
          <w:tcPr>
            <w:tcW w:w="140" w:type="dxa"/>
            <w:vAlign w:val="bottom"/>
            <w:tcBorders>
              <w:bottom w:val="single" w:sz="8" w:color="CCFFCC"/>
            </w:tcBorders>
            <w:shd w:val="clear" w:color="auto" w:fill="CCFFCC"/>
          </w:tcPr>
          <w:p>
            <w:pPr>
              <w:spacing w:after="0"/>
              <w:rPr>
                <w:sz w:val="24"/>
                <w:szCs w:val="24"/>
                <w:color w:val="auto"/>
              </w:rPr>
            </w:pPr>
          </w:p>
        </w:tc>
        <w:tc>
          <w:tcPr>
            <w:tcW w:w="80" w:type="dxa"/>
            <w:vAlign w:val="bottom"/>
            <w:tcBorders>
              <w:bottom w:val="single" w:sz="8" w:color="CCFFCC"/>
            </w:tcBorders>
            <w:shd w:val="clear" w:color="auto" w:fill="CCFFCC"/>
          </w:tcPr>
          <w:p>
            <w:pPr>
              <w:spacing w:after="0"/>
              <w:rPr>
                <w:sz w:val="24"/>
                <w:szCs w:val="24"/>
                <w:color w:val="auto"/>
              </w:rPr>
            </w:pPr>
          </w:p>
        </w:tc>
        <w:tc>
          <w:tcPr>
            <w:tcW w:w="300" w:type="dxa"/>
            <w:vAlign w:val="bottom"/>
            <w:tcBorders>
              <w:top w:val="single" w:sz="8" w:color="auto"/>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4,512</w:t>
            </w:r>
          </w:p>
        </w:tc>
        <w:tc>
          <w:tcPr>
            <w:tcW w:w="100" w:type="dxa"/>
            <w:vAlign w:val="bottom"/>
            <w:tcBorders>
              <w:bottom w:val="single" w:sz="8" w:color="CCFFCC"/>
            </w:tcBorders>
            <w:shd w:val="clear" w:color="auto" w:fill="CCFFCC"/>
          </w:tcPr>
          <w:p>
            <w:pPr>
              <w:spacing w:after="0"/>
              <w:rPr>
                <w:sz w:val="24"/>
                <w:szCs w:val="24"/>
                <w:color w:val="auto"/>
              </w:rPr>
            </w:pPr>
          </w:p>
        </w:tc>
      </w:tr>
      <w:tr>
        <w:trPr>
          <w:trHeight w:val="224"/>
        </w:trPr>
        <w:tc>
          <w:tcPr>
            <w:tcW w:w="8340" w:type="dxa"/>
            <w:vAlign w:val="bottom"/>
          </w:tcPr>
          <w:p>
            <w:pPr>
              <w:spacing w:after="0"/>
              <w:rPr>
                <w:sz w:val="20"/>
                <w:szCs w:val="20"/>
                <w:color w:val="auto"/>
              </w:rPr>
            </w:pPr>
            <w:r>
              <w:rPr>
                <w:rFonts w:ascii="Arial" w:cs="Arial" w:eastAsia="Arial" w:hAnsi="Arial"/>
                <w:sz w:val="18"/>
                <w:szCs w:val="18"/>
                <w:color w:val="auto"/>
              </w:rPr>
              <w:t>Income per share, as reported:</w:t>
            </w: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83"/>
        </w:trPr>
        <w:tc>
          <w:tcPr>
            <w:tcW w:w="8340" w:type="dxa"/>
            <w:vAlign w:val="bottom"/>
            <w:tcBorders>
              <w:bottom w:val="single" w:sz="8" w:color="CCFFCC"/>
            </w:tcBorders>
            <w:shd w:val="clear" w:color="auto" w:fill="CCFFCC"/>
          </w:tcPr>
          <w:p>
            <w:pPr>
              <w:ind w:left="340"/>
              <w:spacing w:after="0"/>
              <w:rPr>
                <w:sz w:val="20"/>
                <w:szCs w:val="20"/>
                <w:color w:val="auto"/>
              </w:rPr>
            </w:pPr>
            <w:r>
              <w:rPr>
                <w:rFonts w:ascii="Arial" w:cs="Arial" w:eastAsia="Arial" w:hAnsi="Arial"/>
                <w:sz w:val="18"/>
                <w:szCs w:val="18"/>
                <w:color w:val="auto"/>
              </w:rPr>
              <w:t>Basic</w:t>
            </w:r>
          </w:p>
        </w:tc>
        <w:tc>
          <w:tcPr>
            <w:tcW w:w="920" w:type="dxa"/>
            <w:vAlign w:val="bottom"/>
            <w:tcBorders>
              <w:bottom w:val="single" w:sz="8" w:color="auto"/>
            </w:tcBorders>
            <w:shd w:val="clear" w:color="auto" w:fill="CCFFCC"/>
          </w:tcPr>
          <w:p>
            <w:pPr>
              <w:jc w:val="right"/>
              <w:ind w:right="73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0.56</w:t>
            </w:r>
          </w:p>
        </w:tc>
        <w:tc>
          <w:tcPr>
            <w:tcW w:w="140" w:type="dxa"/>
            <w:vAlign w:val="bottom"/>
            <w:tcBorders>
              <w:bottom w:val="single" w:sz="8" w:color="CCFFCC"/>
            </w:tcBorders>
            <w:shd w:val="clear" w:color="auto" w:fill="CCFFCC"/>
          </w:tcPr>
          <w:p>
            <w:pPr>
              <w:spacing w:after="0"/>
              <w:rPr>
                <w:sz w:val="24"/>
                <w:szCs w:val="24"/>
                <w:color w:val="auto"/>
              </w:rPr>
            </w:pPr>
          </w:p>
        </w:tc>
        <w:tc>
          <w:tcPr>
            <w:tcW w:w="80" w:type="dxa"/>
            <w:vAlign w:val="bottom"/>
            <w:tcBorders>
              <w:bottom w:val="single" w:sz="8" w:color="CCFFCC"/>
            </w:tcBorders>
            <w:shd w:val="clear" w:color="auto" w:fill="CCFFCC"/>
          </w:tcPr>
          <w:p>
            <w:pPr>
              <w:spacing w:after="0"/>
              <w:rPr>
                <w:sz w:val="24"/>
                <w:szCs w:val="24"/>
                <w:color w:val="auto"/>
              </w:rPr>
            </w:pPr>
          </w:p>
        </w:tc>
        <w:tc>
          <w:tcPr>
            <w:tcW w:w="30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Borders>
              <w:bottom w:val="single" w:sz="8" w:color="CCFFCC"/>
            </w:tcBorders>
            <w:shd w:val="clear" w:color="auto" w:fill="CCFFCC"/>
          </w:tcPr>
          <w:p>
            <w:pPr>
              <w:spacing w:after="0"/>
              <w:rPr>
                <w:sz w:val="24"/>
                <w:szCs w:val="24"/>
                <w:color w:val="auto"/>
              </w:rPr>
            </w:pPr>
          </w:p>
        </w:tc>
      </w:tr>
      <w:tr>
        <w:trPr>
          <w:trHeight w:val="224"/>
        </w:trPr>
        <w:tc>
          <w:tcPr>
            <w:tcW w:w="8340" w:type="dxa"/>
            <w:vAlign w:val="bottom"/>
          </w:tcPr>
          <w:p>
            <w:pPr>
              <w:ind w:left="340"/>
              <w:spacing w:after="0"/>
              <w:rPr>
                <w:sz w:val="20"/>
                <w:szCs w:val="20"/>
                <w:color w:val="auto"/>
              </w:rPr>
            </w:pPr>
            <w:r>
              <w:rPr>
                <w:rFonts w:ascii="Arial" w:cs="Arial" w:eastAsia="Arial" w:hAnsi="Arial"/>
                <w:sz w:val="18"/>
                <w:szCs w:val="18"/>
                <w:color w:val="auto"/>
              </w:rPr>
              <w:t>Diluted</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0.55</w:t>
            </w:r>
          </w:p>
        </w:tc>
        <w:tc>
          <w:tcPr>
            <w:tcW w:w="14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0.58</w:t>
            </w:r>
          </w:p>
        </w:tc>
      </w:tr>
      <w:tr>
        <w:trPr>
          <w:trHeight w:val="20"/>
        </w:trPr>
        <w:tc>
          <w:tcPr>
            <w:tcW w:w="8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Income per share- pro forma</w:t>
            </w:r>
          </w:p>
        </w:tc>
        <w:tc>
          <w:tcPr>
            <w:tcW w:w="920" w:type="dxa"/>
            <w:vAlign w:val="bottom"/>
            <w:shd w:val="clear" w:color="auto" w:fill="CCFFCC"/>
          </w:tcPr>
          <w:p>
            <w:pPr>
              <w:spacing w:after="0"/>
              <w:rPr>
                <w:sz w:val="19"/>
                <w:szCs w:val="19"/>
                <w:color w:val="auto"/>
              </w:rPr>
            </w:pPr>
          </w:p>
        </w:tc>
        <w:tc>
          <w:tcPr>
            <w:tcW w:w="46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10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r>
      <w:tr>
        <w:trPr>
          <w:trHeight w:val="243"/>
        </w:trPr>
        <w:tc>
          <w:tcPr>
            <w:tcW w:w="8340" w:type="dxa"/>
            <w:vAlign w:val="bottom"/>
          </w:tcPr>
          <w:p>
            <w:pPr>
              <w:ind w:left="340"/>
              <w:spacing w:after="0"/>
              <w:rPr>
                <w:sz w:val="20"/>
                <w:szCs w:val="20"/>
                <w:color w:val="auto"/>
              </w:rPr>
            </w:pPr>
            <w:r>
              <w:rPr>
                <w:rFonts w:ascii="Arial" w:cs="Arial" w:eastAsia="Arial" w:hAnsi="Arial"/>
                <w:sz w:val="18"/>
                <w:szCs w:val="18"/>
                <w:color w:val="auto"/>
              </w:rPr>
              <w:t>Basic</w:t>
            </w:r>
          </w:p>
        </w:tc>
        <w:tc>
          <w:tcPr>
            <w:tcW w:w="9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21"/>
                <w:szCs w:val="21"/>
                <w:color w:val="auto"/>
              </w:rPr>
            </w:pP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8340" w:type="dxa"/>
            <w:vAlign w:val="bottom"/>
            <w:tcBorders>
              <w:bottom w:val="single" w:sz="8" w:color="CCFFCC"/>
            </w:tcBorders>
            <w:shd w:val="clear" w:color="auto" w:fill="CCFFCC"/>
          </w:tcPr>
          <w:p>
            <w:pPr>
              <w:ind w:left="340"/>
              <w:spacing w:after="0"/>
              <w:rPr>
                <w:sz w:val="20"/>
                <w:szCs w:val="20"/>
                <w:color w:val="auto"/>
              </w:rPr>
            </w:pPr>
            <w:r>
              <w:rPr>
                <w:rFonts w:ascii="Arial" w:cs="Arial" w:eastAsia="Arial" w:hAnsi="Arial"/>
                <w:sz w:val="18"/>
                <w:szCs w:val="18"/>
                <w:color w:val="auto"/>
              </w:rPr>
              <w:t>Diluted</w:t>
            </w:r>
          </w:p>
        </w:tc>
        <w:tc>
          <w:tcPr>
            <w:tcW w:w="920" w:type="dxa"/>
            <w:vAlign w:val="bottom"/>
            <w:tcBorders>
              <w:bottom w:val="single" w:sz="8" w:color="auto"/>
            </w:tcBorders>
            <w:shd w:val="clear" w:color="auto" w:fill="CCFFCC"/>
          </w:tcPr>
          <w:p>
            <w:pPr>
              <w:jc w:val="right"/>
              <w:ind w:right="73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0.52</w:t>
            </w:r>
          </w:p>
        </w:tc>
        <w:tc>
          <w:tcPr>
            <w:tcW w:w="140" w:type="dxa"/>
            <w:vAlign w:val="bottom"/>
            <w:tcBorders>
              <w:bottom w:val="single" w:sz="8" w:color="CCFFCC"/>
            </w:tcBorders>
            <w:shd w:val="clear" w:color="auto" w:fill="CCFFCC"/>
          </w:tcPr>
          <w:p>
            <w:pPr>
              <w:spacing w:after="0"/>
              <w:rPr>
                <w:sz w:val="22"/>
                <w:szCs w:val="22"/>
                <w:color w:val="auto"/>
              </w:rPr>
            </w:pPr>
          </w:p>
        </w:tc>
        <w:tc>
          <w:tcPr>
            <w:tcW w:w="80" w:type="dxa"/>
            <w:vAlign w:val="bottom"/>
            <w:tcBorders>
              <w:bottom w:val="single" w:sz="8" w:color="CCFFCC"/>
            </w:tcBorders>
            <w:shd w:val="clear" w:color="auto" w:fill="CCFFCC"/>
          </w:tcPr>
          <w:p>
            <w:pPr>
              <w:spacing w:after="0"/>
              <w:rPr>
                <w:sz w:val="22"/>
                <w:szCs w:val="22"/>
                <w:color w:val="auto"/>
              </w:rPr>
            </w:pPr>
          </w:p>
        </w:tc>
        <w:tc>
          <w:tcPr>
            <w:tcW w:w="30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Borders>
              <w:bottom w:val="single" w:sz="8" w:color="CCFFCC"/>
            </w:tcBorders>
            <w:shd w:val="clear" w:color="auto" w:fill="CCFFCC"/>
          </w:tcPr>
          <w:p>
            <w:pPr>
              <w:spacing w:after="0"/>
              <w:rPr>
                <w:sz w:val="22"/>
                <w:szCs w:val="22"/>
                <w:color w:val="auto"/>
              </w:rPr>
            </w:pPr>
          </w:p>
        </w:tc>
      </w:tr>
    </w:tbl>
    <w:p>
      <w:pPr>
        <w:spacing w:after="0" w:line="25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weighted average fair value of each option was estimated on the date of grant using the Black-Scholes options pricing model with the following weighted average assumptions used for grants in each of the two years ended April 30, 2006 and 2005; dividend yield of 1.4% and 1.1%; expected volatility of 59%; risk free interest rate of 4.1% and 3.9%; and expected lives of six and one-half years, respectively.</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83"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table below sets forth for the fiscal years ended April 30 the percentage of consolidated net sales represented by certain items in the Company’s consolidated statements of operations: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13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2007</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2006</w:t>
            </w:r>
          </w:p>
        </w:tc>
        <w:tc>
          <w:tcPr>
            <w:tcW w:w="200" w:type="dxa"/>
            <w:vAlign w:val="bottom"/>
          </w:tcPr>
          <w:p>
            <w:pPr>
              <w:spacing w:after="0"/>
              <w:rPr>
                <w:sz w:val="20"/>
                <w:szCs w:val="20"/>
                <w:color w:val="auto"/>
              </w:rPr>
            </w:pPr>
          </w:p>
        </w:tc>
        <w:tc>
          <w:tcPr>
            <w:tcW w:w="1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2005</w:t>
            </w:r>
          </w:p>
        </w:tc>
        <w:tc>
          <w:tcPr>
            <w:tcW w:w="160" w:type="dxa"/>
            <w:vAlign w:val="bottom"/>
          </w:tcPr>
          <w:p>
            <w:pPr>
              <w:spacing w:after="0"/>
              <w:rPr>
                <w:sz w:val="20"/>
                <w:szCs w:val="20"/>
                <w:color w:val="auto"/>
              </w:rPr>
            </w:pPr>
          </w:p>
        </w:tc>
      </w:tr>
      <w:tr>
        <w:trPr>
          <w:trHeight w:val="237"/>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Net Sales</w:t>
            </w:r>
          </w:p>
        </w:tc>
        <w:tc>
          <w:tcPr>
            <w:tcW w:w="138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6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36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FEI-NY</w:t>
            </w:r>
          </w:p>
        </w:tc>
        <w:tc>
          <w:tcPr>
            <w:tcW w:w="1600" w:type="dxa"/>
            <w:vAlign w:val="bottom"/>
            <w:gridSpan w:val="2"/>
          </w:tcPr>
          <w:p>
            <w:pPr>
              <w:jc w:val="right"/>
              <w:ind w:right="60"/>
              <w:spacing w:after="0"/>
              <w:rPr>
                <w:sz w:val="20"/>
                <w:szCs w:val="20"/>
                <w:color w:val="auto"/>
              </w:rPr>
            </w:pPr>
            <w:r>
              <w:rPr>
                <w:rFonts w:ascii="Arial" w:cs="Arial" w:eastAsia="Arial" w:hAnsi="Arial"/>
                <w:sz w:val="18"/>
                <w:szCs w:val="18"/>
                <w:color w:val="auto"/>
              </w:rPr>
              <w:t>71.5%</w:t>
            </w:r>
          </w:p>
        </w:tc>
        <w:tc>
          <w:tcPr>
            <w:tcW w:w="1560" w:type="dxa"/>
            <w:vAlign w:val="bottom"/>
            <w:gridSpan w:val="2"/>
          </w:tcPr>
          <w:p>
            <w:pPr>
              <w:jc w:val="right"/>
              <w:ind w:right="60"/>
              <w:spacing w:after="0"/>
              <w:rPr>
                <w:sz w:val="20"/>
                <w:szCs w:val="20"/>
                <w:color w:val="auto"/>
              </w:rPr>
            </w:pPr>
            <w:r>
              <w:rPr>
                <w:rFonts w:ascii="Arial" w:cs="Arial" w:eastAsia="Arial" w:hAnsi="Arial"/>
                <w:sz w:val="18"/>
                <w:szCs w:val="18"/>
                <w:color w:val="auto"/>
              </w:rPr>
              <w:t>67.8%</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67.2%</w:t>
            </w:r>
          </w:p>
        </w:tc>
      </w:tr>
      <w:tr>
        <w:trPr>
          <w:trHeight w:val="243"/>
        </w:trPr>
        <w:tc>
          <w:tcPr>
            <w:tcW w:w="67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Gillam-FEI</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20.3</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17.4</w:t>
            </w:r>
          </w:p>
        </w:tc>
        <w:tc>
          <w:tcPr>
            <w:tcW w:w="15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22.8</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FEI-Zyfer</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13.4</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19.0</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16.0</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Less intersegment sales</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(5.2)</w:t>
            </w:r>
          </w:p>
        </w:tc>
        <w:tc>
          <w:tcPr>
            <w:tcW w:w="15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(4.2)</w:t>
            </w:r>
          </w:p>
        </w:tc>
        <w:tc>
          <w:tcPr>
            <w:tcW w:w="15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(6.0)</w:t>
            </w:r>
          </w:p>
        </w:tc>
      </w:tr>
      <w:tr>
        <w:trPr>
          <w:trHeight w:val="20"/>
        </w:trPr>
        <w:tc>
          <w:tcPr>
            <w:tcW w:w="674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37"/>
        </w:trPr>
        <w:tc>
          <w:tcPr>
            <w:tcW w:w="674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100.0</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100.0</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100.0</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Cost of Sales</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69.6</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64.7</w:t>
            </w:r>
          </w:p>
        </w:tc>
        <w:tc>
          <w:tcPr>
            <w:tcW w:w="15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67.1</w:t>
            </w:r>
          </w:p>
        </w:tc>
      </w:tr>
      <w:tr>
        <w:trPr>
          <w:trHeight w:val="20"/>
        </w:trPr>
        <w:tc>
          <w:tcPr>
            <w:tcW w:w="674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color w:val="auto"/>
              </w:rPr>
              <w:t>Gross Margin</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30.4</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35.3</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32.9</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Selling and Administrative expenses</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20.2</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20.1</w:t>
            </w:r>
          </w:p>
        </w:tc>
        <w:tc>
          <w:tcPr>
            <w:tcW w:w="15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21.2</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Compensation Charges</w:t>
            </w:r>
          </w:p>
        </w:tc>
        <w:tc>
          <w:tcPr>
            <w:tcW w:w="1600" w:type="dxa"/>
            <w:vAlign w:val="bottom"/>
            <w:gridSpan w:val="2"/>
          </w:tcPr>
          <w:p>
            <w:pPr>
              <w:jc w:val="right"/>
              <w:ind w:right="220"/>
              <w:spacing w:after="0"/>
              <w:rPr>
                <w:sz w:val="20"/>
                <w:szCs w:val="20"/>
                <w:color w:val="auto"/>
              </w:rPr>
            </w:pPr>
            <w:r>
              <w:rPr>
                <w:rFonts w:ascii="Arial" w:cs="Arial" w:eastAsia="Arial" w:hAnsi="Arial"/>
                <w:sz w:val="18"/>
                <w:szCs w:val="18"/>
                <w:color w:val="auto"/>
              </w:rPr>
              <w:t>0.0</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0.0</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Research and Development expenses</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16.8</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11.9</w:t>
            </w:r>
          </w:p>
        </w:tc>
        <w:tc>
          <w:tcPr>
            <w:tcW w:w="15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12.4</w:t>
            </w:r>
          </w:p>
        </w:tc>
      </w:tr>
      <w:tr>
        <w:trPr>
          <w:trHeight w:val="20"/>
        </w:trPr>
        <w:tc>
          <w:tcPr>
            <w:tcW w:w="674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color w:val="auto"/>
              </w:rPr>
              <w:t>Operating (Loss) Profit</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(6.6)</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(2.3)</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Other Income, net &amp; Minority Interest</w:t>
            </w:r>
          </w:p>
        </w:tc>
        <w:tc>
          <w:tcPr>
            <w:tcW w:w="16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3.4</w:t>
            </w:r>
          </w:p>
        </w:tc>
        <w:tc>
          <w:tcPr>
            <w:tcW w:w="156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color w:val="auto"/>
              </w:rPr>
              <w:t>9.3</w:t>
            </w:r>
          </w:p>
        </w:tc>
        <w:tc>
          <w:tcPr>
            <w:tcW w:w="15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15.2</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3.4</w:t>
            </w: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3.8</w:t>
            </w:r>
          </w:p>
        </w:tc>
      </w:tr>
      <w:tr>
        <w:trPr>
          <w:trHeight w:val="20"/>
        </w:trPr>
        <w:tc>
          <w:tcPr>
            <w:tcW w:w="67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57"/>
        </w:trPr>
        <w:tc>
          <w:tcPr>
            <w:tcW w:w="6740" w:type="dxa"/>
            <w:vAlign w:val="bottom"/>
            <w:shd w:val="clear" w:color="auto" w:fill="CCFFCC"/>
          </w:tcPr>
          <w:p>
            <w:pPr>
              <w:ind w:left="500"/>
              <w:spacing w:after="0"/>
              <w:rPr>
                <w:sz w:val="20"/>
                <w:szCs w:val="20"/>
                <w:color w:val="auto"/>
              </w:rPr>
            </w:pPr>
            <w:r>
              <w:rPr>
                <w:rFonts w:ascii="Arial" w:cs="Arial" w:eastAsia="Arial" w:hAnsi="Arial"/>
                <w:sz w:val="18"/>
                <w:szCs w:val="18"/>
                <w:color w:val="auto"/>
              </w:rPr>
              <w:t>Net (Loss) Income</w:t>
            </w:r>
          </w:p>
        </w:tc>
        <w:tc>
          <w:tcPr>
            <w:tcW w:w="16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(0.4)%</w:t>
            </w:r>
          </w:p>
        </w:tc>
        <w:tc>
          <w:tcPr>
            <w:tcW w:w="15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9.1%</w:t>
            </w:r>
          </w:p>
        </w:tc>
        <w:tc>
          <w:tcPr>
            <w:tcW w:w="152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9.1%</w:t>
            </w:r>
          </w:p>
        </w:tc>
      </w:tr>
      <w:tr>
        <w:trPr>
          <w:trHeight w:val="20"/>
        </w:trPr>
        <w:tc>
          <w:tcPr>
            <w:tcW w:w="674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r>
    </w:tbl>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Significant Events</w:t>
      </w:r>
    </w:p>
    <w:p>
      <w:pPr>
        <w:spacing w:after="0" w:line="28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Operating results for fiscal year 2007 have been impacted by several major satellite payload programs. Revenues from space-related programs increased year over year but higher than anticipated engineering costs resulted in lower gross margin and in higher research and development spending, which yielded an operating loss for the year ended April 30, 2007.</w:t>
      </w:r>
    </w:p>
    <w:p>
      <w:pPr>
        <w:spacing w:after="0" w:line="235"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As described elsewhere in this Form 10-K and in the notes to the financial statements, the Company’s fiscal year 2006 and 2005 results of operations were materially impacted by several specific events. During fiscal year 2005, the Company recorded a gain of $4.6 million on the conversion of its real estate operating partnership units (“REIT units”) into shares of Reckson Associates Realty Corp. common stock (“REIT stock”), thus completing a transaction which was initiated in fiscal year 1998. (See Item 2. Properties, Note 6 to the accompanying consolidated financial statements and comments in the following paragraph.) Subsequent to the conversion, the Company sold a portion of the REIT stock and realized additional gains of approximately $2.3 million, or total pretax gains of approximately $6.9 million. As a result of these gains, the Company also accrued a contractually mandated incentive compensation expense of $416,000, which amount is included in operating expenses under the caption “Compensation Charges.”</w:t>
      </w:r>
    </w:p>
    <w:p>
      <w:pPr>
        <w:spacing w:after="0" w:line="23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During fiscal year 2006, the Company recognized gains on the sale of certain assets: $2.1 million from additional sales of shares of REIT stock and a gain of $680,000 upon the sale of a manufacturing facility owned by one of its European subsidiaries. (See Note 7 to the accompanying consolidated financial statements.)</w:t>
      </w:r>
    </w:p>
    <w:p>
      <w:pPr>
        <w:spacing w:after="0" w:line="23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Without these significant events, the Company’s operating profit (loss), pre-tax income and net income would be materially different from that reported in the financial statements.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07"/>
        </w:trPr>
        <w:tc>
          <w:tcPr>
            <w:tcW w:w="3700" w:type="dxa"/>
            <w:vAlign w:val="bottom"/>
            <w:gridSpan w:val="3"/>
          </w:tcPr>
          <w:p>
            <w:pPr>
              <w:ind w:left="500"/>
              <w:spacing w:after="0"/>
              <w:rPr>
                <w:sz w:val="20"/>
                <w:szCs w:val="20"/>
                <w:color w:val="auto"/>
              </w:rPr>
            </w:pPr>
            <w:r>
              <w:rPr>
                <w:rFonts w:ascii="Arial" w:cs="Arial" w:eastAsia="Arial" w:hAnsi="Arial"/>
                <w:sz w:val="18"/>
                <w:szCs w:val="18"/>
                <w:b w:val="1"/>
                <w:bCs w:val="1"/>
                <w:color w:val="auto"/>
              </w:rPr>
              <w:t>Net Sales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561"/>
        </w:trPr>
        <w:tc>
          <w:tcPr>
            <w:tcW w:w="50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7"/>
          </w:tcPr>
          <w:p>
            <w:pPr>
              <w:jc w:val="right"/>
              <w:ind w:right="260"/>
              <w:spacing w:after="0"/>
              <w:rPr>
                <w:sz w:val="20"/>
                <w:szCs w:val="20"/>
                <w:color w:val="auto"/>
              </w:rPr>
            </w:pPr>
            <w:r>
              <w:rPr>
                <w:rFonts w:ascii="Arial" w:cs="Arial" w:eastAsia="Arial" w:hAnsi="Arial"/>
                <w:sz w:val="18"/>
                <w:szCs w:val="18"/>
                <w:color w:val="auto"/>
                <w:w w:val="90"/>
              </w:rPr>
              <w:t>Fiscal 2007 to Fiscal 2006</w:t>
            </w:r>
          </w:p>
        </w:tc>
        <w:tc>
          <w:tcPr>
            <w:tcW w:w="5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8"/>
                <w:szCs w:val="18"/>
                <w:color w:val="auto"/>
                <w:w w:val="87"/>
              </w:rPr>
              <w:t>Fiscal 2006 to Fiscal 2005</w:t>
            </w:r>
          </w:p>
        </w:tc>
        <w:tc>
          <w:tcPr>
            <w:tcW w:w="5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37"/>
        </w:trPr>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60" w:type="dxa"/>
            <w:vAlign w:val="bottom"/>
            <w:gridSpan w:val="5"/>
          </w:tcPr>
          <w:p>
            <w:pPr>
              <w:jc w:val="right"/>
              <w:ind w:right="80"/>
              <w:spacing w:after="0"/>
              <w:rPr>
                <w:sz w:val="20"/>
                <w:szCs w:val="20"/>
                <w:color w:val="auto"/>
              </w:rPr>
            </w:pPr>
            <w:r>
              <w:rPr>
                <w:rFonts w:ascii="Arial" w:cs="Arial" w:eastAsia="Arial" w:hAnsi="Arial"/>
                <w:sz w:val="18"/>
                <w:szCs w:val="18"/>
                <w:color w:val="auto"/>
                <w:w w:val="90"/>
              </w:rPr>
              <w:t>Years ended April 30,</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70"/>
        </w:trPr>
        <w:tc>
          <w:tcPr>
            <w:tcW w:w="5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660" w:type="dxa"/>
            <w:vAlign w:val="bottom"/>
            <w:tcBorders>
              <w:bottom w:val="single" w:sz="8" w:color="auto"/>
            </w:tcBorders>
            <w:gridSpan w:val="5"/>
          </w:tcPr>
          <w:p>
            <w:pPr>
              <w:jc w:val="right"/>
              <w:ind w:right="420"/>
              <w:spacing w:after="0"/>
              <w:rPr>
                <w:sz w:val="20"/>
                <w:szCs w:val="20"/>
                <w:color w:val="auto"/>
              </w:rPr>
            </w:pPr>
            <w:r>
              <w:rPr>
                <w:rFonts w:ascii="Arial" w:cs="Arial" w:eastAsia="Arial" w:hAnsi="Arial"/>
                <w:sz w:val="18"/>
                <w:szCs w:val="18"/>
                <w:color w:val="auto"/>
              </w:rPr>
              <w:t>(in millions)</w:t>
            </w:r>
          </w:p>
        </w:tc>
        <w:tc>
          <w:tcPr>
            <w:tcW w:w="16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r>
      <w:tr>
        <w:trPr>
          <w:trHeight w:val="264"/>
        </w:trPr>
        <w:tc>
          <w:tcPr>
            <w:tcW w:w="5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2007</w:t>
            </w: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Change</w:t>
            </w:r>
          </w:p>
        </w:tc>
        <w:tc>
          <w:tcPr>
            <w:tcW w:w="5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2006</w:t>
            </w:r>
          </w:p>
        </w:tc>
        <w:tc>
          <w:tcPr>
            <w:tcW w:w="1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2005</w:t>
            </w:r>
          </w:p>
        </w:tc>
        <w:tc>
          <w:tcPr>
            <w:tcW w:w="140" w:type="dxa"/>
            <w:vAlign w:val="bottom"/>
          </w:tcPr>
          <w:p>
            <w:pPr>
              <w:spacing w:after="0"/>
              <w:rPr>
                <w:sz w:val="22"/>
                <w:szCs w:val="22"/>
                <w:color w:val="auto"/>
              </w:rPr>
            </w:pPr>
          </w:p>
        </w:tc>
        <w:tc>
          <w:tcPr>
            <w:tcW w:w="12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Change</w:t>
            </w:r>
          </w:p>
        </w:tc>
        <w:tc>
          <w:tcPr>
            <w:tcW w:w="54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r>
      <w:tr>
        <w:trPr>
          <w:trHeight w:val="264"/>
        </w:trPr>
        <w:tc>
          <w:tcPr>
            <w:tcW w:w="370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FEI-NY</w:t>
            </w:r>
          </w:p>
        </w:tc>
        <w:tc>
          <w:tcPr>
            <w:tcW w:w="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40.2</w:t>
            </w:r>
          </w:p>
        </w:tc>
        <w:tc>
          <w:tcPr>
            <w:tcW w:w="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35.8</w:t>
            </w: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4.4</w:t>
            </w: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35.8</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37.1</w:t>
            </w:r>
          </w:p>
        </w:tc>
        <w:tc>
          <w:tcPr>
            <w:tcW w:w="1260" w:type="dxa"/>
            <w:vAlign w:val="bottom"/>
            <w:gridSpan w:val="2"/>
            <w:shd w:val="clear" w:color="auto" w:fill="CCFFCC"/>
          </w:tcPr>
          <w:p>
            <w:pPr>
              <w:jc w:val="right"/>
              <w:ind w:right="360"/>
              <w:spacing w:after="0"/>
              <w:rPr>
                <w:sz w:val="20"/>
                <w:szCs w:val="20"/>
                <w:color w:val="auto"/>
              </w:rPr>
            </w:pPr>
            <w:r>
              <w:rPr>
                <w:rFonts w:ascii="Arial" w:cs="Arial" w:eastAsia="Arial" w:hAnsi="Arial"/>
                <w:sz w:val="18"/>
                <w:szCs w:val="18"/>
                <w:color w:val="auto"/>
              </w:rPr>
              <w:t>($1.3)</w:t>
            </w:r>
          </w:p>
        </w:tc>
        <w:tc>
          <w:tcPr>
            <w:tcW w:w="6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w:t>
            </w:r>
          </w:p>
        </w:tc>
      </w:tr>
      <w:tr>
        <w:trPr>
          <w:trHeight w:val="270"/>
        </w:trPr>
        <w:tc>
          <w:tcPr>
            <w:tcW w:w="3700" w:type="dxa"/>
            <w:vAlign w:val="bottom"/>
            <w:gridSpan w:val="3"/>
          </w:tcPr>
          <w:p>
            <w:pPr>
              <w:spacing w:after="0"/>
              <w:rPr>
                <w:sz w:val="20"/>
                <w:szCs w:val="20"/>
                <w:color w:val="auto"/>
              </w:rPr>
            </w:pPr>
            <w:r>
              <w:rPr>
                <w:rFonts w:ascii="Arial" w:cs="Arial" w:eastAsia="Arial" w:hAnsi="Arial"/>
                <w:sz w:val="18"/>
                <w:szCs w:val="18"/>
                <w:color w:val="auto"/>
              </w:rPr>
              <w:t>Gillam-FEI</w:t>
            </w:r>
          </w:p>
        </w:tc>
        <w:tc>
          <w:tcPr>
            <w:tcW w:w="1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9.2</w:t>
            </w:r>
          </w:p>
        </w:tc>
        <w:tc>
          <w:tcPr>
            <w:tcW w:w="300" w:type="dxa"/>
            <w:vAlign w:val="bottom"/>
          </w:tcPr>
          <w:p>
            <w:pPr>
              <w:spacing w:after="0"/>
              <w:rPr>
                <w:sz w:val="23"/>
                <w:szCs w:val="23"/>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2.2</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23"/>
                <w:szCs w:val="2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23"/>
                <w:szCs w:val="23"/>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12.6</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(3.4)</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(27%)</w:t>
            </w:r>
          </w:p>
        </w:tc>
      </w:tr>
      <w:tr>
        <w:trPr>
          <w:trHeight w:val="270"/>
        </w:trPr>
        <w:tc>
          <w:tcPr>
            <w:tcW w:w="370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FEI-Zyfer</w:t>
            </w:r>
          </w:p>
        </w:tc>
        <w:tc>
          <w:tcPr>
            <w:tcW w:w="140" w:type="dxa"/>
            <w:vAlign w:val="bottom"/>
            <w:shd w:val="clear" w:color="auto" w:fill="CCFFCC"/>
          </w:tcPr>
          <w:p>
            <w:pPr>
              <w:spacing w:after="0"/>
              <w:rPr>
                <w:sz w:val="23"/>
                <w:szCs w:val="23"/>
                <w:color w:val="auto"/>
              </w:rPr>
            </w:pPr>
          </w:p>
        </w:tc>
        <w:tc>
          <w:tcPr>
            <w:tcW w:w="140" w:type="dxa"/>
            <w:vAlign w:val="bottom"/>
            <w:shd w:val="clear" w:color="auto" w:fill="CCFFCC"/>
          </w:tcPr>
          <w:p>
            <w:pPr>
              <w:spacing w:after="0"/>
              <w:rPr>
                <w:sz w:val="23"/>
                <w:szCs w:val="23"/>
                <w:color w:val="auto"/>
              </w:rPr>
            </w:pPr>
          </w:p>
        </w:tc>
        <w:tc>
          <w:tcPr>
            <w:tcW w:w="68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7.5</w:t>
            </w:r>
          </w:p>
        </w:tc>
        <w:tc>
          <w:tcPr>
            <w:tcW w:w="8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780" w:type="dxa"/>
            <w:vAlign w:val="bottom"/>
            <w:tcBorders>
              <w:right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FFCC"/>
          </w:tcPr>
          <w:p>
            <w:pPr>
              <w:spacing w:after="0"/>
              <w:rPr>
                <w:sz w:val="23"/>
                <w:szCs w:val="23"/>
                <w:color w:val="auto"/>
              </w:rPr>
            </w:pPr>
          </w:p>
        </w:tc>
        <w:tc>
          <w:tcPr>
            <w:tcW w:w="8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(2.5)</w:t>
            </w:r>
          </w:p>
        </w:tc>
        <w:tc>
          <w:tcPr>
            <w:tcW w:w="7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FFCC"/>
          </w:tcPr>
          <w:p>
            <w:pPr>
              <w:spacing w:after="0"/>
              <w:rPr>
                <w:sz w:val="23"/>
                <w:szCs w:val="23"/>
                <w:color w:val="auto"/>
              </w:rPr>
            </w:pPr>
          </w:p>
        </w:tc>
        <w:tc>
          <w:tcPr>
            <w:tcW w:w="800" w:type="dxa"/>
            <w:vAlign w:val="bottom"/>
            <w:tcBorders>
              <w:right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FFCC"/>
          </w:tcPr>
          <w:p>
            <w:pPr>
              <w:spacing w:after="0"/>
              <w:rPr>
                <w:sz w:val="23"/>
                <w:szCs w:val="23"/>
                <w:color w:val="auto"/>
              </w:rPr>
            </w:pP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8.8</w:t>
            </w:r>
          </w:p>
        </w:tc>
        <w:tc>
          <w:tcPr>
            <w:tcW w:w="1260" w:type="dxa"/>
            <w:vAlign w:val="bottom"/>
            <w:gridSpan w:val="2"/>
            <w:shd w:val="clear" w:color="auto" w:fill="CCFFCC"/>
          </w:tcPr>
          <w:p>
            <w:pPr>
              <w:jc w:val="right"/>
              <w:ind w:right="420"/>
              <w:spacing w:after="0"/>
              <w:rPr>
                <w:sz w:val="20"/>
                <w:szCs w:val="20"/>
                <w:color w:val="auto"/>
              </w:rPr>
            </w:pPr>
            <w:r>
              <w:rPr>
                <w:rFonts w:ascii="Arial" w:cs="Arial" w:eastAsia="Arial" w:hAnsi="Arial"/>
                <w:sz w:val="18"/>
                <w:szCs w:val="18"/>
                <w:color w:val="auto"/>
              </w:rPr>
              <w:t>1.2</w:t>
            </w:r>
          </w:p>
        </w:tc>
        <w:tc>
          <w:tcPr>
            <w:tcW w:w="68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14%</w:t>
            </w:r>
          </w:p>
        </w:tc>
      </w:tr>
      <w:tr>
        <w:trPr>
          <w:trHeight w:val="250"/>
        </w:trPr>
        <w:tc>
          <w:tcPr>
            <w:tcW w:w="3700" w:type="dxa"/>
            <w:vAlign w:val="bottom"/>
            <w:tcBorders>
              <w:bottom w:val="single" w:sz="8" w:color="CCFFCC"/>
            </w:tcBorders>
            <w:gridSpan w:val="3"/>
            <w:shd w:val="clear" w:color="auto" w:fill="CCFFCC"/>
          </w:tcPr>
          <w:p>
            <w:pPr>
              <w:spacing w:after="0"/>
              <w:rPr>
                <w:sz w:val="20"/>
                <w:szCs w:val="20"/>
                <w:color w:val="auto"/>
              </w:rPr>
            </w:pPr>
            <w:r>
              <w:rPr>
                <w:rFonts w:ascii="Arial" w:cs="Arial" w:eastAsia="Arial" w:hAnsi="Arial"/>
                <w:sz w:val="18"/>
                <w:szCs w:val="18"/>
                <w:color w:val="auto"/>
              </w:rPr>
              <w:t>Intersegment sales</w:t>
            </w:r>
          </w:p>
        </w:tc>
        <w:tc>
          <w:tcPr>
            <w:tcW w:w="14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76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(2.9)</w:t>
            </w:r>
          </w:p>
        </w:tc>
        <w:tc>
          <w:tcPr>
            <w:tcW w:w="16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right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(2.2)</w:t>
            </w:r>
          </w:p>
        </w:tc>
        <w:tc>
          <w:tcPr>
            <w:tcW w:w="300" w:type="dxa"/>
            <w:vAlign w:val="bottom"/>
            <w:tcBorders>
              <w:bottom w:val="single" w:sz="8" w:color="CCFFCC"/>
            </w:tcBorders>
            <w:shd w:val="clear" w:color="auto" w:fill="CCFFCC"/>
          </w:tcPr>
          <w:p>
            <w:pPr>
              <w:spacing w:after="0"/>
              <w:rPr>
                <w:sz w:val="21"/>
                <w:szCs w:val="21"/>
                <w:color w:val="auto"/>
              </w:rPr>
            </w:pPr>
          </w:p>
        </w:tc>
        <w:tc>
          <w:tcPr>
            <w:tcW w:w="860" w:type="dxa"/>
            <w:vAlign w:val="bottom"/>
            <w:tcBorders>
              <w:bottom w:val="single" w:sz="8" w:color="CCFFCC"/>
            </w:tcBorders>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(0.7)</w:t>
            </w:r>
          </w:p>
        </w:tc>
        <w:tc>
          <w:tcPr>
            <w:tcW w:w="5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800" w:type="dxa"/>
            <w:vAlign w:val="bottom"/>
            <w:tcBorders>
              <w:bottom w:val="single" w:sz="8" w:color="CCFFCC"/>
              <w:right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(2.2)</w:t>
            </w:r>
          </w:p>
        </w:tc>
        <w:tc>
          <w:tcPr>
            <w:tcW w:w="160" w:type="dxa"/>
            <w:vAlign w:val="bottom"/>
            <w:tcBorders>
              <w:bottom w:val="single" w:sz="8" w:color="CCFFCC"/>
            </w:tcBorders>
            <w:shd w:val="clear" w:color="auto" w:fill="CCFFCC"/>
          </w:tcPr>
          <w:p>
            <w:pPr>
              <w:spacing w:after="0"/>
              <w:rPr>
                <w:sz w:val="21"/>
                <w:szCs w:val="21"/>
                <w:color w:val="auto"/>
              </w:rPr>
            </w:pPr>
          </w:p>
        </w:tc>
        <w:tc>
          <w:tcPr>
            <w:tcW w:w="820" w:type="dxa"/>
            <w:vAlign w:val="bottom"/>
            <w:tcBorders>
              <w:bottom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(3.3)</w:t>
            </w:r>
          </w:p>
        </w:tc>
        <w:tc>
          <w:tcPr>
            <w:tcW w:w="1260" w:type="dxa"/>
            <w:vAlign w:val="bottom"/>
            <w:tcBorders>
              <w:bottom w:val="single" w:sz="8" w:color="CCFFCC"/>
            </w:tcBorders>
            <w:gridSpan w:val="2"/>
            <w:shd w:val="clear" w:color="auto" w:fill="CCFFCC"/>
          </w:tcPr>
          <w:p>
            <w:pPr>
              <w:jc w:val="right"/>
              <w:ind w:right="420"/>
              <w:spacing w:after="0"/>
              <w:rPr>
                <w:sz w:val="20"/>
                <w:szCs w:val="20"/>
                <w:color w:val="auto"/>
              </w:rPr>
            </w:pPr>
            <w:r>
              <w:rPr>
                <w:rFonts w:ascii="Arial" w:cs="Arial" w:eastAsia="Arial" w:hAnsi="Arial"/>
                <w:sz w:val="18"/>
                <w:szCs w:val="18"/>
                <w:color w:val="auto"/>
              </w:rPr>
              <w:t>1.1</w:t>
            </w:r>
          </w:p>
        </w:tc>
        <w:tc>
          <w:tcPr>
            <w:tcW w:w="54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r>
      <w:tr>
        <w:trPr>
          <w:trHeight w:val="20"/>
        </w:trPr>
        <w:tc>
          <w:tcPr>
            <w:tcW w:w="500" w:type="dxa"/>
            <w:vAlign w:val="bottom"/>
            <w:shd w:val="clear" w:color="auto" w:fill="CCFFCC"/>
          </w:tcPr>
          <w:p>
            <w:pPr>
              <w:spacing w:after="0" w:line="20" w:lineRule="exact"/>
              <w:rPr>
                <w:sz w:val="1"/>
                <w:szCs w:val="1"/>
                <w:color w:val="auto"/>
              </w:rPr>
            </w:pPr>
          </w:p>
        </w:tc>
        <w:tc>
          <w:tcPr>
            <w:tcW w:w="700" w:type="dxa"/>
            <w:vAlign w:val="bottom"/>
            <w:shd w:val="clear" w:color="auto" w:fill="CCFFCC"/>
          </w:tcPr>
          <w:p>
            <w:pPr>
              <w:spacing w:after="0" w:line="20" w:lineRule="exact"/>
              <w:rPr>
                <w:sz w:val="1"/>
                <w:szCs w:val="1"/>
                <w:color w:val="auto"/>
              </w:rPr>
            </w:pPr>
          </w:p>
        </w:tc>
        <w:tc>
          <w:tcPr>
            <w:tcW w:w="250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tcBorders>
              <w:right w:val="single" w:sz="8" w:color="CCFFCC"/>
            </w:tcBorders>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Borders>
              <w:right w:val="single" w:sz="8" w:color="CCFFCC"/>
            </w:tcBorders>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shd w:val="clear" w:color="auto" w:fill="CCFFCC"/>
          </w:tcPr>
          <w:p>
            <w:pPr>
              <w:spacing w:after="0" w:line="20" w:lineRule="exact"/>
              <w:rPr>
                <w:sz w:val="1"/>
                <w:szCs w:val="1"/>
                <w:color w:val="auto"/>
              </w:rPr>
            </w:pPr>
          </w:p>
        </w:tc>
        <w:tc>
          <w:tcPr>
            <w:tcW w:w="58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Borders>
              <w:right w:val="single" w:sz="8" w:color="CCFFCC"/>
            </w:tcBorders>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CCFFCC"/>
          </w:tcPr>
          <w:p>
            <w:pPr>
              <w:spacing w:after="0" w:line="20" w:lineRule="exact"/>
              <w:rPr>
                <w:sz w:val="1"/>
                <w:szCs w:val="1"/>
                <w:color w:val="auto"/>
              </w:rPr>
            </w:pPr>
          </w:p>
        </w:tc>
        <w:tc>
          <w:tcPr>
            <w:tcW w:w="54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r>
      <w:tr>
        <w:trPr>
          <w:trHeight w:val="264"/>
        </w:trPr>
        <w:tc>
          <w:tcPr>
            <w:tcW w:w="5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56.2</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52.8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3.4</w:t>
            </w: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52.8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55.2</w:t>
            </w: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($2.4)</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(4%)</w:t>
            </w:r>
          </w:p>
        </w:tc>
      </w:tr>
    </w:tbl>
    <w:p>
      <w:pPr>
        <w:spacing w:after="0" w:line="256"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For the year ended April 30, 2007, the 12% revenue increase in the FEI-NY segment was generated from all sources. Wireless telecommunications-related revenues, revenues from satellite payloads for commercial and U.S. Government programs, other U.S. Government, non-space programs and other commercial revenues all increased as compared to the prior fiscal year. Gillam-FEI revenues in fiscal 2007 (exclusive of intercompany sales of $1.8 million in fiscal year 2007 and $945,000 in fiscal year 2006 related to increased inventory for and development efforts expended on the new wireline synchronization product line) increased by 17%. Approximately one-fourth of the sales increase is attributable to the increased value of the Euro compared to the U.S. dollar. Revenues for the FEI-Zyfer segment during fiscal year 2007 declined by $2.5 million as many orders were delayed compared to expectations.</w:t>
      </w:r>
    </w:p>
    <w:p>
      <w:pPr>
        <w:spacing w:after="0" w:line="21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For the year ended April 30, 2006, revenues of the FEI-NY segment declined 3% primarily as a result of a 33% decrease in revenues related to wireless telecommunication infrastructure spending. This decline was partially offset by a doubling in revenues from commercial and U.S. Government satellite projects. Revenues for Gillam-FEI (exclusive of intercompany sales of $945,000 in fiscal year 2006 and $2.4 million in fiscal year 2005 related to a research and development program) decreased by $2.0 million or 19%, as a number of wireline synchronization projects were postponed by its customers. FEI-Zyfer continued to show year-over-year improvement in revenues as the segment introduced new products and continued to solidify its position with its customer base.</w:t>
      </w:r>
    </w:p>
    <w:p>
      <w:pPr>
        <w:spacing w:after="0" w:line="24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During fiscal year 2008, based on current backlog and current proposal activity, the Company expects to realize significant revenues from commercial and U.S. Government satellite programs. In addition, the Company’s recent work on U.S. Government-sponsored development contracts and current proposal activity should generate increased revenues from U.S. Government programs such as secure radios, unmanned aerial vehicles, weapons guidance systems and secure communications. The timing and magnitude of revenues from these sources is dependent on the U.S. Government’s procurement and budgeting process. Increased U.S. Government spending during fiscal year 2008 will benefit the Company’s FEI-NY and FEI-Zyfer segment. Similarly, the Company’s development of state-of-the-art wireline synchronization systems is expected to result in increased bookings and revenues in fiscal year 2008 which will benefit both the FEI-NY and Gillam-FEI segments.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20" w:type="dxa"/>
            <w:vAlign w:val="bottom"/>
            <w:gridSpan w:val="4"/>
          </w:tcPr>
          <w:p>
            <w:pPr>
              <w:jc w:val="right"/>
              <w:ind w:right="1880"/>
              <w:spacing w:after="0"/>
              <w:rPr>
                <w:sz w:val="20"/>
                <w:szCs w:val="20"/>
                <w:color w:val="auto"/>
              </w:rPr>
            </w:pPr>
            <w:r>
              <w:rPr>
                <w:rFonts w:ascii="Arial" w:cs="Arial" w:eastAsia="Arial" w:hAnsi="Arial"/>
                <w:sz w:val="18"/>
                <w:szCs w:val="18"/>
                <w:b w:val="1"/>
                <w:bCs w:val="1"/>
                <w:color w:val="auto"/>
              </w:rPr>
              <w:t>Gross Margin Rates</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561"/>
        </w:trPr>
        <w:tc>
          <w:tcPr>
            <w:tcW w:w="500" w:type="dxa"/>
            <w:vAlign w:val="bottom"/>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17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5"/>
          </w:tcPr>
          <w:p>
            <w:pPr>
              <w:jc w:val="right"/>
              <w:ind w:right="310"/>
              <w:spacing w:after="0"/>
              <w:rPr>
                <w:sz w:val="20"/>
                <w:szCs w:val="20"/>
                <w:color w:val="auto"/>
              </w:rPr>
            </w:pPr>
            <w:r>
              <w:rPr>
                <w:rFonts w:ascii="Arial" w:cs="Arial" w:eastAsia="Arial" w:hAnsi="Arial"/>
                <w:sz w:val="18"/>
                <w:szCs w:val="18"/>
                <w:color w:val="auto"/>
                <w:w w:val="91"/>
              </w:rPr>
              <w:t>Fiscal 2007 to Fiscal 2006</w:t>
            </w:r>
          </w:p>
        </w:tc>
        <w:tc>
          <w:tcPr>
            <w:tcW w:w="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5"/>
          </w:tcPr>
          <w:p>
            <w:pPr>
              <w:jc w:val="right"/>
              <w:ind w:right="350"/>
              <w:spacing w:after="0"/>
              <w:rPr>
                <w:sz w:val="20"/>
                <w:szCs w:val="20"/>
                <w:color w:val="auto"/>
              </w:rPr>
            </w:pPr>
            <w:r>
              <w:rPr>
                <w:rFonts w:ascii="Arial" w:cs="Arial" w:eastAsia="Arial" w:hAnsi="Arial"/>
                <w:sz w:val="18"/>
                <w:szCs w:val="18"/>
                <w:color w:val="auto"/>
                <w:w w:val="91"/>
              </w:rPr>
              <w:t>Fiscal 2006 to Fiscal 2005</w:t>
            </w:r>
          </w:p>
        </w:tc>
        <w:tc>
          <w:tcPr>
            <w:tcW w:w="4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r>
      <w:tr>
        <w:trPr>
          <w:trHeight w:val="237"/>
        </w:trPr>
        <w:tc>
          <w:tcPr>
            <w:tcW w:w="5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0" w:type="dxa"/>
            <w:vAlign w:val="bottom"/>
            <w:gridSpan w:val="5"/>
          </w:tcPr>
          <w:p>
            <w:pPr>
              <w:jc w:val="center"/>
              <w:ind w:left="930"/>
              <w:spacing w:after="0"/>
              <w:rPr>
                <w:sz w:val="20"/>
                <w:szCs w:val="20"/>
                <w:color w:val="auto"/>
              </w:rPr>
            </w:pPr>
            <w:r>
              <w:rPr>
                <w:rFonts w:ascii="Arial" w:cs="Arial" w:eastAsia="Arial" w:hAnsi="Arial"/>
                <w:sz w:val="18"/>
                <w:szCs w:val="18"/>
                <w:color w:val="auto"/>
                <w:w w:val="91"/>
              </w:rPr>
              <w:t>Years ended April 30,</w:t>
            </w: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70"/>
        </w:trPr>
        <w:tc>
          <w:tcPr>
            <w:tcW w:w="50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8"/>
                <w:szCs w:val="18"/>
                <w:color w:val="auto"/>
                <w:w w:val="89"/>
              </w:rPr>
              <w:t>(in thousands)</w:t>
            </w:r>
          </w:p>
        </w:tc>
        <w:tc>
          <w:tcPr>
            <w:tcW w:w="8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r>
      <w:tr>
        <w:trPr>
          <w:trHeight w:val="264"/>
        </w:trPr>
        <w:tc>
          <w:tcPr>
            <w:tcW w:w="50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111"/>
              <w:spacing w:after="0"/>
              <w:rPr>
                <w:sz w:val="20"/>
                <w:szCs w:val="20"/>
                <w:color w:val="auto"/>
              </w:rPr>
            </w:pPr>
            <w:r>
              <w:rPr>
                <w:rFonts w:ascii="Arial" w:cs="Arial" w:eastAsia="Arial" w:hAnsi="Arial"/>
                <w:sz w:val="18"/>
                <w:szCs w:val="18"/>
                <w:color w:val="auto"/>
                <w:w w:val="99"/>
              </w:rPr>
              <w:t>2007</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2006</w:t>
            </w:r>
          </w:p>
        </w:tc>
        <w:tc>
          <w:tcPr>
            <w:tcW w:w="180" w:type="dxa"/>
            <w:vAlign w:val="bottom"/>
          </w:tcPr>
          <w:p>
            <w:pPr>
              <w:spacing w:after="0"/>
              <w:rPr>
                <w:sz w:val="22"/>
                <w:szCs w:val="22"/>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Change</w:t>
            </w:r>
          </w:p>
        </w:tc>
        <w:tc>
          <w:tcPr>
            <w:tcW w:w="4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2006</w:t>
            </w:r>
          </w:p>
        </w:tc>
        <w:tc>
          <w:tcPr>
            <w:tcW w:w="160" w:type="dxa"/>
            <w:vAlign w:val="bottom"/>
          </w:tcPr>
          <w:p>
            <w:pPr>
              <w:spacing w:after="0"/>
              <w:rPr>
                <w:sz w:val="22"/>
                <w:szCs w:val="22"/>
                <w:color w:val="auto"/>
              </w:rPr>
            </w:pPr>
          </w:p>
        </w:tc>
        <w:tc>
          <w:tcPr>
            <w:tcW w:w="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2005</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Change</w:t>
            </w:r>
          </w:p>
        </w:tc>
        <w:tc>
          <w:tcPr>
            <w:tcW w:w="42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r>
      <w:tr>
        <w:trPr>
          <w:trHeight w:val="264"/>
        </w:trPr>
        <w:tc>
          <w:tcPr>
            <w:tcW w:w="3920" w:type="dxa"/>
            <w:vAlign w:val="bottom"/>
            <w:gridSpan w:val="4"/>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17,076</w:t>
            </w:r>
          </w:p>
        </w:tc>
        <w:tc>
          <w:tcPr>
            <w:tcW w:w="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18,617</w:t>
            </w:r>
          </w:p>
        </w:tc>
        <w:tc>
          <w:tcPr>
            <w:tcW w:w="1240" w:type="dxa"/>
            <w:vAlign w:val="bottom"/>
            <w:shd w:val="clear" w:color="auto" w:fill="CCFFCC"/>
          </w:tcPr>
          <w:p>
            <w:pPr>
              <w:jc w:val="right"/>
              <w:ind w:right="290"/>
              <w:spacing w:after="0"/>
              <w:rPr>
                <w:sz w:val="20"/>
                <w:szCs w:val="20"/>
                <w:color w:val="auto"/>
              </w:rPr>
            </w:pPr>
            <w:r>
              <w:rPr>
                <w:rFonts w:ascii="Arial" w:cs="Arial" w:eastAsia="Arial" w:hAnsi="Arial"/>
                <w:sz w:val="18"/>
                <w:szCs w:val="18"/>
                <w:color w:val="auto"/>
              </w:rPr>
              <w:t>($1,541)</w:t>
            </w:r>
          </w:p>
        </w:tc>
        <w:tc>
          <w:tcPr>
            <w:tcW w:w="1560" w:type="dxa"/>
            <w:vAlign w:val="bottom"/>
            <w:gridSpan w:val="4"/>
            <w:shd w:val="clear" w:color="auto" w:fill="CCFFCC"/>
          </w:tcPr>
          <w:p>
            <w:pPr>
              <w:jc w:val="right"/>
              <w:ind w:right="160"/>
              <w:spacing w:after="0"/>
              <w:rPr>
                <w:sz w:val="20"/>
                <w:szCs w:val="20"/>
                <w:color w:val="auto"/>
              </w:rPr>
            </w:pPr>
            <w:r>
              <w:rPr>
                <w:rFonts w:ascii="Arial" w:cs="Arial" w:eastAsia="Arial" w:hAnsi="Arial"/>
                <w:sz w:val="18"/>
                <w:szCs w:val="18"/>
                <w:color w:val="auto"/>
              </w:rPr>
              <w:t>(8%)  $   18,617</w:t>
            </w:r>
          </w:p>
        </w:tc>
        <w:tc>
          <w:tcPr>
            <w:tcW w:w="9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w w:val="99"/>
              </w:rPr>
              <w:t>$   18,160</w:t>
            </w:r>
          </w:p>
        </w:tc>
        <w:tc>
          <w:tcPr>
            <w:tcW w:w="3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FFCC"/>
          </w:tcPr>
          <w:p>
            <w:pPr>
              <w:jc w:val="right"/>
              <w:ind w:right="450"/>
              <w:spacing w:after="0"/>
              <w:rPr>
                <w:sz w:val="20"/>
                <w:szCs w:val="20"/>
                <w:color w:val="auto"/>
              </w:rPr>
            </w:pPr>
            <w:r>
              <w:rPr>
                <w:rFonts w:ascii="Arial" w:cs="Arial" w:eastAsia="Arial" w:hAnsi="Arial"/>
                <w:sz w:val="18"/>
                <w:szCs w:val="18"/>
                <w:color w:val="auto"/>
              </w:rPr>
              <w:t>457</w:t>
            </w:r>
          </w:p>
        </w:tc>
        <w:tc>
          <w:tcPr>
            <w:tcW w:w="5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w:t>
            </w:r>
          </w:p>
        </w:tc>
      </w:tr>
      <w:tr>
        <w:trPr>
          <w:trHeight w:val="243"/>
        </w:trPr>
        <w:tc>
          <w:tcPr>
            <w:tcW w:w="3920" w:type="dxa"/>
            <w:vAlign w:val="bottom"/>
            <w:gridSpan w:val="4"/>
          </w:tcPr>
          <w:p>
            <w:pPr>
              <w:jc w:val="right"/>
              <w:ind w:right="3240"/>
              <w:spacing w:after="0"/>
              <w:rPr>
                <w:sz w:val="20"/>
                <w:szCs w:val="20"/>
                <w:color w:val="auto"/>
              </w:rPr>
            </w:pPr>
            <w:r>
              <w:rPr>
                <w:rFonts w:ascii="Arial" w:cs="Arial" w:eastAsia="Arial" w:hAnsi="Arial"/>
                <w:sz w:val="18"/>
                <w:szCs w:val="18"/>
                <w:color w:val="auto"/>
                <w:w w:val="91"/>
              </w:rPr>
              <w:t>GM Rate</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30.4%</w:t>
            </w:r>
          </w:p>
        </w:tc>
        <w:tc>
          <w:tcPr>
            <w:tcW w:w="160" w:type="dxa"/>
            <w:vAlign w:val="bottom"/>
          </w:tcPr>
          <w:p>
            <w:pPr>
              <w:spacing w:after="0"/>
              <w:rPr>
                <w:sz w:val="21"/>
                <w:szCs w:val="21"/>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35.3%</w:t>
            </w:r>
          </w:p>
        </w:tc>
        <w:tc>
          <w:tcPr>
            <w:tcW w:w="1240" w:type="dxa"/>
            <w:vAlign w:val="bottom"/>
          </w:tcPr>
          <w:p>
            <w:pPr>
              <w:spacing w:after="0"/>
              <w:rPr>
                <w:sz w:val="21"/>
                <w:szCs w:val="21"/>
                <w:color w:val="auto"/>
              </w:rPr>
            </w:pPr>
          </w:p>
        </w:tc>
        <w:tc>
          <w:tcPr>
            <w:tcW w:w="1560" w:type="dxa"/>
            <w:vAlign w:val="bottom"/>
            <w:gridSpan w:val="4"/>
          </w:tcPr>
          <w:p>
            <w:pPr>
              <w:jc w:val="right"/>
              <w:ind w:right="20"/>
              <w:spacing w:after="0"/>
              <w:rPr>
                <w:sz w:val="20"/>
                <w:szCs w:val="20"/>
                <w:color w:val="auto"/>
              </w:rPr>
            </w:pPr>
            <w:r>
              <w:rPr>
                <w:rFonts w:ascii="Arial" w:cs="Arial" w:eastAsia="Arial" w:hAnsi="Arial"/>
                <w:sz w:val="18"/>
                <w:szCs w:val="18"/>
                <w:color w:val="auto"/>
              </w:rPr>
              <w:t>35.3%</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32.9%</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r>
    </w:tbl>
    <w:p>
      <w:pPr>
        <w:spacing w:after="0" w:line="25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For the year ended April 30, 2007, gross margin declined both in total and as a percentage of revenues. This is primarily the result of higher than anticipated engineering costs on certain satellite payload programs. The Company has encountered a significant learning curve in its efforts to increase its production capacity of certain space-related assemblies by a factor of 10. During fiscal year 2007, substantial resources were expended to redesign the Company’s products to meet the specific requirements of two long-term contracts. This process also delayed the completion of these contracts which is now expected to occur in the first quarter of fiscal 2008.</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8" w:right="239" w:bottom="1440" w:gutter="0" w:footer="0" w:header="0"/>
        </w:sectPr>
      </w:pPr>
    </w:p>
    <w:bookmarkStart w:id="27" w:name="page28"/>
    <w:bookmarkEnd w:id="27"/>
    <w:p>
      <w:pPr>
        <w:jc w:val="both"/>
        <w:ind w:firstLine="486"/>
        <w:spacing w:after="0" w:line="286" w:lineRule="auto"/>
        <w:rPr>
          <w:sz w:val="20"/>
          <w:szCs w:val="20"/>
          <w:color w:val="auto"/>
        </w:rPr>
      </w:pPr>
      <w:r>
        <w:rPr>
          <w:rFonts w:ascii="Arial" w:cs="Arial" w:eastAsia="Arial" w:hAnsi="Arial"/>
          <w:sz w:val="17"/>
          <w:szCs w:val="17"/>
          <w:color w:val="auto"/>
        </w:rPr>
        <w:t>For the year ended April 30, 2006, gross margin improved by 3% over the prior year even though the level of sales decreased by 4% from fiscal year 2005. This result was achieved through better utilization of resources and product mix which was partially offset by developmental and technical issues that the Company experienced during fiscal year 2006 with respect to the two long-term contracts referred to in the preceding paragraph.</w:t>
      </w:r>
    </w:p>
    <w:p>
      <w:pPr>
        <w:spacing w:after="0" w:line="220"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The Company’s target is to achieve an overall gross margin rate of 40% or better through greater sales volume, continued process improvements, better performance on long-term contracts and utilization of lower cost manufacturing in Russia and China. During fiscal year 2008, if technical and engineering issues are resolved and revenues increase as anticipated, the Company expects to realize gross margin rates approaching its targeted rate.</w:t>
      </w:r>
    </w:p>
    <w:p>
      <w:pPr>
        <w:spacing w:after="0" w:line="237"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Compensation Charges</w:t>
      </w:r>
    </w:p>
    <w:p>
      <w:pPr>
        <w:spacing w:after="0" w:line="351" w:lineRule="exact"/>
        <w:rPr>
          <w:sz w:val="20"/>
          <w:szCs w:val="20"/>
          <w:color w:val="auto"/>
        </w:rPr>
      </w:pPr>
    </w:p>
    <w:tbl>
      <w:tblPr>
        <w:tblLayout w:type="fixed"/>
        <w:tblInd w:w="4000" w:type="dxa"/>
        <w:tblCellMar>
          <w:top w:w="0" w:type="dxa"/>
          <w:left w:w="0" w:type="dxa"/>
          <w:bottom w:w="0" w:type="dxa"/>
          <w:right w:w="0" w:type="dxa"/>
        </w:tblCellMar>
      </w:tblPr>
      <w:tr>
        <w:trPr>
          <w:trHeight w:val="230"/>
        </w:trPr>
        <w:tc>
          <w:tcPr>
            <w:tcW w:w="7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6"/>
          </w:tcPr>
          <w:p>
            <w:pPr>
              <w:jc w:val="right"/>
              <w:ind w:right="310"/>
              <w:spacing w:after="0"/>
              <w:rPr>
                <w:sz w:val="20"/>
                <w:szCs w:val="20"/>
                <w:color w:val="auto"/>
              </w:rPr>
            </w:pPr>
            <w:r>
              <w:rPr>
                <w:rFonts w:ascii="Arial" w:cs="Arial" w:eastAsia="Arial" w:hAnsi="Arial"/>
                <w:sz w:val="18"/>
                <w:szCs w:val="18"/>
                <w:color w:val="auto"/>
                <w:w w:val="89"/>
              </w:rPr>
              <w:t>Fiscal 2007 to Fiscal 2006</w:t>
            </w:r>
          </w:p>
        </w:tc>
        <w:tc>
          <w:tcPr>
            <w:tcW w:w="4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5"/>
          </w:tcPr>
          <w:p>
            <w:pPr>
              <w:ind w:left="40"/>
              <w:spacing w:after="0"/>
              <w:rPr>
                <w:sz w:val="20"/>
                <w:szCs w:val="20"/>
                <w:color w:val="auto"/>
              </w:rPr>
            </w:pPr>
            <w:r>
              <w:rPr>
                <w:rFonts w:ascii="Arial" w:cs="Arial" w:eastAsia="Arial" w:hAnsi="Arial"/>
                <w:sz w:val="18"/>
                <w:szCs w:val="18"/>
                <w:color w:val="auto"/>
              </w:rPr>
              <w:t>Fiscal 2006 to Fiscal 2005</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4"/>
        </w:trPr>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580" w:type="dxa"/>
            <w:vAlign w:val="bottom"/>
            <w:gridSpan w:val="7"/>
          </w:tcPr>
          <w:p>
            <w:pPr>
              <w:jc w:val="center"/>
              <w:ind w:left="870"/>
              <w:spacing w:after="0"/>
              <w:rPr>
                <w:sz w:val="20"/>
                <w:szCs w:val="20"/>
                <w:color w:val="auto"/>
              </w:rPr>
            </w:pPr>
            <w:r>
              <w:rPr>
                <w:rFonts w:ascii="Arial" w:cs="Arial" w:eastAsia="Arial" w:hAnsi="Arial"/>
                <w:sz w:val="18"/>
                <w:szCs w:val="18"/>
                <w:color w:val="auto"/>
                <w:w w:val="91"/>
              </w:rPr>
              <w:t>Years ended April 30,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9"/>
        </w:trPr>
        <w:tc>
          <w:tcPr>
            <w:tcW w:w="7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color w:val="auto"/>
                <w:w w:val="89"/>
              </w:rPr>
              <w:t>(in thousands)</w:t>
            </w:r>
          </w:p>
        </w:tc>
        <w:tc>
          <w:tcPr>
            <w:tcW w:w="14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r>
      <w:tr>
        <w:trPr>
          <w:trHeight w:val="270"/>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120" w:type="dxa"/>
            <w:vAlign w:val="bottom"/>
            <w:tcBorders>
              <w:bottom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2006</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Change</w:t>
            </w:r>
          </w:p>
        </w:tc>
        <w:tc>
          <w:tcPr>
            <w:tcW w:w="46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7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2006</w:t>
            </w:r>
          </w:p>
        </w:tc>
        <w:tc>
          <w:tcPr>
            <w:tcW w:w="140" w:type="dxa"/>
            <w:vAlign w:val="bottom"/>
            <w:tcBorders>
              <w:bottom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2005</w:t>
            </w:r>
          </w:p>
        </w:tc>
        <w:tc>
          <w:tcPr>
            <w:tcW w:w="180" w:type="dxa"/>
            <w:vAlign w:val="bottom"/>
          </w:tcPr>
          <w:p>
            <w:pPr>
              <w:spacing w:after="0"/>
              <w:rPr>
                <w:sz w:val="23"/>
                <w:szCs w:val="23"/>
                <w:color w:val="auto"/>
              </w:rPr>
            </w:pP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Change</w:t>
            </w:r>
          </w:p>
        </w:tc>
        <w:tc>
          <w:tcPr>
            <w:tcW w:w="42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720" w:type="dxa"/>
            <w:vAlign w:val="bottom"/>
            <w:shd w:val="clear" w:color="auto" w:fill="CCFFCC"/>
          </w:tcPr>
          <w:p>
            <w:pPr>
              <w:jc w:val="right"/>
              <w:ind w:right="530"/>
              <w:spacing w:after="0"/>
              <w:rPr>
                <w:sz w:val="20"/>
                <w:szCs w:val="20"/>
                <w:color w:val="auto"/>
              </w:rPr>
            </w:pPr>
            <w:r>
              <w:rPr>
                <w:rFonts w:ascii="Arial" w:cs="Arial" w:eastAsia="Arial" w:hAnsi="Arial"/>
                <w:sz w:val="18"/>
                <w:szCs w:val="18"/>
                <w:color w:val="auto"/>
                <w:w w:val="79"/>
              </w:rPr>
              <w:t>$</w:t>
            </w:r>
          </w:p>
        </w:tc>
        <w:tc>
          <w:tcPr>
            <w:tcW w:w="1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w w:val="99"/>
              </w:rPr>
              <w:t>0</w:t>
            </w:r>
          </w:p>
        </w:tc>
        <w:tc>
          <w:tcPr>
            <w:tcW w:w="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FFCC"/>
          </w:tcPr>
          <w:p>
            <w:pPr>
              <w:jc w:val="right"/>
              <w:ind w:right="370"/>
              <w:spacing w:after="0"/>
              <w:rPr>
                <w:sz w:val="20"/>
                <w:szCs w:val="20"/>
                <w:color w:val="auto"/>
              </w:rPr>
            </w:pPr>
            <w:r>
              <w:rPr>
                <w:rFonts w:ascii="Arial" w:cs="Arial" w:eastAsia="Arial" w:hAnsi="Arial"/>
                <w:sz w:val="18"/>
                <w:szCs w:val="18"/>
                <w:color w:val="auto"/>
              </w:rPr>
              <w:t>0</w:t>
            </w:r>
          </w:p>
        </w:tc>
        <w:tc>
          <w:tcPr>
            <w:tcW w:w="1240" w:type="dxa"/>
            <w:vAlign w:val="bottom"/>
            <w:gridSpan w:val="4"/>
            <w:shd w:val="clear" w:color="auto" w:fill="CCFFCC"/>
          </w:tcPr>
          <w:p>
            <w:pPr>
              <w:jc w:val="right"/>
              <w:ind w:right="600"/>
              <w:spacing w:after="0"/>
              <w:rPr>
                <w:sz w:val="20"/>
                <w:szCs w:val="20"/>
                <w:color w:val="auto"/>
              </w:rPr>
            </w:pPr>
            <w:r>
              <w:rPr>
                <w:rFonts w:ascii="Arial" w:cs="Arial" w:eastAsia="Arial" w:hAnsi="Arial"/>
                <w:sz w:val="18"/>
                <w:szCs w:val="18"/>
                <w:color w:val="auto"/>
              </w:rPr>
              <w:t>NM $</w:t>
            </w:r>
          </w:p>
        </w:tc>
        <w:tc>
          <w:tcPr>
            <w:tcW w:w="1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w:t>
            </w:r>
          </w:p>
        </w:tc>
        <w:tc>
          <w:tcPr>
            <w:tcW w:w="260" w:type="dxa"/>
            <w:vAlign w:val="bottom"/>
            <w:gridSpan w:val="2"/>
            <w:shd w:val="clear" w:color="auto" w:fill="CCFFCC"/>
          </w:tcPr>
          <w:p>
            <w:pPr>
              <w:ind w:lef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876</w:t>
            </w:r>
          </w:p>
        </w:tc>
        <w:tc>
          <w:tcPr>
            <w:tcW w:w="1240" w:type="dxa"/>
            <w:vAlign w:val="bottom"/>
            <w:shd w:val="clear" w:color="auto" w:fill="CCFFCC"/>
          </w:tcPr>
          <w:p>
            <w:pPr>
              <w:jc w:val="right"/>
              <w:ind w:right="350"/>
              <w:spacing w:after="0"/>
              <w:rPr>
                <w:sz w:val="20"/>
                <w:szCs w:val="20"/>
                <w:color w:val="auto"/>
              </w:rPr>
            </w:pPr>
            <w:r>
              <w:rPr>
                <w:rFonts w:ascii="Arial" w:cs="Arial" w:eastAsia="Arial" w:hAnsi="Arial"/>
                <w:sz w:val="18"/>
                <w:szCs w:val="18"/>
                <w:color w:val="auto"/>
              </w:rPr>
              <w:t>($876)</w:t>
            </w:r>
          </w:p>
        </w:tc>
        <w:tc>
          <w:tcPr>
            <w:tcW w:w="520" w:type="dxa"/>
            <w:vAlign w:val="bottom"/>
            <w:gridSpan w:val="2"/>
            <w:shd w:val="clear" w:color="auto" w:fill="CCFFCC"/>
          </w:tcPr>
          <w:p>
            <w:pPr>
              <w:ind w:left="120"/>
              <w:spacing w:after="0"/>
              <w:rPr>
                <w:sz w:val="20"/>
                <w:szCs w:val="20"/>
                <w:color w:val="auto"/>
              </w:rPr>
            </w:pPr>
            <w:r>
              <w:rPr>
                <w:rFonts w:ascii="Arial" w:cs="Arial" w:eastAsia="Arial" w:hAnsi="Arial"/>
                <w:sz w:val="18"/>
                <w:szCs w:val="18"/>
                <w:color w:val="auto"/>
              </w:rPr>
              <w:t>NM</w:t>
            </w:r>
          </w:p>
        </w:tc>
      </w:tr>
    </w:tbl>
    <w:p>
      <w:pPr>
        <w:spacing w:after="0" w:line="25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Under the caption “Compensation Charges,” the Company has recorded certain expenses which are defined as operating expenses which are not expected to recur. There were no material non-recurring expenses in fiscal years 2007 and 2006.</w:t>
      </w:r>
    </w:p>
    <w:p>
      <w:pPr>
        <w:spacing w:after="0" w:line="22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During fiscal year 2005 the Company accrued a $416,000 incentive compensation expense related to the conversion and sale of REIT units. In addition, the Company recorded a non-cash charge of $327,000 to increase the liability under its deferred compensation plan. This charge was based on updated life expectancy charts utilized by the Company’s actuary. (See Note 12 to the accompanying consolidated financial statements.) The Company’s Belgian subsidiary recorded an accrual for $133,000 related to litigation with a former employee.</w:t>
      </w:r>
    </w:p>
    <w:p>
      <w:pPr>
        <w:spacing w:after="0" w:line="237"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Selling and Administrative expenses</w:t>
      </w:r>
    </w:p>
    <w:p>
      <w:pPr>
        <w:spacing w:after="0" w:line="337" w:lineRule="exact"/>
        <w:rPr>
          <w:sz w:val="20"/>
          <w:szCs w:val="20"/>
          <w:color w:val="auto"/>
        </w:rPr>
      </w:pPr>
    </w:p>
    <w:tbl>
      <w:tblPr>
        <w:tblLayout w:type="fixed"/>
        <w:tblInd w:w="4000" w:type="dxa"/>
        <w:tblCellMar>
          <w:top w:w="0" w:type="dxa"/>
          <w:left w:w="0" w:type="dxa"/>
          <w:bottom w:w="0" w:type="dxa"/>
          <w:right w:w="0" w:type="dxa"/>
        </w:tblCellMar>
      </w:tblPr>
      <w:tr>
        <w:trPr>
          <w:trHeight w:val="230"/>
        </w:trPr>
        <w:tc>
          <w:tcPr>
            <w:tcW w:w="74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6"/>
          </w:tcPr>
          <w:p>
            <w:pPr>
              <w:jc w:val="right"/>
              <w:ind w:right="110"/>
              <w:spacing w:after="0"/>
              <w:rPr>
                <w:sz w:val="20"/>
                <w:szCs w:val="20"/>
                <w:color w:val="auto"/>
              </w:rPr>
            </w:pPr>
            <w:r>
              <w:rPr>
                <w:rFonts w:ascii="Arial" w:cs="Arial" w:eastAsia="Arial" w:hAnsi="Arial"/>
                <w:sz w:val="18"/>
                <w:szCs w:val="18"/>
                <w:color w:val="auto"/>
                <w:w w:val="93"/>
              </w:rPr>
              <w:t>Fiscal 2007 to Fiscal 2006</w:t>
            </w:r>
          </w:p>
        </w:tc>
        <w:tc>
          <w:tcPr>
            <w:tcW w:w="6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Fiscal 2006 to Fiscal 2005</w:t>
            </w:r>
          </w:p>
        </w:tc>
        <w:tc>
          <w:tcPr>
            <w:tcW w:w="600" w:type="dxa"/>
            <w:vAlign w:val="bottom"/>
            <w:tcBorders>
              <w:bottom w:val="single" w:sz="8" w:color="auto"/>
            </w:tcBorders>
          </w:tcPr>
          <w:p>
            <w:pPr>
              <w:spacing w:after="0"/>
              <w:rPr>
                <w:sz w:val="20"/>
                <w:szCs w:val="20"/>
                <w:color w:val="auto"/>
              </w:rPr>
            </w:pPr>
          </w:p>
        </w:tc>
      </w:tr>
      <w:tr>
        <w:trPr>
          <w:trHeight w:val="195"/>
        </w:trPr>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0" w:type="dxa"/>
            <w:vAlign w:val="bottom"/>
            <w:gridSpan w:val="5"/>
          </w:tcPr>
          <w:p>
            <w:pPr>
              <w:spacing w:after="0" w:line="195" w:lineRule="exact"/>
              <w:rPr>
                <w:sz w:val="20"/>
                <w:szCs w:val="20"/>
                <w:color w:val="auto"/>
              </w:rPr>
            </w:pPr>
            <w:r>
              <w:rPr>
                <w:rFonts w:ascii="Arial" w:cs="Arial" w:eastAsia="Arial" w:hAnsi="Arial"/>
                <w:sz w:val="18"/>
                <w:szCs w:val="18"/>
                <w:color w:val="auto"/>
                <w:w w:val="91"/>
              </w:rPr>
              <w:t>Years ended April 30,</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230"/>
        </w:trPr>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5"/>
          </w:tcPr>
          <w:p>
            <w:pPr>
              <w:jc w:val="right"/>
              <w:ind w:right="300"/>
              <w:spacing w:after="0"/>
              <w:rPr>
                <w:sz w:val="20"/>
                <w:szCs w:val="20"/>
                <w:color w:val="auto"/>
              </w:rPr>
            </w:pPr>
            <w:r>
              <w:rPr>
                <w:rFonts w:ascii="Arial" w:cs="Arial" w:eastAsia="Arial" w:hAnsi="Arial"/>
                <w:sz w:val="18"/>
                <w:szCs w:val="18"/>
                <w:color w:val="auto"/>
              </w:rPr>
              <w:t>(in thousands)</w:t>
            </w: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r>
      <w:tr>
        <w:trPr>
          <w:trHeight w:val="264"/>
        </w:trPr>
        <w:tc>
          <w:tcPr>
            <w:tcW w:w="7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2007</w:t>
            </w:r>
          </w:p>
        </w:tc>
        <w:tc>
          <w:tcPr>
            <w:tcW w:w="80" w:type="dxa"/>
            <w:vAlign w:val="bottom"/>
          </w:tcPr>
          <w:p>
            <w:pPr>
              <w:spacing w:after="0"/>
              <w:rPr>
                <w:sz w:val="22"/>
                <w:szCs w:val="22"/>
                <w:color w:val="auto"/>
              </w:rPr>
            </w:pPr>
          </w:p>
        </w:tc>
        <w:tc>
          <w:tcPr>
            <w:tcW w:w="8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2006</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Change</w:t>
            </w:r>
          </w:p>
        </w:tc>
        <w:tc>
          <w:tcPr>
            <w:tcW w:w="62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2006</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2005</w:t>
            </w:r>
          </w:p>
        </w:tc>
        <w:tc>
          <w:tcPr>
            <w:tcW w:w="80" w:type="dxa"/>
            <w:vAlign w:val="bottom"/>
          </w:tcPr>
          <w:p>
            <w:pPr>
              <w:spacing w:after="0"/>
              <w:rPr>
                <w:sz w:val="22"/>
                <w:szCs w:val="22"/>
                <w:color w:val="auto"/>
              </w:rPr>
            </w:pPr>
          </w:p>
        </w:tc>
        <w:tc>
          <w:tcPr>
            <w:tcW w:w="1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Change</w:t>
            </w:r>
          </w:p>
        </w:tc>
        <w:tc>
          <w:tcPr>
            <w:tcW w:w="600" w:type="dxa"/>
            <w:vAlign w:val="bottom"/>
            <w:tcBorders>
              <w:bottom w:val="single" w:sz="8" w:color="auto"/>
            </w:tcBorders>
          </w:tcPr>
          <w:p>
            <w:pPr>
              <w:spacing w:after="0"/>
              <w:rPr>
                <w:sz w:val="22"/>
                <w:szCs w:val="22"/>
                <w:color w:val="auto"/>
              </w:rPr>
            </w:pPr>
          </w:p>
        </w:tc>
      </w:tr>
      <w:tr>
        <w:trPr>
          <w:trHeight w:val="264"/>
        </w:trPr>
        <w:tc>
          <w:tcPr>
            <w:tcW w:w="740" w:type="dxa"/>
            <w:vAlign w:val="bottom"/>
            <w:shd w:val="clear" w:color="auto" w:fill="CCFFCC"/>
          </w:tcPr>
          <w:p>
            <w:pPr>
              <w:jc w:val="right"/>
              <w:ind w:right="70"/>
              <w:spacing w:after="0"/>
              <w:rPr>
                <w:sz w:val="20"/>
                <w:szCs w:val="20"/>
                <w:color w:val="auto"/>
              </w:rPr>
            </w:pPr>
            <w:r>
              <w:rPr>
                <w:rFonts w:ascii="Arial" w:cs="Arial" w:eastAsia="Arial" w:hAnsi="Arial"/>
                <w:sz w:val="18"/>
                <w:szCs w:val="18"/>
                <w:color w:val="auto"/>
                <w:w w:val="86"/>
              </w:rPr>
              <w:t>$11,359</w:t>
            </w:r>
          </w:p>
        </w:tc>
        <w:tc>
          <w:tcPr>
            <w:tcW w:w="980" w:type="dxa"/>
            <w:vAlign w:val="bottom"/>
            <w:gridSpan w:val="3"/>
            <w:shd w:val="clear" w:color="auto" w:fill="CCFFCC"/>
          </w:tcPr>
          <w:p>
            <w:pPr>
              <w:jc w:val="right"/>
              <w:ind w:right="40"/>
              <w:spacing w:after="0"/>
              <w:rPr>
                <w:sz w:val="20"/>
                <w:szCs w:val="20"/>
                <w:color w:val="auto"/>
              </w:rPr>
            </w:pPr>
            <w:r>
              <w:rPr>
                <w:rFonts w:ascii="Arial" w:cs="Arial" w:eastAsia="Arial" w:hAnsi="Arial"/>
                <w:sz w:val="18"/>
                <w:szCs w:val="18"/>
                <w:color w:val="auto"/>
              </w:rPr>
              <w:t>$   10,616</w:t>
            </w:r>
          </w:p>
        </w:tc>
        <w:tc>
          <w:tcPr>
            <w:tcW w:w="38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FFCC"/>
          </w:tcPr>
          <w:p>
            <w:pPr>
              <w:jc w:val="right"/>
              <w:ind w:right="210"/>
              <w:spacing w:after="0"/>
              <w:rPr>
                <w:sz w:val="20"/>
                <w:szCs w:val="20"/>
                <w:color w:val="auto"/>
              </w:rPr>
            </w:pPr>
            <w:r>
              <w:rPr>
                <w:rFonts w:ascii="Arial" w:cs="Arial" w:eastAsia="Arial" w:hAnsi="Arial"/>
                <w:sz w:val="18"/>
                <w:szCs w:val="18"/>
                <w:color w:val="auto"/>
              </w:rPr>
              <w:t>743</w:t>
            </w:r>
          </w:p>
        </w:tc>
        <w:tc>
          <w:tcPr>
            <w:tcW w:w="86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7% $</w:t>
            </w:r>
          </w:p>
        </w:tc>
        <w:tc>
          <w:tcPr>
            <w:tcW w:w="7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10,616</w:t>
            </w:r>
          </w:p>
        </w:tc>
        <w:tc>
          <w:tcPr>
            <w:tcW w:w="200" w:type="dxa"/>
            <w:vAlign w:val="bottom"/>
            <w:gridSpan w:val="2"/>
            <w:shd w:val="clear" w:color="auto" w:fill="CCFFCC"/>
          </w:tcPr>
          <w:p>
            <w:pPr>
              <w:ind w:left="4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11,719</w:t>
            </w:r>
          </w:p>
        </w:tc>
        <w:tc>
          <w:tcPr>
            <w:tcW w:w="132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rPr>
              <w:t>($1,103)</w:t>
            </w:r>
          </w:p>
        </w:tc>
        <w:tc>
          <w:tcPr>
            <w:tcW w:w="600" w:type="dxa"/>
            <w:vAlign w:val="bottom"/>
            <w:shd w:val="clear" w:color="auto" w:fill="CCFFCC"/>
          </w:tcPr>
          <w:p>
            <w:pPr>
              <w:jc w:val="right"/>
              <w:ind w:right="10"/>
              <w:spacing w:after="0"/>
              <w:rPr>
                <w:sz w:val="20"/>
                <w:szCs w:val="20"/>
                <w:color w:val="auto"/>
              </w:rPr>
            </w:pPr>
            <w:r>
              <w:rPr>
                <w:rFonts w:ascii="Arial" w:cs="Arial" w:eastAsia="Arial" w:hAnsi="Arial"/>
                <w:sz w:val="18"/>
                <w:szCs w:val="18"/>
                <w:color w:val="auto"/>
              </w:rPr>
              <w:t>(9%)</w:t>
            </w:r>
          </w:p>
        </w:tc>
      </w:tr>
    </w:tbl>
    <w:p>
      <w:pPr>
        <w:spacing w:after="0" w:line="25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Fiscal year 2007 selling and administrative costs increased over fiscal year 2006 principally from higher compensation expense related to an increase in personnel, normal salary increases, higher deferred compensation expense and partially offset by lower incentive compensation charges due to operating losses recorded during the year. In addition, included in selling and administrative expense for the year ended April 30, 2007, is $274,000 related to stock compensation expense. Due to new accounting requirements, such a charge was not required to be recorded in the statement of operations in the prior years. (See Note 1 to the accompanying consolidated financial statements.)</w:t>
      </w:r>
    </w:p>
    <w:p>
      <w:pPr>
        <w:spacing w:after="0" w:line="24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For the year ended April 30, 2006, selling and administrative costs declined by 9% compared to fiscal year 2005, as a result of lower compensation costs, including incentive compensation charges, reduced deferred compensation expense, lower sales commission expense and substantially reduced fees for professional and consulting services as prior year projects were concluded. These cost reductions were partially offset by increased recruiting and employee retention expenses.</w:t>
      </w:r>
    </w:p>
    <w:p>
      <w:pPr>
        <w:spacing w:after="0" w:line="24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As a percentage of sales, selling and administrative expenses were 20.2%, 20.1% and 21.2% in fiscal years 2007, 2006 and 2005, respectively. The Company targets selling and administrative expenses not to exceed 20% of consolidated sales. As revenues increase as anticipated in fiscal year 2008, the Company expects to achieve its targeted level of selling and administrative expenses.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28" w:name="page29"/>
    <w:bookmarkEnd w:id="28"/>
    <w:p>
      <w:pPr>
        <w:ind w:left="500"/>
        <w:spacing w:after="0"/>
        <w:rPr>
          <w:sz w:val="20"/>
          <w:szCs w:val="20"/>
          <w:color w:val="auto"/>
        </w:rPr>
      </w:pPr>
      <w:r>
        <w:rPr>
          <w:rFonts w:ascii="Arial" w:cs="Arial" w:eastAsia="Arial" w:hAnsi="Arial"/>
          <w:sz w:val="18"/>
          <w:szCs w:val="18"/>
          <w:b w:val="1"/>
          <w:bCs w:val="1"/>
          <w:u w:val="single" w:color="auto"/>
          <w:color w:val="auto"/>
        </w:rPr>
        <w:t>Research and Development expenses</w:t>
      </w:r>
    </w:p>
    <w:p>
      <w:pPr>
        <w:spacing w:after="0" w:line="337" w:lineRule="exact"/>
        <w:rPr>
          <w:sz w:val="20"/>
          <w:szCs w:val="20"/>
          <w:color w:val="auto"/>
        </w:rPr>
      </w:pPr>
    </w:p>
    <w:tbl>
      <w:tblPr>
        <w:tblLayout w:type="fixed"/>
        <w:tblInd w:w="4000" w:type="dxa"/>
        <w:tblCellMar>
          <w:top w:w="0" w:type="dxa"/>
          <w:left w:w="0" w:type="dxa"/>
          <w:bottom w:w="0" w:type="dxa"/>
          <w:right w:w="0" w:type="dxa"/>
        </w:tblCellMar>
      </w:tblPr>
      <w:tr>
        <w:trPr>
          <w:trHeight w:val="230"/>
        </w:trPr>
        <w:tc>
          <w:tcPr>
            <w:tcW w:w="7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jc w:val="right"/>
              <w:ind w:right="230"/>
              <w:spacing w:after="0"/>
              <w:rPr>
                <w:sz w:val="20"/>
                <w:szCs w:val="20"/>
                <w:color w:val="auto"/>
              </w:rPr>
            </w:pPr>
            <w:r>
              <w:rPr>
                <w:rFonts w:ascii="Arial" w:cs="Arial" w:eastAsia="Arial" w:hAnsi="Arial"/>
                <w:sz w:val="18"/>
                <w:szCs w:val="18"/>
                <w:color w:val="auto"/>
                <w:w w:val="91"/>
              </w:rPr>
              <w:t>Fiscal 2007 to Fiscal 2006</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right"/>
              <w:ind w:right="190"/>
              <w:spacing w:after="0"/>
              <w:rPr>
                <w:sz w:val="20"/>
                <w:szCs w:val="20"/>
                <w:color w:val="auto"/>
              </w:rPr>
            </w:pPr>
            <w:r>
              <w:rPr>
                <w:rFonts w:ascii="Arial" w:cs="Arial" w:eastAsia="Arial" w:hAnsi="Arial"/>
                <w:sz w:val="18"/>
                <w:szCs w:val="18"/>
                <w:color w:val="auto"/>
              </w:rPr>
              <w:t>Fiscal 2006 to Fiscal 2005</w:t>
            </w: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195"/>
        </w:trPr>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20" w:type="dxa"/>
            <w:vAlign w:val="bottom"/>
            <w:gridSpan w:val="6"/>
          </w:tcPr>
          <w:p>
            <w:pPr>
              <w:jc w:val="center"/>
              <w:ind w:left="470"/>
              <w:spacing w:after="0" w:line="195" w:lineRule="exact"/>
              <w:rPr>
                <w:sz w:val="20"/>
                <w:szCs w:val="20"/>
                <w:color w:val="auto"/>
              </w:rPr>
            </w:pPr>
            <w:r>
              <w:rPr>
                <w:rFonts w:ascii="Arial" w:cs="Arial" w:eastAsia="Arial" w:hAnsi="Arial"/>
                <w:sz w:val="18"/>
                <w:szCs w:val="18"/>
                <w:color w:val="auto"/>
                <w:w w:val="91"/>
              </w:rPr>
              <w:t>Years ended April 30,</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7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8"/>
                <w:szCs w:val="18"/>
                <w:color w:val="auto"/>
                <w:w w:val="89"/>
              </w:rPr>
              <w:t>(in thousands)</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64"/>
        </w:trPr>
        <w:tc>
          <w:tcPr>
            <w:tcW w:w="7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2007</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2006</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Change</w:t>
            </w:r>
          </w:p>
        </w:tc>
        <w:tc>
          <w:tcPr>
            <w:tcW w:w="5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2006</w:t>
            </w: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4"/>
              </w:rPr>
              <w:t>2005</w:t>
            </w: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Change</w:t>
            </w:r>
          </w:p>
        </w:tc>
        <w:tc>
          <w:tcPr>
            <w:tcW w:w="5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64"/>
        </w:trPr>
        <w:tc>
          <w:tcPr>
            <w:tcW w:w="78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w w:val="87"/>
              </w:rPr>
              <w:t>$9,438</w:t>
            </w:r>
          </w:p>
        </w:tc>
        <w:tc>
          <w:tcPr>
            <w:tcW w:w="260" w:type="dxa"/>
            <w:vAlign w:val="bottom"/>
            <w:gridSpan w:val="2"/>
            <w:shd w:val="clear" w:color="auto" w:fill="CCFFCC"/>
          </w:tcPr>
          <w:p>
            <w:pPr>
              <w:jc w:val="right"/>
              <w:ind w:right="1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6,291</w:t>
            </w: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rPr>
              <w:t>3,147</w:t>
            </w:r>
          </w:p>
        </w:tc>
        <w:tc>
          <w:tcPr>
            <w:tcW w:w="84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50% $</w:t>
            </w:r>
          </w:p>
        </w:tc>
        <w:tc>
          <w:tcPr>
            <w:tcW w:w="7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6,291</w:t>
            </w:r>
          </w:p>
        </w:tc>
        <w:tc>
          <w:tcPr>
            <w:tcW w:w="16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rPr>
              <w:t>6,834</w:t>
            </w:r>
          </w:p>
        </w:tc>
        <w:tc>
          <w:tcPr>
            <w:tcW w:w="1140" w:type="dxa"/>
            <w:vAlign w:val="bottom"/>
            <w:shd w:val="clear" w:color="auto" w:fill="CCFFCC"/>
          </w:tcPr>
          <w:p>
            <w:pPr>
              <w:jc w:val="right"/>
              <w:ind w:right="330"/>
              <w:spacing w:after="0"/>
              <w:rPr>
                <w:sz w:val="20"/>
                <w:szCs w:val="20"/>
                <w:color w:val="auto"/>
              </w:rPr>
            </w:pPr>
            <w:r>
              <w:rPr>
                <w:rFonts w:ascii="Arial" w:cs="Arial" w:eastAsia="Arial" w:hAnsi="Arial"/>
                <w:sz w:val="18"/>
                <w:szCs w:val="18"/>
                <w:color w:val="auto"/>
              </w:rPr>
              <w:t>($543)</w:t>
            </w: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FFCC"/>
          </w:tcPr>
          <w:p>
            <w:pPr>
              <w:spacing w:after="0"/>
              <w:rPr>
                <w:sz w:val="22"/>
                <w:szCs w:val="22"/>
                <w:color w:val="auto"/>
              </w:rPr>
            </w:pPr>
          </w:p>
        </w:tc>
      </w:tr>
    </w:tbl>
    <w:p>
      <w:pPr>
        <w:spacing w:after="0" w:line="256"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Research and development expenditures represent investments intended to keep the Company’s products at the leading edge of time and frequency technology and enhance competitiveness for future sales. For the year ended April 30, 2007, the substantial increase in R&amp;D spending was a direct result of internally-funded projects to enhance the Company’s product offerings for satellite payloads and to design such products for more efficient production.</w:t>
      </w:r>
    </w:p>
    <w:p>
      <w:pPr>
        <w:spacing w:after="0" w:line="20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For the year ended April 30, 2006, research and development expenditures decreased by 8% from the level of spending in fiscal year 2005. The decline resulted from decreased spending on development of the new US5G wireline synchronization product, which is near completion, but was offset by new initiatives in developing a ruggedized rubidium clock for secure military communications, enhancing and miniaturizing products for wireless communications, upgrading its GPS-based synchronization product line, and developing enhanced network monitoring equipment and software.</w:t>
      </w:r>
    </w:p>
    <w:p>
      <w:pPr>
        <w:spacing w:after="0" w:line="225"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The Company will continue to focus its research and development activities on those products which it expects will provide the best return on investment and greatest prospects for the future growth of the Company. For fiscal year 2008, the Company will continue to make investments in improved satellite payload products, including manufacturing process improvements; invest in development of improved and miniaturized rubidium atomic clocks, develop new GPS-based synchronization products and further enhance the capabilities of its line of crystal oscillators. The Company’s target is to spend approximately 10% of revenues on research and development activities, although the actual level of spending is dependent on new opportunites and the rate at which it succeeds in bringing new products to market. Internally generated cash and cash reserves will be adequate to fund these development efforts.</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Operating (Loss) Profit</w:t>
      </w:r>
    </w:p>
    <w:p>
      <w:pPr>
        <w:spacing w:after="0" w:line="337" w:lineRule="exact"/>
        <w:rPr>
          <w:sz w:val="20"/>
          <w:szCs w:val="20"/>
          <w:color w:val="auto"/>
        </w:rPr>
      </w:pPr>
    </w:p>
    <w:tbl>
      <w:tblPr>
        <w:tblLayout w:type="fixed"/>
        <w:tblInd w:w="4000" w:type="dxa"/>
        <w:tblCellMar>
          <w:top w:w="0" w:type="dxa"/>
          <w:left w:w="0" w:type="dxa"/>
          <w:bottom w:w="0" w:type="dxa"/>
          <w:right w:w="0" w:type="dxa"/>
        </w:tblCellMar>
      </w:tblPr>
      <w:tr>
        <w:trPr>
          <w:trHeight w:val="230"/>
        </w:trPr>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5"/>
          </w:tcPr>
          <w:p>
            <w:pPr>
              <w:jc w:val="right"/>
              <w:ind w:right="250"/>
              <w:spacing w:after="0"/>
              <w:rPr>
                <w:sz w:val="20"/>
                <w:szCs w:val="20"/>
                <w:color w:val="auto"/>
              </w:rPr>
            </w:pPr>
            <w:r>
              <w:rPr>
                <w:rFonts w:ascii="Arial" w:cs="Arial" w:eastAsia="Arial" w:hAnsi="Arial"/>
                <w:sz w:val="18"/>
                <w:szCs w:val="18"/>
                <w:color w:val="auto"/>
                <w:w w:val="90"/>
              </w:rPr>
              <w:t>Fiscal 2007 to Fiscal 2006</w:t>
            </w:r>
          </w:p>
        </w:tc>
        <w:tc>
          <w:tcPr>
            <w:tcW w:w="4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center"/>
              <w:ind w:right="290"/>
              <w:spacing w:after="0"/>
              <w:rPr>
                <w:sz w:val="20"/>
                <w:szCs w:val="20"/>
                <w:color w:val="auto"/>
              </w:rPr>
            </w:pPr>
            <w:r>
              <w:rPr>
                <w:rFonts w:ascii="Arial" w:cs="Arial" w:eastAsia="Arial" w:hAnsi="Arial"/>
                <w:sz w:val="18"/>
                <w:szCs w:val="18"/>
                <w:color w:val="auto"/>
                <w:w w:val="90"/>
              </w:rPr>
              <w:t>Fiscal 2006 to Fiscal 2005</w:t>
            </w: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195"/>
        </w:trPr>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60" w:type="dxa"/>
            <w:vAlign w:val="bottom"/>
            <w:gridSpan w:val="6"/>
          </w:tcPr>
          <w:p>
            <w:pPr>
              <w:jc w:val="center"/>
              <w:ind w:left="930"/>
              <w:spacing w:after="0" w:line="195" w:lineRule="exact"/>
              <w:rPr>
                <w:sz w:val="20"/>
                <w:szCs w:val="20"/>
                <w:color w:val="auto"/>
              </w:rPr>
            </w:pPr>
            <w:r>
              <w:rPr>
                <w:rFonts w:ascii="Arial" w:cs="Arial" w:eastAsia="Arial" w:hAnsi="Arial"/>
                <w:sz w:val="18"/>
                <w:szCs w:val="18"/>
                <w:color w:val="auto"/>
                <w:w w:val="91"/>
              </w:rPr>
              <w:t>Years ended April 30,</w:t>
            </w: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0"/>
        </w:trPr>
        <w:tc>
          <w:tcPr>
            <w:tcW w:w="7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8"/>
                <w:szCs w:val="18"/>
                <w:color w:val="auto"/>
                <w:w w:val="89"/>
              </w:rPr>
              <w:t>(in thousands)</w:t>
            </w:r>
          </w:p>
        </w:tc>
        <w:tc>
          <w:tcPr>
            <w:tcW w:w="8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r>
      <w:tr>
        <w:trPr>
          <w:trHeight w:val="264"/>
        </w:trPr>
        <w:tc>
          <w:tcPr>
            <w:tcW w:w="7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2007</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2006</w:t>
            </w:r>
          </w:p>
        </w:tc>
        <w:tc>
          <w:tcPr>
            <w:tcW w:w="80" w:type="dxa"/>
            <w:vAlign w:val="bottom"/>
          </w:tcPr>
          <w:p>
            <w:pPr>
              <w:spacing w:after="0"/>
              <w:rPr>
                <w:sz w:val="22"/>
                <w:szCs w:val="22"/>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Change</w:t>
            </w:r>
          </w:p>
        </w:tc>
        <w:tc>
          <w:tcPr>
            <w:tcW w:w="48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2"/>
                <w:szCs w:val="22"/>
                <w:color w:val="auto"/>
              </w:rPr>
            </w:pPr>
          </w:p>
        </w:tc>
        <w:tc>
          <w:tcPr>
            <w:tcW w:w="8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2005</w:t>
            </w:r>
          </w:p>
        </w:tc>
        <w:tc>
          <w:tcPr>
            <w:tcW w:w="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Change</w:t>
            </w:r>
          </w:p>
        </w:tc>
        <w:tc>
          <w:tcPr>
            <w:tcW w:w="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37"/>
        </w:trPr>
        <w:tc>
          <w:tcPr>
            <w:tcW w:w="82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w w:val="92"/>
              </w:rPr>
              <w:t>($3,721</w:t>
            </w:r>
            <w:r>
              <w:rPr>
                <w:rFonts w:ascii="Arial" w:cs="Arial" w:eastAsia="Arial" w:hAnsi="Arial"/>
                <w:sz w:val="17"/>
                <w:szCs w:val="17"/>
                <w:color w:val="auto"/>
                <w:w w:val="92"/>
              </w:rPr>
              <w:t>)</w:t>
            </w:r>
          </w:p>
        </w:tc>
        <w:tc>
          <w:tcPr>
            <w:tcW w:w="2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1,710</w:t>
            </w:r>
          </w:p>
        </w:tc>
        <w:tc>
          <w:tcPr>
            <w:tcW w:w="1260" w:type="dxa"/>
            <w:vAlign w:val="bottom"/>
            <w:shd w:val="clear" w:color="auto" w:fill="CCFFCC"/>
          </w:tcPr>
          <w:p>
            <w:pPr>
              <w:jc w:val="right"/>
              <w:ind w:right="270"/>
              <w:spacing w:after="0"/>
              <w:rPr>
                <w:sz w:val="20"/>
                <w:szCs w:val="20"/>
                <w:color w:val="auto"/>
              </w:rPr>
            </w:pPr>
            <w:r>
              <w:rPr>
                <w:rFonts w:ascii="Arial" w:cs="Arial" w:eastAsia="Arial" w:hAnsi="Arial"/>
                <w:sz w:val="18"/>
                <w:szCs w:val="18"/>
                <w:color w:val="auto"/>
              </w:rPr>
              <w:t>($5,431)</w:t>
            </w:r>
          </w:p>
        </w:tc>
        <w:tc>
          <w:tcPr>
            <w:tcW w:w="720" w:type="dxa"/>
            <w:vAlign w:val="bottom"/>
            <w:gridSpan w:val="3"/>
            <w:shd w:val="clear" w:color="auto" w:fill="CCFFCC"/>
          </w:tcPr>
          <w:p>
            <w:pPr>
              <w:ind w:left="180"/>
              <w:spacing w:after="0"/>
              <w:rPr>
                <w:sz w:val="20"/>
                <w:szCs w:val="20"/>
                <w:color w:val="auto"/>
              </w:rPr>
            </w:pPr>
            <w:r>
              <w:rPr>
                <w:rFonts w:ascii="Arial" w:cs="Arial" w:eastAsia="Arial" w:hAnsi="Arial"/>
                <w:sz w:val="18"/>
                <w:szCs w:val="18"/>
                <w:color w:val="auto"/>
              </w:rPr>
              <w:t>NM $</w:t>
            </w:r>
          </w:p>
        </w:tc>
        <w:tc>
          <w:tcPr>
            <w:tcW w:w="7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1,710</w:t>
            </w:r>
          </w:p>
        </w:tc>
        <w:tc>
          <w:tcPr>
            <w:tcW w:w="90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($1,269)</w:t>
            </w: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FFCC"/>
          </w:tcPr>
          <w:p>
            <w:pPr>
              <w:jc w:val="right"/>
              <w:ind w:right="410"/>
              <w:spacing w:after="0"/>
              <w:rPr>
                <w:sz w:val="20"/>
                <w:szCs w:val="20"/>
                <w:color w:val="auto"/>
              </w:rPr>
            </w:pPr>
            <w:r>
              <w:rPr>
                <w:rFonts w:ascii="Arial" w:cs="Arial" w:eastAsia="Arial" w:hAnsi="Arial"/>
                <w:sz w:val="18"/>
                <w:szCs w:val="18"/>
                <w:color w:val="auto"/>
              </w:rPr>
              <w:t>2,979</w:t>
            </w:r>
          </w:p>
        </w:tc>
        <w:tc>
          <w:tcPr>
            <w:tcW w:w="560" w:type="dxa"/>
            <w:vAlign w:val="bottom"/>
            <w:gridSpan w:val="2"/>
            <w:shd w:val="clear" w:color="auto" w:fill="CCFFCC"/>
          </w:tcPr>
          <w:p>
            <w:pPr>
              <w:ind w:left="180"/>
              <w:spacing w:after="0"/>
              <w:rPr>
                <w:sz w:val="20"/>
                <w:szCs w:val="20"/>
                <w:color w:val="auto"/>
              </w:rPr>
            </w:pPr>
            <w:r>
              <w:rPr>
                <w:rFonts w:ascii="Arial" w:cs="Arial" w:eastAsia="Arial" w:hAnsi="Arial"/>
                <w:sz w:val="18"/>
                <w:szCs w:val="18"/>
                <w:color w:val="auto"/>
              </w:rPr>
              <w:t>NM</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7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As discussed above, the operating loss incurred in fiscal year 2007 is the result of lower gross margin and higher research and development spending, both of which are due to higher than anticipated engineering costs that were incurred in connection with the Company’s satellite payload products and programs.</w:t>
      </w:r>
    </w:p>
    <w:p>
      <w:pPr>
        <w:spacing w:after="0" w:line="23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For the fiscal year ended April 30, 2006, the Company realized an operating profit of $1.7 million compared to an operating loss of $1.3 million in fiscal year 2005. This substantial improvement in operating results was the result of several factors including improved gross margins, lower compensation related charges and lower discretionary spending on research and development.</w:t>
      </w:r>
    </w:p>
    <w:p>
      <w:pPr>
        <w:spacing w:after="0" w:line="23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 expects to realize substantially improved operating profits in fiscal year 2008 once the engineering issues on satellite programs have been resolved. With its increasing backlog, the Company expects to report increasing revenues, improve its gross margin and maintain selling and administrative expenses at less than 20% of revenues.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2340" w:type="dxa"/>
            <w:vAlign w:val="bottom"/>
            <w:gridSpan w:val="2"/>
          </w:tcPr>
          <w:p>
            <w:pPr>
              <w:ind w:left="500"/>
              <w:spacing w:after="0"/>
              <w:rPr>
                <w:sz w:val="20"/>
                <w:szCs w:val="20"/>
                <w:color w:val="auto"/>
              </w:rPr>
            </w:pPr>
            <w:r>
              <w:rPr>
                <w:rFonts w:ascii="Arial" w:cs="Arial" w:eastAsia="Arial" w:hAnsi="Arial"/>
                <w:sz w:val="18"/>
                <w:szCs w:val="18"/>
                <w:b w:val="1"/>
                <w:bCs w:val="1"/>
                <w:color w:val="auto"/>
                <w:w w:val="88"/>
              </w:rPr>
              <w:t>Other Income (expense)</w:t>
            </w:r>
          </w:p>
        </w:tc>
        <w:tc>
          <w:tcPr>
            <w:tcW w:w="1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554"/>
        </w:trPr>
        <w:tc>
          <w:tcPr>
            <w:tcW w:w="500" w:type="dxa"/>
            <w:vAlign w:val="bottom"/>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6"/>
          </w:tcPr>
          <w:p>
            <w:pPr>
              <w:jc w:val="right"/>
              <w:ind w:right="210"/>
              <w:spacing w:after="0"/>
              <w:rPr>
                <w:sz w:val="20"/>
                <w:szCs w:val="20"/>
                <w:color w:val="auto"/>
              </w:rPr>
            </w:pPr>
            <w:r>
              <w:rPr>
                <w:rFonts w:ascii="Arial" w:cs="Arial" w:eastAsia="Arial" w:hAnsi="Arial"/>
                <w:sz w:val="18"/>
                <w:szCs w:val="18"/>
                <w:color w:val="auto"/>
                <w:w w:val="90"/>
              </w:rPr>
              <w:t>Fiscal 2007 to Fiscal 2006</w:t>
            </w:r>
          </w:p>
        </w:tc>
        <w:tc>
          <w:tcPr>
            <w:tcW w:w="5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6"/>
          </w:tcPr>
          <w:p>
            <w:pPr>
              <w:ind w:left="40"/>
              <w:spacing w:after="0"/>
              <w:rPr>
                <w:sz w:val="20"/>
                <w:szCs w:val="20"/>
                <w:color w:val="auto"/>
              </w:rPr>
            </w:pPr>
            <w:r>
              <w:rPr>
                <w:rFonts w:ascii="Arial" w:cs="Arial" w:eastAsia="Arial" w:hAnsi="Arial"/>
                <w:sz w:val="18"/>
                <w:szCs w:val="18"/>
                <w:color w:val="auto"/>
              </w:rPr>
              <w:t>Fiscal 2006 to Fiscal 2005</w:t>
            </w:r>
          </w:p>
        </w:tc>
        <w:tc>
          <w:tcPr>
            <w:tcW w:w="5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57"/>
        </w:trPr>
        <w:tc>
          <w:tcPr>
            <w:tcW w:w="50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960" w:type="dxa"/>
            <w:vAlign w:val="bottom"/>
            <w:gridSpan w:val="6"/>
          </w:tcPr>
          <w:p>
            <w:pPr>
              <w:jc w:val="center"/>
              <w:ind w:left="130"/>
              <w:spacing w:after="0"/>
              <w:rPr>
                <w:sz w:val="20"/>
                <w:szCs w:val="20"/>
                <w:color w:val="auto"/>
              </w:rPr>
            </w:pPr>
            <w:r>
              <w:rPr>
                <w:rFonts w:ascii="Arial" w:cs="Arial" w:eastAsia="Arial" w:hAnsi="Arial"/>
                <w:sz w:val="18"/>
                <w:szCs w:val="18"/>
                <w:color w:val="auto"/>
                <w:w w:val="91"/>
              </w:rPr>
              <w:t>Years ended April 30,</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40" w:type="dxa"/>
            <w:vAlign w:val="bottom"/>
          </w:tcPr>
          <w:p>
            <w:pPr>
              <w:spacing w:after="0"/>
              <w:rPr>
                <w:sz w:val="22"/>
                <w:szCs w:val="22"/>
                <w:color w:val="auto"/>
              </w:rPr>
            </w:pPr>
          </w:p>
        </w:tc>
      </w:tr>
      <w:tr>
        <w:trPr>
          <w:trHeight w:val="277"/>
        </w:trPr>
        <w:tc>
          <w:tcPr>
            <w:tcW w:w="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5"/>
          </w:tcPr>
          <w:p>
            <w:pPr>
              <w:jc w:val="center"/>
              <w:ind w:right="200"/>
              <w:spacing w:after="0"/>
              <w:rPr>
                <w:sz w:val="20"/>
                <w:szCs w:val="20"/>
                <w:color w:val="auto"/>
              </w:rPr>
            </w:pPr>
            <w:r>
              <w:rPr>
                <w:rFonts w:ascii="Arial" w:cs="Arial" w:eastAsia="Arial" w:hAnsi="Arial"/>
                <w:sz w:val="18"/>
                <w:szCs w:val="18"/>
                <w:color w:val="auto"/>
                <w:w w:val="89"/>
              </w:rPr>
              <w:t>(in thousands)</w:t>
            </w: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r>
      <w:tr>
        <w:trPr>
          <w:trHeight w:val="270"/>
        </w:trPr>
        <w:tc>
          <w:tcPr>
            <w:tcW w:w="50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2007</w:t>
            </w: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2006</w:t>
            </w:r>
          </w:p>
        </w:tc>
        <w:tc>
          <w:tcPr>
            <w:tcW w:w="120" w:type="dxa"/>
            <w:vAlign w:val="bottom"/>
          </w:tcPr>
          <w:p>
            <w:pPr>
              <w:spacing w:after="0"/>
              <w:rPr>
                <w:sz w:val="23"/>
                <w:szCs w:val="23"/>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Change</w:t>
            </w:r>
          </w:p>
        </w:tc>
        <w:tc>
          <w:tcPr>
            <w:tcW w:w="50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2005</w:t>
            </w:r>
          </w:p>
        </w:tc>
        <w:tc>
          <w:tcPr>
            <w:tcW w:w="140" w:type="dxa"/>
            <w:vAlign w:val="bottom"/>
          </w:tcPr>
          <w:p>
            <w:pPr>
              <w:spacing w:after="0"/>
              <w:rPr>
                <w:sz w:val="23"/>
                <w:szCs w:val="23"/>
                <w:color w:val="auto"/>
              </w:rPr>
            </w:pPr>
          </w:p>
        </w:tc>
        <w:tc>
          <w:tcPr>
            <w:tcW w:w="12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Change</w:t>
            </w:r>
          </w:p>
        </w:tc>
        <w:tc>
          <w:tcPr>
            <w:tcW w:w="520" w:type="dxa"/>
            <w:vAlign w:val="bottom"/>
            <w:tcBorders>
              <w:bottom w:val="single" w:sz="8" w:color="auto"/>
            </w:tcBorders>
          </w:tcPr>
          <w:p>
            <w:pPr>
              <w:spacing w:after="0"/>
              <w:rPr>
                <w:sz w:val="23"/>
                <w:szCs w:val="23"/>
                <w:color w:val="auto"/>
              </w:rPr>
            </w:pPr>
          </w:p>
        </w:tc>
        <w:tc>
          <w:tcPr>
            <w:tcW w:w="140" w:type="dxa"/>
            <w:vAlign w:val="bottom"/>
          </w:tcPr>
          <w:p>
            <w:pPr>
              <w:spacing w:after="0"/>
              <w:rPr>
                <w:sz w:val="23"/>
                <w:szCs w:val="23"/>
                <w:color w:val="auto"/>
              </w:rPr>
            </w:pPr>
          </w:p>
        </w:tc>
      </w:tr>
      <w:tr>
        <w:trPr>
          <w:trHeight w:val="264"/>
        </w:trPr>
        <w:tc>
          <w:tcPr>
            <w:tcW w:w="23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Investment income</w:t>
            </w:r>
          </w:p>
        </w:tc>
        <w:tc>
          <w:tcPr>
            <w:tcW w:w="16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1,024</w:t>
            </w:r>
          </w:p>
        </w:tc>
        <w:tc>
          <w:tcPr>
            <w:tcW w:w="80" w:type="dxa"/>
            <w:vAlign w:val="bottom"/>
            <w:shd w:val="clear" w:color="auto" w:fill="CCFFCC"/>
          </w:tcPr>
          <w:p>
            <w:pPr>
              <w:spacing w:after="0"/>
              <w:rPr>
                <w:sz w:val="22"/>
                <w:szCs w:val="22"/>
                <w:color w:val="auto"/>
              </w:rPr>
            </w:pPr>
          </w:p>
        </w:tc>
        <w:tc>
          <w:tcPr>
            <w:tcW w:w="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3,280</w:t>
            </w:r>
          </w:p>
        </w:tc>
        <w:tc>
          <w:tcPr>
            <w:tcW w:w="1240" w:type="dxa"/>
            <w:vAlign w:val="bottom"/>
            <w:gridSpan w:val="2"/>
            <w:shd w:val="clear" w:color="auto" w:fill="CCFFCC"/>
          </w:tcPr>
          <w:p>
            <w:pPr>
              <w:jc w:val="right"/>
              <w:ind w:right="270"/>
              <w:spacing w:after="0"/>
              <w:rPr>
                <w:sz w:val="20"/>
                <w:szCs w:val="20"/>
                <w:color w:val="auto"/>
              </w:rPr>
            </w:pPr>
            <w:r>
              <w:rPr>
                <w:rFonts w:ascii="Arial" w:cs="Arial" w:eastAsia="Arial" w:hAnsi="Arial"/>
                <w:sz w:val="18"/>
                <w:szCs w:val="18"/>
                <w:color w:val="auto"/>
              </w:rPr>
              <w:t>($2,256)</w:t>
            </w:r>
          </w:p>
        </w:tc>
        <w:tc>
          <w:tcPr>
            <w:tcW w:w="6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9"/>
              </w:rPr>
              <w:t>(69%)</w:t>
            </w:r>
          </w:p>
        </w:tc>
        <w:tc>
          <w:tcPr>
            <w:tcW w:w="1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3,280</w:t>
            </w:r>
          </w:p>
        </w:tc>
        <w:tc>
          <w:tcPr>
            <w:tcW w:w="220" w:type="dxa"/>
            <w:vAlign w:val="bottom"/>
            <w:gridSpan w:val="2"/>
            <w:shd w:val="clear" w:color="auto" w:fill="CCFFCC"/>
          </w:tcPr>
          <w:p>
            <w:pPr>
              <w:ind w:lef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3,850</w:t>
            </w:r>
          </w:p>
        </w:tc>
        <w:tc>
          <w:tcPr>
            <w:tcW w:w="128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($570)</w:t>
            </w:r>
          </w:p>
        </w:tc>
        <w:tc>
          <w:tcPr>
            <w:tcW w:w="6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(15%)</w:t>
            </w:r>
          </w:p>
        </w:tc>
      </w:tr>
      <w:tr>
        <w:trPr>
          <w:trHeight w:val="270"/>
        </w:trPr>
        <w:tc>
          <w:tcPr>
            <w:tcW w:w="2340" w:type="dxa"/>
            <w:vAlign w:val="bottom"/>
            <w:gridSpan w:val="2"/>
          </w:tcPr>
          <w:p>
            <w:pPr>
              <w:spacing w:after="0"/>
              <w:rPr>
                <w:sz w:val="20"/>
                <w:szCs w:val="20"/>
                <w:color w:val="auto"/>
              </w:rPr>
            </w:pPr>
            <w:r>
              <w:rPr>
                <w:rFonts w:ascii="Arial" w:cs="Arial" w:eastAsia="Arial" w:hAnsi="Arial"/>
                <w:sz w:val="18"/>
                <w:szCs w:val="18"/>
                <w:color w:val="auto"/>
              </w:rPr>
              <w:t>Equity income</w:t>
            </w: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708</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634</w:t>
            </w:r>
          </w:p>
        </w:tc>
        <w:tc>
          <w:tcPr>
            <w:tcW w:w="1240" w:type="dxa"/>
            <w:vAlign w:val="bottom"/>
            <w:gridSpan w:val="2"/>
          </w:tcPr>
          <w:p>
            <w:pPr>
              <w:jc w:val="right"/>
              <w:ind w:right="330"/>
              <w:spacing w:after="0"/>
              <w:rPr>
                <w:sz w:val="20"/>
                <w:szCs w:val="20"/>
                <w:color w:val="auto"/>
              </w:rPr>
            </w:pPr>
            <w:r>
              <w:rPr>
                <w:rFonts w:ascii="Arial" w:cs="Arial" w:eastAsia="Arial" w:hAnsi="Arial"/>
                <w:sz w:val="18"/>
                <w:szCs w:val="18"/>
                <w:color w:val="auto"/>
              </w:rPr>
              <w:t>74</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3"/>
                <w:szCs w:val="2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634</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315</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319</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101%</w:t>
            </w:r>
          </w:p>
        </w:tc>
      </w:tr>
      <w:tr>
        <w:trPr>
          <w:trHeight w:val="270"/>
        </w:trPr>
        <w:tc>
          <w:tcPr>
            <w:tcW w:w="23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Interest expense</w:t>
            </w:r>
          </w:p>
        </w:tc>
        <w:tc>
          <w:tcPr>
            <w:tcW w:w="1500" w:type="dxa"/>
            <w:vAlign w:val="bottom"/>
            <w:shd w:val="clear" w:color="auto" w:fill="CCFFCC"/>
          </w:tcPr>
          <w:p>
            <w:pPr>
              <w:spacing w:after="0"/>
              <w:rPr>
                <w:sz w:val="23"/>
                <w:szCs w:val="23"/>
                <w:color w:val="auto"/>
              </w:rPr>
            </w:pPr>
          </w:p>
        </w:tc>
        <w:tc>
          <w:tcPr>
            <w:tcW w:w="120" w:type="dxa"/>
            <w:vAlign w:val="bottom"/>
            <w:shd w:val="clear" w:color="auto" w:fill="CCFFCC"/>
          </w:tcPr>
          <w:p>
            <w:pPr>
              <w:spacing w:after="0"/>
              <w:rPr>
                <w:sz w:val="23"/>
                <w:szCs w:val="23"/>
                <w:color w:val="auto"/>
              </w:rPr>
            </w:pPr>
          </w:p>
        </w:tc>
        <w:tc>
          <w:tcPr>
            <w:tcW w:w="7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(136)</w:t>
            </w:r>
          </w:p>
        </w:tc>
        <w:tc>
          <w:tcPr>
            <w:tcW w:w="40" w:type="dxa"/>
            <w:vAlign w:val="bottom"/>
            <w:shd w:val="clear" w:color="auto" w:fill="CCFFCC"/>
          </w:tcPr>
          <w:p>
            <w:pPr>
              <w:spacing w:after="0"/>
              <w:rPr>
                <w:sz w:val="23"/>
                <w:szCs w:val="23"/>
                <w:color w:val="auto"/>
              </w:rPr>
            </w:pPr>
          </w:p>
        </w:tc>
        <w:tc>
          <w:tcPr>
            <w:tcW w:w="180" w:type="dxa"/>
            <w:vAlign w:val="bottom"/>
            <w:shd w:val="clear" w:color="auto" w:fill="CCFFCC"/>
          </w:tcPr>
          <w:p>
            <w:pPr>
              <w:spacing w:after="0"/>
              <w:rPr>
                <w:sz w:val="23"/>
                <w:szCs w:val="23"/>
                <w:color w:val="auto"/>
              </w:rPr>
            </w:pPr>
          </w:p>
        </w:tc>
        <w:tc>
          <w:tcPr>
            <w:tcW w:w="7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(118)</w:t>
            </w:r>
          </w:p>
        </w:tc>
        <w:tc>
          <w:tcPr>
            <w:tcW w:w="1240" w:type="dxa"/>
            <w:vAlign w:val="bottom"/>
            <w:gridSpan w:val="2"/>
            <w:shd w:val="clear" w:color="auto" w:fill="CCFFCC"/>
          </w:tcPr>
          <w:p>
            <w:pPr>
              <w:jc w:val="right"/>
              <w:ind w:right="270"/>
              <w:spacing w:after="0"/>
              <w:rPr>
                <w:sz w:val="20"/>
                <w:szCs w:val="20"/>
                <w:color w:val="auto"/>
              </w:rPr>
            </w:pPr>
            <w:r>
              <w:rPr>
                <w:rFonts w:ascii="Arial" w:cs="Arial" w:eastAsia="Arial" w:hAnsi="Arial"/>
                <w:sz w:val="18"/>
                <w:szCs w:val="18"/>
                <w:color w:val="auto"/>
              </w:rPr>
              <w:t>(18)</w:t>
            </w:r>
          </w:p>
        </w:tc>
        <w:tc>
          <w:tcPr>
            <w:tcW w:w="6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9"/>
              </w:rPr>
              <w:t>(15%)</w:t>
            </w:r>
          </w:p>
        </w:tc>
        <w:tc>
          <w:tcPr>
            <w:tcW w:w="180" w:type="dxa"/>
            <w:vAlign w:val="bottom"/>
            <w:shd w:val="clear" w:color="auto" w:fill="CCFFCC"/>
          </w:tcPr>
          <w:p>
            <w:pPr>
              <w:spacing w:after="0"/>
              <w:rPr>
                <w:sz w:val="23"/>
                <w:szCs w:val="23"/>
                <w:color w:val="auto"/>
              </w:rPr>
            </w:pPr>
          </w:p>
        </w:tc>
        <w:tc>
          <w:tcPr>
            <w:tcW w:w="7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(118)</w:t>
            </w:r>
          </w:p>
        </w:tc>
        <w:tc>
          <w:tcPr>
            <w:tcW w:w="40" w:type="dxa"/>
            <w:vAlign w:val="bottom"/>
            <w:shd w:val="clear" w:color="auto" w:fill="CCFFCC"/>
          </w:tcPr>
          <w:p>
            <w:pPr>
              <w:spacing w:after="0"/>
              <w:rPr>
                <w:sz w:val="23"/>
                <w:szCs w:val="23"/>
                <w:color w:val="auto"/>
              </w:rPr>
            </w:pPr>
          </w:p>
        </w:tc>
        <w:tc>
          <w:tcPr>
            <w:tcW w:w="180" w:type="dxa"/>
            <w:vAlign w:val="bottom"/>
            <w:shd w:val="clear" w:color="auto" w:fill="CCFFCC"/>
          </w:tcPr>
          <w:p>
            <w:pPr>
              <w:spacing w:after="0"/>
              <w:rPr>
                <w:sz w:val="23"/>
                <w:szCs w:val="23"/>
                <w:color w:val="auto"/>
              </w:rPr>
            </w:pPr>
          </w:p>
        </w:tc>
        <w:tc>
          <w:tcPr>
            <w:tcW w:w="8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(298)</w:t>
            </w:r>
          </w:p>
        </w:tc>
        <w:tc>
          <w:tcPr>
            <w:tcW w:w="1280" w:type="dxa"/>
            <w:vAlign w:val="bottom"/>
            <w:gridSpan w:val="2"/>
            <w:shd w:val="clear" w:color="auto" w:fill="CCFFCC"/>
          </w:tcPr>
          <w:p>
            <w:pPr>
              <w:jc w:val="right"/>
              <w:ind w:right="440"/>
              <w:spacing w:after="0"/>
              <w:rPr>
                <w:sz w:val="20"/>
                <w:szCs w:val="20"/>
                <w:color w:val="auto"/>
              </w:rPr>
            </w:pPr>
            <w:r>
              <w:rPr>
                <w:rFonts w:ascii="Arial" w:cs="Arial" w:eastAsia="Arial" w:hAnsi="Arial"/>
                <w:sz w:val="18"/>
                <w:szCs w:val="18"/>
                <w:color w:val="auto"/>
              </w:rPr>
              <w:t>180</w:t>
            </w:r>
          </w:p>
        </w:tc>
        <w:tc>
          <w:tcPr>
            <w:tcW w:w="6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60%</w:t>
            </w:r>
          </w:p>
        </w:tc>
      </w:tr>
      <w:tr>
        <w:trPr>
          <w:trHeight w:val="270"/>
        </w:trPr>
        <w:tc>
          <w:tcPr>
            <w:tcW w:w="2340" w:type="dxa"/>
            <w:vAlign w:val="bottom"/>
            <w:gridSpan w:val="2"/>
          </w:tcPr>
          <w:p>
            <w:pPr>
              <w:spacing w:after="0"/>
              <w:rPr>
                <w:sz w:val="20"/>
                <w:szCs w:val="20"/>
                <w:color w:val="auto"/>
              </w:rPr>
            </w:pPr>
            <w:r>
              <w:rPr>
                <w:rFonts w:ascii="Arial" w:cs="Arial" w:eastAsia="Arial" w:hAnsi="Arial"/>
                <w:sz w:val="18"/>
                <w:szCs w:val="18"/>
                <w:color w:val="auto"/>
              </w:rPr>
              <w:t>Other, net</w:t>
            </w: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313</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1,121</w:t>
            </w:r>
          </w:p>
        </w:tc>
        <w:tc>
          <w:tcPr>
            <w:tcW w:w="1240" w:type="dxa"/>
            <w:vAlign w:val="bottom"/>
            <w:gridSpan w:val="2"/>
          </w:tcPr>
          <w:p>
            <w:pPr>
              <w:jc w:val="right"/>
              <w:ind w:right="270"/>
              <w:spacing w:after="0"/>
              <w:rPr>
                <w:sz w:val="20"/>
                <w:szCs w:val="20"/>
                <w:color w:val="auto"/>
              </w:rPr>
            </w:pPr>
            <w:r>
              <w:rPr>
                <w:rFonts w:ascii="Arial" w:cs="Arial" w:eastAsia="Arial" w:hAnsi="Arial"/>
                <w:sz w:val="18"/>
                <w:szCs w:val="18"/>
                <w:color w:val="auto"/>
              </w:rPr>
              <w:t>(808)</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(72%)</w:t>
            </w:r>
          </w:p>
        </w:tc>
        <w:tc>
          <w:tcPr>
            <w:tcW w:w="180" w:type="dxa"/>
            <w:vAlign w:val="bottom"/>
          </w:tcPr>
          <w:p>
            <w:pPr>
              <w:spacing w:after="0"/>
              <w:rPr>
                <w:sz w:val="23"/>
                <w:szCs w:val="2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1,121</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4,548</w:t>
            </w: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(3,427)</w:t>
            </w: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(75%)</w:t>
            </w:r>
          </w:p>
        </w:tc>
      </w:tr>
      <w:tr>
        <w:trPr>
          <w:trHeight w:val="20"/>
        </w:trPr>
        <w:tc>
          <w:tcPr>
            <w:tcW w:w="5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37"/>
        </w:trPr>
        <w:tc>
          <w:tcPr>
            <w:tcW w:w="500" w:type="dxa"/>
            <w:vAlign w:val="bottom"/>
            <w:shd w:val="clear" w:color="auto" w:fill="CCFFCC"/>
          </w:tcPr>
          <w:p>
            <w:pPr>
              <w:spacing w:after="0"/>
              <w:rPr>
                <w:sz w:val="20"/>
                <w:szCs w:val="20"/>
                <w:color w:val="auto"/>
              </w:rPr>
            </w:pPr>
          </w:p>
        </w:tc>
        <w:tc>
          <w:tcPr>
            <w:tcW w:w="1840" w:type="dxa"/>
            <w:vAlign w:val="bottom"/>
            <w:shd w:val="clear" w:color="auto" w:fill="CCFFCC"/>
          </w:tcPr>
          <w:p>
            <w:pPr>
              <w:spacing w:after="0"/>
              <w:rPr>
                <w:sz w:val="20"/>
                <w:szCs w:val="20"/>
                <w:color w:val="auto"/>
              </w:rPr>
            </w:pPr>
          </w:p>
        </w:tc>
        <w:tc>
          <w:tcPr>
            <w:tcW w:w="16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1,909</w:t>
            </w:r>
          </w:p>
        </w:tc>
        <w:tc>
          <w:tcPr>
            <w:tcW w:w="80" w:type="dxa"/>
            <w:vAlign w:val="bottom"/>
            <w:shd w:val="clear" w:color="auto" w:fill="CCFFCC"/>
          </w:tcPr>
          <w:p>
            <w:pPr>
              <w:spacing w:after="0"/>
              <w:rPr>
                <w:sz w:val="20"/>
                <w:szCs w:val="20"/>
                <w:color w:val="auto"/>
              </w:rPr>
            </w:pPr>
          </w:p>
        </w:tc>
        <w:tc>
          <w:tcPr>
            <w:tcW w:w="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4,917</w:t>
            </w:r>
          </w:p>
        </w:tc>
        <w:tc>
          <w:tcPr>
            <w:tcW w:w="1240" w:type="dxa"/>
            <w:vAlign w:val="bottom"/>
            <w:gridSpan w:val="2"/>
            <w:shd w:val="clear" w:color="auto" w:fill="CCFFCC"/>
          </w:tcPr>
          <w:p>
            <w:pPr>
              <w:jc w:val="right"/>
              <w:ind w:right="270"/>
              <w:spacing w:after="0"/>
              <w:rPr>
                <w:sz w:val="20"/>
                <w:szCs w:val="20"/>
                <w:color w:val="auto"/>
              </w:rPr>
            </w:pPr>
            <w:r>
              <w:rPr>
                <w:rFonts w:ascii="Arial" w:cs="Arial" w:eastAsia="Arial" w:hAnsi="Arial"/>
                <w:sz w:val="18"/>
                <w:szCs w:val="18"/>
                <w:color w:val="auto"/>
              </w:rPr>
              <w:t>($3,008)</w:t>
            </w:r>
          </w:p>
        </w:tc>
        <w:tc>
          <w:tcPr>
            <w:tcW w:w="6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w w:val="99"/>
              </w:rPr>
              <w:t>(61%)</w:t>
            </w:r>
          </w:p>
        </w:tc>
        <w:tc>
          <w:tcPr>
            <w:tcW w:w="180" w:type="dxa"/>
            <w:vAlign w:val="bottom"/>
            <w:shd w:val="clear" w:color="auto" w:fill="CCFFCC"/>
          </w:tcPr>
          <w:p>
            <w:pPr>
              <w:jc w:val="center"/>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4,917</w:t>
            </w:r>
          </w:p>
        </w:tc>
        <w:tc>
          <w:tcPr>
            <w:tcW w:w="220" w:type="dxa"/>
            <w:vAlign w:val="bottom"/>
            <w:gridSpan w:val="2"/>
            <w:shd w:val="clear" w:color="auto" w:fill="CCFFCC"/>
          </w:tcPr>
          <w:p>
            <w:pPr>
              <w:ind w:left="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8,415</w:t>
            </w:r>
          </w:p>
        </w:tc>
        <w:tc>
          <w:tcPr>
            <w:tcW w:w="128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($3,498)</w:t>
            </w:r>
          </w:p>
        </w:tc>
        <w:tc>
          <w:tcPr>
            <w:tcW w:w="66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(42%)</w:t>
            </w:r>
          </w:p>
        </w:tc>
      </w:tr>
    </w:tbl>
    <w:p>
      <w:pPr>
        <w:spacing w:after="0" w:line="25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With respect to other income and expense, the principal difference between the three fiscal years is the conversion of REIT units for REIT stock in fiscal year 2005 and the subsequent partial sale of these shares in fiscal years 2006 and 2005, as described above under Significant Events. (See Item 2. Properties and Note 6 to the accompanying financial statements.)</w:t>
      </w:r>
    </w:p>
    <w:p>
      <w:pPr>
        <w:spacing w:after="0" w:line="23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Investment income in both fiscal years 2006 and 2005 contained gains of $2.1 million and $2.3 million, respectively, on the sale of REIT stock. By comparison, in fiscal year 2007 the Company recorded a net loss of $44,000 on the sale of other marketable securities. Investment income also includes interest and dividend income on marketable securities. Income from this source was approximately the same in both fiscal years 2007 and 2006 but substantially lower than fiscal year 2005 since the Company no longer receives dividend income from its former investment in REIT stock. The Company anticipates that during fiscal year 2008 it will realize investment income comparable to fiscal year 2007. The primary source of income for this category will be from interest income on its bond portfolio.</w:t>
      </w:r>
    </w:p>
    <w:p>
      <w:pPr>
        <w:spacing w:after="0" w:line="24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7"/>
          <w:szCs w:val="17"/>
          <w:color w:val="auto"/>
        </w:rPr>
        <w:t>The Company records equity income or losses from its investments in Morion and Elcom. The Company acquired a 25% interest (20% on a fully-diluted basis) in Elcom during the third quarter of fiscal year 2007 and, during the 4</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quarter of that year, the Company recorded its share of Elcom’s loss for that period. This loss was offset by the equity income from Morion which continued to increase year over year. The greater than 100% increase in equity income for fiscal year 2006 over fiscal year 2005 is due to two factors: a) the increased profitability of Morion during the year ended April 30, 2006 compared to the previous year and b) in the sixth month of fiscal year 2005 the Company increased its investment in Morion from 19% to 36% of Morion’s outstanding shares and equity income was recorded at the lower rate for the first five months of that year. In June 2007, the Company’s investment in Morion was reduced from 36% to 8% of Morion’s outstanding shares and the Company will no longer account for its investment in Morion on the equity method. (See Note 10 to the accompanying consolidated financial statements.)</w:t>
      </w:r>
    </w:p>
    <w:p>
      <w:pPr>
        <w:spacing w:after="0" w:line="250"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In fiscal year 2007, interest expense was incurred on borrowings under short-term credit obligations and on certain deferred compensation obligations. For the year ended April 30, 2007, interest expense increased over the prior year due to greater utilization of its bank line of credit to cover working capital requirements. Interest expense for the year ended April 30, 2006, decreased from fiscal year 2005 as a result of the gain realized on the conversion of REIT units to REIT stock. Prior to the fiscal year 2005 conversion, the financing arrangement for the sale and leaseback of the U.S. manufacturing facility was considered as debt on which interest expense was recorded. In addition, with the proceeds from the REIT stock sale, the Company repaid the outstanding balance on its credit line. The Company also recorded lower interest expense on deferred compensation payments due to lower interest rates during fiscal year 2006 compared to fiscal year 2005. The Company anticipates that interest expense in fiscal year 2008 will be approximately the same as that recorded in fiscal year 2007, depending on the trend in interest rates.</w:t>
      </w:r>
    </w:p>
    <w:p>
      <w:pPr>
        <w:spacing w:after="0" w:line="233"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During both fiscal years 2007 and 2006, the Company recognized $353,000 of income from amortization of the deferred gain from the 1998 sale of its corporate headquarters building in New York, which income is included in the caption Other, net. The deferred gain is being amortized over the remaining life of the original eleven-year lease. During fiscal year 2006, the Company sold the building formerly owned by its French subsidiary. Following the fiscal year 2004 staffing cutbacks in this entity, the building had been largely vacant and available for sale. Upon receipt of an independent appraisal, the building was sold to the former president of the Company’s subsidiary, Gillam-FEI. The Company realized a gain on the sale of the building of approximately $680,000 which is included in the caption Other, net. For the year ended April 30, 2005, Other, net includes a $4.6 million gain on the conversion of the REIT units to REIT stock. (See Item 2. Properties and Note 6 to the accompanying consolidated financial statements.) This gain was offset by certain recurring, non-operating expenses. In future fiscal years, Other, net will include annual amortization into income of the final $589,000 deferred gain on the 1998 sale of its building. Using the straightline method over the remaining 20 months of the initial leaseback period, the Company will recognize approximately $350,000 of amortized income during fiscal year 2008. The Company anticipates that in future years other items in this category will not be significant to pretax earnings.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30" w:name="page31"/>
    <w:bookmarkEnd w:id="30"/>
    <w:p>
      <w:pPr>
        <w:ind w:left="500"/>
        <w:spacing w:after="0"/>
        <w:rPr>
          <w:sz w:val="20"/>
          <w:szCs w:val="20"/>
          <w:color w:val="auto"/>
        </w:rPr>
      </w:pPr>
      <w:r>
        <w:rPr>
          <w:rFonts w:ascii="Arial" w:cs="Arial" w:eastAsia="Arial" w:hAnsi="Arial"/>
          <w:sz w:val="18"/>
          <w:szCs w:val="18"/>
          <w:b w:val="1"/>
          <w:bCs w:val="1"/>
          <w:u w:val="single" w:color="auto"/>
          <w:color w:val="auto"/>
        </w:rPr>
        <w:t>Income Taxes</w:t>
      </w:r>
    </w:p>
    <w:p>
      <w:pPr>
        <w:spacing w:after="0" w:line="283"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Company is subject to taxation in several countries. The statutory federal rates are 34% in the United States and 35% in Europe. Due to the tax benefit to be derived from carrying forward the current year tax loss and unapplied tax credits as well as the reversal of a portion of a reserve on foreign taxes, the effective tax benefit rate in fiscal year 2007 is greater than 85%. The effective rate for the Company for the year ended April 30, 2006 was 28%, compared to 30% in fiscal year 2005. The effective rate is also impacted by the income or loss of certain of the Company’s European and Asian subsidiaries as well as the equity income from its investments which are currently not taxed. The Company may commence tax payments in China during calendar 2008 based on the operating profits of its subsidiary, FEI-Asia. The Company utilizes the availability of research and development tax credits in the United States to lower its tax rate. (See Note 14 to the Consolidated Financial Statements.)</w:t>
      </w:r>
    </w:p>
    <w:p>
      <w:pPr>
        <w:spacing w:after="0" w:line="23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Company’s European subsidiaries have available net operating loss carryforwards of approximately $1.3 million to offset future taxable income. These loss carryforwards have no expiration date. The operating loss carryforwards for the U.S. subsidiaries of the Company are approximately $700,000 and these expire in 20 years.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8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Company’s balance sheet continues to reflect a highly liquid position with working capital of $54.0 million at April 30, 2007. Included in working capital at April 30, 2007 is $15.6 million consisting of cash, cash equivalents and short-term investments but offset by $5 million in borrowings under its bank line of credit. The Company’s current ratio at April 30, 2007 is 5 to 1.</w:t>
      </w:r>
    </w:p>
    <w:p>
      <w:pPr>
        <w:spacing w:after="0" w:line="235"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Net cash used in operating activities for the year ended April 30, 2007, was $6.6 million compared to cash used in operations of $2.5 million in fiscal year 2006. The primary causes for the decrease in cash was the operating loss generated by higher operating expenses and a 36% increase in inventory to enable the Company to respond to existing and anticipated customer orders. In fiscal year 2006, the primary cause for the decrease in cash was the payment of approximately $3 million in income taxes on non-operating gains recorded at the end of fiscal year 2005. This payment was deferred in the prior year, contributing to positive operating cash flow in fiscal year 2005. Also impacting operating cash flow is the timing of certain milestone billings under long-term contracts. In recent years, a higher percentage of revenue has been recognized under long-term contract accounting by which the Company recognizes revenues at different intervals than the billings mandated by the respective contracts. Included in accounts receivable are amounts for costs and estimated earnings in excess of billings on uncompleted contracts accounted for on the percentage of completion basis. (See Note 2 to the accompanying financial statements.) In fiscal year 2008, the Company anticipates that it will generate positive cash flow from operations as certain long-term contracts are completed and higher engineering costs abate.</w:t>
      </w:r>
    </w:p>
    <w:p>
      <w:pPr>
        <w:spacing w:after="0" w:line="23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Net cash provided by investing activities for the fiscal year ended April 30, 2007, was approximately $2.0 million. Approximately $8.1 million was generated by the sale or maturity of certain marketable securities, net of purchases of other marketable securities. The Company acquired capital equipment of $2.7 million and made an investment in Elcom, including a convertible note, in the aggregate amount of $3.3 million. Net cash provided by investing activities for the fiscal year ended April 30, 2006, was $317,000. Approximately $1.6 million was generated by the sale or maturity of certain marketable securities, including REIT stock, net of purchases of other marketable securities. An additional $975,000 was received on the sale of the Company’s building in France. (See Significant Events above and Note 7 to the accompanying financial statements.) During fiscal year 2006, the Company made additional investments in FEI-Zyfer and Morion, Inc. which aggregated $104,000 and acquired capital equipment of $2.1 million. Net cash provided by investing activities for the fiscal year ended April 30, 2005, was $3.6 million. Approximately $6.1 million was generated by the sale or maturity of certain marketable securities, primarily REIT stock, net of purchases of other marketable securities. The Company also made additional investments in FEI-Zyfer, Satel-FEI and Morion, Inc. which aggregated $970,000 and acquired capital equipment of $1.6 million. The Company may continue to invest cash equivalents in longer-term securities or to convert short-term investments to cash equivalents as dictated by its investment and acquisition strategies. The Company will continue to acquire more efficient equipment to automate its production process. It intends to spend approximately $4 million to $5 million on capital equipment during fiscal year 2008. Internally generated cash will be adequate to acquire this capital equipment.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31" w:name="page32"/>
    <w:bookmarkEnd w:id="31"/>
    <w:p>
      <w:pPr>
        <w:jc w:val="both"/>
        <w:ind w:firstLine="486"/>
        <w:spacing w:after="0" w:line="290" w:lineRule="auto"/>
        <w:rPr>
          <w:sz w:val="20"/>
          <w:szCs w:val="20"/>
          <w:color w:val="auto"/>
        </w:rPr>
      </w:pPr>
      <w:r>
        <w:rPr>
          <w:rFonts w:ascii="Arial" w:cs="Arial" w:eastAsia="Arial" w:hAnsi="Arial"/>
          <w:sz w:val="16"/>
          <w:szCs w:val="16"/>
          <w:color w:val="auto"/>
        </w:rPr>
        <w:t>In fiscal year 2004, the Company established a $5 million line of credit with the financial institution which also manages a substantial portion of its investment in marketable securities. In early fiscal year 2008, the Company increased this line to $11.5 million. The line is secured by the investments which earn, on average, approximately a 5% annual return. Rather than liquidate some of these investments to meet short-term working capital requirements, during fiscal years 2007, 2006 and 2005, the Company borrowed $5.0 million, $1.0 million and $1.5 million, respectively against the line of credit at fixed and variable interest rates between 2.61% and 6.65%. The Company must annually repay any borrowings under the line of credit on their anniversary date but may also obtain new funding up to the credit limit. In addition, the Company’s European subsidiaries have available approximately $2.2 million in bank credit lines to meet short-term cash flow requirements. The rate of interest on these borrowings is based on the one month EURO Interbank Offered Rate (EURIBOR). As of April 30, 2007, the Company had an outstanding balance of $5 million under the line of credit secured by investments.</w:t>
      </w:r>
    </w:p>
    <w:p>
      <w:pPr>
        <w:spacing w:after="0" w:line="220"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During the year ended April 30, 2007, cash provided by financing activities was $3.6 million. The primary source of cash was the $5.0 million borrowed under the line of credit referred to in the preceding paragraph. An additional $293,000 was received upon the exercise of stock options. Offsetting this cash inflow was the payment of the Company’s semi-annual dividend which aggregated $1.7 million. In fiscal year 2006, the Company used cash in financing activities in the net amount of $1.6 million, primarily for the payment of the semi-annual dividend of $1.7 million. As indicated above, during fiscal year 2006, the Company borrowed and repaid $1.0 million under its line of credit while $144,000 was received upon the exercise of stock options. Net cash used in financing activities in fiscal year 2005 was $5.3 million. The primary causes for this decline was payment of the Company’s semi-annual cash dividend of $1.7 million and payment of $5.3 million against lines of credit offset by additional borrowings of $1.5 million. (See preceding paragraph and Note 8 to the financial statements.) The Company will continue to use treasury shares to satisfy the future exercise of stock options granted to officers and employees. The Company has been authorized by its Board of Directors to repurchase up to $5 million worth of shares of its common stock for treasury whenever appropriate opportunities arise but it has neither a formal repurchase plan nor commitments to purchase additional shares in the future.</w:t>
      </w:r>
    </w:p>
    <w:p>
      <w:pPr>
        <w:spacing w:after="0" w:line="223"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The Company will continue to expend resources to develop and improve products for space applications, guidance and targeting systems, wireless networks and wireline communication systems which management believes will result in future growth and continued profitability. During fiscal year 2008, the Company intends to make a substantial investment of capital and technical resources to develop new products to meet the needs of the U.S. Government, commercial space and telecommunications infrastructure marketplaces and to invest in more efficient product designs and manufacturing procedures. Where possible, the Company will secure partial customer funding for such development efforts but is targeting to spend its own funds at a rate of at least 10% of revenues to achieve its development goals. Internally generated cash will be adequate to fund these development efforts.</w:t>
      </w:r>
    </w:p>
    <w:p>
      <w:pPr>
        <w:spacing w:after="0" w:line="215" w:lineRule="exact"/>
        <w:rPr>
          <w:sz w:val="20"/>
          <w:szCs w:val="20"/>
          <w:color w:val="auto"/>
        </w:rPr>
      </w:pPr>
    </w:p>
    <w:p>
      <w:pPr>
        <w:ind w:left="500"/>
        <w:spacing w:after="0"/>
        <w:rPr>
          <w:sz w:val="20"/>
          <w:szCs w:val="20"/>
          <w:color w:val="auto"/>
        </w:rPr>
      </w:pPr>
      <w:r>
        <w:rPr>
          <w:rFonts w:ascii="Arial" w:cs="Arial" w:eastAsia="Arial" w:hAnsi="Arial"/>
          <w:sz w:val="18"/>
          <w:szCs w:val="18"/>
          <w:b w:val="1"/>
          <w:bCs w:val="1"/>
          <w:u w:val="single" w:color="auto"/>
          <w:color w:val="auto"/>
        </w:rPr>
        <w:t>Off-Balance Sheet Arrangements</w:t>
      </w:r>
    </w:p>
    <w:p>
      <w:pPr>
        <w:spacing w:after="0" w:line="28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 does not have any off-balance sheet arrangements that have or are reasonably likely to have a current or future effect on the Company’s financial condition, changes in financial condition, revenues or expenses, results of operations, liquidity, capital expenditures or capital resources that is material to investors.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Contractual obligations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0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47"/>
        </w:trPr>
        <w:tc>
          <w:tcPr>
            <w:tcW w:w="4800" w:type="dxa"/>
            <w:vAlign w:val="bottom"/>
            <w:gridSpan w:val="3"/>
          </w:tcPr>
          <w:p>
            <w:pPr>
              <w:ind w:left="340"/>
              <w:spacing w:after="0"/>
              <w:rPr>
                <w:sz w:val="20"/>
                <w:szCs w:val="20"/>
                <w:color w:val="auto"/>
              </w:rPr>
            </w:pPr>
            <w:r>
              <w:rPr>
                <w:rFonts w:ascii="Arial" w:cs="Arial" w:eastAsia="Arial" w:hAnsi="Arial"/>
                <w:sz w:val="18"/>
                <w:szCs w:val="18"/>
                <w:color w:val="auto"/>
              </w:rPr>
              <w:t>As of April 30, 2007</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35"/>
        </w:trPr>
        <w:tc>
          <w:tcPr>
            <w:tcW w:w="5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Total</w:t>
            </w:r>
          </w:p>
        </w:tc>
        <w:tc>
          <w:tcPr>
            <w:tcW w:w="140" w:type="dxa"/>
            <w:vAlign w:val="bottom"/>
          </w:tcPr>
          <w:p>
            <w:pPr>
              <w:spacing w:after="0"/>
              <w:rPr>
                <w:sz w:val="24"/>
                <w:szCs w:val="2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Less than</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b w:val="1"/>
                <w:bCs w:val="1"/>
                <w:color w:val="auto"/>
              </w:rPr>
              <w:t>More than</w:t>
            </w:r>
          </w:p>
        </w:tc>
      </w:tr>
      <w:tr>
        <w:trPr>
          <w:trHeight w:val="234"/>
        </w:trPr>
        <w:tc>
          <w:tcPr>
            <w:tcW w:w="500" w:type="dxa"/>
            <w:vAlign w:val="bottom"/>
            <w:tcBorders>
              <w:bottom w:val="single" w:sz="8" w:color="auto"/>
            </w:tcBorders>
          </w:tcPr>
          <w:p>
            <w:pPr>
              <w:spacing w:after="0"/>
              <w:rPr>
                <w:sz w:val="20"/>
                <w:szCs w:val="20"/>
                <w:color w:val="auto"/>
              </w:rPr>
            </w:pPr>
          </w:p>
        </w:tc>
        <w:tc>
          <w:tcPr>
            <w:tcW w:w="4300" w:type="dxa"/>
            <w:vAlign w:val="bottom"/>
            <w:tcBorders>
              <w:bottom w:val="single" w:sz="8" w:color="auto"/>
            </w:tcBorders>
            <w:gridSpan w:val="2"/>
          </w:tcPr>
          <w:p>
            <w:pPr>
              <w:ind w:left="980"/>
              <w:spacing w:after="0"/>
              <w:rPr>
                <w:sz w:val="20"/>
                <w:szCs w:val="20"/>
                <w:color w:val="auto"/>
              </w:rPr>
            </w:pPr>
            <w:r>
              <w:rPr>
                <w:rFonts w:ascii="Arial" w:cs="Arial" w:eastAsia="Arial" w:hAnsi="Arial"/>
                <w:sz w:val="18"/>
                <w:szCs w:val="18"/>
                <w:b w:val="1"/>
                <w:bCs w:val="1"/>
                <w:color w:val="auto"/>
              </w:rPr>
              <w:t>Contractual Obligations</w:t>
            </w:r>
          </w:p>
        </w:tc>
        <w:tc>
          <w:tcPr>
            <w:tcW w:w="240" w:type="dxa"/>
            <w:vAlign w:val="bottom"/>
          </w:tcPr>
          <w:p>
            <w:pPr>
              <w:spacing w:after="0"/>
              <w:rPr>
                <w:sz w:val="20"/>
                <w:szCs w:val="20"/>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(in thousands)</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1 Year</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6"/>
              </w:rPr>
              <w:t>1 to 3 Years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7"/>
              </w:rPr>
              <w:t>3 to 5 Years</w:t>
            </w: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5 Years</w:t>
            </w:r>
          </w:p>
        </w:tc>
        <w:tc>
          <w:tcPr>
            <w:tcW w:w="100" w:type="dxa"/>
            <w:vAlign w:val="bottom"/>
          </w:tcPr>
          <w:p>
            <w:pPr>
              <w:spacing w:after="0"/>
              <w:rPr>
                <w:sz w:val="20"/>
                <w:szCs w:val="20"/>
                <w:color w:val="auto"/>
              </w:rPr>
            </w:pPr>
          </w:p>
        </w:tc>
      </w:tr>
      <w:tr>
        <w:trPr>
          <w:trHeight w:val="237"/>
        </w:trPr>
        <w:tc>
          <w:tcPr>
            <w:tcW w:w="4800" w:type="dxa"/>
            <w:vAlign w:val="bottom"/>
            <w:gridSpan w:val="3"/>
            <w:shd w:val="clear" w:color="auto" w:fill="CCFFCC"/>
          </w:tcPr>
          <w:p>
            <w:pPr>
              <w:ind w:left="180"/>
              <w:spacing w:after="0"/>
              <w:rPr>
                <w:sz w:val="20"/>
                <w:szCs w:val="20"/>
                <w:color w:val="auto"/>
              </w:rPr>
            </w:pPr>
            <w:r>
              <w:rPr>
                <w:rFonts w:ascii="Arial" w:cs="Arial" w:eastAsia="Arial" w:hAnsi="Arial"/>
                <w:sz w:val="18"/>
                <w:szCs w:val="18"/>
                <w:color w:val="auto"/>
              </w:rPr>
              <w:t>Long-Term Debt Obligations</w:t>
            </w:r>
          </w:p>
        </w:tc>
        <w:tc>
          <w:tcPr>
            <w:tcW w:w="460" w:type="dxa"/>
            <w:vAlign w:val="bottom"/>
            <w:gridSpan w:val="2"/>
            <w:shd w:val="clear" w:color="auto" w:fill="CCFFCC"/>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FFCC"/>
          </w:tcPr>
          <w:p>
            <w:pPr>
              <w:spacing w:after="0"/>
              <w:rPr>
                <w:sz w:val="20"/>
                <w:szCs w:val="20"/>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0"/>
                <w:szCs w:val="20"/>
                <w:color w:val="auto"/>
              </w:rPr>
            </w:pP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right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4800" w:type="dxa"/>
            <w:vAlign w:val="bottom"/>
            <w:gridSpan w:val="3"/>
          </w:tcPr>
          <w:p>
            <w:pPr>
              <w:ind w:left="180"/>
              <w:spacing w:after="0"/>
              <w:rPr>
                <w:sz w:val="20"/>
                <w:szCs w:val="20"/>
                <w:color w:val="auto"/>
              </w:rPr>
            </w:pPr>
            <w:r>
              <w:rPr>
                <w:rFonts w:ascii="Arial" w:cs="Arial" w:eastAsia="Arial" w:hAnsi="Arial"/>
                <w:sz w:val="18"/>
                <w:szCs w:val="18"/>
                <w:color w:val="auto"/>
              </w:rPr>
              <w:t>Operating Lease Obligations</w:t>
            </w:r>
          </w:p>
        </w:tc>
        <w:tc>
          <w:tcPr>
            <w:tcW w:w="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7,193</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2,558</w:t>
            </w: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2,670</w:t>
            </w:r>
          </w:p>
        </w:tc>
        <w:tc>
          <w:tcPr>
            <w:tcW w:w="120" w:type="dxa"/>
            <w:vAlign w:val="bottom"/>
          </w:tcPr>
          <w:p>
            <w:pPr>
              <w:spacing w:after="0"/>
              <w:rPr>
                <w:sz w:val="21"/>
                <w:szCs w:val="21"/>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1,377</w:t>
            </w:r>
          </w:p>
        </w:tc>
      </w:tr>
      <w:tr>
        <w:trPr>
          <w:trHeight w:val="243"/>
        </w:trPr>
        <w:tc>
          <w:tcPr>
            <w:tcW w:w="4800" w:type="dxa"/>
            <w:vAlign w:val="bottom"/>
            <w:gridSpan w:val="3"/>
            <w:shd w:val="clear" w:color="auto" w:fill="CCFFCC"/>
          </w:tcPr>
          <w:p>
            <w:pPr>
              <w:ind w:left="180"/>
              <w:spacing w:after="0"/>
              <w:rPr>
                <w:sz w:val="20"/>
                <w:szCs w:val="20"/>
                <w:color w:val="auto"/>
              </w:rPr>
            </w:pPr>
            <w:r>
              <w:rPr>
                <w:rFonts w:ascii="Arial" w:cs="Arial" w:eastAsia="Arial" w:hAnsi="Arial"/>
                <w:sz w:val="18"/>
                <w:szCs w:val="18"/>
                <w:color w:val="auto"/>
              </w:rPr>
              <w:t>Deferred Compensation</w:t>
            </w:r>
          </w:p>
        </w:tc>
        <w:tc>
          <w:tcPr>
            <w:tcW w:w="24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8,669</w:t>
            </w:r>
            <w:r>
              <w:rPr>
                <w:rFonts w:ascii="Arial" w:cs="Arial" w:eastAsia="Arial" w:hAnsi="Arial"/>
                <w:sz w:val="17"/>
                <w:szCs w:val="17"/>
                <w:color w:val="auto"/>
              </w:rPr>
              <w:t>*</w:t>
            </w:r>
          </w:p>
        </w:tc>
        <w:tc>
          <w:tcPr>
            <w:tcW w:w="14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340</w:t>
            </w:r>
          </w:p>
        </w:tc>
        <w:tc>
          <w:tcPr>
            <w:tcW w:w="10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FFCC"/>
          </w:tcPr>
          <w:p>
            <w:pPr>
              <w:spacing w:after="0"/>
              <w:rPr>
                <w:sz w:val="21"/>
                <w:szCs w:val="21"/>
                <w:color w:val="auto"/>
              </w:rPr>
            </w:pPr>
          </w:p>
        </w:tc>
        <w:tc>
          <w:tcPr>
            <w:tcW w:w="1140" w:type="dxa"/>
            <w:vAlign w:val="bottom"/>
            <w:tcBorders>
              <w:right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172</w:t>
            </w:r>
          </w:p>
        </w:tc>
        <w:tc>
          <w:tcPr>
            <w:tcW w:w="12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7,863</w:t>
            </w:r>
          </w:p>
        </w:tc>
      </w:tr>
      <w:tr>
        <w:trPr>
          <w:trHeight w:val="20"/>
        </w:trPr>
        <w:tc>
          <w:tcPr>
            <w:tcW w:w="500" w:type="dxa"/>
            <w:vAlign w:val="bottom"/>
            <w:shd w:val="clear" w:color="auto" w:fill="CCFFCC"/>
          </w:tcPr>
          <w:p>
            <w:pPr>
              <w:spacing w:after="0" w:line="20" w:lineRule="exact"/>
              <w:rPr>
                <w:sz w:val="1"/>
                <w:szCs w:val="1"/>
                <w:color w:val="auto"/>
              </w:rPr>
            </w:pPr>
          </w:p>
        </w:tc>
        <w:tc>
          <w:tcPr>
            <w:tcW w:w="1800" w:type="dxa"/>
            <w:vAlign w:val="bottom"/>
            <w:shd w:val="clear" w:color="auto" w:fill="CCFFCC"/>
          </w:tcPr>
          <w:p>
            <w:pPr>
              <w:spacing w:after="0" w:line="20" w:lineRule="exact"/>
              <w:rPr>
                <w:sz w:val="1"/>
                <w:szCs w:val="1"/>
                <w:color w:val="auto"/>
              </w:rPr>
            </w:pPr>
          </w:p>
        </w:tc>
        <w:tc>
          <w:tcPr>
            <w:tcW w:w="250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tcBorders>
              <w:right w:val="single" w:sz="8" w:color="CCFFCC"/>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37"/>
        </w:trPr>
        <w:tc>
          <w:tcPr>
            <w:tcW w:w="4800" w:type="dxa"/>
            <w:vAlign w:val="bottom"/>
            <w:gridSpan w:val="3"/>
          </w:tcPr>
          <w:p>
            <w:pPr>
              <w:ind w:left="180"/>
              <w:spacing w:after="0"/>
              <w:rPr>
                <w:sz w:val="20"/>
                <w:szCs w:val="20"/>
                <w:color w:val="auto"/>
              </w:rPr>
            </w:pPr>
            <w:r>
              <w:rPr>
                <w:rFonts w:ascii="Arial" w:cs="Arial" w:eastAsia="Arial" w:hAnsi="Arial"/>
                <w:sz w:val="18"/>
                <w:szCs w:val="18"/>
                <w:color w:val="auto"/>
              </w:rPr>
              <w:t>Total</w:t>
            </w:r>
          </w:p>
        </w:tc>
        <w:tc>
          <w:tcPr>
            <w:tcW w:w="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15,862</w:t>
            </w:r>
          </w:p>
        </w:tc>
        <w:tc>
          <w:tcPr>
            <w:tcW w:w="2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928</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2,852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2,842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9,240</w:t>
            </w:r>
          </w:p>
        </w:tc>
      </w:tr>
      <w:tr>
        <w:trPr>
          <w:trHeight w:val="20"/>
        </w:trPr>
        <w:tc>
          <w:tcPr>
            <w:tcW w:w="5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*Deferred Compensation liability (See Note 13 in the accompanying financial statements) reflects payments due to current retirees receiving benefits. The amount of $7,863 in the more than 5 years column includes benefits due to participants in the plan who are not yet receiving benefits although some participants may opt to retire and begin receiving benefits within the next 5 years.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2" w:name="page33"/>
    <w:bookmarkEnd w:id="32"/>
    <w:p>
      <w:pPr>
        <w:jc w:val="both"/>
        <w:ind w:firstLine="486"/>
        <w:spacing w:after="0" w:line="277" w:lineRule="auto"/>
        <w:rPr>
          <w:sz w:val="20"/>
          <w:szCs w:val="20"/>
          <w:color w:val="auto"/>
        </w:rPr>
      </w:pPr>
      <w:r>
        <w:rPr>
          <w:rFonts w:ascii="Arial" w:cs="Arial" w:eastAsia="Arial" w:hAnsi="Arial"/>
          <w:sz w:val="18"/>
          <w:szCs w:val="18"/>
          <w:color w:val="auto"/>
        </w:rPr>
        <w:t>As of April 30, 2007, the Company's consolidated backlog amounted to approximately $44 million (see Item 1). Approximately 80% of this backlog is expected to be filled during the Company’s fiscal year ending April 30, 2008.</w:t>
      </w:r>
    </w:p>
    <w:p>
      <w:pPr>
        <w:spacing w:after="0" w:line="224" w:lineRule="exact"/>
        <w:rPr>
          <w:sz w:val="20"/>
          <w:szCs w:val="20"/>
          <w:color w:val="auto"/>
        </w:rPr>
      </w:pPr>
    </w:p>
    <w:p>
      <w:pPr>
        <w:jc w:val="center"/>
        <w:ind w:left="500"/>
        <w:spacing w:after="0"/>
        <w:rPr>
          <w:sz w:val="20"/>
          <w:szCs w:val="20"/>
          <w:color w:val="auto"/>
        </w:rPr>
      </w:pPr>
      <w:r>
        <w:rPr>
          <w:rFonts w:ascii="Arial" w:cs="Arial" w:eastAsia="Arial" w:hAnsi="Arial"/>
          <w:sz w:val="18"/>
          <w:szCs w:val="18"/>
          <w:color w:val="auto"/>
        </w:rPr>
        <w:t>*******</w:t>
      </w:r>
    </w:p>
    <w:p>
      <w:pPr>
        <w:spacing w:after="0" w:line="279"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The Company’s liquidity is adequate to meet its foreseeable operating and investment needs. In addition, with its available cash and marketable securities, the Company is able to continue paying semi-annual dividends, subject to the review and approval of its Board of Directors.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ACCOUNTING PRONOUNCEMENTS</w:t>
      </w:r>
    </w:p>
    <w:p>
      <w:pPr>
        <w:spacing w:after="0" w:line="28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June 2006, the FASB issued Financial Interpretation No. 48, “Accounting for Uncertainty in Income Taxes - an interpretation of FASB Statement No. 109.” (“FIN 48”) This interpretation clarifies the accounting for uncertainty in income taxes recognized in an entity’s financial statements and prescribes recognition thresholds and measurement attributes for tax positions taken in a tax return. FIN 48 is effective for the Company beginning in fiscal year 2008. The Company will comply with the provisions of FIN 48 but the impact of such adoption is not expected to have a material impact on the Company’s financial statements.</w:t>
      </w:r>
    </w:p>
    <w:p>
      <w:pPr>
        <w:spacing w:after="0" w:line="24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September 2006, the FASB issued Statement No. 157, “Fair Value Measurements.” (“FAS 157”) This statement defines fair value, establishes a framework for measuring fair value in generally accepted accounting principles (“GAAP”) and expands disclosures about fair value measurements. FAS 157 does not require any new fair value measurements but simplifies and codifies related guidance. The Company will comply with the provisions of FAS 157 when it becomes effective in fiscal year 2009. The impact of such adoption is not expected to have a material impact on the Company’s financial statements since the Company utilizes fair value measures wherever required by current GAAP.</w:t>
      </w:r>
    </w:p>
    <w:p>
      <w:pPr>
        <w:spacing w:after="0" w:line="242"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The SEC issued Staff Accounting Bulletin No. 108 (“SAB 108”) in September 2006. SAB 108 expresses the views of the SEC staff regarding the process of quantifying the materiality of financial misstatements. SAB 108 requires both the balance sheet (iron curtain) and income statement (rollover) approaches be used when quantifying the materiality of misstatement amounts. In addition, SAB 108 contains guidance on correcting errors under the dual approach and provides transition guidance for correcting errors existing in prior years. SAB 108 is now effective for the Company and, for the fiscal year ended April 30, 2007, there was no impact on the Company’s consolidated financial statements from application of this bulletin.</w:t>
      </w:r>
    </w:p>
    <w:p>
      <w:pPr>
        <w:spacing w:after="0" w:line="227"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In February 2007, the FASB issued Statement No. 159, “The Fair Value Option for Financial Assets and Financial Liabilities including an amendment of SFAS No. 115” (“FAS 159”). The new statement allows entities to choose, at specified election dates, to measure eligible financial assets and liabilities at fair value that are not otherwise required to be measured at fair value. If a company elects the fair value option for an eligible item, changes in that item’s fair value in subsequent reporting periods must be recognized in current earnings. FAS 159 is effective for fiscal years beginning after November 15, 2007. The Company is currently evaluating the potential impact of FAS 159 on its financial position and results of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MATTERS</w:t>
      </w:r>
    </w:p>
    <w:p>
      <w:pPr>
        <w:spacing w:after="0" w:line="28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financial information reported herein is not necessarily indicative of future operating results or of the future financial condition of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Except as noted, management is unaware of any impending transactions or events that are likely to have a material adverse effect on results from operations.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INFLATION</w:t>
      </w:r>
    </w:p>
    <w:p>
      <w:pPr>
        <w:spacing w:after="0" w:line="28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During fiscal 2007, as in the two prior fiscal years, the impact of inflation on the Company's business has not been materially significant.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auto"/>
        </w:rPr>
        <w:t>Item 7a. Quantitative and Qualitative Disclosures about Market Risk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83"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Company is exposed to market risk related to changes in interest rates and market values of securities. The Company's investments in fixed income and equity securities were $13.9 million and $325,000, respectively, at April 30, 2007. The investments are carried at fair value with changes in unrealized gains and losses, net of taxes, recorded as adjustments to stockholders' equity. The fair value of investments in marketable securities is generally based on quoted market prices. Typically, the fair market value of investments in fixed interest rate debt securities will increase as interest rates fall and decrease as interest rates rise. Based on the Company's overall interest rate exposure at April 30, 2007, a 10% change in market interest rates would not have a material effect on the fair value of the Company's fixed income securities or results of operations (investment income).</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Risk</w:t>
      </w:r>
    </w:p>
    <w:p>
      <w:pPr>
        <w:spacing w:after="0" w:line="28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With its investment in Gillam-FEI and FEI-Asia, the Company is subject to foreign currency translation risk. For each of these investments, the Company does not have any near-term intentions to repatriate its invested cash. For this reason, the Company does not intend to initiate any exchange rate hedging strategies which could be used to mitigate the effects of foreign currency fluctuations. The effects of foreign currency rate fluctuations will be recorded in the equity section of the balance sheet as a component of other comprehensive income. As of April 30, 2007, the amount related to foreign currency exchange rates is a $3,232,000 unrealized gain.</w:t>
      </w:r>
    </w:p>
    <w:p>
      <w:pPr>
        <w:spacing w:after="0" w:line="24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results of operations of foreign subsidiaries, when translated into US dollars, will reflect the average rates of exchange for the periods presented. As a result, similar results in local currency can vary significantly upon translation into US dollars if exchange rates fluctuate significantly from one period to the next.</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auto"/>
        </w:rPr>
        <w:t>Item 8. Financial Statements and Supplementary Data</w:t>
      </w:r>
    </w:p>
    <w:p>
      <w:pPr>
        <w:spacing w:after="0" w:line="27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Frequency Electronics, Inc. 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Mitchel Field, New York</w:t>
      </w:r>
    </w:p>
    <w:p>
      <w:pPr>
        <w:spacing w:after="0" w:line="2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audited the accompanying consolidated balance sheets of Frequency Electronics, Inc. and Subsidiaries as of April 30, 2007 and 2006 and the related consolidated statements of operations, stockholders' equity and cash flows for each of the three years ended April 30, 2007. We have also audited the consolidated schedule listed in Item 15(a)(2) of this Form 10-K for the years ended April 30, 2007, 2006 and 2005. These consolidated financial statements and schedule are the responsibility of the Company's management. Our responsibility is to express an opinion on these consolidated financial statements and the schedule based on our audits.</w:t>
      </w:r>
    </w:p>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24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consolidated financial position of Frequency Electronics, Inc. and Subsidiaries at April 30, 2007 and 2006 and the results of their operations and their cash flows for the years then ended in conformity with accounting principles generally accepted in the United States of America. Also, in our opinion, the related consolidated financial statement schedule for the years ended April 30, 2007, 2006 and 2005, when considered in relation to the basic financial statements taken as a whole, present fairly, in all material respects, the information set forth therein.</w:t>
      </w: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discussed in Note 1 to the financial statements, the Company adopted Financial Accounting Standard 123(R), “Share-Based Payment,” effective May 1, 2006.</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/s/ Holtz Rubenstein Reminick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2593975"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93975"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Holtz Rubenstein Reminick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Melville,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13, 2007</w:t>
      </w: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0"/>
        </w:trPr>
        <w:tc>
          <w:tcPr>
            <w:tcW w:w="8120" w:type="dxa"/>
            <w:vAlign w:val="bottom"/>
          </w:tcPr>
          <w:p>
            <w:pPr>
              <w:jc w:val="center"/>
              <w:ind w:left="3230"/>
              <w:spacing w:after="0"/>
              <w:rPr>
                <w:sz w:val="20"/>
                <w:szCs w:val="20"/>
                <w:color w:val="auto"/>
              </w:rPr>
            </w:pPr>
            <w:r>
              <w:rPr>
                <w:rFonts w:ascii="Arial" w:cs="Arial" w:eastAsia="Arial" w:hAnsi="Arial"/>
                <w:sz w:val="18"/>
                <w:szCs w:val="18"/>
                <w:color w:val="auto"/>
                <w:w w:val="95"/>
              </w:rPr>
              <w:t>FREQUENCY ELECTRONICS, INC. and SUBSIDIARIES</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86"/>
        </w:trPr>
        <w:tc>
          <w:tcPr>
            <w:tcW w:w="8120" w:type="dxa"/>
            <w:vAlign w:val="bottom"/>
          </w:tcPr>
          <w:p>
            <w:pPr>
              <w:jc w:val="center"/>
              <w:ind w:left="3210"/>
              <w:spacing w:after="0"/>
              <w:rPr>
                <w:sz w:val="20"/>
                <w:szCs w:val="20"/>
                <w:color w:val="auto"/>
              </w:rPr>
            </w:pPr>
            <w:r>
              <w:rPr>
                <w:rFonts w:ascii="Arial" w:cs="Arial" w:eastAsia="Arial" w:hAnsi="Arial"/>
                <w:sz w:val="18"/>
                <w:szCs w:val="18"/>
                <w:color w:val="auto"/>
                <w:w w:val="88"/>
              </w:rPr>
              <w:t>Consolidated Balance Sheets</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6"/>
        </w:trPr>
        <w:tc>
          <w:tcPr>
            <w:tcW w:w="8120" w:type="dxa"/>
            <w:vAlign w:val="bottom"/>
          </w:tcPr>
          <w:p>
            <w:pPr>
              <w:jc w:val="center"/>
              <w:ind w:left="3230"/>
              <w:spacing w:after="0"/>
              <w:rPr>
                <w:sz w:val="20"/>
                <w:szCs w:val="20"/>
                <w:color w:val="auto"/>
              </w:rPr>
            </w:pPr>
            <w:r>
              <w:rPr>
                <w:rFonts w:ascii="Arial" w:cs="Arial" w:eastAsia="Arial" w:hAnsi="Arial"/>
                <w:sz w:val="18"/>
                <w:szCs w:val="18"/>
                <w:color w:val="auto"/>
                <w:w w:val="92"/>
              </w:rPr>
              <w:t>April 30, 2007 and 2006</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40"/>
        </w:trPr>
        <w:tc>
          <w:tcPr>
            <w:tcW w:w="8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2007</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2006</w:t>
            </w:r>
          </w:p>
        </w:tc>
        <w:tc>
          <w:tcPr>
            <w:tcW w:w="100" w:type="dxa"/>
            <w:vAlign w:val="bottom"/>
          </w:tcPr>
          <w:p>
            <w:pPr>
              <w:spacing w:after="0"/>
              <w:rPr>
                <w:sz w:val="24"/>
                <w:szCs w:val="24"/>
                <w:color w:val="auto"/>
              </w:rPr>
            </w:pPr>
          </w:p>
        </w:tc>
      </w:tr>
      <w:tr>
        <w:trPr>
          <w:trHeight w:val="237"/>
        </w:trPr>
        <w:tc>
          <w:tcPr>
            <w:tcW w:w="8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60" w:type="dxa"/>
            <w:vAlign w:val="bottom"/>
            <w:gridSpan w:val="4"/>
          </w:tcPr>
          <w:p>
            <w:pPr>
              <w:jc w:val="right"/>
              <w:spacing w:after="0"/>
              <w:rPr>
                <w:sz w:val="20"/>
                <w:szCs w:val="20"/>
                <w:color w:val="auto"/>
              </w:rPr>
            </w:pPr>
            <w:r>
              <w:rPr>
                <w:rFonts w:ascii="Arial" w:cs="Arial" w:eastAsia="Arial" w:hAnsi="Arial"/>
                <w:sz w:val="18"/>
                <w:szCs w:val="18"/>
                <w:color w:val="auto"/>
              </w:rPr>
              <w:t>(In thousands)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8120" w:type="dxa"/>
            <w:vAlign w:val="bottom"/>
          </w:tcPr>
          <w:p>
            <w:pPr>
              <w:ind w:left="1140"/>
              <w:spacing w:after="0"/>
              <w:rPr>
                <w:sz w:val="20"/>
                <w:szCs w:val="20"/>
                <w:color w:val="auto"/>
              </w:rPr>
            </w:pPr>
            <w:r>
              <w:rPr>
                <w:rFonts w:ascii="Arial" w:cs="Arial" w:eastAsia="Arial" w:hAnsi="Arial"/>
                <w:sz w:val="18"/>
                <w:szCs w:val="18"/>
                <w:b w:val="1"/>
                <w:bCs w:val="1"/>
                <w:color w:val="auto"/>
              </w:rPr>
              <w:t>ASSETS</w:t>
            </w: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486"/>
        </w:trPr>
        <w:tc>
          <w:tcPr>
            <w:tcW w:w="812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8120" w:type="dxa"/>
            <w:vAlign w:val="bottom"/>
            <w:shd w:val="clear" w:color="auto" w:fill="CCFFCC"/>
          </w:tcPr>
          <w:p>
            <w:pPr>
              <w:ind w:left="500"/>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1,336</w:t>
            </w:r>
          </w:p>
        </w:tc>
        <w:tc>
          <w:tcPr>
            <w:tcW w:w="140" w:type="dxa"/>
            <w:vAlign w:val="bottom"/>
            <w:shd w:val="clear" w:color="auto" w:fill="CCFFCC"/>
          </w:tcPr>
          <w:p>
            <w:pPr>
              <w:spacing w:after="0"/>
              <w:rPr>
                <w:sz w:val="21"/>
                <w:szCs w:val="21"/>
                <w:color w:val="auto"/>
              </w:rPr>
            </w:pPr>
          </w:p>
        </w:tc>
        <w:tc>
          <w:tcPr>
            <w:tcW w:w="540" w:type="dxa"/>
            <w:vAlign w:val="bottom"/>
            <w:gridSpan w:val="2"/>
            <w:shd w:val="clear" w:color="auto" w:fill="CCFFCC"/>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2,639</w:t>
            </w: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14,268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21,836</w:t>
            </w:r>
          </w:p>
        </w:tc>
      </w:tr>
      <w:tr>
        <w:trPr>
          <w:trHeight w:val="243"/>
        </w:trPr>
        <w:tc>
          <w:tcPr>
            <w:tcW w:w="8120" w:type="dxa"/>
            <w:vAlign w:val="bottom"/>
            <w:shd w:val="clear" w:color="auto" w:fill="CCFFCC"/>
          </w:tcPr>
          <w:p>
            <w:pPr>
              <w:ind w:left="500"/>
              <w:spacing w:after="0"/>
              <w:rPr>
                <w:sz w:val="20"/>
                <w:szCs w:val="20"/>
                <w:color w:val="auto"/>
              </w:rPr>
            </w:pPr>
            <w:r>
              <w:rPr>
                <w:rFonts w:ascii="Arial" w:cs="Arial" w:eastAsia="Arial" w:hAnsi="Arial"/>
                <w:sz w:val="18"/>
                <w:szCs w:val="18"/>
                <w:color w:val="auto"/>
              </w:rPr>
              <w:t>Accounts receivable, net of allowance for</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8120" w:type="dxa"/>
            <w:vAlign w:val="bottom"/>
            <w:shd w:val="clear" w:color="auto" w:fill="CCFFCC"/>
          </w:tcPr>
          <w:p>
            <w:pPr>
              <w:ind w:left="660"/>
              <w:spacing w:after="0"/>
              <w:rPr>
                <w:sz w:val="20"/>
                <w:szCs w:val="20"/>
                <w:color w:val="auto"/>
              </w:rPr>
            </w:pPr>
            <w:r>
              <w:rPr>
                <w:rFonts w:ascii="Arial" w:cs="Arial" w:eastAsia="Arial" w:hAnsi="Arial"/>
                <w:sz w:val="18"/>
                <w:szCs w:val="18"/>
                <w:color w:val="auto"/>
              </w:rPr>
              <w:t>doubtful accounts of $276</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15,626</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15,868</w:t>
            </w: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Inventories, net</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31,201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22,971</w:t>
            </w:r>
          </w:p>
        </w:tc>
      </w:tr>
      <w:tr>
        <w:trPr>
          <w:trHeight w:val="243"/>
        </w:trPr>
        <w:tc>
          <w:tcPr>
            <w:tcW w:w="8120" w:type="dxa"/>
            <w:vAlign w:val="bottom"/>
            <w:shd w:val="clear" w:color="auto" w:fill="CCFFCC"/>
          </w:tcPr>
          <w:p>
            <w:pPr>
              <w:ind w:left="50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3,075</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2,135</w:t>
            </w: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Income taxes receivable</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68</w:t>
            </w:r>
          </w:p>
        </w:tc>
      </w:tr>
      <w:tr>
        <w:trPr>
          <w:trHeight w:val="275"/>
        </w:trPr>
        <w:tc>
          <w:tcPr>
            <w:tcW w:w="8120" w:type="dxa"/>
            <w:vAlign w:val="bottom"/>
            <w:tcBorders>
              <w:bottom w:val="single" w:sz="8" w:color="CCFFCC"/>
            </w:tcBorders>
            <w:shd w:val="clear" w:color="auto" w:fill="CCFFCC"/>
          </w:tcPr>
          <w:p>
            <w:pPr>
              <w:ind w:left="500"/>
              <w:spacing w:after="0"/>
              <w:rPr>
                <w:sz w:val="20"/>
                <w:szCs w:val="20"/>
                <w:color w:val="auto"/>
              </w:rPr>
            </w:pPr>
            <w:r>
              <w:rPr>
                <w:rFonts w:ascii="Arial" w:cs="Arial" w:eastAsia="Arial" w:hAnsi="Arial"/>
                <w:sz w:val="18"/>
                <w:szCs w:val="18"/>
                <w:color w:val="auto"/>
              </w:rPr>
              <w:t>Prepaid expenses and other</w:t>
            </w:r>
          </w:p>
        </w:tc>
        <w:tc>
          <w:tcPr>
            <w:tcW w:w="220" w:type="dxa"/>
            <w:vAlign w:val="bottom"/>
            <w:tcBorders>
              <w:bottom w:val="single" w:sz="8" w:color="CCFFCC"/>
            </w:tcBorders>
            <w:shd w:val="clear" w:color="auto" w:fill="CCFFCC"/>
          </w:tcPr>
          <w:p>
            <w:pPr>
              <w:spacing w:after="0"/>
              <w:rPr>
                <w:sz w:val="23"/>
                <w:szCs w:val="23"/>
                <w:color w:val="auto"/>
              </w:rPr>
            </w:pPr>
          </w:p>
        </w:tc>
        <w:tc>
          <w:tcPr>
            <w:tcW w:w="30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1,501</w:t>
            </w:r>
          </w:p>
        </w:tc>
        <w:tc>
          <w:tcPr>
            <w:tcW w:w="140" w:type="dxa"/>
            <w:vAlign w:val="bottom"/>
            <w:tcBorders>
              <w:bottom w:val="single" w:sz="8" w:color="CCFFCC"/>
            </w:tcBorders>
            <w:shd w:val="clear" w:color="auto" w:fill="CCFFCC"/>
          </w:tcPr>
          <w:p>
            <w:pPr>
              <w:spacing w:after="0"/>
              <w:rPr>
                <w:sz w:val="23"/>
                <w:szCs w:val="23"/>
                <w:color w:val="auto"/>
              </w:rPr>
            </w:pPr>
          </w:p>
        </w:tc>
        <w:tc>
          <w:tcPr>
            <w:tcW w:w="80" w:type="dxa"/>
            <w:vAlign w:val="bottom"/>
            <w:tcBorders>
              <w:bottom w:val="single" w:sz="8" w:color="CCFFCC"/>
            </w:tcBorders>
            <w:shd w:val="clear" w:color="auto" w:fill="CCFFCC"/>
          </w:tcPr>
          <w:p>
            <w:pPr>
              <w:spacing w:after="0"/>
              <w:rPr>
                <w:sz w:val="23"/>
                <w:szCs w:val="23"/>
                <w:color w:val="auto"/>
              </w:rPr>
            </w:pPr>
          </w:p>
        </w:tc>
        <w:tc>
          <w:tcPr>
            <w:tcW w:w="460" w:type="dxa"/>
            <w:vAlign w:val="bottom"/>
            <w:tcBorders>
              <w:bottom w:val="single" w:sz="8" w:color="CCFFCC"/>
            </w:tcBorders>
            <w:shd w:val="clear" w:color="auto" w:fill="CCFFCC"/>
          </w:tcPr>
          <w:p>
            <w:pPr>
              <w:spacing w:after="0"/>
              <w:rPr>
                <w:sz w:val="23"/>
                <w:szCs w:val="23"/>
                <w:color w:val="auto"/>
              </w:rPr>
            </w:pPr>
          </w:p>
        </w:tc>
        <w:tc>
          <w:tcPr>
            <w:tcW w:w="10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1,246</w:t>
            </w:r>
          </w:p>
        </w:tc>
      </w:tr>
      <w:tr>
        <w:trPr>
          <w:trHeight w:val="237"/>
        </w:trPr>
        <w:tc>
          <w:tcPr>
            <w:tcW w:w="8120" w:type="dxa"/>
            <w:vAlign w:val="bottom"/>
            <w:tcBorders>
              <w:top w:val="single" w:sz="8" w:color="CCFFCC"/>
            </w:tcBorders>
          </w:tcPr>
          <w:p>
            <w:pPr>
              <w:ind w:left="114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CCFFC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67,603</w:t>
            </w:r>
          </w:p>
        </w:tc>
        <w:tc>
          <w:tcPr>
            <w:tcW w:w="140" w:type="dxa"/>
            <w:vAlign w:val="bottom"/>
            <w:tcBorders>
              <w:top w:val="single" w:sz="8" w:color="CCFFCC"/>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66,763</w:t>
            </w:r>
          </w:p>
        </w:tc>
        <w:tc>
          <w:tcPr>
            <w:tcW w:w="100" w:type="dxa"/>
            <w:vAlign w:val="bottom"/>
            <w:tcBorders>
              <w:top w:val="single" w:sz="8" w:color="CCFFCC"/>
            </w:tcBorders>
          </w:tcPr>
          <w:p>
            <w:pPr>
              <w:spacing w:after="0"/>
              <w:rPr>
                <w:sz w:val="20"/>
                <w:szCs w:val="20"/>
                <w:color w:val="auto"/>
              </w:rPr>
            </w:pPr>
          </w:p>
        </w:tc>
      </w:tr>
      <w:tr>
        <w:trPr>
          <w:trHeight w:val="243"/>
        </w:trPr>
        <w:tc>
          <w:tcPr>
            <w:tcW w:w="8120" w:type="dxa"/>
            <w:vAlign w:val="bottom"/>
            <w:shd w:val="clear" w:color="auto" w:fill="CCFFCC"/>
          </w:tcPr>
          <w:p>
            <w:pPr>
              <w:spacing w:after="0"/>
              <w:rPr>
                <w:sz w:val="20"/>
                <w:szCs w:val="20"/>
                <w:color w:val="auto"/>
              </w:rPr>
            </w:pPr>
            <w:r>
              <w:rPr>
                <w:rFonts w:ascii="Arial" w:cs="Arial" w:eastAsia="Arial" w:hAnsi="Arial"/>
                <w:sz w:val="18"/>
                <w:szCs w:val="18"/>
                <w:color w:val="auto"/>
              </w:rPr>
              <w:t>Property, plant and equipment, at cost,</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8120" w:type="dxa"/>
            <w:vAlign w:val="bottom"/>
            <w:shd w:val="clear" w:color="auto" w:fill="CCFFCC"/>
          </w:tcPr>
          <w:p>
            <w:pPr>
              <w:ind w:left="660"/>
              <w:spacing w:after="0"/>
              <w:rPr>
                <w:sz w:val="20"/>
                <w:szCs w:val="20"/>
                <w:color w:val="auto"/>
              </w:rPr>
            </w:pPr>
            <w:r>
              <w:rPr>
                <w:rFonts w:ascii="Arial" w:cs="Arial" w:eastAsia="Arial" w:hAnsi="Arial"/>
                <w:sz w:val="18"/>
                <w:szCs w:val="18"/>
                <w:color w:val="auto"/>
              </w:rPr>
              <w:t>less accumulated depreciation and amortization</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7,839</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6,663</w:t>
            </w: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2,945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2,842</w:t>
            </w:r>
          </w:p>
        </w:tc>
      </w:tr>
      <w:tr>
        <w:trPr>
          <w:trHeight w:val="243"/>
        </w:trPr>
        <w:tc>
          <w:tcPr>
            <w:tcW w:w="8120" w:type="dxa"/>
            <w:vAlign w:val="bottom"/>
            <w:shd w:val="clear" w:color="auto" w:fill="CCFFCC"/>
          </w:tcPr>
          <w:p>
            <w:pPr>
              <w:ind w:left="500"/>
              <w:spacing w:after="0"/>
              <w:rPr>
                <w:sz w:val="20"/>
                <w:szCs w:val="20"/>
                <w:color w:val="auto"/>
              </w:rPr>
            </w:pPr>
            <w:r>
              <w:rPr>
                <w:rFonts w:ascii="Arial" w:cs="Arial" w:eastAsia="Arial" w:hAnsi="Arial"/>
                <w:sz w:val="18"/>
                <w:szCs w:val="18"/>
                <w:color w:val="auto"/>
              </w:rPr>
              <w:t>Goodwill and other intangible assets</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453</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513</w:t>
            </w: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Cash surrender value of life insurance</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6,815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6,318</w:t>
            </w:r>
          </w:p>
        </w:tc>
      </w:tr>
      <w:tr>
        <w:trPr>
          <w:trHeight w:val="243"/>
        </w:trPr>
        <w:tc>
          <w:tcPr>
            <w:tcW w:w="8120" w:type="dxa"/>
            <w:vAlign w:val="bottom"/>
            <w:shd w:val="clear" w:color="auto" w:fill="CCFFCC"/>
          </w:tcPr>
          <w:p>
            <w:pPr>
              <w:ind w:left="500"/>
              <w:spacing w:after="0"/>
              <w:rPr>
                <w:sz w:val="20"/>
                <w:szCs w:val="20"/>
                <w:color w:val="auto"/>
              </w:rPr>
            </w:pPr>
            <w:r>
              <w:rPr>
                <w:rFonts w:ascii="Arial" w:cs="Arial" w:eastAsia="Arial" w:hAnsi="Arial"/>
                <w:sz w:val="18"/>
                <w:szCs w:val="18"/>
                <w:color w:val="auto"/>
              </w:rPr>
              <w:t>Investment in and loans receivable from affiliates</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7,354</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2,825</w:t>
            </w:r>
          </w:p>
        </w:tc>
      </w:tr>
      <w:tr>
        <w:trPr>
          <w:trHeight w:val="270"/>
        </w:trPr>
        <w:tc>
          <w:tcPr>
            <w:tcW w:w="8120" w:type="dxa"/>
            <w:vAlign w:val="bottom"/>
          </w:tcPr>
          <w:p>
            <w:pPr>
              <w:ind w:left="50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23"/>
                <w:szCs w:val="23"/>
                <w:color w:val="auto"/>
              </w:rPr>
            </w:pPr>
          </w:p>
        </w:tc>
      </w:tr>
      <w:tr>
        <w:trPr>
          <w:trHeight w:val="269"/>
        </w:trPr>
        <w:tc>
          <w:tcPr>
            <w:tcW w:w="8120" w:type="dxa"/>
            <w:vAlign w:val="bottom"/>
            <w:tcBorders>
              <w:bottom w:val="single" w:sz="8" w:color="CCFFCC"/>
            </w:tcBorders>
            <w:shd w:val="clear" w:color="auto" w:fill="CCFFCC"/>
          </w:tcPr>
          <w:p>
            <w:pPr>
              <w:ind w:left="1140"/>
              <w:spacing w:after="0"/>
              <w:rPr>
                <w:sz w:val="20"/>
                <w:szCs w:val="20"/>
                <w:color w:val="auto"/>
              </w:rPr>
            </w:pPr>
            <w:r>
              <w:rPr>
                <w:rFonts w:ascii="Arial" w:cs="Arial" w:eastAsia="Arial" w:hAnsi="Arial"/>
                <w:sz w:val="18"/>
                <w:szCs w:val="18"/>
                <w:b w:val="1"/>
                <w:bCs w:val="1"/>
                <w:color w:val="auto"/>
              </w:rPr>
              <w:t>Total assets</w:t>
            </w:r>
          </w:p>
        </w:tc>
        <w:tc>
          <w:tcPr>
            <w:tcW w:w="520" w:type="dxa"/>
            <w:vAlign w:val="bottom"/>
            <w:tcBorders>
              <w:bottom w:val="single" w:sz="8" w:color="CCFFCC"/>
            </w:tcBorders>
            <w:gridSpan w:val="2"/>
            <w:shd w:val="clear" w:color="auto" w:fill="CCFFCC"/>
          </w:tcPr>
          <w:p>
            <w:pPr>
              <w:jc w:val="right"/>
              <w:ind w:right="11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93,826</w:t>
            </w:r>
          </w:p>
        </w:tc>
        <w:tc>
          <w:tcPr>
            <w:tcW w:w="140" w:type="dxa"/>
            <w:vAlign w:val="bottom"/>
            <w:tcBorders>
              <w:bottom w:val="single" w:sz="8" w:color="CCFFCC"/>
            </w:tcBorders>
            <w:shd w:val="clear" w:color="auto" w:fill="CCFFCC"/>
          </w:tcPr>
          <w:p>
            <w:pPr>
              <w:spacing w:after="0"/>
              <w:rPr>
                <w:sz w:val="22"/>
                <w:szCs w:val="22"/>
                <w:color w:val="auto"/>
              </w:rPr>
            </w:pPr>
          </w:p>
        </w:tc>
        <w:tc>
          <w:tcPr>
            <w:tcW w:w="540" w:type="dxa"/>
            <w:vAlign w:val="bottom"/>
            <w:tcBorders>
              <w:bottom w:val="single" w:sz="8" w:color="CCFFCC"/>
            </w:tcBorders>
            <w:gridSpan w:val="2"/>
            <w:shd w:val="clear" w:color="auto" w:fill="CCFFCC"/>
          </w:tcPr>
          <w:p>
            <w:pPr>
              <w:jc w:val="right"/>
              <w:ind w:right="27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86,741</w:t>
            </w:r>
          </w:p>
        </w:tc>
      </w:tr>
      <w:tr>
        <w:trPr>
          <w:trHeight w:val="237"/>
        </w:trPr>
        <w:tc>
          <w:tcPr>
            <w:tcW w:w="8120" w:type="dxa"/>
            <w:vAlign w:val="bottom"/>
            <w:tcBorders>
              <w:top w:val="single" w:sz="8" w:color="CCFFCC"/>
            </w:tcBorders>
          </w:tcPr>
          <w:p>
            <w:pPr>
              <w:ind w:left="1140"/>
              <w:spacing w:after="0"/>
              <w:rPr>
                <w:sz w:val="20"/>
                <w:szCs w:val="20"/>
                <w:color w:val="auto"/>
              </w:rPr>
            </w:pPr>
            <w:r>
              <w:rPr>
                <w:rFonts w:ascii="Arial" w:cs="Arial" w:eastAsia="Arial" w:hAnsi="Arial"/>
                <w:sz w:val="18"/>
                <w:szCs w:val="18"/>
                <w:b w:val="1"/>
                <w:bCs w:val="1"/>
                <w:color w:val="auto"/>
              </w:rPr>
              <w:t>LIABILITIES AND STOCKHOLDERS' EQUITY</w:t>
            </w:r>
            <w:r>
              <w:rPr>
                <w:rFonts w:ascii="Arial" w:cs="Arial" w:eastAsia="Arial" w:hAnsi="Arial"/>
                <w:sz w:val="18"/>
                <w:szCs w:val="18"/>
                <w:color w:val="auto"/>
              </w:rPr>
              <w:t>:</w:t>
            </w:r>
          </w:p>
        </w:tc>
        <w:tc>
          <w:tcPr>
            <w:tcW w:w="220" w:type="dxa"/>
            <w:vAlign w:val="bottom"/>
            <w:tcBorders>
              <w:top w:val="single" w:sz="8" w:color="CCFFC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40" w:type="dxa"/>
            <w:vAlign w:val="bottom"/>
            <w:tcBorders>
              <w:top w:val="single" w:sz="8" w:color="CCFFCC"/>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43"/>
        </w:trPr>
        <w:tc>
          <w:tcPr>
            <w:tcW w:w="8120" w:type="dxa"/>
            <w:vAlign w:val="bottom"/>
            <w:shd w:val="clear" w:color="auto" w:fill="CCFFCC"/>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Short-term credit obligations</w:t>
            </w:r>
          </w:p>
        </w:tc>
        <w:tc>
          <w:tcPr>
            <w:tcW w:w="5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5,011</w:t>
            </w:r>
          </w:p>
        </w:tc>
        <w:tc>
          <w:tcPr>
            <w:tcW w:w="140" w:type="dxa"/>
            <w:vAlign w:val="bottom"/>
          </w:tcPr>
          <w:p>
            <w:pPr>
              <w:spacing w:after="0"/>
              <w:rPr>
                <w:sz w:val="21"/>
                <w:szCs w:val="21"/>
                <w:color w:val="auto"/>
              </w:rPr>
            </w:pPr>
          </w:p>
        </w:tc>
        <w:tc>
          <w:tcPr>
            <w:tcW w:w="54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43"/>
        </w:trPr>
        <w:tc>
          <w:tcPr>
            <w:tcW w:w="8120" w:type="dxa"/>
            <w:vAlign w:val="bottom"/>
            <w:shd w:val="clear" w:color="auto" w:fill="CCFFCC"/>
          </w:tcPr>
          <w:p>
            <w:pPr>
              <w:ind w:left="500"/>
              <w:spacing w:after="0"/>
              <w:rPr>
                <w:sz w:val="20"/>
                <w:szCs w:val="20"/>
                <w:color w:val="auto"/>
              </w:rPr>
            </w:pPr>
            <w:r>
              <w:rPr>
                <w:rFonts w:ascii="Arial" w:cs="Arial" w:eastAsia="Arial" w:hAnsi="Arial"/>
                <w:sz w:val="18"/>
                <w:szCs w:val="18"/>
                <w:color w:val="auto"/>
              </w:rPr>
              <w:t>Accounts payable - trade</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3,771</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2,202</w:t>
            </w: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3,980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3,921</w:t>
            </w:r>
          </w:p>
        </w:tc>
      </w:tr>
      <w:tr>
        <w:trPr>
          <w:trHeight w:val="275"/>
        </w:trPr>
        <w:tc>
          <w:tcPr>
            <w:tcW w:w="8120" w:type="dxa"/>
            <w:vAlign w:val="bottom"/>
            <w:tcBorders>
              <w:bottom w:val="single" w:sz="8" w:color="CCFFCC"/>
            </w:tcBorders>
            <w:shd w:val="clear" w:color="auto" w:fill="CCFFCC"/>
          </w:tcPr>
          <w:p>
            <w:pPr>
              <w:ind w:left="500"/>
              <w:spacing w:after="0"/>
              <w:rPr>
                <w:sz w:val="20"/>
                <w:szCs w:val="20"/>
                <w:color w:val="auto"/>
              </w:rPr>
            </w:pPr>
            <w:r>
              <w:rPr>
                <w:rFonts w:ascii="Arial" w:cs="Arial" w:eastAsia="Arial" w:hAnsi="Arial"/>
                <w:sz w:val="18"/>
                <w:szCs w:val="18"/>
                <w:color w:val="auto"/>
              </w:rPr>
              <w:t>Dividend payable</w:t>
            </w:r>
          </w:p>
        </w:tc>
        <w:tc>
          <w:tcPr>
            <w:tcW w:w="220" w:type="dxa"/>
            <w:vAlign w:val="bottom"/>
            <w:tcBorders>
              <w:bottom w:val="single" w:sz="8" w:color="CCFFCC"/>
            </w:tcBorders>
            <w:shd w:val="clear" w:color="auto" w:fill="CCFFCC"/>
          </w:tcPr>
          <w:p>
            <w:pPr>
              <w:spacing w:after="0"/>
              <w:rPr>
                <w:sz w:val="23"/>
                <w:szCs w:val="23"/>
                <w:color w:val="auto"/>
              </w:rPr>
            </w:pPr>
          </w:p>
        </w:tc>
        <w:tc>
          <w:tcPr>
            <w:tcW w:w="30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869</w:t>
            </w:r>
          </w:p>
        </w:tc>
        <w:tc>
          <w:tcPr>
            <w:tcW w:w="140" w:type="dxa"/>
            <w:vAlign w:val="bottom"/>
            <w:tcBorders>
              <w:bottom w:val="single" w:sz="8" w:color="CCFFCC"/>
            </w:tcBorders>
            <w:shd w:val="clear" w:color="auto" w:fill="CCFFCC"/>
          </w:tcPr>
          <w:p>
            <w:pPr>
              <w:spacing w:after="0"/>
              <w:rPr>
                <w:sz w:val="23"/>
                <w:szCs w:val="23"/>
                <w:color w:val="auto"/>
              </w:rPr>
            </w:pPr>
          </w:p>
        </w:tc>
        <w:tc>
          <w:tcPr>
            <w:tcW w:w="80" w:type="dxa"/>
            <w:vAlign w:val="bottom"/>
            <w:tcBorders>
              <w:bottom w:val="single" w:sz="8" w:color="CCFFCC"/>
            </w:tcBorders>
            <w:shd w:val="clear" w:color="auto" w:fill="CCFFCC"/>
          </w:tcPr>
          <w:p>
            <w:pPr>
              <w:spacing w:after="0"/>
              <w:rPr>
                <w:sz w:val="23"/>
                <w:szCs w:val="23"/>
                <w:color w:val="auto"/>
              </w:rPr>
            </w:pPr>
          </w:p>
        </w:tc>
        <w:tc>
          <w:tcPr>
            <w:tcW w:w="460" w:type="dxa"/>
            <w:vAlign w:val="bottom"/>
            <w:tcBorders>
              <w:bottom w:val="single" w:sz="8" w:color="CCFFCC"/>
            </w:tcBorders>
            <w:shd w:val="clear" w:color="auto" w:fill="CCFFCC"/>
          </w:tcPr>
          <w:p>
            <w:pPr>
              <w:spacing w:after="0"/>
              <w:rPr>
                <w:sz w:val="23"/>
                <w:szCs w:val="23"/>
                <w:color w:val="auto"/>
              </w:rPr>
            </w:pPr>
          </w:p>
        </w:tc>
        <w:tc>
          <w:tcPr>
            <w:tcW w:w="10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857</w:t>
            </w:r>
          </w:p>
        </w:tc>
      </w:tr>
      <w:tr>
        <w:trPr>
          <w:trHeight w:val="237"/>
        </w:trPr>
        <w:tc>
          <w:tcPr>
            <w:tcW w:w="8120" w:type="dxa"/>
            <w:vAlign w:val="bottom"/>
            <w:tcBorders>
              <w:top w:val="single" w:sz="8" w:color="CCFFCC"/>
            </w:tcBorders>
          </w:tcPr>
          <w:p>
            <w:pPr>
              <w:ind w:left="114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CCFFC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13,631</w:t>
            </w:r>
          </w:p>
        </w:tc>
        <w:tc>
          <w:tcPr>
            <w:tcW w:w="140" w:type="dxa"/>
            <w:vAlign w:val="bottom"/>
            <w:tcBorders>
              <w:top w:val="single" w:sz="8" w:color="CCFFCC"/>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6,988</w:t>
            </w:r>
          </w:p>
        </w:tc>
        <w:tc>
          <w:tcPr>
            <w:tcW w:w="100" w:type="dxa"/>
            <w:vAlign w:val="bottom"/>
            <w:tcBorders>
              <w:top w:val="single" w:sz="8" w:color="CCFFCC"/>
            </w:tcBorders>
          </w:tcPr>
          <w:p>
            <w:pPr>
              <w:spacing w:after="0"/>
              <w:rPr>
                <w:sz w:val="20"/>
                <w:szCs w:val="20"/>
                <w:color w:val="auto"/>
              </w:rPr>
            </w:pPr>
          </w:p>
        </w:tc>
      </w:tr>
      <w:tr>
        <w:trPr>
          <w:trHeight w:val="243"/>
        </w:trPr>
        <w:tc>
          <w:tcPr>
            <w:tcW w:w="8120" w:type="dxa"/>
            <w:vAlign w:val="bottom"/>
            <w:shd w:val="clear" w:color="auto" w:fill="CCFFCC"/>
          </w:tcPr>
          <w:p>
            <w:pPr>
              <w:spacing w:after="0"/>
              <w:rPr>
                <w:sz w:val="20"/>
                <w:szCs w:val="20"/>
                <w:color w:val="auto"/>
              </w:rPr>
            </w:pPr>
            <w:r>
              <w:rPr>
                <w:rFonts w:ascii="Arial" w:cs="Arial" w:eastAsia="Arial" w:hAnsi="Arial"/>
                <w:sz w:val="18"/>
                <w:szCs w:val="18"/>
                <w:color w:val="auto"/>
              </w:rPr>
              <w:t>Deferred compensation</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8,669</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8,122</w:t>
            </w:r>
          </w:p>
        </w:tc>
      </w:tr>
      <w:tr>
        <w:trPr>
          <w:trHeight w:val="270"/>
        </w:trPr>
        <w:tc>
          <w:tcPr>
            <w:tcW w:w="8120" w:type="dxa"/>
            <w:vAlign w:val="bottom"/>
          </w:tcPr>
          <w:p>
            <w:pPr>
              <w:spacing w:after="0"/>
              <w:rPr>
                <w:sz w:val="20"/>
                <w:szCs w:val="20"/>
                <w:color w:val="auto"/>
              </w:rPr>
            </w:pPr>
            <w:r>
              <w:rPr>
                <w:rFonts w:ascii="Arial" w:cs="Arial" w:eastAsia="Arial" w:hAnsi="Arial"/>
                <w:sz w:val="18"/>
                <w:szCs w:val="18"/>
                <w:color w:val="auto"/>
              </w:rPr>
              <w:t>Deferred gain and other liabilities</w:t>
            </w:r>
          </w:p>
        </w:tc>
        <w:tc>
          <w:tcPr>
            <w:tcW w:w="2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w:t>
            </w:r>
          </w:p>
        </w:tc>
        <w:tc>
          <w:tcPr>
            <w:tcW w:w="100" w:type="dxa"/>
            <w:vAlign w:val="bottom"/>
          </w:tcPr>
          <w:p>
            <w:pPr>
              <w:spacing w:after="0"/>
              <w:rPr>
                <w:sz w:val="23"/>
                <w:szCs w:val="23"/>
                <w:color w:val="auto"/>
              </w:rPr>
            </w:pPr>
          </w:p>
        </w:tc>
      </w:tr>
      <w:tr>
        <w:trPr>
          <w:trHeight w:val="269"/>
        </w:trPr>
        <w:tc>
          <w:tcPr>
            <w:tcW w:w="8120" w:type="dxa"/>
            <w:vAlign w:val="bottom"/>
            <w:tcBorders>
              <w:bottom w:val="single" w:sz="8" w:color="CCFFCC"/>
            </w:tcBorders>
            <w:shd w:val="clear" w:color="auto" w:fill="CCFFCC"/>
          </w:tcPr>
          <w:p>
            <w:pPr>
              <w:ind w:left="114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FFCC"/>
            </w:tcBorders>
            <w:shd w:val="clear" w:color="auto" w:fill="CCFFCC"/>
          </w:tcPr>
          <w:p>
            <w:pPr>
              <w:spacing w:after="0"/>
              <w:rPr>
                <w:sz w:val="22"/>
                <w:szCs w:val="22"/>
                <w:color w:val="auto"/>
              </w:rPr>
            </w:pPr>
          </w:p>
        </w:tc>
        <w:tc>
          <w:tcPr>
            <w:tcW w:w="300" w:type="dxa"/>
            <w:vAlign w:val="bottom"/>
            <w:tcBorders>
              <w:bottom w:val="single" w:sz="8" w:color="CCFFCC"/>
            </w:tcBorders>
            <w:shd w:val="clear" w:color="auto" w:fill="CCFFCC"/>
          </w:tcPr>
          <w:p>
            <w:pPr>
              <w:spacing w:after="0"/>
              <w:rPr>
                <w:sz w:val="22"/>
                <w:szCs w:val="22"/>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22,942</w:t>
            </w:r>
          </w:p>
        </w:tc>
        <w:tc>
          <w:tcPr>
            <w:tcW w:w="140" w:type="dxa"/>
            <w:vAlign w:val="bottom"/>
            <w:tcBorders>
              <w:bottom w:val="single" w:sz="8" w:color="CCFFCC"/>
            </w:tcBorders>
            <w:shd w:val="clear" w:color="auto" w:fill="CCFFCC"/>
          </w:tcPr>
          <w:p>
            <w:pPr>
              <w:spacing w:after="0"/>
              <w:rPr>
                <w:sz w:val="22"/>
                <w:szCs w:val="22"/>
                <w:color w:val="auto"/>
              </w:rPr>
            </w:pPr>
          </w:p>
        </w:tc>
        <w:tc>
          <w:tcPr>
            <w:tcW w:w="80" w:type="dxa"/>
            <w:vAlign w:val="bottom"/>
            <w:tcBorders>
              <w:bottom w:val="single" w:sz="8" w:color="CCFFCC"/>
            </w:tcBorders>
            <w:shd w:val="clear" w:color="auto" w:fill="CCFFCC"/>
          </w:tcPr>
          <w:p>
            <w:pPr>
              <w:spacing w:after="0"/>
              <w:rPr>
                <w:sz w:val="22"/>
                <w:szCs w:val="22"/>
                <w:color w:val="auto"/>
              </w:rPr>
            </w:pPr>
          </w:p>
        </w:tc>
        <w:tc>
          <w:tcPr>
            <w:tcW w:w="460" w:type="dxa"/>
            <w:vAlign w:val="bottom"/>
            <w:tcBorders>
              <w:bottom w:val="single" w:sz="8" w:color="CCFFCC"/>
            </w:tcBorders>
            <w:shd w:val="clear" w:color="auto" w:fill="CCFFCC"/>
          </w:tcPr>
          <w:p>
            <w:pPr>
              <w:spacing w:after="0"/>
              <w:rPr>
                <w:sz w:val="22"/>
                <w:szCs w:val="22"/>
                <w:color w:val="auto"/>
              </w:rPr>
            </w:pPr>
          </w:p>
        </w:tc>
        <w:tc>
          <w:tcPr>
            <w:tcW w:w="10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16,108</w:t>
            </w:r>
          </w:p>
        </w:tc>
      </w:tr>
      <w:tr>
        <w:trPr>
          <w:trHeight w:val="237"/>
        </w:trPr>
        <w:tc>
          <w:tcPr>
            <w:tcW w:w="812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Commitments and contingencies</w:t>
            </w:r>
          </w:p>
        </w:tc>
        <w:tc>
          <w:tcPr>
            <w:tcW w:w="220" w:type="dxa"/>
            <w:vAlign w:val="bottom"/>
            <w:tcBorders>
              <w:top w:val="single" w:sz="8" w:color="CCFFC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40" w:type="dxa"/>
            <w:vAlign w:val="bottom"/>
            <w:tcBorders>
              <w:top w:val="single" w:sz="8" w:color="CCFFCC"/>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43"/>
        </w:trPr>
        <w:tc>
          <w:tcPr>
            <w:tcW w:w="8120" w:type="dxa"/>
            <w:vAlign w:val="bottom"/>
            <w:shd w:val="clear" w:color="auto" w:fill="CCFFCC"/>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Preferred stock - authorized 600,000 shares</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120" w:type="dxa"/>
            <w:vAlign w:val="bottom"/>
          </w:tcPr>
          <w:p>
            <w:pPr>
              <w:ind w:left="660"/>
              <w:spacing w:after="0"/>
              <w:rPr>
                <w:sz w:val="20"/>
                <w:szCs w:val="20"/>
                <w:color w:val="auto"/>
              </w:rPr>
            </w:pPr>
            <w:r>
              <w:rPr>
                <w:rFonts w:ascii="Arial" w:cs="Arial" w:eastAsia="Arial" w:hAnsi="Arial"/>
                <w:sz w:val="18"/>
                <w:szCs w:val="18"/>
                <w:color w:val="auto"/>
              </w:rPr>
              <w:t>of $1.00 par value; no shares issued</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8120" w:type="dxa"/>
            <w:vAlign w:val="bottom"/>
            <w:shd w:val="clear" w:color="auto" w:fill="CCFFCC"/>
          </w:tcPr>
          <w:p>
            <w:pPr>
              <w:ind w:left="500"/>
              <w:spacing w:after="0"/>
              <w:rPr>
                <w:sz w:val="20"/>
                <w:szCs w:val="20"/>
                <w:color w:val="auto"/>
              </w:rPr>
            </w:pPr>
            <w:r>
              <w:rPr>
                <w:rFonts w:ascii="Arial" w:cs="Arial" w:eastAsia="Arial" w:hAnsi="Arial"/>
                <w:sz w:val="18"/>
                <w:szCs w:val="18"/>
                <w:color w:val="auto"/>
              </w:rPr>
              <w:t>Common stock - authorized 20,000,000 shares</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8120" w:type="dxa"/>
            <w:vAlign w:val="bottom"/>
            <w:shd w:val="clear" w:color="auto" w:fill="CCFFCC"/>
          </w:tcPr>
          <w:p>
            <w:pPr>
              <w:ind w:left="660"/>
              <w:spacing w:after="0"/>
              <w:rPr>
                <w:sz w:val="20"/>
                <w:szCs w:val="20"/>
                <w:color w:val="auto"/>
              </w:rPr>
            </w:pPr>
            <w:r>
              <w:rPr>
                <w:rFonts w:ascii="Arial" w:cs="Arial" w:eastAsia="Arial" w:hAnsi="Arial"/>
                <w:sz w:val="18"/>
                <w:szCs w:val="18"/>
                <w:color w:val="auto"/>
              </w:rPr>
              <w:t>of $1.00 par value; issued - 9,163,940 shares</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9,164</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9,164</w:t>
            </w:r>
          </w:p>
        </w:tc>
      </w:tr>
      <w:tr>
        <w:trPr>
          <w:trHeight w:val="243"/>
        </w:trPr>
        <w:tc>
          <w:tcPr>
            <w:tcW w:w="8120" w:type="dxa"/>
            <w:vAlign w:val="bottom"/>
          </w:tcPr>
          <w:p>
            <w:pPr>
              <w:ind w:left="50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47,138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45,688</w:t>
            </w:r>
          </w:p>
        </w:tc>
      </w:tr>
      <w:tr>
        <w:trPr>
          <w:trHeight w:val="275"/>
        </w:trPr>
        <w:tc>
          <w:tcPr>
            <w:tcW w:w="8120" w:type="dxa"/>
            <w:vAlign w:val="bottom"/>
            <w:tcBorders>
              <w:bottom w:val="single" w:sz="8" w:color="CCFFCC"/>
            </w:tcBorders>
            <w:shd w:val="clear" w:color="auto" w:fill="CCFFCC"/>
          </w:tcPr>
          <w:p>
            <w:pPr>
              <w:ind w:left="50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CCFFCC"/>
            </w:tcBorders>
            <w:shd w:val="clear" w:color="auto" w:fill="CCFFCC"/>
          </w:tcPr>
          <w:p>
            <w:pPr>
              <w:spacing w:after="0"/>
              <w:rPr>
                <w:sz w:val="23"/>
                <w:szCs w:val="23"/>
                <w:color w:val="auto"/>
              </w:rPr>
            </w:pPr>
          </w:p>
        </w:tc>
        <w:tc>
          <w:tcPr>
            <w:tcW w:w="300" w:type="dxa"/>
            <w:vAlign w:val="bottom"/>
            <w:tcBorders>
              <w:bottom w:val="single" w:sz="8" w:color="CCFFCC"/>
            </w:tcBorders>
            <w:shd w:val="clear" w:color="auto" w:fill="CCFFCC"/>
          </w:tcPr>
          <w:p>
            <w:pPr>
              <w:spacing w:after="0"/>
              <w:rPr>
                <w:sz w:val="23"/>
                <w:szCs w:val="23"/>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13,541</w:t>
            </w:r>
          </w:p>
        </w:tc>
        <w:tc>
          <w:tcPr>
            <w:tcW w:w="140" w:type="dxa"/>
            <w:vAlign w:val="bottom"/>
            <w:tcBorders>
              <w:bottom w:val="single" w:sz="8" w:color="CCFFCC"/>
            </w:tcBorders>
            <w:shd w:val="clear" w:color="auto" w:fill="CCFFCC"/>
          </w:tcPr>
          <w:p>
            <w:pPr>
              <w:spacing w:after="0"/>
              <w:rPr>
                <w:sz w:val="23"/>
                <w:szCs w:val="23"/>
                <w:color w:val="auto"/>
              </w:rPr>
            </w:pPr>
          </w:p>
        </w:tc>
        <w:tc>
          <w:tcPr>
            <w:tcW w:w="80" w:type="dxa"/>
            <w:vAlign w:val="bottom"/>
            <w:tcBorders>
              <w:bottom w:val="single" w:sz="8" w:color="CCFFCC"/>
            </w:tcBorders>
            <w:shd w:val="clear" w:color="auto" w:fill="CCFFCC"/>
          </w:tcPr>
          <w:p>
            <w:pPr>
              <w:spacing w:after="0"/>
              <w:rPr>
                <w:sz w:val="23"/>
                <w:szCs w:val="23"/>
                <w:color w:val="auto"/>
              </w:rPr>
            </w:pPr>
          </w:p>
        </w:tc>
        <w:tc>
          <w:tcPr>
            <w:tcW w:w="460" w:type="dxa"/>
            <w:vAlign w:val="bottom"/>
            <w:tcBorders>
              <w:bottom w:val="single" w:sz="8" w:color="CCFFCC"/>
            </w:tcBorders>
            <w:shd w:val="clear" w:color="auto" w:fill="CCFFCC"/>
          </w:tcPr>
          <w:p>
            <w:pPr>
              <w:spacing w:after="0"/>
              <w:rPr>
                <w:sz w:val="23"/>
                <w:szCs w:val="23"/>
                <w:color w:val="auto"/>
              </w:rPr>
            </w:pPr>
          </w:p>
        </w:tc>
        <w:tc>
          <w:tcPr>
            <w:tcW w:w="10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15,527</w:t>
            </w:r>
          </w:p>
        </w:tc>
      </w:tr>
      <w:tr>
        <w:trPr>
          <w:trHeight w:val="237"/>
        </w:trPr>
        <w:tc>
          <w:tcPr>
            <w:tcW w:w="8120" w:type="dxa"/>
            <w:vAlign w:val="bottom"/>
            <w:tcBorders>
              <w:top w:val="single" w:sz="8" w:color="CCFFCC"/>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69,843</w:t>
            </w:r>
          </w:p>
        </w:tc>
        <w:tc>
          <w:tcPr>
            <w:tcW w:w="140" w:type="dxa"/>
            <w:vAlign w:val="bottom"/>
            <w:tcBorders>
              <w:top w:val="single" w:sz="8" w:color="CCFFCC"/>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70,379</w:t>
            </w:r>
          </w:p>
        </w:tc>
        <w:tc>
          <w:tcPr>
            <w:tcW w:w="100" w:type="dxa"/>
            <w:vAlign w:val="bottom"/>
            <w:tcBorders>
              <w:top w:val="single" w:sz="8" w:color="CCFFCC"/>
            </w:tcBorders>
          </w:tcPr>
          <w:p>
            <w:pPr>
              <w:spacing w:after="0"/>
              <w:rPr>
                <w:sz w:val="20"/>
                <w:szCs w:val="20"/>
                <w:color w:val="auto"/>
              </w:rPr>
            </w:pPr>
          </w:p>
        </w:tc>
      </w:tr>
      <w:tr>
        <w:trPr>
          <w:trHeight w:val="243"/>
        </w:trPr>
        <w:tc>
          <w:tcPr>
            <w:tcW w:w="8120" w:type="dxa"/>
            <w:vAlign w:val="bottom"/>
            <w:shd w:val="clear" w:color="auto" w:fill="CCFFCC"/>
          </w:tcPr>
          <w:p>
            <w:pPr>
              <w:ind w:left="500"/>
              <w:spacing w:after="0"/>
              <w:rPr>
                <w:sz w:val="20"/>
                <w:szCs w:val="20"/>
                <w:color w:val="auto"/>
              </w:rPr>
            </w:pPr>
            <w:r>
              <w:rPr>
                <w:rFonts w:ascii="Arial" w:cs="Arial" w:eastAsia="Arial" w:hAnsi="Arial"/>
                <w:sz w:val="18"/>
                <w:szCs w:val="18"/>
                <w:color w:val="auto"/>
              </w:rPr>
              <w:t>Common stock reacquired and held in treasury -</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8120" w:type="dxa"/>
            <w:vAlign w:val="bottom"/>
            <w:shd w:val="clear" w:color="auto" w:fill="CCFFCC"/>
          </w:tcPr>
          <w:p>
            <w:pPr>
              <w:ind w:left="660"/>
              <w:spacing w:after="0"/>
              <w:rPr>
                <w:sz w:val="20"/>
                <w:szCs w:val="20"/>
                <w:color w:val="auto"/>
              </w:rPr>
            </w:pPr>
            <w:r>
              <w:rPr>
                <w:rFonts w:ascii="Arial" w:cs="Arial" w:eastAsia="Arial" w:hAnsi="Arial"/>
                <w:sz w:val="18"/>
                <w:szCs w:val="18"/>
                <w:color w:val="auto"/>
              </w:rPr>
              <w:t>at cost (474,693 shares in 2007 and</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9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8120" w:type="dxa"/>
            <w:vAlign w:val="bottom"/>
            <w:shd w:val="clear" w:color="auto" w:fill="CCFFCC"/>
          </w:tcPr>
          <w:p>
            <w:pPr>
              <w:ind w:left="660"/>
              <w:spacing w:after="0"/>
              <w:rPr>
                <w:sz w:val="20"/>
                <w:szCs w:val="20"/>
                <w:color w:val="auto"/>
              </w:rPr>
            </w:pPr>
            <w:r>
              <w:rPr>
                <w:rFonts w:ascii="Arial" w:cs="Arial" w:eastAsia="Arial" w:hAnsi="Arial"/>
                <w:sz w:val="18"/>
                <w:szCs w:val="18"/>
                <w:color w:val="auto"/>
              </w:rPr>
              <w:t>592,194 shares in 2006)</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(2,080)</w:t>
            </w:r>
          </w:p>
        </w:tc>
        <w:tc>
          <w:tcPr>
            <w:tcW w:w="80" w:type="dxa"/>
            <w:vAlign w:val="bottom"/>
            <w:shd w:val="clear" w:color="auto" w:fill="CCFFCC"/>
          </w:tcPr>
          <w:p>
            <w:pPr>
              <w:spacing w:after="0"/>
              <w:rPr>
                <w:sz w:val="21"/>
                <w:szCs w:val="21"/>
                <w:color w:val="auto"/>
              </w:rPr>
            </w:pPr>
          </w:p>
        </w:tc>
        <w:tc>
          <w:tcPr>
            <w:tcW w:w="46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(2,437)</w:t>
            </w:r>
          </w:p>
        </w:tc>
      </w:tr>
      <w:tr>
        <w:trPr>
          <w:trHeight w:val="270"/>
        </w:trPr>
        <w:tc>
          <w:tcPr>
            <w:tcW w:w="8120" w:type="dxa"/>
            <w:vAlign w:val="bottom"/>
          </w:tcPr>
          <w:p>
            <w:pPr>
              <w:ind w:left="500"/>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3,121</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2,691</w:t>
            </w:r>
          </w:p>
        </w:tc>
        <w:tc>
          <w:tcPr>
            <w:tcW w:w="100" w:type="dxa"/>
            <w:vAlign w:val="bottom"/>
          </w:tcPr>
          <w:p>
            <w:pPr>
              <w:spacing w:after="0"/>
              <w:rPr>
                <w:sz w:val="23"/>
                <w:szCs w:val="23"/>
                <w:color w:val="auto"/>
              </w:rPr>
            </w:pPr>
          </w:p>
        </w:tc>
      </w:tr>
      <w:tr>
        <w:trPr>
          <w:trHeight w:val="269"/>
        </w:trPr>
        <w:tc>
          <w:tcPr>
            <w:tcW w:w="8120" w:type="dxa"/>
            <w:vAlign w:val="bottom"/>
            <w:tcBorders>
              <w:bottom w:val="single" w:sz="8" w:color="CCFFCC"/>
            </w:tcBorders>
            <w:shd w:val="clear" w:color="auto" w:fill="CCFFCC"/>
          </w:tcPr>
          <w:p>
            <w:pPr>
              <w:ind w:left="114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CCFFCC"/>
            </w:tcBorders>
            <w:shd w:val="clear" w:color="auto" w:fill="CCFFCC"/>
          </w:tcPr>
          <w:p>
            <w:pPr>
              <w:spacing w:after="0"/>
              <w:rPr>
                <w:sz w:val="22"/>
                <w:szCs w:val="22"/>
                <w:color w:val="auto"/>
              </w:rPr>
            </w:pPr>
          </w:p>
        </w:tc>
        <w:tc>
          <w:tcPr>
            <w:tcW w:w="300" w:type="dxa"/>
            <w:vAlign w:val="bottom"/>
            <w:tcBorders>
              <w:bottom w:val="single" w:sz="8" w:color="CCFFCC"/>
            </w:tcBorders>
            <w:shd w:val="clear" w:color="auto" w:fill="CCFFCC"/>
          </w:tcPr>
          <w:p>
            <w:pPr>
              <w:spacing w:after="0"/>
              <w:rPr>
                <w:sz w:val="22"/>
                <w:szCs w:val="22"/>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70,884</w:t>
            </w:r>
          </w:p>
        </w:tc>
        <w:tc>
          <w:tcPr>
            <w:tcW w:w="140" w:type="dxa"/>
            <w:vAlign w:val="bottom"/>
            <w:tcBorders>
              <w:bottom w:val="single" w:sz="8" w:color="CCFFCC"/>
            </w:tcBorders>
            <w:shd w:val="clear" w:color="auto" w:fill="CCFFCC"/>
          </w:tcPr>
          <w:p>
            <w:pPr>
              <w:spacing w:after="0"/>
              <w:rPr>
                <w:sz w:val="22"/>
                <w:szCs w:val="22"/>
                <w:color w:val="auto"/>
              </w:rPr>
            </w:pPr>
          </w:p>
        </w:tc>
        <w:tc>
          <w:tcPr>
            <w:tcW w:w="80" w:type="dxa"/>
            <w:vAlign w:val="bottom"/>
            <w:tcBorders>
              <w:bottom w:val="single" w:sz="8" w:color="CCFFCC"/>
            </w:tcBorders>
            <w:shd w:val="clear" w:color="auto" w:fill="CCFFCC"/>
          </w:tcPr>
          <w:p>
            <w:pPr>
              <w:spacing w:after="0"/>
              <w:rPr>
                <w:sz w:val="22"/>
                <w:szCs w:val="22"/>
                <w:color w:val="auto"/>
              </w:rPr>
            </w:pPr>
          </w:p>
        </w:tc>
        <w:tc>
          <w:tcPr>
            <w:tcW w:w="460" w:type="dxa"/>
            <w:vAlign w:val="bottom"/>
            <w:tcBorders>
              <w:bottom w:val="single" w:sz="8" w:color="CCFFCC"/>
            </w:tcBorders>
            <w:shd w:val="clear" w:color="auto" w:fill="CCFFCC"/>
          </w:tcPr>
          <w:p>
            <w:pPr>
              <w:spacing w:after="0"/>
              <w:rPr>
                <w:sz w:val="22"/>
                <w:szCs w:val="22"/>
                <w:color w:val="auto"/>
              </w:rPr>
            </w:pPr>
          </w:p>
        </w:tc>
        <w:tc>
          <w:tcPr>
            <w:tcW w:w="102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70,633</w:t>
            </w:r>
          </w:p>
        </w:tc>
      </w:tr>
      <w:tr>
        <w:trPr>
          <w:trHeight w:val="237"/>
        </w:trPr>
        <w:tc>
          <w:tcPr>
            <w:tcW w:w="8120" w:type="dxa"/>
            <w:vAlign w:val="bottom"/>
            <w:tcBorders>
              <w:top w:val="single" w:sz="8" w:color="CCFFCC"/>
            </w:tcBorders>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220" w:type="dxa"/>
            <w:vAlign w:val="bottom"/>
            <w:tcBorders>
              <w:top w:val="single" w:sz="8" w:color="CCFFCC"/>
            </w:tcBorders>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93,826</w:t>
            </w:r>
          </w:p>
        </w:tc>
        <w:tc>
          <w:tcPr>
            <w:tcW w:w="140" w:type="dxa"/>
            <w:vAlign w:val="bottom"/>
            <w:tcBorders>
              <w:top w:val="single" w:sz="8" w:color="CCFFCC"/>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86,741</w:t>
            </w:r>
          </w:p>
        </w:tc>
        <w:tc>
          <w:tcPr>
            <w:tcW w:w="100" w:type="dxa"/>
            <w:vAlign w:val="bottom"/>
            <w:tcBorders>
              <w:top w:val="single" w:sz="8" w:color="CCFFCC"/>
            </w:tcBorders>
          </w:tcPr>
          <w:p>
            <w:pPr>
              <w:spacing w:after="0"/>
              <w:rPr>
                <w:sz w:val="20"/>
                <w:szCs w:val="20"/>
                <w:color w:val="auto"/>
              </w:rPr>
            </w:pPr>
          </w:p>
        </w:tc>
      </w:tr>
      <w:tr>
        <w:trPr>
          <w:trHeight w:val="20"/>
        </w:trPr>
        <w:tc>
          <w:tcPr>
            <w:tcW w:w="8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April 30, 2007, 2006 and 2005</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2006</w:t>
            </w: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20"/>
                <w:szCs w:val="20"/>
                <w:color w:val="auto"/>
              </w:rPr>
            </w:pPr>
          </w:p>
        </w:tc>
      </w:tr>
      <w:tr>
        <w:trPr>
          <w:trHeight w:val="237"/>
        </w:trPr>
        <w:tc>
          <w:tcPr>
            <w:tcW w:w="6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300" w:type="dxa"/>
            <w:vAlign w:val="bottom"/>
            <w:gridSpan w:val="7"/>
          </w:tcPr>
          <w:p>
            <w:pPr>
              <w:jc w:val="right"/>
              <w:ind w:right="30"/>
              <w:spacing w:after="0"/>
              <w:rPr>
                <w:sz w:val="20"/>
                <w:szCs w:val="20"/>
                <w:color w:val="auto"/>
              </w:rPr>
            </w:pPr>
            <w:r>
              <w:rPr>
                <w:rFonts w:ascii="Arial" w:cs="Arial" w:eastAsia="Arial" w:hAnsi="Arial"/>
                <w:sz w:val="18"/>
                <w:szCs w:val="18"/>
                <w:color w:val="auto"/>
              </w:rPr>
              <w:t>(In thousands, except share data)</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Net sales</w:t>
            </w:r>
          </w:p>
        </w:tc>
        <w:tc>
          <w:tcPr>
            <w:tcW w:w="52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56,206</w:t>
            </w:r>
          </w:p>
        </w:tc>
        <w:tc>
          <w:tcPr>
            <w:tcW w:w="140" w:type="dxa"/>
            <w:vAlign w:val="bottom"/>
            <w:shd w:val="clear" w:color="auto" w:fill="CCFFCC"/>
          </w:tcPr>
          <w:p>
            <w:pPr>
              <w:spacing w:after="0"/>
              <w:rPr>
                <w:sz w:val="21"/>
                <w:szCs w:val="21"/>
                <w:color w:val="auto"/>
              </w:rPr>
            </w:pPr>
          </w:p>
        </w:tc>
        <w:tc>
          <w:tcPr>
            <w:tcW w:w="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52,810</w:t>
            </w:r>
          </w:p>
        </w:tc>
        <w:tc>
          <w:tcPr>
            <w:tcW w:w="38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55,173</w:t>
            </w:r>
          </w:p>
        </w:tc>
      </w:tr>
      <w:tr>
        <w:trPr>
          <w:trHeight w:val="270"/>
        </w:trPr>
        <w:tc>
          <w:tcPr>
            <w:tcW w:w="6520" w:type="dxa"/>
            <w:vAlign w:val="bottom"/>
          </w:tcPr>
          <w:p>
            <w:pPr>
              <w:spacing w:after="0"/>
              <w:rPr>
                <w:sz w:val="20"/>
                <w:szCs w:val="20"/>
                <w:color w:val="auto"/>
              </w:rPr>
            </w:pPr>
            <w:r>
              <w:rPr>
                <w:rFonts w:ascii="Arial" w:cs="Arial" w:eastAsia="Arial" w:hAnsi="Arial"/>
                <w:sz w:val="18"/>
                <w:szCs w:val="18"/>
                <w:color w:val="auto"/>
              </w:rPr>
              <w:t>Cost of sales</w:t>
            </w:r>
          </w:p>
        </w:tc>
        <w:tc>
          <w:tcPr>
            <w:tcW w:w="2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39,130</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34,193</w:t>
            </w:r>
          </w:p>
        </w:tc>
        <w:tc>
          <w:tcPr>
            <w:tcW w:w="2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37,013</w:t>
            </w:r>
          </w:p>
        </w:tc>
        <w:tc>
          <w:tcPr>
            <w:tcW w:w="100" w:type="dxa"/>
            <w:vAlign w:val="bottom"/>
          </w:tcPr>
          <w:p>
            <w:pPr>
              <w:spacing w:after="0"/>
              <w:rPr>
                <w:sz w:val="23"/>
                <w:szCs w:val="23"/>
                <w:color w:val="auto"/>
              </w:rPr>
            </w:pPr>
          </w:p>
        </w:tc>
      </w:tr>
      <w:tr>
        <w:trPr>
          <w:trHeight w:val="237"/>
        </w:trPr>
        <w:tc>
          <w:tcPr>
            <w:tcW w:w="6520" w:type="dxa"/>
            <w:vAlign w:val="bottom"/>
            <w:shd w:val="clear" w:color="auto" w:fill="CCFFCC"/>
          </w:tcPr>
          <w:p>
            <w:pPr>
              <w:ind w:left="660"/>
              <w:spacing w:after="0"/>
              <w:rPr>
                <w:sz w:val="20"/>
                <w:szCs w:val="20"/>
                <w:color w:val="auto"/>
              </w:rPr>
            </w:pPr>
            <w:r>
              <w:rPr>
                <w:rFonts w:ascii="Arial" w:cs="Arial" w:eastAsia="Arial" w:hAnsi="Arial"/>
                <w:sz w:val="18"/>
                <w:szCs w:val="18"/>
                <w:color w:val="auto"/>
              </w:rPr>
              <w:t>Gross margin</w:t>
            </w:r>
          </w:p>
        </w:tc>
        <w:tc>
          <w:tcPr>
            <w:tcW w:w="22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17,076</w:t>
            </w:r>
          </w:p>
        </w:tc>
        <w:tc>
          <w:tcPr>
            <w:tcW w:w="1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18,617</w:t>
            </w:r>
          </w:p>
        </w:tc>
        <w:tc>
          <w:tcPr>
            <w:tcW w:w="380" w:type="dxa"/>
            <w:vAlign w:val="bottom"/>
            <w:shd w:val="clear" w:color="auto" w:fill="CCFFCC"/>
          </w:tcPr>
          <w:p>
            <w:pPr>
              <w:spacing w:after="0"/>
              <w:rPr>
                <w:sz w:val="20"/>
                <w:szCs w:val="20"/>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18,160</w:t>
            </w:r>
          </w:p>
        </w:tc>
      </w:tr>
      <w:tr>
        <w:trPr>
          <w:trHeight w:val="243"/>
        </w:trPr>
        <w:tc>
          <w:tcPr>
            <w:tcW w:w="6520" w:type="dxa"/>
            <w:vAlign w:val="bottom"/>
          </w:tcPr>
          <w:p>
            <w:pPr>
              <w:spacing w:after="0"/>
              <w:rPr>
                <w:sz w:val="20"/>
                <w:szCs w:val="20"/>
                <w:color w:val="auto"/>
              </w:rPr>
            </w:pPr>
            <w:r>
              <w:rPr>
                <w:rFonts w:ascii="Arial" w:cs="Arial" w:eastAsia="Arial" w:hAnsi="Arial"/>
                <w:sz w:val="18"/>
                <w:szCs w:val="18"/>
                <w:color w:val="auto"/>
              </w:rPr>
              <w:t>Selling and administrative expenses</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11,359</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10,616</w:t>
            </w:r>
          </w:p>
        </w:tc>
        <w:tc>
          <w:tcPr>
            <w:tcW w:w="38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11,719</w:t>
            </w:r>
          </w:p>
        </w:tc>
      </w:tr>
      <w:tr>
        <w:trPr>
          <w:trHeight w:val="243"/>
        </w:trPr>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Compensation charges</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876</w:t>
            </w:r>
          </w:p>
        </w:tc>
      </w:tr>
      <w:tr>
        <w:trPr>
          <w:trHeight w:val="270"/>
        </w:trPr>
        <w:tc>
          <w:tcPr>
            <w:tcW w:w="652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9,438</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6,291</w:t>
            </w:r>
          </w:p>
        </w:tc>
        <w:tc>
          <w:tcPr>
            <w:tcW w:w="220" w:type="dxa"/>
            <w:vAlign w:val="bottom"/>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6,834</w:t>
            </w:r>
          </w:p>
        </w:tc>
        <w:tc>
          <w:tcPr>
            <w:tcW w:w="100" w:type="dxa"/>
            <w:vAlign w:val="bottom"/>
          </w:tcPr>
          <w:p>
            <w:pPr>
              <w:spacing w:after="0"/>
              <w:rPr>
                <w:sz w:val="23"/>
                <w:szCs w:val="23"/>
                <w:color w:val="auto"/>
              </w:rPr>
            </w:pPr>
          </w:p>
        </w:tc>
      </w:tr>
      <w:tr>
        <w:trPr>
          <w:trHeight w:val="237"/>
        </w:trPr>
        <w:tc>
          <w:tcPr>
            <w:tcW w:w="6520" w:type="dxa"/>
            <w:vAlign w:val="bottom"/>
            <w:shd w:val="clear" w:color="auto" w:fill="CCFFCC"/>
          </w:tcPr>
          <w:p>
            <w:pPr>
              <w:ind w:left="660"/>
              <w:spacing w:after="0"/>
              <w:rPr>
                <w:sz w:val="20"/>
                <w:szCs w:val="20"/>
                <w:color w:val="auto"/>
              </w:rPr>
            </w:pPr>
            <w:r>
              <w:rPr>
                <w:rFonts w:ascii="Arial" w:cs="Arial" w:eastAsia="Arial" w:hAnsi="Arial"/>
                <w:sz w:val="18"/>
                <w:szCs w:val="18"/>
                <w:color w:val="auto"/>
              </w:rPr>
              <w:t>Operating (loss) profit</w:t>
            </w:r>
          </w:p>
        </w:tc>
        <w:tc>
          <w:tcPr>
            <w:tcW w:w="22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(3,721)</w:t>
            </w:r>
          </w:p>
        </w:tc>
        <w:tc>
          <w:tcPr>
            <w:tcW w:w="10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1,710</w:t>
            </w:r>
          </w:p>
        </w:tc>
        <w:tc>
          <w:tcPr>
            <w:tcW w:w="220" w:type="dxa"/>
            <w:vAlign w:val="bottom"/>
            <w:shd w:val="clear" w:color="auto" w:fill="CCFFCC"/>
          </w:tcPr>
          <w:p>
            <w:pPr>
              <w:spacing w:after="0"/>
              <w:rPr>
                <w:sz w:val="20"/>
                <w:szCs w:val="20"/>
                <w:color w:val="auto"/>
              </w:rPr>
            </w:pPr>
          </w:p>
        </w:tc>
        <w:tc>
          <w:tcPr>
            <w:tcW w:w="380" w:type="dxa"/>
            <w:vAlign w:val="bottom"/>
            <w:shd w:val="clear" w:color="auto" w:fill="CCFFCC"/>
          </w:tcPr>
          <w:p>
            <w:pPr>
              <w:spacing w:after="0"/>
              <w:rPr>
                <w:sz w:val="20"/>
                <w:szCs w:val="20"/>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(1,269)</w:t>
            </w:r>
          </w:p>
        </w:tc>
      </w:tr>
      <w:tr>
        <w:trPr>
          <w:trHeight w:val="243"/>
        </w:trPr>
        <w:tc>
          <w:tcPr>
            <w:tcW w:w="6520" w:type="dxa"/>
            <w:vAlign w:val="bottom"/>
          </w:tcPr>
          <w:p>
            <w:pPr>
              <w:spacing w:after="0"/>
              <w:rPr>
                <w:sz w:val="20"/>
                <w:szCs w:val="20"/>
                <w:color w:val="auto"/>
              </w:rPr>
            </w:pPr>
            <w:r>
              <w:rPr>
                <w:rFonts w:ascii="Arial" w:cs="Arial" w:eastAsia="Arial" w:hAnsi="Arial"/>
                <w:sz w:val="18"/>
                <w:szCs w:val="18"/>
                <w:color w:val="auto"/>
              </w:rPr>
              <w:t>Other income (expense):</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520" w:type="dxa"/>
            <w:vAlign w:val="bottom"/>
            <w:shd w:val="clear" w:color="auto" w:fill="CCFFCC"/>
          </w:tcPr>
          <w:p>
            <w:pPr>
              <w:ind w:left="340"/>
              <w:spacing w:after="0"/>
              <w:rPr>
                <w:sz w:val="20"/>
                <w:szCs w:val="20"/>
                <w:color w:val="auto"/>
              </w:rPr>
            </w:pPr>
            <w:r>
              <w:rPr>
                <w:rFonts w:ascii="Arial" w:cs="Arial" w:eastAsia="Arial" w:hAnsi="Arial"/>
                <w:sz w:val="18"/>
                <w:szCs w:val="18"/>
                <w:color w:val="auto"/>
              </w:rPr>
              <w:t>Investment income</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1,024</w:t>
            </w:r>
          </w:p>
        </w:tc>
        <w:tc>
          <w:tcPr>
            <w:tcW w:w="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3,280</w:t>
            </w:r>
          </w:p>
        </w:tc>
        <w:tc>
          <w:tcPr>
            <w:tcW w:w="22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3,850</w:t>
            </w:r>
          </w:p>
        </w:tc>
      </w:tr>
      <w:tr>
        <w:trPr>
          <w:trHeight w:val="243"/>
        </w:trPr>
        <w:tc>
          <w:tcPr>
            <w:tcW w:w="6520" w:type="dxa"/>
            <w:vAlign w:val="bottom"/>
          </w:tcPr>
          <w:p>
            <w:pPr>
              <w:ind w:left="340"/>
              <w:spacing w:after="0"/>
              <w:rPr>
                <w:sz w:val="20"/>
                <w:szCs w:val="20"/>
                <w:color w:val="auto"/>
              </w:rPr>
            </w:pPr>
            <w:r>
              <w:rPr>
                <w:rFonts w:ascii="Arial" w:cs="Arial" w:eastAsia="Arial" w:hAnsi="Arial"/>
                <w:sz w:val="18"/>
                <w:szCs w:val="18"/>
                <w:color w:val="auto"/>
              </w:rPr>
              <w:t>Equity income</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634</w:t>
            </w:r>
          </w:p>
        </w:tc>
        <w:tc>
          <w:tcPr>
            <w:tcW w:w="38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315</w:t>
            </w:r>
          </w:p>
        </w:tc>
      </w:tr>
      <w:tr>
        <w:trPr>
          <w:trHeight w:val="243"/>
        </w:trPr>
        <w:tc>
          <w:tcPr>
            <w:tcW w:w="6520" w:type="dxa"/>
            <w:vAlign w:val="bottom"/>
            <w:shd w:val="clear" w:color="auto" w:fill="CCFFCC"/>
          </w:tcPr>
          <w:p>
            <w:pPr>
              <w:ind w:left="340"/>
              <w:spacing w:after="0"/>
              <w:rPr>
                <w:sz w:val="20"/>
                <w:szCs w:val="20"/>
                <w:color w:val="auto"/>
              </w:rPr>
            </w:pPr>
            <w:r>
              <w:rPr>
                <w:rFonts w:ascii="Arial" w:cs="Arial" w:eastAsia="Arial" w:hAnsi="Arial"/>
                <w:sz w:val="18"/>
                <w:szCs w:val="18"/>
                <w:color w:val="auto"/>
              </w:rPr>
              <w:t>Interest expense</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(118)</w:t>
            </w:r>
          </w:p>
        </w:tc>
        <w:tc>
          <w:tcPr>
            <w:tcW w:w="38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(298)</w:t>
            </w:r>
          </w:p>
        </w:tc>
      </w:tr>
      <w:tr>
        <w:trPr>
          <w:trHeight w:val="270"/>
        </w:trPr>
        <w:tc>
          <w:tcPr>
            <w:tcW w:w="6520" w:type="dxa"/>
            <w:vAlign w:val="bottom"/>
          </w:tcPr>
          <w:p>
            <w:pPr>
              <w:ind w:left="340"/>
              <w:spacing w:after="0"/>
              <w:rPr>
                <w:sz w:val="20"/>
                <w:szCs w:val="20"/>
                <w:color w:val="auto"/>
              </w:rPr>
            </w:pPr>
            <w:r>
              <w:rPr>
                <w:rFonts w:ascii="Arial" w:cs="Arial" w:eastAsia="Arial" w:hAnsi="Arial"/>
                <w:sz w:val="18"/>
                <w:szCs w:val="18"/>
                <w:color w:val="auto"/>
              </w:rPr>
              <w:t>Other, net</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313</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1,121</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4,548</w:t>
            </w:r>
          </w:p>
        </w:tc>
      </w:tr>
      <w:tr>
        <w:trPr>
          <w:trHeight w:val="237"/>
        </w:trPr>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(Loss) Income before minority interest and</w:t>
            </w:r>
          </w:p>
        </w:tc>
        <w:tc>
          <w:tcPr>
            <w:tcW w:w="220" w:type="dxa"/>
            <w:vAlign w:val="bottom"/>
            <w:shd w:val="clear" w:color="auto" w:fill="CCFFCC"/>
          </w:tcPr>
          <w:p>
            <w:pPr>
              <w:spacing w:after="0"/>
              <w:rPr>
                <w:sz w:val="20"/>
                <w:szCs w:val="20"/>
                <w:color w:val="auto"/>
              </w:rPr>
            </w:pPr>
          </w:p>
        </w:tc>
        <w:tc>
          <w:tcPr>
            <w:tcW w:w="300" w:type="dxa"/>
            <w:vAlign w:val="bottom"/>
            <w:tcBorders>
              <w:top w:val="single" w:sz="8" w:color="auto"/>
            </w:tcBorders>
            <w:shd w:val="clear" w:color="auto" w:fill="CCFFCC"/>
          </w:tcPr>
          <w:p>
            <w:pPr>
              <w:spacing w:after="0"/>
              <w:rPr>
                <w:sz w:val="20"/>
                <w:szCs w:val="20"/>
                <w:color w:val="auto"/>
              </w:rPr>
            </w:pPr>
          </w:p>
        </w:tc>
        <w:tc>
          <w:tcPr>
            <w:tcW w:w="1080" w:type="dxa"/>
            <w:vAlign w:val="bottom"/>
            <w:tcBorders>
              <w:top w:val="single" w:sz="8" w:color="auto"/>
            </w:tcBorders>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300" w:type="dxa"/>
            <w:vAlign w:val="bottom"/>
            <w:tcBorders>
              <w:top w:val="single" w:sz="8" w:color="auto"/>
            </w:tcBorders>
            <w:shd w:val="clear" w:color="auto" w:fill="CCFFCC"/>
          </w:tcPr>
          <w:p>
            <w:pPr>
              <w:spacing w:after="0"/>
              <w:rPr>
                <w:sz w:val="20"/>
                <w:szCs w:val="20"/>
                <w:color w:val="auto"/>
              </w:rPr>
            </w:pPr>
          </w:p>
        </w:tc>
        <w:tc>
          <w:tcPr>
            <w:tcW w:w="10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380" w:type="dxa"/>
            <w:vAlign w:val="bottom"/>
            <w:tcBorders>
              <w:top w:val="single" w:sz="8" w:color="auto"/>
            </w:tcBorders>
            <w:shd w:val="clear" w:color="auto" w:fill="CCFFCC"/>
          </w:tcPr>
          <w:p>
            <w:pPr>
              <w:spacing w:after="0"/>
              <w:rPr>
                <w:sz w:val="20"/>
                <w:szCs w:val="20"/>
                <w:color w:val="auto"/>
              </w:rPr>
            </w:pPr>
          </w:p>
        </w:tc>
        <w:tc>
          <w:tcPr>
            <w:tcW w:w="98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6520" w:type="dxa"/>
            <w:vAlign w:val="bottom"/>
            <w:shd w:val="clear" w:color="auto" w:fill="CCFFCC"/>
          </w:tcPr>
          <w:p>
            <w:pPr>
              <w:ind w:left="180"/>
              <w:spacing w:after="0"/>
              <w:rPr>
                <w:sz w:val="20"/>
                <w:szCs w:val="20"/>
                <w:color w:val="auto"/>
              </w:rPr>
            </w:pPr>
            <w:r>
              <w:rPr>
                <w:rFonts w:ascii="Arial" w:cs="Arial" w:eastAsia="Arial" w:hAnsi="Arial"/>
                <w:sz w:val="18"/>
                <w:szCs w:val="18"/>
                <w:color w:val="auto"/>
              </w:rPr>
              <w:t>(benefit) provision for income taxes</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(1,812)</w:t>
            </w:r>
          </w:p>
        </w:tc>
        <w:tc>
          <w:tcPr>
            <w:tcW w:w="10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6,627</w:t>
            </w:r>
          </w:p>
        </w:tc>
        <w:tc>
          <w:tcPr>
            <w:tcW w:w="22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7,146</w:t>
            </w:r>
          </w:p>
        </w:tc>
      </w:tr>
      <w:tr>
        <w:trPr>
          <w:trHeight w:val="270"/>
        </w:trPr>
        <w:tc>
          <w:tcPr>
            <w:tcW w:w="6520" w:type="dxa"/>
            <w:vAlign w:val="bottom"/>
          </w:tcPr>
          <w:p>
            <w:pPr>
              <w:spacing w:after="0"/>
              <w:rPr>
                <w:sz w:val="20"/>
                <w:szCs w:val="20"/>
                <w:color w:val="auto"/>
              </w:rPr>
            </w:pPr>
            <w:r>
              <w:rPr>
                <w:rFonts w:ascii="Arial" w:cs="Arial" w:eastAsia="Arial" w:hAnsi="Arial"/>
                <w:sz w:val="18"/>
                <w:szCs w:val="18"/>
                <w:color w:val="auto"/>
              </w:rPr>
              <w:t>Minority interest in loss of consolidated subsidiary</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0"/>
        </w:trPr>
        <w:tc>
          <w:tcPr>
            <w:tcW w:w="6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(Loss) Income before (benefit) provision for income taxes</w:t>
            </w:r>
          </w:p>
        </w:tc>
        <w:tc>
          <w:tcPr>
            <w:tcW w:w="22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(1,812)</w:t>
            </w:r>
          </w:p>
        </w:tc>
        <w:tc>
          <w:tcPr>
            <w:tcW w:w="10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6,627</w:t>
            </w:r>
          </w:p>
        </w:tc>
        <w:tc>
          <w:tcPr>
            <w:tcW w:w="220" w:type="dxa"/>
            <w:vAlign w:val="bottom"/>
            <w:shd w:val="clear" w:color="auto" w:fill="CCFFCC"/>
          </w:tcPr>
          <w:p>
            <w:pPr>
              <w:spacing w:after="0"/>
              <w:rPr>
                <w:sz w:val="20"/>
                <w:szCs w:val="20"/>
                <w:color w:val="auto"/>
              </w:rPr>
            </w:pPr>
          </w:p>
        </w:tc>
        <w:tc>
          <w:tcPr>
            <w:tcW w:w="380" w:type="dxa"/>
            <w:vAlign w:val="bottom"/>
            <w:shd w:val="clear" w:color="auto" w:fill="CCFFCC"/>
          </w:tcPr>
          <w:p>
            <w:pPr>
              <w:spacing w:after="0"/>
              <w:rPr>
                <w:sz w:val="20"/>
                <w:szCs w:val="20"/>
                <w:color w:val="auto"/>
              </w:rPr>
            </w:pP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7,147</w:t>
            </w:r>
          </w:p>
        </w:tc>
      </w:tr>
      <w:tr>
        <w:trPr>
          <w:trHeight w:val="270"/>
        </w:trPr>
        <w:tc>
          <w:tcPr>
            <w:tcW w:w="6520" w:type="dxa"/>
            <w:vAlign w:val="bottom"/>
          </w:tcPr>
          <w:p>
            <w:pPr>
              <w:spacing w:after="0"/>
              <w:rPr>
                <w:sz w:val="20"/>
                <w:szCs w:val="20"/>
                <w:color w:val="auto"/>
              </w:rPr>
            </w:pPr>
            <w:r>
              <w:rPr>
                <w:rFonts w:ascii="Arial" w:cs="Arial" w:eastAsia="Arial" w:hAnsi="Arial"/>
                <w:sz w:val="18"/>
                <w:szCs w:val="18"/>
                <w:color w:val="auto"/>
              </w:rPr>
              <w:t>(Benefit) Provision for income taxes</w:t>
            </w:r>
          </w:p>
        </w:tc>
        <w:tc>
          <w:tcPr>
            <w:tcW w:w="2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(1,555)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1,829</w:t>
            </w:r>
          </w:p>
        </w:tc>
        <w:tc>
          <w:tcPr>
            <w:tcW w:w="2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2,110</w:t>
            </w:r>
          </w:p>
        </w:tc>
      </w:tr>
      <w:tr>
        <w:trPr>
          <w:trHeight w:val="20"/>
        </w:trPr>
        <w:tc>
          <w:tcPr>
            <w:tcW w:w="6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6520" w:type="dxa"/>
            <w:vAlign w:val="bottom"/>
            <w:shd w:val="clear" w:color="auto" w:fill="CCFFCC"/>
          </w:tcPr>
          <w:p>
            <w:pPr>
              <w:ind w:left="660"/>
              <w:spacing w:after="0"/>
              <w:rPr>
                <w:sz w:val="20"/>
                <w:szCs w:val="20"/>
                <w:color w:val="auto"/>
              </w:rPr>
            </w:pPr>
            <w:r>
              <w:rPr>
                <w:rFonts w:ascii="Arial" w:cs="Arial" w:eastAsia="Arial" w:hAnsi="Arial"/>
                <w:sz w:val="18"/>
                <w:szCs w:val="18"/>
                <w:color w:val="auto"/>
              </w:rPr>
              <w:t>Net (loss) income</w:t>
            </w:r>
          </w:p>
        </w:tc>
        <w:tc>
          <w:tcPr>
            <w:tcW w:w="220" w:type="dxa"/>
            <w:vAlign w:val="bottom"/>
            <w:shd w:val="clear" w:color="auto" w:fill="CCFFCC"/>
          </w:tcPr>
          <w:p>
            <w:pPr>
              <w:spacing w:after="0"/>
              <w:rPr>
                <w:sz w:val="24"/>
                <w:szCs w:val="24"/>
                <w:color w:val="auto"/>
              </w:rPr>
            </w:pP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(257)</w:t>
            </w:r>
          </w:p>
        </w:tc>
        <w:tc>
          <w:tcPr>
            <w:tcW w:w="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4,798</w:t>
            </w:r>
          </w:p>
        </w:tc>
        <w:tc>
          <w:tcPr>
            <w:tcW w:w="220" w:type="dxa"/>
            <w:vAlign w:val="bottom"/>
            <w:shd w:val="clear" w:color="auto" w:fill="CCFFCC"/>
          </w:tcPr>
          <w:p>
            <w:pPr>
              <w:spacing w:after="0"/>
              <w:rPr>
                <w:sz w:val="24"/>
                <w:szCs w:val="24"/>
                <w:color w:val="auto"/>
              </w:rPr>
            </w:pPr>
          </w:p>
        </w:tc>
        <w:tc>
          <w:tcPr>
            <w:tcW w:w="38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5,037</w:t>
            </w:r>
          </w:p>
        </w:tc>
      </w:tr>
      <w:tr>
        <w:trPr>
          <w:trHeight w:val="224"/>
        </w:trPr>
        <w:tc>
          <w:tcPr>
            <w:tcW w:w="652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Net (loss) income per common share:</w:t>
            </w:r>
          </w:p>
        </w:tc>
        <w:tc>
          <w:tcPr>
            <w:tcW w:w="220" w:type="dxa"/>
            <w:vAlign w:val="bottom"/>
            <w:tcBorders>
              <w:top w:val="single" w:sz="8" w:color="CCFFC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40" w:type="dxa"/>
            <w:vAlign w:val="bottom"/>
            <w:tcBorders>
              <w:top w:val="single" w:sz="8" w:color="CCFFCC"/>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20" w:type="dxa"/>
            <w:vAlign w:val="bottom"/>
            <w:tcBorders>
              <w:top w:val="single" w:sz="8" w:color="CCFFCC"/>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r>
      <w:tr>
        <w:trPr>
          <w:trHeight w:val="263"/>
        </w:trPr>
        <w:tc>
          <w:tcPr>
            <w:tcW w:w="6520" w:type="dxa"/>
            <w:vAlign w:val="bottom"/>
            <w:shd w:val="clear" w:color="auto" w:fill="CCFFCC"/>
          </w:tcPr>
          <w:p>
            <w:pPr>
              <w:ind w:left="34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FFCC"/>
          </w:tcPr>
          <w:p>
            <w:pPr>
              <w:spacing w:after="0"/>
              <w:rPr>
                <w:sz w:val="22"/>
                <w:szCs w:val="22"/>
                <w:color w:val="auto"/>
              </w:rPr>
            </w:pP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(0.03)</w:t>
            </w:r>
          </w:p>
        </w:tc>
        <w:tc>
          <w:tcPr>
            <w:tcW w:w="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0.56</w:t>
            </w:r>
          </w:p>
        </w:tc>
        <w:tc>
          <w:tcPr>
            <w:tcW w:w="380" w:type="dxa"/>
            <w:vAlign w:val="bottom"/>
            <w:shd w:val="clear" w:color="auto" w:fill="CCFFCC"/>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0.59</w:t>
            </w:r>
          </w:p>
        </w:tc>
      </w:tr>
      <w:tr>
        <w:trPr>
          <w:trHeight w:val="20"/>
        </w:trPr>
        <w:tc>
          <w:tcPr>
            <w:tcW w:w="65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224"/>
        </w:trPr>
        <w:tc>
          <w:tcPr>
            <w:tcW w:w="6520" w:type="dxa"/>
            <w:vAlign w:val="bottom"/>
          </w:tcPr>
          <w:p>
            <w:pPr>
              <w:ind w:left="34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(0.03)</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0.55</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0.58</w:t>
            </w:r>
          </w:p>
        </w:tc>
      </w:tr>
      <w:tr>
        <w:trPr>
          <w:trHeight w:val="20"/>
        </w:trPr>
        <w:tc>
          <w:tcPr>
            <w:tcW w:w="6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Average shares outstanding:</w:t>
            </w:r>
          </w:p>
        </w:tc>
        <w:tc>
          <w:tcPr>
            <w:tcW w:w="22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10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10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380" w:type="dxa"/>
            <w:vAlign w:val="bottom"/>
            <w:shd w:val="clear" w:color="auto" w:fill="CCFFCC"/>
          </w:tcPr>
          <w:p>
            <w:pPr>
              <w:spacing w:after="0"/>
              <w:rPr>
                <w:sz w:val="19"/>
                <w:szCs w:val="19"/>
                <w:color w:val="auto"/>
              </w:rPr>
            </w:pPr>
          </w:p>
        </w:tc>
        <w:tc>
          <w:tcPr>
            <w:tcW w:w="9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r>
      <w:tr>
        <w:trPr>
          <w:trHeight w:val="243"/>
        </w:trPr>
        <w:tc>
          <w:tcPr>
            <w:tcW w:w="6520" w:type="dxa"/>
            <w:vAlign w:val="bottom"/>
          </w:tcPr>
          <w:p>
            <w:pPr>
              <w:ind w:left="34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8,620,776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8,537,427</w:t>
            </w:r>
          </w:p>
        </w:tc>
        <w:tc>
          <w:tcPr>
            <w:tcW w:w="2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8,484,682</w:t>
            </w:r>
          </w:p>
        </w:tc>
        <w:tc>
          <w:tcPr>
            <w:tcW w:w="100" w:type="dxa"/>
            <w:vAlign w:val="bottom"/>
          </w:tcPr>
          <w:p>
            <w:pPr>
              <w:spacing w:after="0"/>
              <w:rPr>
                <w:sz w:val="21"/>
                <w:szCs w:val="21"/>
                <w:color w:val="auto"/>
              </w:rPr>
            </w:pPr>
          </w:p>
        </w:tc>
      </w:tr>
      <w:tr>
        <w:trPr>
          <w:trHeight w:val="20"/>
        </w:trPr>
        <w:tc>
          <w:tcPr>
            <w:tcW w:w="6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6520" w:type="dxa"/>
            <w:vAlign w:val="bottom"/>
            <w:tcBorders>
              <w:bottom w:val="single" w:sz="8" w:color="CCFFCC"/>
            </w:tcBorders>
            <w:shd w:val="clear" w:color="auto" w:fill="CCFFCC"/>
          </w:tcPr>
          <w:p>
            <w:pPr>
              <w:ind w:left="34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CCFFCC"/>
            </w:tcBorders>
            <w:shd w:val="clear" w:color="auto" w:fill="CCFFCC"/>
          </w:tcPr>
          <w:p>
            <w:pPr>
              <w:spacing w:after="0"/>
              <w:rPr>
                <w:sz w:val="22"/>
                <w:szCs w:val="22"/>
                <w:color w:val="auto"/>
              </w:rPr>
            </w:pPr>
          </w:p>
        </w:tc>
        <w:tc>
          <w:tcPr>
            <w:tcW w:w="300" w:type="dxa"/>
            <w:vAlign w:val="bottom"/>
            <w:tcBorders>
              <w:bottom w:val="single" w:sz="8" w:color="auto"/>
            </w:tcBorders>
            <w:shd w:val="clear" w:color="auto" w:fill="CCFFCC"/>
          </w:tcPr>
          <w:p>
            <w:pPr>
              <w:spacing w:after="0"/>
              <w:rPr>
                <w:sz w:val="22"/>
                <w:szCs w:val="22"/>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8,620,776</w:t>
            </w:r>
          </w:p>
        </w:tc>
        <w:tc>
          <w:tcPr>
            <w:tcW w:w="14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CCFFCC"/>
            </w:tcBorders>
            <w:shd w:val="clear" w:color="auto" w:fill="CCFFCC"/>
          </w:tcPr>
          <w:p>
            <w:pPr>
              <w:spacing w:after="0"/>
              <w:rPr>
                <w:sz w:val="22"/>
                <w:szCs w:val="22"/>
                <w:color w:val="auto"/>
              </w:rPr>
            </w:pPr>
          </w:p>
        </w:tc>
        <w:tc>
          <w:tcPr>
            <w:tcW w:w="300" w:type="dxa"/>
            <w:vAlign w:val="bottom"/>
            <w:tcBorders>
              <w:bottom w:val="single" w:sz="8" w:color="auto"/>
            </w:tcBorders>
            <w:shd w:val="clear" w:color="auto" w:fill="CCFFCC"/>
          </w:tcPr>
          <w:p>
            <w:pPr>
              <w:spacing w:after="0"/>
              <w:rPr>
                <w:sz w:val="22"/>
                <w:szCs w:val="22"/>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8,690,617</w:t>
            </w:r>
          </w:p>
        </w:tc>
        <w:tc>
          <w:tcPr>
            <w:tcW w:w="220" w:type="dxa"/>
            <w:vAlign w:val="bottom"/>
            <w:tcBorders>
              <w:bottom w:val="single" w:sz="8" w:color="CCFFCC"/>
            </w:tcBorders>
            <w:shd w:val="clear" w:color="auto" w:fill="CCFFCC"/>
          </w:tcPr>
          <w:p>
            <w:pPr>
              <w:spacing w:after="0"/>
              <w:rPr>
                <w:sz w:val="22"/>
                <w:szCs w:val="22"/>
                <w:color w:val="auto"/>
              </w:rPr>
            </w:pPr>
          </w:p>
        </w:tc>
        <w:tc>
          <w:tcPr>
            <w:tcW w:w="380" w:type="dxa"/>
            <w:vAlign w:val="bottom"/>
            <w:tcBorders>
              <w:bottom w:val="single" w:sz="8" w:color="auto"/>
            </w:tcBorders>
            <w:shd w:val="clear" w:color="auto" w:fill="CCFFCC"/>
          </w:tcPr>
          <w:p>
            <w:pPr>
              <w:spacing w:after="0"/>
              <w:rPr>
                <w:sz w:val="22"/>
                <w:szCs w:val="22"/>
                <w:color w:val="auto"/>
              </w:rPr>
            </w:pPr>
          </w:p>
        </w:tc>
        <w:tc>
          <w:tcPr>
            <w:tcW w:w="9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8,684,758</w:t>
            </w:r>
          </w:p>
        </w:tc>
        <w:tc>
          <w:tcPr>
            <w:tcW w:w="100" w:type="dxa"/>
            <w:vAlign w:val="bottom"/>
            <w:tcBorders>
              <w:bottom w:val="single" w:sz="8" w:color="CCFFCC"/>
            </w:tcBorders>
            <w:shd w:val="clear" w:color="auto" w:fill="CCFFCC"/>
          </w:tcPr>
          <w:p>
            <w:pPr>
              <w:spacing w:after="0"/>
              <w:rPr>
                <w:sz w:val="22"/>
                <w:szCs w:val="22"/>
                <w:color w:val="auto"/>
              </w:rPr>
            </w:pPr>
          </w:p>
        </w:tc>
      </w:tr>
    </w:tbl>
    <w:p>
      <w:pPr>
        <w:spacing w:after="0" w:line="25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April 30, 2007, 2006 and 2005</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4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2006</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20"/>
                <w:szCs w:val="20"/>
                <w:color w:val="auto"/>
              </w:rPr>
            </w:pPr>
          </w:p>
        </w:tc>
      </w:tr>
      <w:tr>
        <w:trPr>
          <w:trHeight w:val="237"/>
        </w:trPr>
        <w:tc>
          <w:tcPr>
            <w:tcW w:w="6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360"/>
              <w:spacing w:after="0"/>
              <w:rPr>
                <w:sz w:val="20"/>
                <w:szCs w:val="20"/>
                <w:color w:val="auto"/>
              </w:rPr>
            </w:pPr>
            <w:r>
              <w:rPr>
                <w:rFonts w:ascii="Arial" w:cs="Arial" w:eastAsia="Arial" w:hAnsi="Arial"/>
                <w:sz w:val="18"/>
                <w:szCs w:val="18"/>
                <w:color w:val="auto"/>
                <w:w w:val="93"/>
              </w:rPr>
              <w:t>(In thousands)</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52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520" w:type="dxa"/>
            <w:vAlign w:val="bottom"/>
            <w:shd w:val="clear" w:color="auto" w:fill="CCFFCC"/>
          </w:tcPr>
          <w:p>
            <w:pPr>
              <w:ind w:left="340"/>
              <w:spacing w:after="0"/>
              <w:rPr>
                <w:sz w:val="20"/>
                <w:szCs w:val="20"/>
                <w:color w:val="auto"/>
              </w:rPr>
            </w:pPr>
            <w:r>
              <w:rPr>
                <w:rFonts w:ascii="Arial" w:cs="Arial" w:eastAsia="Arial" w:hAnsi="Arial"/>
                <w:sz w:val="18"/>
                <w:szCs w:val="18"/>
                <w:color w:val="auto"/>
              </w:rPr>
              <w:t>Net (loss) income</w:t>
            </w:r>
          </w:p>
        </w:tc>
        <w:tc>
          <w:tcPr>
            <w:tcW w:w="1120" w:type="dxa"/>
            <w:vAlign w:val="bottom"/>
            <w:gridSpan w:val="2"/>
            <w:shd w:val="clear" w:color="auto" w:fill="CCFFCC"/>
          </w:tcPr>
          <w:p>
            <w:pPr>
              <w:jc w:val="right"/>
              <w:ind w:right="71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(257)</w:t>
            </w:r>
          </w:p>
        </w:tc>
        <w:tc>
          <w:tcPr>
            <w:tcW w:w="2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4,798</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5,037</w:t>
            </w:r>
          </w:p>
        </w:tc>
      </w:tr>
      <w:tr>
        <w:trPr>
          <w:trHeight w:val="243"/>
        </w:trPr>
        <w:tc>
          <w:tcPr>
            <w:tcW w:w="6520" w:type="dxa"/>
            <w:vAlign w:val="bottom"/>
          </w:tcPr>
          <w:p>
            <w:pPr>
              <w:ind w:left="340"/>
              <w:spacing w:after="0"/>
              <w:rPr>
                <w:sz w:val="20"/>
                <w:szCs w:val="20"/>
                <w:color w:val="auto"/>
              </w:rPr>
            </w:pPr>
            <w:r>
              <w:rPr>
                <w:rFonts w:ascii="Arial" w:cs="Arial" w:eastAsia="Arial" w:hAnsi="Arial"/>
                <w:sz w:val="18"/>
                <w:szCs w:val="18"/>
                <w:color w:val="auto"/>
              </w:rPr>
              <w:t>Adjustments to reconcile net (loss) income</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520" w:type="dxa"/>
            <w:vAlign w:val="bottom"/>
            <w:shd w:val="clear" w:color="auto" w:fill="CCFFCC"/>
          </w:tcPr>
          <w:p>
            <w:pPr>
              <w:ind w:left="500"/>
              <w:spacing w:after="0"/>
              <w:rPr>
                <w:sz w:val="20"/>
                <w:szCs w:val="20"/>
                <w:color w:val="auto"/>
              </w:rPr>
            </w:pPr>
            <w:r>
              <w:rPr>
                <w:rFonts w:ascii="Arial" w:cs="Arial" w:eastAsia="Arial" w:hAnsi="Arial"/>
                <w:sz w:val="18"/>
                <w:szCs w:val="18"/>
                <w:color w:val="auto"/>
              </w:rPr>
              <w:t>to net cash (used in) provided by operating activities:</w:t>
            </w:r>
          </w:p>
        </w:tc>
        <w:tc>
          <w:tcPr>
            <w:tcW w:w="22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24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6520" w:type="dxa"/>
            <w:vAlign w:val="bottom"/>
          </w:tcPr>
          <w:p>
            <w:pPr>
              <w:ind w:left="500"/>
              <w:spacing w:after="0"/>
              <w:rPr>
                <w:sz w:val="20"/>
                <w:szCs w:val="20"/>
                <w:color w:val="auto"/>
              </w:rPr>
            </w:pPr>
            <w:r>
              <w:rPr>
                <w:rFonts w:ascii="Arial" w:cs="Arial" w:eastAsia="Arial" w:hAnsi="Arial"/>
                <w:sz w:val="18"/>
                <w:szCs w:val="18"/>
                <w:color w:val="auto"/>
              </w:rPr>
              <w:t>Deferred tax (benefit) expense</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(1,305)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886</w:t>
            </w:r>
          </w:p>
        </w:tc>
        <w:tc>
          <w:tcPr>
            <w:tcW w:w="3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(2,610)</w:t>
            </w:r>
          </w:p>
        </w:tc>
      </w:tr>
      <w:tr>
        <w:trPr>
          <w:trHeight w:val="243"/>
        </w:trPr>
        <w:tc>
          <w:tcPr>
            <w:tcW w:w="6520" w:type="dxa"/>
            <w:vAlign w:val="bottom"/>
            <w:shd w:val="clear" w:color="auto" w:fill="CCFFCC"/>
          </w:tcPr>
          <w:p>
            <w:pPr>
              <w:ind w:left="50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1,725</w:t>
            </w:r>
          </w:p>
        </w:tc>
        <w:tc>
          <w:tcPr>
            <w:tcW w:w="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1,870</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2,014</w:t>
            </w:r>
          </w:p>
        </w:tc>
      </w:tr>
      <w:tr>
        <w:trPr>
          <w:trHeight w:val="243"/>
        </w:trPr>
        <w:tc>
          <w:tcPr>
            <w:tcW w:w="6520" w:type="dxa"/>
            <w:vAlign w:val="bottom"/>
          </w:tcPr>
          <w:p>
            <w:pPr>
              <w:ind w:left="500"/>
              <w:spacing w:after="0"/>
              <w:rPr>
                <w:sz w:val="20"/>
                <w:szCs w:val="20"/>
                <w:color w:val="auto"/>
              </w:rPr>
            </w:pPr>
            <w:r>
              <w:rPr>
                <w:rFonts w:ascii="Arial" w:cs="Arial" w:eastAsia="Arial" w:hAnsi="Arial"/>
                <w:sz w:val="18"/>
                <w:szCs w:val="18"/>
                <w:color w:val="auto"/>
              </w:rPr>
              <w:t>Provision for losses on accounts</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520" w:type="dxa"/>
            <w:vAlign w:val="bottom"/>
          </w:tcPr>
          <w:p>
            <w:pPr>
              <w:ind w:left="660"/>
              <w:spacing w:after="0"/>
              <w:rPr>
                <w:sz w:val="20"/>
                <w:szCs w:val="20"/>
                <w:color w:val="auto"/>
              </w:rPr>
            </w:pPr>
            <w:r>
              <w:rPr>
                <w:rFonts w:ascii="Arial" w:cs="Arial" w:eastAsia="Arial" w:hAnsi="Arial"/>
                <w:sz w:val="18"/>
                <w:szCs w:val="18"/>
                <w:color w:val="auto"/>
              </w:rPr>
              <w:t>receivable and inventories</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1,946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797</w:t>
            </w: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771</w:t>
            </w:r>
          </w:p>
        </w:tc>
      </w:tr>
      <w:tr>
        <w:trPr>
          <w:trHeight w:val="243"/>
        </w:trPr>
        <w:tc>
          <w:tcPr>
            <w:tcW w:w="6520" w:type="dxa"/>
            <w:vAlign w:val="bottom"/>
            <w:shd w:val="clear" w:color="auto" w:fill="CCFFCC"/>
          </w:tcPr>
          <w:p>
            <w:pPr>
              <w:ind w:left="500"/>
              <w:spacing w:after="0"/>
              <w:rPr>
                <w:sz w:val="20"/>
                <w:szCs w:val="20"/>
                <w:color w:val="auto"/>
              </w:rPr>
            </w:pPr>
            <w:r>
              <w:rPr>
                <w:rFonts w:ascii="Arial" w:cs="Arial" w:eastAsia="Arial" w:hAnsi="Arial"/>
                <w:sz w:val="18"/>
                <w:szCs w:val="18"/>
                <w:color w:val="auto"/>
              </w:rPr>
              <w:t>Gain on REIT conversion</w:t>
            </w:r>
          </w:p>
        </w:tc>
        <w:tc>
          <w:tcPr>
            <w:tcW w:w="22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6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(353)</w:t>
            </w:r>
          </w:p>
        </w:tc>
        <w:tc>
          <w:tcPr>
            <w:tcW w:w="30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(4,629)</w:t>
            </w:r>
          </w:p>
        </w:tc>
      </w:tr>
      <w:tr>
        <w:trPr>
          <w:trHeight w:val="243"/>
        </w:trPr>
        <w:tc>
          <w:tcPr>
            <w:tcW w:w="6520" w:type="dxa"/>
            <w:vAlign w:val="bottom"/>
          </w:tcPr>
          <w:p>
            <w:pPr>
              <w:ind w:left="500"/>
              <w:spacing w:after="0"/>
              <w:rPr>
                <w:sz w:val="20"/>
                <w:szCs w:val="20"/>
                <w:color w:val="auto"/>
              </w:rPr>
            </w:pPr>
            <w:r>
              <w:rPr>
                <w:rFonts w:ascii="Arial" w:cs="Arial" w:eastAsia="Arial" w:hAnsi="Arial"/>
                <w:sz w:val="18"/>
                <w:szCs w:val="18"/>
                <w:color w:val="auto"/>
              </w:rPr>
              <w:t>Loss (gain) on marketable securities and other assets, net</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(2,815)</w:t>
            </w:r>
          </w:p>
        </w:tc>
        <w:tc>
          <w:tcPr>
            <w:tcW w:w="3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(2,169)</w:t>
            </w:r>
          </w:p>
        </w:tc>
      </w:tr>
      <w:tr>
        <w:trPr>
          <w:trHeight w:val="243"/>
        </w:trPr>
        <w:tc>
          <w:tcPr>
            <w:tcW w:w="6520" w:type="dxa"/>
            <w:vAlign w:val="bottom"/>
            <w:shd w:val="clear" w:color="auto" w:fill="CCFFCC"/>
          </w:tcPr>
          <w:p>
            <w:pPr>
              <w:ind w:left="500"/>
              <w:spacing w:after="0"/>
              <w:rPr>
                <w:sz w:val="20"/>
                <w:szCs w:val="20"/>
                <w:color w:val="auto"/>
              </w:rPr>
            </w:pPr>
            <w:r>
              <w:rPr>
                <w:rFonts w:ascii="Arial" w:cs="Arial" w:eastAsia="Arial" w:hAnsi="Arial"/>
                <w:sz w:val="18"/>
                <w:szCs w:val="18"/>
                <w:color w:val="auto"/>
              </w:rPr>
              <w:t>Minority interest in loss of consolidated subsidiary</w:t>
            </w:r>
          </w:p>
        </w:tc>
        <w:tc>
          <w:tcPr>
            <w:tcW w:w="22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w:t>
            </w:r>
          </w:p>
        </w:tc>
      </w:tr>
      <w:tr>
        <w:trPr>
          <w:trHeight w:val="243"/>
        </w:trPr>
        <w:tc>
          <w:tcPr>
            <w:tcW w:w="6520" w:type="dxa"/>
            <w:vAlign w:val="bottom"/>
          </w:tcPr>
          <w:p>
            <w:pPr>
              <w:ind w:left="500"/>
              <w:spacing w:after="0"/>
              <w:rPr>
                <w:sz w:val="20"/>
                <w:szCs w:val="20"/>
                <w:color w:val="auto"/>
              </w:rPr>
            </w:pPr>
            <w:r>
              <w:rPr>
                <w:rFonts w:ascii="Arial" w:cs="Arial" w:eastAsia="Arial" w:hAnsi="Arial"/>
                <w:sz w:val="18"/>
                <w:szCs w:val="18"/>
                <w:color w:val="auto"/>
              </w:rPr>
              <w:t>Equity income</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(708)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(634)</w:t>
            </w:r>
          </w:p>
        </w:tc>
        <w:tc>
          <w:tcPr>
            <w:tcW w:w="3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(315)</w:t>
            </w:r>
          </w:p>
        </w:tc>
      </w:tr>
      <w:tr>
        <w:trPr>
          <w:trHeight w:val="243"/>
        </w:trPr>
        <w:tc>
          <w:tcPr>
            <w:tcW w:w="6520" w:type="dxa"/>
            <w:vAlign w:val="bottom"/>
            <w:shd w:val="clear" w:color="auto" w:fill="CCFFCC"/>
          </w:tcPr>
          <w:p>
            <w:pPr>
              <w:ind w:left="500"/>
              <w:spacing w:after="0"/>
              <w:rPr>
                <w:sz w:val="20"/>
                <w:szCs w:val="20"/>
                <w:color w:val="auto"/>
              </w:rPr>
            </w:pPr>
            <w:r>
              <w:rPr>
                <w:rFonts w:ascii="Arial" w:cs="Arial" w:eastAsia="Arial" w:hAnsi="Arial"/>
                <w:sz w:val="18"/>
                <w:szCs w:val="18"/>
                <w:color w:val="auto"/>
              </w:rPr>
              <w:t>Stock compensation expense</w:t>
            </w:r>
          </w:p>
        </w:tc>
        <w:tc>
          <w:tcPr>
            <w:tcW w:w="22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559</w:t>
            </w:r>
          </w:p>
        </w:tc>
        <w:tc>
          <w:tcPr>
            <w:tcW w:w="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6520" w:type="dxa"/>
            <w:vAlign w:val="bottom"/>
          </w:tcPr>
          <w:p>
            <w:pPr>
              <w:ind w:left="340"/>
              <w:spacing w:after="0"/>
              <w:rPr>
                <w:sz w:val="20"/>
                <w:szCs w:val="20"/>
                <w:color w:val="auto"/>
              </w:rPr>
            </w:pPr>
            <w:r>
              <w:rPr>
                <w:rFonts w:ascii="Arial" w:cs="Arial" w:eastAsia="Arial" w:hAnsi="Arial"/>
                <w:sz w:val="18"/>
                <w:szCs w:val="18"/>
                <w:color w:val="auto"/>
              </w:rPr>
              <w:t>Changes in assets and liabilities, exclusive of</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520" w:type="dxa"/>
            <w:vAlign w:val="bottom"/>
          </w:tcPr>
          <w:p>
            <w:pPr>
              <w:ind w:left="500"/>
              <w:spacing w:after="0"/>
              <w:rPr>
                <w:sz w:val="20"/>
                <w:szCs w:val="20"/>
                <w:color w:val="auto"/>
              </w:rPr>
            </w:pPr>
            <w:r>
              <w:rPr>
                <w:rFonts w:ascii="Arial" w:cs="Arial" w:eastAsia="Arial" w:hAnsi="Arial"/>
                <w:sz w:val="18"/>
                <w:szCs w:val="18"/>
                <w:color w:val="auto"/>
              </w:rPr>
              <w:t>assets and liabilities acquired:</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520" w:type="dxa"/>
            <w:vAlign w:val="bottom"/>
            <w:shd w:val="clear" w:color="auto" w:fill="CCFFCC"/>
          </w:tcPr>
          <w:p>
            <w:pPr>
              <w:ind w:left="50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6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(260)</w:t>
            </w:r>
          </w:p>
        </w:tc>
        <w:tc>
          <w:tcPr>
            <w:tcW w:w="10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(3,667)</w:t>
            </w:r>
          </w:p>
        </w:tc>
        <w:tc>
          <w:tcPr>
            <w:tcW w:w="30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2,868</w:t>
            </w:r>
          </w:p>
        </w:tc>
      </w:tr>
      <w:tr>
        <w:trPr>
          <w:trHeight w:val="243"/>
        </w:trPr>
        <w:tc>
          <w:tcPr>
            <w:tcW w:w="6520" w:type="dxa"/>
            <w:vAlign w:val="bottom"/>
          </w:tcPr>
          <w:p>
            <w:pPr>
              <w:ind w:left="50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(9,012)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(904)</w:t>
            </w:r>
          </w:p>
        </w:tc>
        <w:tc>
          <w:tcPr>
            <w:tcW w:w="3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(1,526)</w:t>
            </w:r>
          </w:p>
        </w:tc>
      </w:tr>
      <w:tr>
        <w:trPr>
          <w:trHeight w:val="243"/>
        </w:trPr>
        <w:tc>
          <w:tcPr>
            <w:tcW w:w="6520" w:type="dxa"/>
            <w:vAlign w:val="bottom"/>
            <w:shd w:val="clear" w:color="auto" w:fill="CCFFCC"/>
          </w:tcPr>
          <w:p>
            <w:pPr>
              <w:ind w:left="500"/>
              <w:spacing w:after="0"/>
              <w:rPr>
                <w:sz w:val="20"/>
                <w:szCs w:val="20"/>
                <w:color w:val="auto"/>
              </w:rPr>
            </w:pPr>
            <w:r>
              <w:rPr>
                <w:rFonts w:ascii="Arial" w:cs="Arial" w:eastAsia="Arial" w:hAnsi="Arial"/>
                <w:sz w:val="18"/>
                <w:szCs w:val="18"/>
                <w:color w:val="auto"/>
              </w:rPr>
              <w:t>Prepaid expenses and other</w:t>
            </w:r>
          </w:p>
        </w:tc>
        <w:tc>
          <w:tcPr>
            <w:tcW w:w="22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6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364</w:t>
            </w:r>
          </w:p>
        </w:tc>
      </w:tr>
      <w:tr>
        <w:trPr>
          <w:trHeight w:val="243"/>
        </w:trPr>
        <w:tc>
          <w:tcPr>
            <w:tcW w:w="6520" w:type="dxa"/>
            <w:vAlign w:val="bottom"/>
          </w:tcPr>
          <w:p>
            <w:pPr>
              <w:ind w:left="50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(559)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(455)</w:t>
            </w:r>
          </w:p>
        </w:tc>
        <w:tc>
          <w:tcPr>
            <w:tcW w:w="3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(526)</w:t>
            </w:r>
          </w:p>
        </w:tc>
      </w:tr>
      <w:tr>
        <w:trPr>
          <w:trHeight w:val="243"/>
        </w:trPr>
        <w:tc>
          <w:tcPr>
            <w:tcW w:w="6520" w:type="dxa"/>
            <w:vAlign w:val="bottom"/>
            <w:shd w:val="clear" w:color="auto" w:fill="CCFFCC"/>
          </w:tcPr>
          <w:p>
            <w:pPr>
              <w:ind w:left="500"/>
              <w:spacing w:after="0"/>
              <w:rPr>
                <w:sz w:val="20"/>
                <w:szCs w:val="20"/>
                <w:color w:val="auto"/>
              </w:rPr>
            </w:pPr>
            <w:r>
              <w:rPr>
                <w:rFonts w:ascii="Arial" w:cs="Arial" w:eastAsia="Arial" w:hAnsi="Arial"/>
                <w:sz w:val="18"/>
                <w:szCs w:val="18"/>
                <w:color w:val="auto"/>
              </w:rPr>
              <w:t>Accounts payable - trade</w:t>
            </w:r>
          </w:p>
        </w:tc>
        <w:tc>
          <w:tcPr>
            <w:tcW w:w="22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1,272</w:t>
            </w:r>
          </w:p>
        </w:tc>
        <w:tc>
          <w:tcPr>
            <w:tcW w:w="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388</w:t>
            </w:r>
          </w:p>
        </w:tc>
        <w:tc>
          <w:tcPr>
            <w:tcW w:w="30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(1,729)</w:t>
            </w:r>
          </w:p>
        </w:tc>
      </w:tr>
      <w:tr>
        <w:trPr>
          <w:trHeight w:val="243"/>
        </w:trPr>
        <w:tc>
          <w:tcPr>
            <w:tcW w:w="6520" w:type="dxa"/>
            <w:vAlign w:val="bottom"/>
          </w:tcPr>
          <w:p>
            <w:pPr>
              <w:ind w:left="50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118</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189</w:t>
            </w:r>
          </w:p>
        </w:tc>
        <w:tc>
          <w:tcPr>
            <w:tcW w:w="3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(118)</w:t>
            </w:r>
          </w:p>
        </w:tc>
      </w:tr>
      <w:tr>
        <w:trPr>
          <w:trHeight w:val="243"/>
        </w:trPr>
        <w:tc>
          <w:tcPr>
            <w:tcW w:w="6520" w:type="dxa"/>
            <w:vAlign w:val="bottom"/>
            <w:shd w:val="clear" w:color="auto" w:fill="CCFFCC"/>
          </w:tcPr>
          <w:p>
            <w:pPr>
              <w:ind w:left="500"/>
              <w:spacing w:after="0"/>
              <w:rPr>
                <w:sz w:val="20"/>
                <w:szCs w:val="20"/>
                <w:color w:val="auto"/>
              </w:rPr>
            </w:pPr>
            <w:r>
              <w:rPr>
                <w:rFonts w:ascii="Arial" w:cs="Arial" w:eastAsia="Arial" w:hAnsi="Arial"/>
                <w:sz w:val="18"/>
                <w:szCs w:val="18"/>
                <w:color w:val="auto"/>
              </w:rPr>
              <w:t>Liability for employee benefit plans</w:t>
            </w:r>
          </w:p>
        </w:tc>
        <w:tc>
          <w:tcPr>
            <w:tcW w:w="22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1,330</w:t>
            </w:r>
          </w:p>
        </w:tc>
        <w:tc>
          <w:tcPr>
            <w:tcW w:w="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2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1,052</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1,655</w:t>
            </w:r>
          </w:p>
        </w:tc>
      </w:tr>
      <w:tr>
        <w:trPr>
          <w:trHeight w:val="243"/>
        </w:trPr>
        <w:tc>
          <w:tcPr>
            <w:tcW w:w="6520" w:type="dxa"/>
            <w:vAlign w:val="bottom"/>
          </w:tcPr>
          <w:p>
            <w:pPr>
              <w:ind w:left="500"/>
              <w:spacing w:after="0"/>
              <w:rPr>
                <w:sz w:val="20"/>
                <w:szCs w:val="20"/>
                <w:color w:val="auto"/>
              </w:rPr>
            </w:pPr>
            <w:r>
              <w:rPr>
                <w:rFonts w:ascii="Arial" w:cs="Arial" w:eastAsia="Arial" w:hAnsi="Arial"/>
                <w:sz w:val="18"/>
                <w:szCs w:val="18"/>
                <w:color w:val="auto"/>
              </w:rPr>
              <w:t>Income taxes</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(525)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(3,253)</w:t>
            </w: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3,517</w:t>
            </w:r>
          </w:p>
        </w:tc>
      </w:tr>
      <w:tr>
        <w:trPr>
          <w:trHeight w:val="250"/>
        </w:trPr>
        <w:tc>
          <w:tcPr>
            <w:tcW w:w="6520" w:type="dxa"/>
            <w:vAlign w:val="bottom"/>
            <w:tcBorders>
              <w:bottom w:val="single" w:sz="8" w:color="CCFFCC"/>
            </w:tcBorders>
            <w:shd w:val="clear" w:color="auto" w:fill="CCFFCC"/>
          </w:tcPr>
          <w:p>
            <w:pPr>
              <w:ind w:left="50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spacing w:after="0"/>
              <w:rPr>
                <w:sz w:val="21"/>
                <w:szCs w:val="21"/>
                <w:color w:val="auto"/>
              </w:rPr>
            </w:pPr>
          </w:p>
        </w:tc>
        <w:tc>
          <w:tcPr>
            <w:tcW w:w="620" w:type="dxa"/>
            <w:vAlign w:val="bottom"/>
            <w:tcBorders>
              <w:bottom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(505)</w:t>
            </w: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146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(465)</w:t>
            </w:r>
          </w:p>
        </w:tc>
        <w:tc>
          <w:tcPr>
            <w:tcW w:w="30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(67)</w:t>
            </w:r>
          </w:p>
        </w:tc>
      </w:tr>
      <w:tr>
        <w:trPr>
          <w:trHeight w:val="20"/>
        </w:trPr>
        <w:tc>
          <w:tcPr>
            <w:tcW w:w="652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64"/>
        </w:trPr>
        <w:tc>
          <w:tcPr>
            <w:tcW w:w="6520" w:type="dxa"/>
            <w:vAlign w:val="bottom"/>
          </w:tcPr>
          <w:p>
            <w:pPr>
              <w:ind w:left="660"/>
              <w:spacing w:after="0"/>
              <w:rPr>
                <w:sz w:val="20"/>
                <w:szCs w:val="20"/>
                <w:color w:val="auto"/>
              </w:rPr>
            </w:pPr>
            <w:r>
              <w:rPr>
                <w:rFonts w:ascii="Arial" w:cs="Arial" w:eastAsia="Arial" w:hAnsi="Arial"/>
                <w:sz w:val="18"/>
                <w:szCs w:val="18"/>
                <w:color w:val="auto"/>
              </w:rPr>
              <w:t>Net cash (used in) provided by operating activities</w:t>
            </w: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(6,646)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(2,504)</w:t>
            </w:r>
          </w:p>
        </w:tc>
        <w:tc>
          <w:tcPr>
            <w:tcW w:w="300" w:type="dxa"/>
            <w:vAlign w:val="bottom"/>
          </w:tcPr>
          <w:p>
            <w:pPr>
              <w:spacing w:after="0"/>
              <w:rPr>
                <w:sz w:val="22"/>
                <w:szCs w:val="2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2,536</w:t>
            </w:r>
          </w:p>
        </w:tc>
      </w:tr>
      <w:tr>
        <w:trPr>
          <w:trHeight w:val="237"/>
        </w:trPr>
        <w:tc>
          <w:tcPr>
            <w:tcW w:w="652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900" w:type="dxa"/>
            <w:vAlign w:val="bottom"/>
            <w:tcBorders>
              <w:top w:val="single" w:sz="8" w:color="auto"/>
            </w:tcBorders>
            <w:shd w:val="clear" w:color="auto" w:fill="CCFFCC"/>
          </w:tcPr>
          <w:p>
            <w:pPr>
              <w:spacing w:after="0"/>
              <w:rPr>
                <w:sz w:val="20"/>
                <w:szCs w:val="20"/>
                <w:color w:val="auto"/>
              </w:rPr>
            </w:pPr>
          </w:p>
        </w:tc>
        <w:tc>
          <w:tcPr>
            <w:tcW w:w="480" w:type="dxa"/>
            <w:vAlign w:val="bottom"/>
            <w:tcBorders>
              <w:top w:val="single" w:sz="8" w:color="auto"/>
            </w:tcBorders>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40" w:type="dxa"/>
            <w:vAlign w:val="bottom"/>
            <w:tcBorders>
              <w:top w:val="single" w:sz="8" w:color="auto"/>
            </w:tcBorders>
            <w:shd w:val="clear" w:color="auto" w:fill="CCFFCC"/>
          </w:tcPr>
          <w:p>
            <w:pPr>
              <w:spacing w:after="0"/>
              <w:rPr>
                <w:sz w:val="20"/>
                <w:szCs w:val="20"/>
                <w:color w:val="auto"/>
              </w:rPr>
            </w:pPr>
          </w:p>
        </w:tc>
        <w:tc>
          <w:tcPr>
            <w:tcW w:w="124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300" w:type="dxa"/>
            <w:vAlign w:val="bottom"/>
            <w:tcBorders>
              <w:top w:val="single" w:sz="8" w:color="auto"/>
            </w:tcBorders>
            <w:shd w:val="clear" w:color="auto" w:fill="CCFFCC"/>
          </w:tcPr>
          <w:p>
            <w:pPr>
              <w:spacing w:after="0"/>
              <w:rPr>
                <w:sz w:val="20"/>
                <w:szCs w:val="20"/>
                <w:color w:val="auto"/>
              </w:rPr>
            </w:pPr>
          </w:p>
        </w:tc>
        <w:tc>
          <w:tcPr>
            <w:tcW w:w="10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65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520" w:type="dxa"/>
            <w:vAlign w:val="bottom"/>
            <w:shd w:val="clear" w:color="auto" w:fill="CCFFCC"/>
          </w:tcPr>
          <w:p>
            <w:pPr>
              <w:ind w:left="500"/>
              <w:spacing w:after="0"/>
              <w:rPr>
                <w:sz w:val="20"/>
                <w:szCs w:val="20"/>
                <w:color w:val="auto"/>
              </w:rPr>
            </w:pPr>
            <w:r>
              <w:rPr>
                <w:rFonts w:ascii="Arial" w:cs="Arial" w:eastAsia="Arial" w:hAnsi="Arial"/>
                <w:sz w:val="18"/>
                <w:szCs w:val="18"/>
                <w:color w:val="auto"/>
              </w:rPr>
              <w:t>Purchase of minority interest in technology partners</w:t>
            </w:r>
          </w:p>
        </w:tc>
        <w:tc>
          <w:tcPr>
            <w:tcW w:w="22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6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1"/>
              </w:rPr>
              <w:t>(1,817)</w:t>
            </w:r>
          </w:p>
        </w:tc>
        <w:tc>
          <w:tcPr>
            <w:tcW w:w="10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(20)</w:t>
            </w:r>
          </w:p>
        </w:tc>
        <w:tc>
          <w:tcPr>
            <w:tcW w:w="30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(835)</w:t>
            </w:r>
          </w:p>
        </w:tc>
      </w:tr>
      <w:tr>
        <w:trPr>
          <w:trHeight w:val="243"/>
        </w:trPr>
        <w:tc>
          <w:tcPr>
            <w:tcW w:w="6520" w:type="dxa"/>
            <w:vAlign w:val="bottom"/>
          </w:tcPr>
          <w:p>
            <w:pPr>
              <w:ind w:left="500"/>
              <w:spacing w:after="0"/>
              <w:rPr>
                <w:sz w:val="20"/>
                <w:szCs w:val="20"/>
                <w:color w:val="auto"/>
              </w:rPr>
            </w:pPr>
            <w:r>
              <w:rPr>
                <w:rFonts w:ascii="Arial" w:cs="Arial" w:eastAsia="Arial" w:hAnsi="Arial"/>
                <w:sz w:val="18"/>
                <w:szCs w:val="18"/>
                <w:color w:val="auto"/>
              </w:rPr>
              <w:t>Loan to investee technology partner</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(1,500)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6520" w:type="dxa"/>
            <w:vAlign w:val="bottom"/>
            <w:shd w:val="clear" w:color="auto" w:fill="CCFFCC"/>
          </w:tcPr>
          <w:p>
            <w:pPr>
              <w:ind w:left="500"/>
              <w:spacing w:after="0"/>
              <w:rPr>
                <w:sz w:val="20"/>
                <w:szCs w:val="20"/>
                <w:color w:val="auto"/>
              </w:rPr>
            </w:pPr>
            <w:r>
              <w:rPr>
                <w:rFonts w:ascii="Arial" w:cs="Arial" w:eastAsia="Arial" w:hAnsi="Arial"/>
                <w:sz w:val="18"/>
                <w:szCs w:val="18"/>
                <w:color w:val="auto"/>
              </w:rPr>
              <w:t>Payment for acquisition</w:t>
            </w:r>
          </w:p>
        </w:tc>
        <w:tc>
          <w:tcPr>
            <w:tcW w:w="22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(84)</w:t>
            </w:r>
          </w:p>
        </w:tc>
        <w:tc>
          <w:tcPr>
            <w:tcW w:w="30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(135)</w:t>
            </w:r>
          </w:p>
        </w:tc>
      </w:tr>
      <w:tr>
        <w:trPr>
          <w:trHeight w:val="243"/>
        </w:trPr>
        <w:tc>
          <w:tcPr>
            <w:tcW w:w="6520" w:type="dxa"/>
            <w:vAlign w:val="bottom"/>
          </w:tcPr>
          <w:p>
            <w:pPr>
              <w:ind w:left="500"/>
              <w:spacing w:after="0"/>
              <w:rPr>
                <w:sz w:val="20"/>
                <w:szCs w:val="20"/>
                <w:color w:val="auto"/>
              </w:rPr>
            </w:pPr>
            <w:r>
              <w:rPr>
                <w:rFonts w:ascii="Arial" w:cs="Arial" w:eastAsia="Arial" w:hAnsi="Arial"/>
                <w:sz w:val="18"/>
                <w:szCs w:val="18"/>
                <w:color w:val="auto"/>
              </w:rPr>
              <w:t>Purchase of marketable securities</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1"/>
              </w:rPr>
              <w:t>(1,490)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(11,518)</w:t>
            </w:r>
          </w:p>
        </w:tc>
        <w:tc>
          <w:tcPr>
            <w:tcW w:w="3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(6,393)</w:t>
            </w:r>
          </w:p>
        </w:tc>
      </w:tr>
      <w:tr>
        <w:trPr>
          <w:trHeight w:val="243"/>
        </w:trPr>
        <w:tc>
          <w:tcPr>
            <w:tcW w:w="6520" w:type="dxa"/>
            <w:vAlign w:val="bottom"/>
            <w:shd w:val="clear" w:color="auto" w:fill="CCFFCC"/>
          </w:tcPr>
          <w:p>
            <w:pPr>
              <w:ind w:left="500"/>
              <w:spacing w:after="0"/>
              <w:rPr>
                <w:sz w:val="20"/>
                <w:szCs w:val="20"/>
                <w:color w:val="auto"/>
              </w:rPr>
            </w:pPr>
            <w:r>
              <w:rPr>
                <w:rFonts w:ascii="Arial" w:cs="Arial" w:eastAsia="Arial" w:hAnsi="Arial"/>
                <w:sz w:val="18"/>
                <w:szCs w:val="18"/>
                <w:color w:val="auto"/>
              </w:rPr>
              <w:t>Proceeds from sale or redemption of marketable</w:t>
            </w:r>
          </w:p>
        </w:tc>
        <w:tc>
          <w:tcPr>
            <w:tcW w:w="22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24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6520" w:type="dxa"/>
            <w:vAlign w:val="bottom"/>
            <w:shd w:val="clear" w:color="auto" w:fill="CCFFCC"/>
          </w:tcPr>
          <w:p>
            <w:pPr>
              <w:ind w:left="660"/>
              <w:spacing w:after="0"/>
              <w:rPr>
                <w:sz w:val="20"/>
                <w:szCs w:val="20"/>
                <w:color w:val="auto"/>
              </w:rPr>
            </w:pPr>
            <w:r>
              <w:rPr>
                <w:rFonts w:ascii="Arial" w:cs="Arial" w:eastAsia="Arial" w:hAnsi="Arial"/>
                <w:sz w:val="18"/>
                <w:szCs w:val="18"/>
                <w:color w:val="auto"/>
              </w:rPr>
              <w:t>securities</w:t>
            </w:r>
          </w:p>
        </w:tc>
        <w:tc>
          <w:tcPr>
            <w:tcW w:w="22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9,568</w:t>
            </w:r>
          </w:p>
        </w:tc>
        <w:tc>
          <w:tcPr>
            <w:tcW w:w="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13,068</w:t>
            </w:r>
          </w:p>
        </w:tc>
        <w:tc>
          <w:tcPr>
            <w:tcW w:w="30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12,514</w:t>
            </w:r>
          </w:p>
        </w:tc>
      </w:tr>
      <w:tr>
        <w:trPr>
          <w:trHeight w:val="243"/>
        </w:trPr>
        <w:tc>
          <w:tcPr>
            <w:tcW w:w="6520" w:type="dxa"/>
            <w:vAlign w:val="bottom"/>
          </w:tcPr>
          <w:p>
            <w:pPr>
              <w:ind w:left="500"/>
              <w:spacing w:after="0"/>
              <w:rPr>
                <w:sz w:val="20"/>
                <w:szCs w:val="20"/>
                <w:color w:val="auto"/>
              </w:rPr>
            </w:pPr>
            <w:r>
              <w:rPr>
                <w:rFonts w:ascii="Arial" w:cs="Arial" w:eastAsia="Arial" w:hAnsi="Arial"/>
                <w:sz w:val="18"/>
                <w:szCs w:val="18"/>
                <w:color w:val="auto"/>
              </w:rPr>
              <w:t>Proceeds from sale of real property</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975</w:t>
            </w: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6520" w:type="dxa"/>
            <w:vAlign w:val="bottom"/>
            <w:shd w:val="clear" w:color="auto" w:fill="CCFFCC"/>
          </w:tcPr>
          <w:p>
            <w:pPr>
              <w:ind w:left="500"/>
              <w:spacing w:after="0"/>
              <w:rPr>
                <w:sz w:val="20"/>
                <w:szCs w:val="20"/>
                <w:color w:val="auto"/>
              </w:rPr>
            </w:pPr>
            <w:r>
              <w:rPr>
                <w:rFonts w:ascii="Arial" w:cs="Arial" w:eastAsia="Arial" w:hAnsi="Arial"/>
                <w:sz w:val="18"/>
                <w:szCs w:val="18"/>
                <w:color w:val="auto"/>
              </w:rPr>
              <w:t>Capital expenditures</w:t>
            </w:r>
          </w:p>
        </w:tc>
        <w:tc>
          <w:tcPr>
            <w:tcW w:w="22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6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1"/>
              </w:rPr>
              <w:t>(2,712)</w:t>
            </w:r>
          </w:p>
        </w:tc>
        <w:tc>
          <w:tcPr>
            <w:tcW w:w="10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4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(2,104)</w:t>
            </w:r>
          </w:p>
        </w:tc>
        <w:tc>
          <w:tcPr>
            <w:tcW w:w="30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(1,640)</w:t>
            </w:r>
          </w:p>
        </w:tc>
      </w:tr>
      <w:tr>
        <w:trPr>
          <w:trHeight w:val="270"/>
        </w:trPr>
        <w:tc>
          <w:tcPr>
            <w:tcW w:w="6520" w:type="dxa"/>
            <w:vAlign w:val="bottom"/>
          </w:tcPr>
          <w:p>
            <w:pPr>
              <w:ind w:left="500"/>
              <w:spacing w:after="0"/>
              <w:rPr>
                <w:sz w:val="20"/>
                <w:szCs w:val="20"/>
                <w:color w:val="auto"/>
              </w:rPr>
            </w:pPr>
            <w:r>
              <w:rPr>
                <w:rFonts w:ascii="Arial" w:cs="Arial" w:eastAsia="Arial" w:hAnsi="Arial"/>
                <w:sz w:val="18"/>
                <w:szCs w:val="18"/>
                <w:color w:val="auto"/>
              </w:rPr>
              <w:t>Other- net</w:t>
            </w:r>
          </w:p>
        </w:tc>
        <w:tc>
          <w:tcPr>
            <w:tcW w:w="220" w:type="dxa"/>
            <w:vAlign w:val="bottom"/>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3"/>
                <w:szCs w:val="23"/>
                <w:color w:val="auto"/>
              </w:rPr>
            </w:pPr>
          </w:p>
        </w:tc>
      </w:tr>
      <w:tr>
        <w:trPr>
          <w:trHeight w:val="244"/>
        </w:trPr>
        <w:tc>
          <w:tcPr>
            <w:tcW w:w="6520" w:type="dxa"/>
            <w:vAlign w:val="bottom"/>
            <w:tcBorders>
              <w:bottom w:val="single" w:sz="8" w:color="CCFFCC"/>
            </w:tcBorders>
            <w:shd w:val="clear" w:color="auto" w:fill="CCFFCC"/>
          </w:tcPr>
          <w:p>
            <w:pPr>
              <w:ind w:left="660"/>
              <w:spacing w:after="0"/>
              <w:rPr>
                <w:sz w:val="20"/>
                <w:szCs w:val="20"/>
                <w:color w:val="auto"/>
              </w:rPr>
            </w:pPr>
            <w:r>
              <w:rPr>
                <w:rFonts w:ascii="Arial" w:cs="Arial" w:eastAsia="Arial" w:hAnsi="Arial"/>
                <w:sz w:val="18"/>
                <w:szCs w:val="18"/>
                <w:color w:val="auto"/>
              </w:rPr>
              <w:t>Net cash provided by investing activities</w:t>
            </w:r>
          </w:p>
        </w:tc>
        <w:tc>
          <w:tcPr>
            <w:tcW w:w="22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spacing w:after="0"/>
              <w:rPr>
                <w:sz w:val="21"/>
                <w:szCs w:val="21"/>
                <w:color w:val="auto"/>
              </w:rPr>
            </w:pPr>
          </w:p>
        </w:tc>
        <w:tc>
          <w:tcPr>
            <w:tcW w:w="4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2,049</w:t>
            </w:r>
          </w:p>
        </w:tc>
        <w:tc>
          <w:tcPr>
            <w:tcW w:w="1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146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317</w:t>
            </w:r>
          </w:p>
        </w:tc>
        <w:tc>
          <w:tcPr>
            <w:tcW w:w="30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3,583</w:t>
            </w:r>
          </w:p>
        </w:tc>
      </w:tr>
      <w:tr>
        <w:trPr>
          <w:trHeight w:val="20"/>
        </w:trPr>
        <w:tc>
          <w:tcPr>
            <w:tcW w:w="652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8" w:name="page39"/>
    <w:bookmarkEnd w:id="38"/>
    <w:p>
      <w:pPr>
        <w:jc w:val="center"/>
        <w:ind w:right="20"/>
        <w:spacing w:after="0"/>
        <w:rPr>
          <w:sz w:val="20"/>
          <w:szCs w:val="20"/>
          <w:color w:val="auto"/>
        </w:rPr>
      </w:pPr>
      <w:r>
        <w:rPr>
          <w:rFonts w:ascii="Arial" w:cs="Arial" w:eastAsia="Arial" w:hAnsi="Arial"/>
          <w:sz w:val="17"/>
          <w:szCs w:val="17"/>
          <w:color w:val="auto"/>
        </w:rPr>
        <w:t>FREQUENCY ELECTRONICS, INC. and SUBSIDIARIES</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Years ended April 30, 2007, 2006 and 2005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(Continued)</w:t>
      </w:r>
    </w:p>
    <w:p>
      <w:pPr>
        <w:sectPr>
          <w:pgSz w:w="11900" w:h="16838" w:orient="portrait"/>
          <w:cols w:equalWidth="0" w:num="1">
            <w:col w:w="11420"/>
          </w:cols>
          <w:pgMar w:left="240" w:top="39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financing activities:</w:t>
      </w:r>
    </w:p>
    <w:p>
      <w:pPr>
        <w:spacing w:after="0" w:line="3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Proceeds from short-term debt</w:t>
      </w:r>
    </w:p>
    <w:p>
      <w:pPr>
        <w:spacing w:after="0" w:line="3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Payment of short-term credit and</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long-term obligations</w:t>
      </w:r>
    </w:p>
    <w:p>
      <w:pPr>
        <w:spacing w:after="0" w:line="3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Payment of cash dividend</w:t>
      </w:r>
    </w:p>
    <w:p>
      <w:pPr>
        <w:spacing w:after="0" w:line="3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Repurchase of stock for treasury</w:t>
      </w:r>
    </w:p>
    <w:p>
      <w:pPr>
        <w:spacing w:after="0" w:line="3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Repayment of officer loan</w:t>
      </w:r>
    </w:p>
    <w:p>
      <w:pPr>
        <w:spacing w:after="0" w:line="3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Exercise of stock options</w:t>
      </w:r>
    </w:p>
    <w:p>
      <w:pPr>
        <w:spacing w:after="0" w:line="77" w:lineRule="exact"/>
        <w:rPr>
          <w:sz w:val="20"/>
          <w:szCs w:val="20"/>
          <w:color w:val="auto"/>
        </w:rPr>
      </w:pPr>
    </w:p>
    <w:p>
      <w:pPr>
        <w:jc w:val="right"/>
        <w:ind w:right="1340"/>
        <w:spacing w:after="0"/>
        <w:rPr>
          <w:sz w:val="20"/>
          <w:szCs w:val="20"/>
          <w:color w:val="auto"/>
        </w:rPr>
      </w:pPr>
      <w:r>
        <w:rPr>
          <w:rFonts w:ascii="Arial" w:cs="Arial" w:eastAsia="Arial" w:hAnsi="Arial"/>
          <w:sz w:val="18"/>
          <w:szCs w:val="18"/>
          <w:color w:val="auto"/>
        </w:rPr>
        <w:t>Net cash provided by (used in) financing activities</w:t>
      </w:r>
    </w:p>
    <w:p>
      <w:pPr>
        <w:spacing w:after="0" w:line="320" w:lineRule="exact"/>
        <w:rPr>
          <w:sz w:val="20"/>
          <w:szCs w:val="20"/>
          <w:color w:val="auto"/>
        </w:rPr>
      </w:pPr>
    </w:p>
    <w:p>
      <w:pPr>
        <w:ind w:left="180" w:right="2020" w:hanging="161"/>
        <w:spacing w:after="0" w:line="418" w:lineRule="auto"/>
        <w:rPr>
          <w:sz w:val="20"/>
          <w:szCs w:val="20"/>
          <w:color w:val="auto"/>
        </w:rPr>
      </w:pPr>
      <w:r>
        <w:rPr>
          <w:rFonts w:ascii="Arial" w:cs="Arial" w:eastAsia="Arial" w:hAnsi="Arial"/>
          <w:sz w:val="15"/>
          <w:szCs w:val="15"/>
          <w:color w:val="auto"/>
        </w:rPr>
        <w:t>Net (decrease) increase in cash and cash equivalents before effect of exchange rate changes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Effect of exchange rate changes on cash and</w:t>
      </w:r>
    </w:p>
    <w:p>
      <w:pPr>
        <w:spacing w:after="0" w:line="3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equivalents</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20" w:type="dxa"/>
            <w:vAlign w:val="bottom"/>
          </w:tcPr>
          <w:p>
            <w:pPr>
              <w:spacing w:after="0"/>
              <w:rPr>
                <w:sz w:val="20"/>
                <w:szCs w:val="20"/>
                <w:color w:val="auto"/>
              </w:rPr>
            </w:pPr>
          </w:p>
        </w:tc>
        <w:tc>
          <w:tcPr>
            <w:tcW w:w="14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2007</w:t>
            </w: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2006</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20"/>
                <w:szCs w:val="20"/>
                <w:color w:val="auto"/>
              </w:rPr>
            </w:pPr>
          </w:p>
        </w:tc>
      </w:tr>
      <w:tr>
        <w:trPr>
          <w:trHeight w:val="237"/>
        </w:trPr>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jc w:val="right"/>
              <w:ind w:right="420"/>
              <w:spacing w:after="0"/>
              <w:rPr>
                <w:sz w:val="20"/>
                <w:szCs w:val="20"/>
                <w:color w:val="auto"/>
              </w:rPr>
            </w:pPr>
            <w:r>
              <w:rPr>
                <w:rFonts w:ascii="Arial" w:cs="Arial" w:eastAsia="Arial" w:hAnsi="Arial"/>
                <w:sz w:val="18"/>
                <w:szCs w:val="18"/>
                <w:color w:val="auto"/>
              </w:rPr>
              <w:t>(In thousands)</w:t>
            </w: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86"/>
        </w:trPr>
        <w:tc>
          <w:tcPr>
            <w:tcW w:w="1620" w:type="dxa"/>
            <w:vAlign w:val="bottom"/>
            <w:gridSpan w:val="2"/>
          </w:tcPr>
          <w:p>
            <w:pPr>
              <w:jc w:val="right"/>
              <w:spacing w:after="0"/>
              <w:rPr>
                <w:sz w:val="20"/>
                <w:szCs w:val="20"/>
                <w:color w:val="auto"/>
              </w:rPr>
            </w:pPr>
            <w:r>
              <w:rPr>
                <w:rFonts w:ascii="Arial" w:cs="Arial" w:eastAsia="Arial" w:hAnsi="Arial"/>
                <w:sz w:val="18"/>
                <w:szCs w:val="18"/>
                <w:color w:val="auto"/>
              </w:rPr>
              <w:t>5,000</w:t>
            </w:r>
          </w:p>
        </w:tc>
        <w:tc>
          <w:tcPr>
            <w:tcW w:w="2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24"/>
                <w:szCs w:val="24"/>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1,548</w:t>
            </w:r>
          </w:p>
        </w:tc>
      </w:tr>
      <w:tr>
        <w:trPr>
          <w:trHeight w:val="486"/>
        </w:trPr>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4"/>
                <w:szCs w:val="24"/>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(1,009)</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(5,264)</w:t>
            </w:r>
          </w:p>
        </w:tc>
      </w:tr>
      <w:tr>
        <w:trPr>
          <w:trHeight w:val="243"/>
        </w:trPr>
        <w:tc>
          <w:tcPr>
            <w:tcW w:w="1840" w:type="dxa"/>
            <w:vAlign w:val="bottom"/>
            <w:gridSpan w:val="3"/>
          </w:tcPr>
          <w:p>
            <w:pPr>
              <w:jc w:val="right"/>
              <w:ind w:right="180"/>
              <w:spacing w:after="0"/>
              <w:rPr>
                <w:sz w:val="20"/>
                <w:szCs w:val="20"/>
                <w:color w:val="auto"/>
              </w:rPr>
            </w:pPr>
            <w:r>
              <w:rPr>
                <w:rFonts w:ascii="Arial" w:cs="Arial" w:eastAsia="Arial" w:hAnsi="Arial"/>
                <w:sz w:val="18"/>
                <w:szCs w:val="18"/>
                <w:color w:val="auto"/>
              </w:rPr>
              <w:t>(1,717)</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(1,706)</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(1,692)</w:t>
            </w:r>
          </w:p>
        </w:tc>
      </w:tr>
      <w:tr>
        <w:trPr>
          <w:trHeight w:val="243"/>
        </w:trPr>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r>
      <w:tr>
        <w:trPr>
          <w:trHeight w:val="243"/>
        </w:trPr>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r>
      <w:tr>
        <w:trPr>
          <w:trHeight w:val="270"/>
        </w:trPr>
        <w:tc>
          <w:tcPr>
            <w:tcW w:w="220" w:type="dxa"/>
            <w:vAlign w:val="bottom"/>
          </w:tcPr>
          <w:p>
            <w:pPr>
              <w:spacing w:after="0"/>
              <w:rPr>
                <w:sz w:val="23"/>
                <w:szCs w:val="2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c>
          <w:tcPr>
            <w:tcW w:w="220" w:type="dxa"/>
            <w:vAlign w:val="bottom"/>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220" w:type="dxa"/>
            <w:vAlign w:val="bottom"/>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23"/>
                <w:szCs w:val="23"/>
                <w:color w:val="auto"/>
              </w:rPr>
            </w:pPr>
          </w:p>
        </w:tc>
      </w:tr>
      <w:tr>
        <w:trPr>
          <w:trHeight w:val="264"/>
        </w:trPr>
        <w:tc>
          <w:tcPr>
            <w:tcW w:w="1620" w:type="dxa"/>
            <w:vAlign w:val="bottom"/>
            <w:gridSpan w:val="2"/>
          </w:tcPr>
          <w:p>
            <w:pPr>
              <w:jc w:val="right"/>
              <w:spacing w:after="0"/>
              <w:rPr>
                <w:sz w:val="20"/>
                <w:szCs w:val="20"/>
                <w:color w:val="auto"/>
              </w:rPr>
            </w:pPr>
            <w:r>
              <w:rPr>
                <w:rFonts w:ascii="Arial" w:cs="Arial" w:eastAsia="Arial" w:hAnsi="Arial"/>
                <w:sz w:val="18"/>
                <w:szCs w:val="18"/>
                <w:color w:val="auto"/>
              </w:rPr>
              <w:t>3,576</w:t>
            </w:r>
          </w:p>
        </w:tc>
        <w:tc>
          <w:tcPr>
            <w:tcW w:w="220" w:type="dxa"/>
            <w:vAlign w:val="bottom"/>
          </w:tcPr>
          <w:p>
            <w:pPr>
              <w:spacing w:after="0"/>
              <w:rPr>
                <w:sz w:val="22"/>
                <w:szCs w:val="22"/>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(1,571)</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(5,280)</w:t>
            </w:r>
          </w:p>
        </w:tc>
      </w:tr>
      <w:tr>
        <w:trPr>
          <w:trHeight w:val="480"/>
        </w:trPr>
        <w:tc>
          <w:tcPr>
            <w:tcW w:w="220" w:type="dxa"/>
            <w:vAlign w:val="bottom"/>
            <w:tcBorders>
              <w:top w:val="single" w:sz="8" w:color="CCFFCC"/>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r>
      <w:tr>
        <w:trPr>
          <w:trHeight w:val="243"/>
        </w:trPr>
        <w:tc>
          <w:tcPr>
            <w:tcW w:w="1840" w:type="dxa"/>
            <w:vAlign w:val="bottom"/>
            <w:gridSpan w:val="3"/>
            <w:shd w:val="clear" w:color="auto" w:fill="CCFFCC"/>
          </w:tcPr>
          <w:p>
            <w:pPr>
              <w:jc w:val="right"/>
              <w:ind w:right="180"/>
              <w:spacing w:after="0"/>
              <w:rPr>
                <w:sz w:val="20"/>
                <w:szCs w:val="20"/>
                <w:color w:val="auto"/>
              </w:rPr>
            </w:pPr>
            <w:r>
              <w:rPr>
                <w:rFonts w:ascii="Arial" w:cs="Arial" w:eastAsia="Arial" w:hAnsi="Arial"/>
                <w:sz w:val="18"/>
                <w:szCs w:val="18"/>
                <w:color w:val="auto"/>
              </w:rPr>
              <w:t>(1,021)</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(3,758)</w:t>
            </w:r>
          </w:p>
        </w:tc>
        <w:tc>
          <w:tcPr>
            <w:tcW w:w="14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839</w:t>
            </w:r>
          </w:p>
        </w:tc>
      </w:tr>
      <w:tr>
        <w:trPr>
          <w:trHeight w:val="486"/>
        </w:trPr>
        <w:tc>
          <w:tcPr>
            <w:tcW w:w="1840" w:type="dxa"/>
            <w:vAlign w:val="bottom"/>
            <w:gridSpan w:val="3"/>
          </w:tcPr>
          <w:p>
            <w:pPr>
              <w:spacing w:after="0"/>
              <w:rPr>
                <w:sz w:val="24"/>
                <w:szCs w:val="24"/>
                <w:color w:val="auto"/>
              </w:rPr>
            </w:pPr>
          </w:p>
        </w:tc>
        <w:tc>
          <w:tcPr>
            <w:tcW w:w="1600" w:type="dxa"/>
            <w:vAlign w:val="bottom"/>
            <w:gridSpan w:val="2"/>
          </w:tcPr>
          <w:p>
            <w:pPr>
              <w:spacing w:after="0"/>
              <w:rPr>
                <w:sz w:val="24"/>
                <w:szCs w:val="24"/>
                <w:color w:val="auto"/>
              </w:rPr>
            </w:pPr>
          </w:p>
        </w:tc>
        <w:tc>
          <w:tcPr>
            <w:tcW w:w="1460" w:type="dxa"/>
            <w:vAlign w:val="bottom"/>
            <w:gridSpan w:val="2"/>
          </w:tcPr>
          <w:p>
            <w:pPr>
              <w:spacing w:after="0"/>
              <w:rPr>
                <w:sz w:val="24"/>
                <w:szCs w:val="24"/>
                <w:color w:val="auto"/>
              </w:rPr>
            </w:pPr>
          </w:p>
        </w:tc>
      </w:tr>
      <w:tr>
        <w:trPr>
          <w:trHeight w:val="250"/>
        </w:trPr>
        <w:tc>
          <w:tcPr>
            <w:tcW w:w="220" w:type="dxa"/>
            <w:vAlign w:val="bottom"/>
            <w:tcBorders>
              <w:bottom w:val="single" w:sz="8" w:color="CCFFCC"/>
            </w:tcBorders>
            <w:shd w:val="clear" w:color="auto" w:fill="CCFFCC"/>
          </w:tcPr>
          <w:p>
            <w:pPr>
              <w:spacing w:after="0"/>
              <w:rPr>
                <w:sz w:val="21"/>
                <w:szCs w:val="21"/>
                <w:color w:val="auto"/>
              </w:rPr>
            </w:pPr>
          </w:p>
        </w:tc>
        <w:tc>
          <w:tcPr>
            <w:tcW w:w="1620" w:type="dxa"/>
            <w:vAlign w:val="bottom"/>
            <w:tcBorders>
              <w:bottom w:val="single" w:sz="8" w:color="CCFFCC"/>
            </w:tcBorders>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(282)</w:t>
            </w:r>
          </w:p>
        </w:tc>
        <w:tc>
          <w:tcPr>
            <w:tcW w:w="16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(304)</w:t>
            </w:r>
          </w:p>
        </w:tc>
        <w:tc>
          <w:tcPr>
            <w:tcW w:w="14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163</w:t>
            </w:r>
          </w:p>
        </w:tc>
      </w:tr>
      <w:tr>
        <w:trPr>
          <w:trHeight w:val="20"/>
        </w:trPr>
        <w:tc>
          <w:tcPr>
            <w:tcW w:w="220" w:type="dxa"/>
            <w:vAlign w:val="bottom"/>
            <w:shd w:val="clear" w:color="auto" w:fill="CCFFCC"/>
          </w:tcPr>
          <w:p>
            <w:pPr>
              <w:spacing w:after="0" w:line="20" w:lineRule="exact"/>
              <w:rPr>
                <w:sz w:val="1"/>
                <w:szCs w:val="1"/>
                <w:color w:val="auto"/>
              </w:rPr>
            </w:pPr>
          </w:p>
        </w:tc>
        <w:tc>
          <w:tcPr>
            <w:tcW w:w="1400" w:type="dxa"/>
            <w:vAlign w:val="bottom"/>
            <w:tcBorders>
              <w:right w:val="single" w:sz="8" w:color="CCFFCC"/>
            </w:tcBorders>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-4134485</wp:posOffset>
            </wp:positionH>
            <wp:positionV relativeFrom="paragraph">
              <wp:posOffset>-2237740</wp:posOffset>
            </wp:positionV>
            <wp:extent cx="724662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-1774825</wp:posOffset>
            </wp:positionV>
            <wp:extent cx="7246620" cy="1543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-1465580</wp:posOffset>
            </wp:positionV>
            <wp:extent cx="7246620"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-796925</wp:posOffset>
            </wp:positionV>
            <wp:extent cx="7246620" cy="3086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-1131570</wp:posOffset>
            </wp:positionV>
            <wp:extent cx="7246620" cy="1803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-4134485</wp:posOffset>
            </wp:positionH>
            <wp:positionV relativeFrom="paragraph">
              <wp:posOffset>-334010</wp:posOffset>
            </wp:positionV>
            <wp:extent cx="7246620" cy="3346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3346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00" w:space="720"/>
            <w:col w:w="4900"/>
          </w:cols>
          <w:pgMar w:left="240" w:top="395" w:right="239" w:bottom="1440" w:gutter="0" w:footer="0" w:header="0"/>
          <w:type w:val="continuous"/>
        </w:sectPr>
      </w:pP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Net (decrease) increase in cash and cash equivalents</w:t>
            </w:r>
          </w:p>
        </w:tc>
        <w:tc>
          <w:tcPr>
            <w:tcW w:w="220" w:type="dxa"/>
            <w:vAlign w:val="bottom"/>
            <w:shd w:val="clear" w:color="auto" w:fill="CCFFCC"/>
          </w:tcPr>
          <w:p>
            <w:pPr>
              <w:spacing w:after="0"/>
              <w:rPr>
                <w:sz w:val="21"/>
                <w:szCs w:val="21"/>
                <w:color w:val="auto"/>
              </w:rPr>
            </w:pPr>
          </w:p>
        </w:tc>
        <w:tc>
          <w:tcPr>
            <w:tcW w:w="50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(1,303)</w:t>
            </w:r>
          </w:p>
        </w:tc>
        <w:tc>
          <w:tcPr>
            <w:tcW w:w="100" w:type="dxa"/>
            <w:vAlign w:val="bottom"/>
            <w:shd w:val="clear" w:color="auto" w:fill="CCFFCC"/>
          </w:tcPr>
          <w:p>
            <w:pPr>
              <w:spacing w:after="0"/>
              <w:rPr>
                <w:sz w:val="21"/>
                <w:szCs w:val="21"/>
                <w:color w:val="auto"/>
              </w:rPr>
            </w:pPr>
          </w:p>
        </w:tc>
        <w:tc>
          <w:tcPr>
            <w:tcW w:w="500" w:type="dxa"/>
            <w:vAlign w:val="bottom"/>
            <w:shd w:val="clear" w:color="auto" w:fill="CCFFCC"/>
          </w:tcPr>
          <w:p>
            <w:pPr>
              <w:spacing w:after="0"/>
              <w:rPr>
                <w:sz w:val="21"/>
                <w:szCs w:val="21"/>
                <w:color w:val="auto"/>
              </w:rPr>
            </w:pPr>
          </w:p>
        </w:tc>
        <w:tc>
          <w:tcPr>
            <w:tcW w:w="11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(4,062)</w:t>
            </w:r>
          </w:p>
        </w:tc>
        <w:tc>
          <w:tcPr>
            <w:tcW w:w="520" w:type="dxa"/>
            <w:vAlign w:val="bottom"/>
            <w:shd w:val="clear" w:color="auto" w:fill="CCFFCC"/>
          </w:tcPr>
          <w:p>
            <w:pPr>
              <w:spacing w:after="0"/>
              <w:rPr>
                <w:sz w:val="21"/>
                <w:szCs w:val="21"/>
                <w:color w:val="auto"/>
              </w:rPr>
            </w:pP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1,002</w:t>
            </w:r>
          </w:p>
        </w:tc>
      </w:tr>
      <w:tr>
        <w:trPr>
          <w:trHeight w:val="243"/>
        </w:trPr>
        <w:tc>
          <w:tcPr>
            <w:tcW w:w="65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5"/>
        </w:trPr>
        <w:tc>
          <w:tcPr>
            <w:tcW w:w="65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Cash and cash equivalents at beginning of year</w:t>
            </w:r>
          </w:p>
        </w:tc>
        <w:tc>
          <w:tcPr>
            <w:tcW w:w="220" w:type="dxa"/>
            <w:vAlign w:val="bottom"/>
            <w:tcBorders>
              <w:bottom w:val="single" w:sz="8" w:color="CCFFCC"/>
            </w:tcBorders>
            <w:shd w:val="clear" w:color="auto" w:fill="CCFFCC"/>
          </w:tcPr>
          <w:p>
            <w:pPr>
              <w:spacing w:after="0"/>
              <w:rPr>
                <w:sz w:val="23"/>
                <w:szCs w:val="23"/>
                <w:color w:val="auto"/>
              </w:rPr>
            </w:pPr>
          </w:p>
        </w:tc>
        <w:tc>
          <w:tcPr>
            <w:tcW w:w="500" w:type="dxa"/>
            <w:vAlign w:val="bottom"/>
            <w:tcBorders>
              <w:bottom w:val="single" w:sz="8" w:color="CCFFCC"/>
            </w:tcBorders>
            <w:shd w:val="clear" w:color="auto" w:fill="CCFFCC"/>
          </w:tcPr>
          <w:p>
            <w:pPr>
              <w:spacing w:after="0"/>
              <w:rPr>
                <w:sz w:val="23"/>
                <w:szCs w:val="23"/>
                <w:color w:val="auto"/>
              </w:rPr>
            </w:pPr>
          </w:p>
        </w:tc>
        <w:tc>
          <w:tcPr>
            <w:tcW w:w="1020" w:type="dxa"/>
            <w:vAlign w:val="bottom"/>
            <w:tcBorders>
              <w:bottom w:val="single" w:sz="8" w:color="CCFFCC"/>
            </w:tcBorders>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2,639</w:t>
            </w:r>
          </w:p>
        </w:tc>
        <w:tc>
          <w:tcPr>
            <w:tcW w:w="100" w:type="dxa"/>
            <w:vAlign w:val="bottom"/>
            <w:tcBorders>
              <w:bottom w:val="single" w:sz="8" w:color="CCFFCC"/>
            </w:tcBorders>
            <w:shd w:val="clear" w:color="auto" w:fill="CCFFCC"/>
          </w:tcPr>
          <w:p>
            <w:pPr>
              <w:spacing w:after="0"/>
              <w:rPr>
                <w:sz w:val="23"/>
                <w:szCs w:val="23"/>
                <w:color w:val="auto"/>
              </w:rPr>
            </w:pPr>
          </w:p>
        </w:tc>
        <w:tc>
          <w:tcPr>
            <w:tcW w:w="500" w:type="dxa"/>
            <w:vAlign w:val="bottom"/>
            <w:tcBorders>
              <w:bottom w:val="single" w:sz="8" w:color="CCFFCC"/>
            </w:tcBorders>
            <w:shd w:val="clear" w:color="auto" w:fill="CCFFCC"/>
          </w:tcPr>
          <w:p>
            <w:pPr>
              <w:spacing w:after="0"/>
              <w:rPr>
                <w:sz w:val="23"/>
                <w:szCs w:val="23"/>
                <w:color w:val="auto"/>
              </w:rPr>
            </w:pPr>
          </w:p>
        </w:tc>
        <w:tc>
          <w:tcPr>
            <w:tcW w:w="8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6,701</w:t>
            </w:r>
          </w:p>
        </w:tc>
        <w:tc>
          <w:tcPr>
            <w:tcW w:w="220" w:type="dxa"/>
            <w:vAlign w:val="bottom"/>
            <w:tcBorders>
              <w:bottom w:val="single" w:sz="8" w:color="CCFFCC"/>
            </w:tcBorders>
            <w:shd w:val="clear" w:color="auto" w:fill="CCFFCC"/>
          </w:tcPr>
          <w:p>
            <w:pPr>
              <w:spacing w:after="0"/>
              <w:rPr>
                <w:sz w:val="23"/>
                <w:szCs w:val="23"/>
                <w:color w:val="auto"/>
              </w:rPr>
            </w:pPr>
          </w:p>
        </w:tc>
        <w:tc>
          <w:tcPr>
            <w:tcW w:w="520" w:type="dxa"/>
            <w:vAlign w:val="bottom"/>
            <w:tcBorders>
              <w:bottom w:val="single" w:sz="8" w:color="CCFFCC"/>
            </w:tcBorders>
            <w:shd w:val="clear" w:color="auto" w:fill="CCFFCC"/>
          </w:tcPr>
          <w:p>
            <w:pPr>
              <w:spacing w:after="0"/>
              <w:rPr>
                <w:sz w:val="23"/>
                <w:szCs w:val="23"/>
                <w:color w:val="auto"/>
              </w:rPr>
            </w:pPr>
          </w:p>
        </w:tc>
        <w:tc>
          <w:tcPr>
            <w:tcW w:w="94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5,699</w:t>
            </w:r>
          </w:p>
        </w:tc>
      </w:tr>
      <w:tr>
        <w:trPr>
          <w:trHeight w:val="237"/>
        </w:trPr>
        <w:tc>
          <w:tcPr>
            <w:tcW w:w="6520" w:type="dxa"/>
            <w:vAlign w:val="bottom"/>
            <w:tcBorders>
              <w:top w:val="single" w:sz="8" w:color="CCFFCC"/>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40" w:type="dxa"/>
            <w:vAlign w:val="bottom"/>
            <w:tcBorders>
              <w:top w:val="single" w:sz="8" w:color="CCFFCC"/>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83"/>
        </w:trPr>
        <w:tc>
          <w:tcPr>
            <w:tcW w:w="6520" w:type="dxa"/>
            <w:vAlign w:val="bottom"/>
            <w:shd w:val="clear" w:color="auto" w:fill="CCFFCC"/>
          </w:tcPr>
          <w:p>
            <w:pPr>
              <w:spacing w:after="0"/>
              <w:rPr>
                <w:sz w:val="20"/>
                <w:szCs w:val="20"/>
                <w:color w:val="auto"/>
              </w:rPr>
            </w:pPr>
            <w:r>
              <w:rPr>
                <w:rFonts w:ascii="Arial" w:cs="Arial" w:eastAsia="Arial" w:hAnsi="Arial"/>
                <w:sz w:val="18"/>
                <w:szCs w:val="18"/>
                <w:color w:val="auto"/>
              </w:rPr>
              <w:t>Cash and cash equivalents at end of year</w:t>
            </w:r>
          </w:p>
        </w:tc>
        <w:tc>
          <w:tcPr>
            <w:tcW w:w="720" w:type="dxa"/>
            <w:vAlign w:val="bottom"/>
            <w:gridSpan w:val="2"/>
            <w:shd w:val="clear" w:color="auto" w:fill="CCFFCC"/>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1,336</w:t>
            </w:r>
          </w:p>
        </w:tc>
        <w:tc>
          <w:tcPr>
            <w:tcW w:w="600" w:type="dxa"/>
            <w:vAlign w:val="bottom"/>
            <w:gridSpan w:val="2"/>
            <w:shd w:val="clear" w:color="auto" w:fill="CCFFCC"/>
          </w:tcPr>
          <w:p>
            <w:pPr>
              <w:jc w:val="right"/>
              <w:ind w:right="4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2,639</w:t>
            </w:r>
          </w:p>
        </w:tc>
        <w:tc>
          <w:tcPr>
            <w:tcW w:w="220" w:type="dxa"/>
            <w:vAlign w:val="bottom"/>
            <w:shd w:val="clear" w:color="auto" w:fill="CCFFCC"/>
          </w:tcPr>
          <w:p>
            <w:pPr>
              <w:spacing w:after="0"/>
              <w:rPr>
                <w:sz w:val="24"/>
                <w:szCs w:val="24"/>
                <w:color w:val="auto"/>
              </w:rPr>
            </w:pPr>
          </w:p>
        </w:tc>
        <w:tc>
          <w:tcPr>
            <w:tcW w:w="520" w:type="dxa"/>
            <w:vAlign w:val="bottom"/>
            <w:shd w:val="clear" w:color="auto" w:fill="CCFFCC"/>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6,701</w:t>
            </w:r>
          </w:p>
        </w:tc>
      </w:tr>
      <w:tr>
        <w:trPr>
          <w:trHeight w:val="224"/>
        </w:trPr>
        <w:tc>
          <w:tcPr>
            <w:tcW w:w="6520" w:type="dxa"/>
            <w:vAlign w:val="bottom"/>
            <w:tcBorders>
              <w:top w:val="single" w:sz="8" w:color="CCFFCC"/>
            </w:tcBorders>
          </w:tcPr>
          <w:p>
            <w:pPr>
              <w:spacing w:after="0"/>
              <w:rPr>
                <w:sz w:val="19"/>
                <w:szCs w:val="19"/>
                <w:color w:val="auto"/>
              </w:rPr>
            </w:pPr>
          </w:p>
        </w:tc>
        <w:tc>
          <w:tcPr>
            <w:tcW w:w="220" w:type="dxa"/>
            <w:vAlign w:val="bottom"/>
            <w:tcBorders>
              <w:top w:val="single" w:sz="8" w:color="CCFFCC"/>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Borders>
              <w:top w:val="single" w:sz="8" w:color="CCFFCC"/>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Borders>
              <w:top w:val="single" w:sz="8" w:color="CCFFCC"/>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r>
      <w:tr>
        <w:trPr>
          <w:trHeight w:val="243"/>
        </w:trPr>
        <w:tc>
          <w:tcPr>
            <w:tcW w:w="65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50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50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52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6520" w:type="dxa"/>
            <w:vAlign w:val="bottom"/>
          </w:tcPr>
          <w:p>
            <w:pPr>
              <w:spacing w:after="0"/>
              <w:rPr>
                <w:sz w:val="20"/>
                <w:szCs w:val="20"/>
                <w:color w:val="auto"/>
              </w:rPr>
            </w:pPr>
            <w:r>
              <w:rPr>
                <w:rFonts w:ascii="Arial" w:cs="Arial" w:eastAsia="Arial" w:hAnsi="Arial"/>
                <w:sz w:val="18"/>
                <w:szCs w:val="18"/>
                <w:color w:val="auto"/>
              </w:rPr>
              <w:t>Supplemental disclosures of cash flow information:</w:t>
            </w: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520" w:type="dxa"/>
            <w:vAlign w:val="bottom"/>
            <w:shd w:val="clear" w:color="auto" w:fill="CCFFCC"/>
          </w:tcPr>
          <w:p>
            <w:pPr>
              <w:ind w:left="500"/>
              <w:spacing w:after="0"/>
              <w:rPr>
                <w:sz w:val="20"/>
                <w:szCs w:val="20"/>
                <w:color w:val="auto"/>
              </w:rPr>
            </w:pPr>
            <w:r>
              <w:rPr>
                <w:rFonts w:ascii="Arial" w:cs="Arial" w:eastAsia="Arial" w:hAnsi="Arial"/>
                <w:sz w:val="18"/>
                <w:szCs w:val="18"/>
                <w:color w:val="auto"/>
              </w:rPr>
              <w:t>Cash paid during the year for:</w:t>
            </w:r>
          </w:p>
        </w:tc>
        <w:tc>
          <w:tcPr>
            <w:tcW w:w="220" w:type="dxa"/>
            <w:vAlign w:val="bottom"/>
            <w:shd w:val="clear" w:color="auto" w:fill="CCFFCC"/>
          </w:tcPr>
          <w:p>
            <w:pPr>
              <w:spacing w:after="0"/>
              <w:rPr>
                <w:sz w:val="21"/>
                <w:szCs w:val="21"/>
                <w:color w:val="auto"/>
              </w:rPr>
            </w:pPr>
          </w:p>
        </w:tc>
        <w:tc>
          <w:tcPr>
            <w:tcW w:w="50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50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52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6520" w:type="dxa"/>
            <w:vAlign w:val="bottom"/>
          </w:tcPr>
          <w:p>
            <w:pPr>
              <w:ind w:left="820"/>
              <w:spacing w:after="0"/>
              <w:rPr>
                <w:sz w:val="20"/>
                <w:szCs w:val="20"/>
                <w:color w:val="auto"/>
              </w:rPr>
            </w:pPr>
            <w:r>
              <w:rPr>
                <w:rFonts w:ascii="Arial" w:cs="Arial" w:eastAsia="Arial" w:hAnsi="Arial"/>
                <w:sz w:val="18"/>
                <w:szCs w:val="18"/>
                <w:color w:val="auto"/>
              </w:rPr>
              <w:t>Interest</w:t>
            </w:r>
          </w:p>
        </w:tc>
        <w:tc>
          <w:tcPr>
            <w:tcW w:w="220" w:type="dxa"/>
            <w:vAlign w:val="bottom"/>
          </w:tcPr>
          <w:p>
            <w:pPr>
              <w:spacing w:after="0"/>
              <w:rPr>
                <w:sz w:val="21"/>
                <w:szCs w:val="21"/>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21"/>
                <w:szCs w:val="21"/>
                <w:color w:val="auto"/>
              </w:rPr>
            </w:pPr>
          </w:p>
        </w:tc>
        <w:tc>
          <w:tcPr>
            <w:tcW w:w="60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118</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303</w:t>
            </w:r>
          </w:p>
        </w:tc>
      </w:tr>
      <w:tr>
        <w:trPr>
          <w:trHeight w:val="20"/>
        </w:trPr>
        <w:tc>
          <w:tcPr>
            <w:tcW w:w="6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6520" w:type="dxa"/>
            <w:vAlign w:val="bottom"/>
            <w:shd w:val="clear" w:color="auto" w:fill="CCFFCC"/>
          </w:tcPr>
          <w:p>
            <w:pPr>
              <w:ind w:left="820"/>
              <w:spacing w:after="0"/>
              <w:rPr>
                <w:sz w:val="20"/>
                <w:szCs w:val="20"/>
                <w:color w:val="auto"/>
              </w:rPr>
            </w:pPr>
            <w:r>
              <w:rPr>
                <w:rFonts w:ascii="Arial" w:cs="Arial" w:eastAsia="Arial" w:hAnsi="Arial"/>
                <w:sz w:val="18"/>
                <w:szCs w:val="18"/>
                <w:color w:val="auto"/>
              </w:rPr>
              <w:t>Income taxes</w:t>
            </w:r>
          </w:p>
        </w:tc>
        <w:tc>
          <w:tcPr>
            <w:tcW w:w="720" w:type="dxa"/>
            <w:vAlign w:val="bottom"/>
            <w:gridSpan w:val="2"/>
            <w:shd w:val="clear" w:color="auto" w:fill="CCFFCC"/>
          </w:tcPr>
          <w:p>
            <w:pPr>
              <w:jc w:val="right"/>
              <w:ind w:right="31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319</w:t>
            </w:r>
          </w:p>
        </w:tc>
        <w:tc>
          <w:tcPr>
            <w:tcW w:w="600" w:type="dxa"/>
            <w:vAlign w:val="bottom"/>
            <w:gridSpan w:val="2"/>
            <w:shd w:val="clear" w:color="auto" w:fill="CCFFCC"/>
          </w:tcPr>
          <w:p>
            <w:pPr>
              <w:jc w:val="right"/>
              <w:ind w:right="4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4,204</w:t>
            </w:r>
          </w:p>
        </w:tc>
        <w:tc>
          <w:tcPr>
            <w:tcW w:w="220" w:type="dxa"/>
            <w:vAlign w:val="bottom"/>
            <w:shd w:val="clear" w:color="auto" w:fill="CCFFCC"/>
          </w:tcPr>
          <w:p>
            <w:pPr>
              <w:spacing w:after="0"/>
              <w:rPr>
                <w:sz w:val="22"/>
                <w:szCs w:val="22"/>
                <w:color w:val="auto"/>
              </w:rPr>
            </w:pPr>
          </w:p>
        </w:tc>
        <w:tc>
          <w:tcPr>
            <w:tcW w:w="520" w:type="dxa"/>
            <w:vAlign w:val="bottom"/>
            <w:shd w:val="clear" w:color="auto" w:fill="CCFFCC"/>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1,200</w:t>
            </w:r>
          </w:p>
        </w:tc>
      </w:tr>
      <w:tr>
        <w:trPr>
          <w:trHeight w:val="224"/>
        </w:trPr>
        <w:tc>
          <w:tcPr>
            <w:tcW w:w="6520" w:type="dxa"/>
            <w:vAlign w:val="bottom"/>
            <w:tcBorders>
              <w:top w:val="single" w:sz="8" w:color="CCFFCC"/>
            </w:tcBorders>
          </w:tcPr>
          <w:p>
            <w:pPr>
              <w:spacing w:after="0"/>
              <w:rPr>
                <w:sz w:val="19"/>
                <w:szCs w:val="19"/>
                <w:color w:val="auto"/>
              </w:rPr>
            </w:pPr>
          </w:p>
        </w:tc>
        <w:tc>
          <w:tcPr>
            <w:tcW w:w="220" w:type="dxa"/>
            <w:vAlign w:val="bottom"/>
            <w:tcBorders>
              <w:top w:val="single" w:sz="8" w:color="CCFFCC"/>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Borders>
              <w:top w:val="single" w:sz="8" w:color="CCFFCC"/>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20" w:type="dxa"/>
            <w:vAlign w:val="bottom"/>
            <w:tcBorders>
              <w:top w:val="single" w:sz="8" w:color="CCFFCC"/>
            </w:tcBorders>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r>
      <w:tr>
        <w:trPr>
          <w:trHeight w:val="243"/>
        </w:trPr>
        <w:tc>
          <w:tcPr>
            <w:tcW w:w="65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50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50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52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6520" w:type="dxa"/>
            <w:vAlign w:val="bottom"/>
          </w:tcPr>
          <w:p>
            <w:pPr>
              <w:ind w:left="500"/>
              <w:spacing w:after="0"/>
              <w:rPr>
                <w:sz w:val="20"/>
                <w:szCs w:val="20"/>
                <w:color w:val="auto"/>
              </w:rPr>
            </w:pPr>
            <w:r>
              <w:rPr>
                <w:rFonts w:ascii="Arial" w:cs="Arial" w:eastAsia="Arial" w:hAnsi="Arial"/>
                <w:sz w:val="18"/>
                <w:szCs w:val="18"/>
                <w:color w:val="auto"/>
              </w:rPr>
              <w:t>Other activities which affect assets or liabilities but</w:t>
            </w:r>
          </w:p>
        </w:tc>
        <w:tc>
          <w:tcPr>
            <w:tcW w:w="2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520" w:type="dxa"/>
            <w:vAlign w:val="bottom"/>
            <w:shd w:val="clear" w:color="auto" w:fill="CCFFCC"/>
          </w:tcPr>
          <w:p>
            <w:pPr>
              <w:ind w:left="500"/>
              <w:spacing w:after="0"/>
              <w:rPr>
                <w:sz w:val="20"/>
                <w:szCs w:val="20"/>
                <w:color w:val="auto"/>
              </w:rPr>
            </w:pPr>
            <w:r>
              <w:rPr>
                <w:rFonts w:ascii="Arial" w:cs="Arial" w:eastAsia="Arial" w:hAnsi="Arial"/>
                <w:sz w:val="18"/>
                <w:szCs w:val="18"/>
                <w:color w:val="auto"/>
              </w:rPr>
              <w:t>did not result in cash flow during the fiscal years:</w:t>
            </w:r>
          </w:p>
        </w:tc>
        <w:tc>
          <w:tcPr>
            <w:tcW w:w="220" w:type="dxa"/>
            <w:vAlign w:val="bottom"/>
            <w:shd w:val="clear" w:color="auto" w:fill="CCFFCC"/>
          </w:tcPr>
          <w:p>
            <w:pPr>
              <w:spacing w:after="0"/>
              <w:rPr>
                <w:sz w:val="21"/>
                <w:szCs w:val="21"/>
                <w:color w:val="auto"/>
              </w:rPr>
            </w:pPr>
          </w:p>
        </w:tc>
        <w:tc>
          <w:tcPr>
            <w:tcW w:w="50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50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52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6520" w:type="dxa"/>
            <w:vAlign w:val="bottom"/>
          </w:tcPr>
          <w:p>
            <w:pPr>
              <w:spacing w:after="0"/>
              <w:rPr>
                <w:sz w:val="21"/>
                <w:szCs w:val="21"/>
                <w:color w:val="auto"/>
              </w:rPr>
            </w:pPr>
          </w:p>
        </w:tc>
        <w:tc>
          <w:tcPr>
            <w:tcW w:w="720" w:type="dxa"/>
            <w:vAlign w:val="bottom"/>
            <w:gridSpan w:val="2"/>
          </w:tcPr>
          <w:p>
            <w:pPr>
              <w:spacing w:after="0"/>
              <w:rPr>
                <w:sz w:val="21"/>
                <w:szCs w:val="21"/>
                <w:color w:val="auto"/>
              </w:rPr>
            </w:pPr>
          </w:p>
        </w:tc>
        <w:tc>
          <w:tcPr>
            <w:tcW w:w="1020" w:type="dxa"/>
            <w:vAlign w:val="bottom"/>
            <w:gridSpan w:val="2"/>
          </w:tcPr>
          <w:p>
            <w:pPr>
              <w:spacing w:after="0"/>
              <w:rPr>
                <w:sz w:val="21"/>
                <w:szCs w:val="21"/>
                <w:color w:val="auto"/>
              </w:rPr>
            </w:pPr>
          </w:p>
        </w:tc>
        <w:tc>
          <w:tcPr>
            <w:tcW w:w="600" w:type="dxa"/>
            <w:vAlign w:val="bottom"/>
            <w:gridSpan w:val="2"/>
          </w:tcPr>
          <w:p>
            <w:pPr>
              <w:spacing w:after="0"/>
              <w:rPr>
                <w:sz w:val="21"/>
                <w:szCs w:val="21"/>
                <w:color w:val="auto"/>
              </w:rPr>
            </w:pPr>
          </w:p>
        </w:tc>
        <w:tc>
          <w:tcPr>
            <w:tcW w:w="1100" w:type="dxa"/>
            <w:vAlign w:val="bottom"/>
            <w:gridSpan w:val="2"/>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gridSpan w:val="2"/>
          </w:tcPr>
          <w:p>
            <w:pPr>
              <w:spacing w:after="0"/>
              <w:rPr>
                <w:sz w:val="21"/>
                <w:szCs w:val="21"/>
                <w:color w:val="auto"/>
              </w:rPr>
            </w:pPr>
          </w:p>
        </w:tc>
      </w:tr>
      <w:tr>
        <w:trPr>
          <w:trHeight w:val="263"/>
        </w:trPr>
        <w:tc>
          <w:tcPr>
            <w:tcW w:w="6520" w:type="dxa"/>
            <w:vAlign w:val="bottom"/>
            <w:shd w:val="clear" w:color="auto" w:fill="CCFFCC"/>
          </w:tcPr>
          <w:p>
            <w:pPr>
              <w:ind w:left="820"/>
              <w:spacing w:after="0"/>
              <w:rPr>
                <w:sz w:val="20"/>
                <w:szCs w:val="20"/>
                <w:color w:val="auto"/>
              </w:rPr>
            </w:pPr>
            <w:r>
              <w:rPr>
                <w:rFonts w:ascii="Arial" w:cs="Arial" w:eastAsia="Arial" w:hAnsi="Arial"/>
                <w:sz w:val="18"/>
                <w:szCs w:val="18"/>
                <w:color w:val="auto"/>
              </w:rPr>
              <w:t>Declaration of cash dividend, not paid</w:t>
            </w:r>
          </w:p>
        </w:tc>
        <w:tc>
          <w:tcPr>
            <w:tcW w:w="220" w:type="dxa"/>
            <w:vAlign w:val="bottom"/>
            <w:shd w:val="clear" w:color="auto" w:fill="CCFFCC"/>
          </w:tcPr>
          <w:p>
            <w:pPr>
              <w:spacing w:after="0"/>
              <w:rPr>
                <w:sz w:val="22"/>
                <w:szCs w:val="22"/>
                <w:color w:val="auto"/>
              </w:rPr>
            </w:pPr>
          </w:p>
        </w:tc>
        <w:tc>
          <w:tcPr>
            <w:tcW w:w="500" w:type="dxa"/>
            <w:vAlign w:val="bottom"/>
            <w:shd w:val="clear" w:color="auto" w:fill="CCFFCC"/>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FFCC"/>
          </w:tcPr>
          <w:p>
            <w:pPr>
              <w:jc w:val="right"/>
              <w:ind w:right="140"/>
              <w:spacing w:after="0"/>
              <w:rPr>
                <w:sz w:val="20"/>
                <w:szCs w:val="20"/>
                <w:color w:val="auto"/>
              </w:rPr>
            </w:pPr>
            <w:r>
              <w:rPr>
                <w:rFonts w:ascii="Arial" w:cs="Arial" w:eastAsia="Arial" w:hAnsi="Arial"/>
                <w:sz w:val="18"/>
                <w:szCs w:val="18"/>
                <w:color w:val="auto"/>
              </w:rPr>
              <w:t>869</w:t>
            </w:r>
          </w:p>
        </w:tc>
        <w:tc>
          <w:tcPr>
            <w:tcW w:w="600" w:type="dxa"/>
            <w:vAlign w:val="bottom"/>
            <w:gridSpan w:val="2"/>
            <w:shd w:val="clear" w:color="auto" w:fill="CCFFCC"/>
          </w:tcPr>
          <w:p>
            <w:pPr>
              <w:jc w:val="right"/>
              <w:ind w:right="4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857</w:t>
            </w:r>
          </w:p>
        </w:tc>
        <w:tc>
          <w:tcPr>
            <w:tcW w:w="520" w:type="dxa"/>
            <w:vAlign w:val="bottom"/>
            <w:shd w:val="clear" w:color="auto" w:fill="CCFFCC"/>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852</w:t>
            </w:r>
          </w:p>
        </w:tc>
      </w:tr>
      <w:tr>
        <w:trPr>
          <w:trHeight w:val="20"/>
        </w:trPr>
        <w:tc>
          <w:tcPr>
            <w:tcW w:w="65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5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type w:val="continuous"/>
        </w:sectPr>
      </w:pPr>
    </w:p>
    <w:bookmarkStart w:id="39" w:name="page40"/>
    <w:bookmarkEnd w:id="39"/>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Years ended April 30, 2007, 2006 and 2005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data)</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92"/>
              </w:rPr>
              <w:t>Accumulated</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0"/>
        </w:trPr>
        <w:tc>
          <w:tcPr>
            <w:tcW w:w="1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Arial" w:cs="Arial" w:eastAsia="Arial" w:hAnsi="Arial"/>
                <w:sz w:val="18"/>
                <w:szCs w:val="18"/>
                <w:color w:val="auto"/>
              </w:rPr>
              <w:t>Additional</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0" w:type="dxa"/>
            <w:vAlign w:val="bottom"/>
            <w:gridSpan w:val="4"/>
          </w:tcPr>
          <w:p>
            <w:pPr>
              <w:jc w:val="right"/>
              <w:ind w:right="320"/>
              <w:spacing w:after="0"/>
              <w:rPr>
                <w:sz w:val="20"/>
                <w:szCs w:val="20"/>
                <w:color w:val="auto"/>
              </w:rPr>
            </w:pPr>
            <w:r>
              <w:rPr>
                <w:rFonts w:ascii="Arial" w:cs="Arial" w:eastAsia="Arial" w:hAnsi="Arial"/>
                <w:sz w:val="18"/>
                <w:szCs w:val="18"/>
                <w:color w:val="auto"/>
              </w:rPr>
              <w:t>Treasury stock</w:t>
            </w:r>
          </w:p>
        </w:tc>
        <w:tc>
          <w:tcPr>
            <w:tcW w:w="160" w:type="dxa"/>
            <w:vAlign w:val="bottom"/>
          </w:tcPr>
          <w:p>
            <w:pPr>
              <w:spacing w:after="0"/>
              <w:rPr>
                <w:sz w:val="20"/>
                <w:szCs w:val="20"/>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0"/>
                <w:szCs w:val="20"/>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8"/>
                <w:szCs w:val="18"/>
                <w:color w:val="auto"/>
                <w:w w:val="87"/>
              </w:rPr>
              <w:t>other</w:t>
            </w: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70"/>
        </w:trPr>
        <w:tc>
          <w:tcPr>
            <w:tcW w:w="1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660" w:type="dxa"/>
            <w:vAlign w:val="bottom"/>
            <w:tcBorders>
              <w:bottom w:val="single" w:sz="8" w:color="auto"/>
            </w:tcBorders>
            <w:gridSpan w:val="4"/>
          </w:tcPr>
          <w:p>
            <w:pPr>
              <w:ind w:left="280"/>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ind w:right="150"/>
              <w:spacing w:after="0"/>
              <w:rPr>
                <w:sz w:val="20"/>
                <w:szCs w:val="20"/>
                <w:color w:val="auto"/>
              </w:rPr>
            </w:pPr>
            <w:r>
              <w:rPr>
                <w:rFonts w:ascii="Arial" w:cs="Arial" w:eastAsia="Arial" w:hAnsi="Arial"/>
                <w:sz w:val="18"/>
                <w:szCs w:val="18"/>
                <w:color w:val="auto"/>
                <w:w w:val="94"/>
              </w:rPr>
              <w:t>paid in</w:t>
            </w:r>
          </w:p>
        </w:tc>
        <w:tc>
          <w:tcPr>
            <w:tcW w:w="780" w:type="dxa"/>
            <w:vAlign w:val="bottom"/>
            <w:gridSpan w:val="3"/>
          </w:tcPr>
          <w:p>
            <w:pPr>
              <w:ind w:left="20"/>
              <w:spacing w:after="0"/>
              <w:rPr>
                <w:sz w:val="20"/>
                <w:szCs w:val="20"/>
                <w:color w:val="auto"/>
              </w:rPr>
            </w:pPr>
            <w:r>
              <w:rPr>
                <w:rFonts w:ascii="Arial" w:cs="Arial" w:eastAsia="Arial" w:hAnsi="Arial"/>
                <w:sz w:val="18"/>
                <w:szCs w:val="18"/>
                <w:color w:val="auto"/>
              </w:rPr>
              <w:t>Retained</w:t>
            </w:r>
          </w:p>
        </w:tc>
        <w:tc>
          <w:tcPr>
            <w:tcW w:w="148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color w:val="auto"/>
              </w:rPr>
              <w:t>(at cost)</w:t>
            </w:r>
          </w:p>
        </w:tc>
        <w:tc>
          <w:tcPr>
            <w:tcW w:w="120" w:type="dxa"/>
            <w:vAlign w:val="bottom"/>
          </w:tcPr>
          <w:p>
            <w:pPr>
              <w:spacing w:after="0"/>
              <w:rPr>
                <w:sz w:val="23"/>
                <w:szCs w:val="23"/>
                <w:color w:val="auto"/>
              </w:rPr>
            </w:pPr>
          </w:p>
        </w:tc>
        <w:tc>
          <w:tcPr>
            <w:tcW w:w="1100" w:type="dxa"/>
            <w:vAlign w:val="bottom"/>
            <w:gridSpan w:val="3"/>
          </w:tcPr>
          <w:p>
            <w:pPr>
              <w:spacing w:after="0"/>
              <w:rPr>
                <w:sz w:val="20"/>
                <w:szCs w:val="20"/>
                <w:color w:val="auto"/>
              </w:rPr>
            </w:pPr>
            <w:r>
              <w:rPr>
                <w:rFonts w:ascii="Arial" w:cs="Arial" w:eastAsia="Arial" w:hAnsi="Arial"/>
                <w:sz w:val="18"/>
                <w:szCs w:val="18"/>
                <w:color w:val="auto"/>
                <w:w w:val="99"/>
              </w:rPr>
              <w:t>Stockholders’</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comprehensive</w:t>
            </w: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20" w:type="dxa"/>
            <w:vAlign w:val="bottom"/>
          </w:tcPr>
          <w:p>
            <w:pPr>
              <w:spacing w:after="0"/>
              <w:rPr>
                <w:sz w:val="23"/>
                <w:szCs w:val="23"/>
                <w:color w:val="auto"/>
              </w:rPr>
            </w:pPr>
          </w:p>
        </w:tc>
      </w:tr>
      <w:tr>
        <w:trPr>
          <w:trHeight w:val="264"/>
        </w:trPr>
        <w:tc>
          <w:tcPr>
            <w:tcW w:w="1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2"/>
                <w:szCs w:val="22"/>
                <w:color w:val="auto"/>
              </w:rPr>
            </w:pPr>
          </w:p>
        </w:tc>
        <w:tc>
          <w:tcPr>
            <w:tcW w:w="66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96"/>
              </w:rPr>
              <w:t>Amount</w:t>
            </w:r>
          </w:p>
        </w:tc>
        <w:tc>
          <w:tcPr>
            <w:tcW w:w="12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2"/>
              </w:rPr>
              <w:t>capital</w:t>
            </w:r>
          </w:p>
        </w:tc>
        <w:tc>
          <w:tcPr>
            <w:tcW w:w="6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92"/>
              </w:rPr>
              <w:t>earnings</w:t>
            </w:r>
          </w:p>
        </w:tc>
        <w:tc>
          <w:tcPr>
            <w:tcW w:w="100" w:type="dxa"/>
            <w:vAlign w:val="bottom"/>
          </w:tcPr>
          <w:p>
            <w:pPr>
              <w:spacing w:after="0"/>
              <w:rPr>
                <w:sz w:val="22"/>
                <w:szCs w:val="22"/>
                <w:color w:val="auto"/>
              </w:rPr>
            </w:pPr>
          </w:p>
        </w:tc>
        <w:tc>
          <w:tcPr>
            <w:tcW w:w="7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8"/>
              </w:rPr>
              <w:t>Shares</w:t>
            </w:r>
          </w:p>
        </w:tc>
        <w:tc>
          <w:tcPr>
            <w:tcW w:w="100" w:type="dxa"/>
            <w:vAlign w:val="bottom"/>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Amount</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equity</w:t>
            </w:r>
          </w:p>
        </w:tc>
        <w:tc>
          <w:tcPr>
            <w:tcW w:w="100" w:type="dxa"/>
            <w:vAlign w:val="bottom"/>
          </w:tcPr>
          <w:p>
            <w:pPr>
              <w:spacing w:after="0"/>
              <w:rPr>
                <w:sz w:val="22"/>
                <w:szCs w:val="22"/>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income (loss)</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89"/>
              </w:rPr>
              <w:t>Total</w:t>
            </w:r>
          </w:p>
        </w:tc>
        <w:tc>
          <w:tcPr>
            <w:tcW w:w="120" w:type="dxa"/>
            <w:vAlign w:val="bottom"/>
          </w:tcPr>
          <w:p>
            <w:pPr>
              <w:spacing w:after="0"/>
              <w:rPr>
                <w:sz w:val="22"/>
                <w:szCs w:val="22"/>
                <w:color w:val="auto"/>
              </w:rPr>
            </w:pPr>
          </w:p>
        </w:tc>
      </w:tr>
      <w:tr>
        <w:trPr>
          <w:trHeight w:val="235"/>
        </w:trPr>
        <w:tc>
          <w:tcPr>
            <w:tcW w:w="1720" w:type="dxa"/>
            <w:vAlign w:val="bottom"/>
            <w:tcBorders>
              <w:bottom w:val="single" w:sz="8" w:color="auto"/>
            </w:tcBorders>
            <w:shd w:val="clear" w:color="auto" w:fill="CCFFCC"/>
          </w:tcPr>
          <w:p>
            <w:pPr>
              <w:spacing w:after="0" w:line="182" w:lineRule="exact"/>
              <w:rPr>
                <w:sz w:val="20"/>
                <w:szCs w:val="20"/>
                <w:color w:val="auto"/>
              </w:rPr>
            </w:pPr>
            <w:r>
              <w:rPr>
                <w:rFonts w:ascii="Arial" w:cs="Arial" w:eastAsia="Arial" w:hAnsi="Arial"/>
                <w:sz w:val="18"/>
                <w:szCs w:val="18"/>
                <w:color w:val="auto"/>
                <w:w w:val="89"/>
              </w:rPr>
              <w:t>Balance at May 1, 2004</w:t>
            </w:r>
          </w:p>
        </w:tc>
        <w:tc>
          <w:tcPr>
            <w:tcW w:w="140" w:type="dxa"/>
            <w:vAlign w:val="bottom"/>
            <w:tcBorders>
              <w:bottom w:val="single" w:sz="8" w:color="CCFFCC"/>
            </w:tcBorders>
            <w:shd w:val="clear" w:color="auto" w:fill="CCFFCC"/>
          </w:tcPr>
          <w:p>
            <w:pPr>
              <w:spacing w:after="0"/>
              <w:rPr>
                <w:sz w:val="20"/>
                <w:szCs w:val="20"/>
                <w:color w:val="auto"/>
              </w:rPr>
            </w:pPr>
          </w:p>
        </w:tc>
        <w:tc>
          <w:tcPr>
            <w:tcW w:w="1340" w:type="dxa"/>
            <w:vAlign w:val="bottom"/>
            <w:tcBorders>
              <w:bottom w:val="single" w:sz="8" w:color="CCFFCC"/>
            </w:tcBorders>
            <w:shd w:val="clear" w:color="auto" w:fill="CCFFCC"/>
          </w:tcPr>
          <w:p>
            <w:pPr>
              <w:spacing w:after="0"/>
              <w:rPr>
                <w:sz w:val="20"/>
                <w:szCs w:val="20"/>
                <w:color w:val="auto"/>
              </w:rPr>
            </w:pPr>
          </w:p>
        </w:tc>
        <w:tc>
          <w:tcPr>
            <w:tcW w:w="880" w:type="dxa"/>
            <w:vAlign w:val="bottom"/>
            <w:tcBorders>
              <w:bottom w:val="single" w:sz="8" w:color="CCFFCC"/>
            </w:tcBorders>
            <w:shd w:val="clear" w:color="auto" w:fill="CCFFCC"/>
          </w:tcPr>
          <w:p>
            <w:pPr>
              <w:jc w:val="right"/>
              <w:spacing w:after="0" w:line="196" w:lineRule="exact"/>
              <w:rPr>
                <w:sz w:val="20"/>
                <w:szCs w:val="20"/>
                <w:color w:val="auto"/>
              </w:rPr>
            </w:pPr>
            <w:r>
              <w:rPr>
                <w:rFonts w:ascii="Arial" w:cs="Arial" w:eastAsia="Arial" w:hAnsi="Arial"/>
                <w:sz w:val="18"/>
                <w:szCs w:val="18"/>
                <w:color w:val="auto"/>
              </w:rPr>
              <w:t>9,163,940</w:t>
            </w:r>
          </w:p>
        </w:tc>
        <w:tc>
          <w:tcPr>
            <w:tcW w:w="220" w:type="dxa"/>
            <w:vAlign w:val="bottom"/>
            <w:tcBorders>
              <w:bottom w:val="single" w:sz="8" w:color="CCFFCC"/>
            </w:tcBorders>
            <w:gridSpan w:val="2"/>
            <w:shd w:val="clear" w:color="auto" w:fill="CCFFCC"/>
          </w:tcPr>
          <w:p>
            <w:pPr>
              <w:jc w:val="right"/>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bottom w:val="single" w:sz="8" w:color="CCFFCC"/>
            </w:tcBorders>
            <w:gridSpan w:val="2"/>
            <w:shd w:val="clear" w:color="auto" w:fill="CCFFCC"/>
          </w:tcPr>
          <w:p>
            <w:pPr>
              <w:jc w:val="right"/>
              <w:ind w:right="100"/>
              <w:spacing w:after="0" w:line="196" w:lineRule="exact"/>
              <w:rPr>
                <w:sz w:val="20"/>
                <w:szCs w:val="20"/>
                <w:color w:val="auto"/>
              </w:rPr>
            </w:pPr>
            <w:r>
              <w:rPr>
                <w:rFonts w:ascii="Arial" w:cs="Arial" w:eastAsia="Arial" w:hAnsi="Arial"/>
                <w:sz w:val="18"/>
                <w:szCs w:val="18"/>
                <w:color w:val="auto"/>
              </w:rPr>
              <w:t>9,164</w:t>
            </w:r>
          </w:p>
        </w:tc>
        <w:tc>
          <w:tcPr>
            <w:tcW w:w="120" w:type="dxa"/>
            <w:vAlign w:val="bottom"/>
            <w:tcBorders>
              <w:bottom w:val="single" w:sz="8" w:color="CCFFCC"/>
            </w:tcBorders>
            <w:shd w:val="clear" w:color="auto" w:fill="CCFFCC"/>
          </w:tcPr>
          <w:p>
            <w:pPr>
              <w:spacing w:after="0" w:line="196" w:lineRule="exact"/>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FFCC"/>
              <w:right w:val="single" w:sz="8" w:color="CCFFCC"/>
            </w:tcBorders>
            <w:shd w:val="clear" w:color="auto" w:fill="CCFFCC"/>
          </w:tcPr>
          <w:p>
            <w:pPr>
              <w:jc w:val="right"/>
              <w:ind w:right="30"/>
              <w:spacing w:after="0" w:line="196" w:lineRule="exact"/>
              <w:rPr>
                <w:sz w:val="20"/>
                <w:szCs w:val="20"/>
                <w:color w:val="auto"/>
              </w:rPr>
            </w:pPr>
            <w:r>
              <w:rPr>
                <w:rFonts w:ascii="Arial" w:cs="Arial" w:eastAsia="Arial" w:hAnsi="Arial"/>
                <w:sz w:val="18"/>
                <w:szCs w:val="18"/>
                <w:color w:val="auto"/>
              </w:rPr>
              <w:t>44,442</w:t>
            </w:r>
          </w:p>
        </w:tc>
        <w:tc>
          <w:tcPr>
            <w:tcW w:w="100" w:type="dxa"/>
            <w:vAlign w:val="bottom"/>
            <w:tcBorders>
              <w:bottom w:val="single" w:sz="8" w:color="CCFFCC"/>
            </w:tcBorders>
            <w:shd w:val="clear" w:color="auto" w:fill="CCFFCC"/>
          </w:tcPr>
          <w:p>
            <w:pPr>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CCFFCC"/>
            </w:tcBorders>
            <w:gridSpan w:val="2"/>
            <w:shd w:val="clear" w:color="auto" w:fill="CCFFCC"/>
          </w:tcPr>
          <w:p>
            <w:pPr>
              <w:jc w:val="right"/>
              <w:ind w:right="100"/>
              <w:spacing w:after="0" w:line="196" w:lineRule="exact"/>
              <w:rPr>
                <w:sz w:val="20"/>
                <w:szCs w:val="20"/>
                <w:color w:val="auto"/>
              </w:rPr>
            </w:pPr>
            <w:r>
              <w:rPr>
                <w:rFonts w:ascii="Arial" w:cs="Arial" w:eastAsia="Arial" w:hAnsi="Arial"/>
                <w:sz w:val="18"/>
                <w:szCs w:val="18"/>
                <w:color w:val="auto"/>
              </w:rPr>
              <w:t>9,104</w:t>
            </w:r>
          </w:p>
        </w:tc>
        <w:tc>
          <w:tcPr>
            <w:tcW w:w="800" w:type="dxa"/>
            <w:vAlign w:val="bottom"/>
            <w:tcBorders>
              <w:bottom w:val="single" w:sz="8" w:color="CCFFCC"/>
            </w:tcBorders>
            <w:gridSpan w:val="2"/>
            <w:shd w:val="clear" w:color="auto" w:fill="CCFFCC"/>
          </w:tcPr>
          <w:p>
            <w:pPr>
              <w:jc w:val="right"/>
              <w:ind w:right="100"/>
              <w:spacing w:after="0" w:line="196" w:lineRule="exact"/>
              <w:rPr>
                <w:sz w:val="20"/>
                <w:szCs w:val="20"/>
                <w:color w:val="auto"/>
              </w:rPr>
            </w:pPr>
            <w:r>
              <w:rPr>
                <w:rFonts w:ascii="Arial" w:cs="Arial" w:eastAsia="Arial" w:hAnsi="Arial"/>
                <w:sz w:val="18"/>
                <w:szCs w:val="18"/>
                <w:color w:val="auto"/>
              </w:rPr>
              <w:t>738,428</w:t>
            </w:r>
          </w:p>
        </w:tc>
        <w:tc>
          <w:tcPr>
            <w:tcW w:w="800" w:type="dxa"/>
            <w:vAlign w:val="bottom"/>
            <w:tcBorders>
              <w:bottom w:val="single" w:sz="8" w:color="CCFFCC"/>
            </w:tcBorders>
            <w:gridSpan w:val="2"/>
            <w:shd w:val="clear" w:color="auto" w:fill="CCFFCC"/>
          </w:tcPr>
          <w:p>
            <w:pPr>
              <w:jc w:val="right"/>
              <w:ind w:right="60"/>
              <w:spacing w:after="0" w:line="196" w:lineRule="exact"/>
              <w:rPr>
                <w:sz w:val="20"/>
                <w:szCs w:val="20"/>
                <w:color w:val="auto"/>
              </w:rPr>
            </w:pPr>
            <w:r>
              <w:rPr>
                <w:rFonts w:ascii="Arial" w:cs="Arial" w:eastAsia="Arial" w:hAnsi="Arial"/>
                <w:sz w:val="18"/>
                <w:szCs w:val="18"/>
                <w:color w:val="auto"/>
              </w:rPr>
              <w:t>($2,797)</w:t>
            </w:r>
          </w:p>
        </w:tc>
        <w:tc>
          <w:tcPr>
            <w:tcW w:w="160" w:type="dxa"/>
            <w:vAlign w:val="bottom"/>
            <w:tcBorders>
              <w:bottom w:val="single" w:sz="8" w:color="CCFFCC"/>
            </w:tcBorders>
            <w:shd w:val="clear" w:color="auto" w:fill="CCFFCC"/>
          </w:tcPr>
          <w:p>
            <w:pPr>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CCFFCC"/>
            </w:tcBorders>
            <w:gridSpan w:val="2"/>
            <w:shd w:val="clear" w:color="auto" w:fill="CCFFCC"/>
          </w:tcPr>
          <w:p>
            <w:pPr>
              <w:jc w:val="right"/>
              <w:ind w:right="40"/>
              <w:spacing w:after="0" w:line="196" w:lineRule="exact"/>
              <w:rPr>
                <w:sz w:val="20"/>
                <w:szCs w:val="20"/>
                <w:color w:val="auto"/>
              </w:rPr>
            </w:pPr>
            <w:r>
              <w:rPr>
                <w:rFonts w:ascii="Arial" w:cs="Arial" w:eastAsia="Arial" w:hAnsi="Arial"/>
                <w:sz w:val="18"/>
                <w:szCs w:val="18"/>
                <w:color w:val="auto"/>
              </w:rPr>
              <w:t>(17)</w:t>
            </w:r>
          </w:p>
        </w:tc>
        <w:tc>
          <w:tcPr>
            <w:tcW w:w="220" w:type="dxa"/>
            <w:vAlign w:val="bottom"/>
            <w:tcBorders>
              <w:bottom w:val="single" w:sz="8" w:color="CCFFCC"/>
            </w:tcBorders>
            <w:shd w:val="clear" w:color="auto" w:fill="CCFFC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FFCC"/>
            </w:tcBorders>
            <w:gridSpan w:val="2"/>
            <w:shd w:val="clear" w:color="auto" w:fill="CCFFCC"/>
          </w:tcPr>
          <w:p>
            <w:pPr>
              <w:jc w:val="right"/>
              <w:ind w:right="100"/>
              <w:spacing w:after="0" w:line="196" w:lineRule="exact"/>
              <w:rPr>
                <w:sz w:val="20"/>
                <w:szCs w:val="20"/>
                <w:color w:val="auto"/>
              </w:rPr>
            </w:pPr>
            <w:r>
              <w:rPr>
                <w:rFonts w:ascii="Arial" w:cs="Arial" w:eastAsia="Arial" w:hAnsi="Arial"/>
                <w:sz w:val="18"/>
                <w:szCs w:val="18"/>
                <w:color w:val="auto"/>
              </w:rPr>
              <w:t>3,487</w:t>
            </w:r>
          </w:p>
        </w:tc>
        <w:tc>
          <w:tcPr>
            <w:tcW w:w="180" w:type="dxa"/>
            <w:vAlign w:val="bottom"/>
            <w:tcBorders>
              <w:bottom w:val="single" w:sz="8" w:color="CCFFCC"/>
            </w:tcBorders>
            <w:shd w:val="clear" w:color="auto" w:fill="CCFFCC"/>
          </w:tcPr>
          <w:p>
            <w:pPr>
              <w:jc w:val="right"/>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FFCC"/>
            </w:tcBorders>
            <w:shd w:val="clear" w:color="auto" w:fill="CCFFCC"/>
          </w:tcPr>
          <w:p>
            <w:pPr>
              <w:jc w:val="right"/>
              <w:spacing w:after="0" w:line="196" w:lineRule="exact"/>
              <w:rPr>
                <w:sz w:val="20"/>
                <w:szCs w:val="20"/>
                <w:color w:val="auto"/>
              </w:rPr>
            </w:pPr>
            <w:r>
              <w:rPr>
                <w:rFonts w:ascii="Arial" w:cs="Arial" w:eastAsia="Arial" w:hAnsi="Arial"/>
                <w:sz w:val="18"/>
                <w:szCs w:val="18"/>
                <w:color w:val="auto"/>
                <w:w w:val="98"/>
              </w:rPr>
              <w:t>63,383</w:t>
            </w:r>
          </w:p>
        </w:tc>
        <w:tc>
          <w:tcPr>
            <w:tcW w:w="120" w:type="dxa"/>
            <w:vAlign w:val="bottom"/>
            <w:tcBorders>
              <w:bottom w:val="single" w:sz="8" w:color="CCFFCC"/>
            </w:tcBorders>
            <w:shd w:val="clear" w:color="auto" w:fill="CCFFCC"/>
          </w:tcPr>
          <w:p>
            <w:pPr>
              <w:spacing w:after="0"/>
              <w:rPr>
                <w:sz w:val="20"/>
                <w:szCs w:val="20"/>
                <w:color w:val="auto"/>
              </w:rPr>
            </w:pPr>
          </w:p>
        </w:tc>
      </w:tr>
      <w:tr>
        <w:trPr>
          <w:trHeight w:val="243"/>
        </w:trPr>
        <w:tc>
          <w:tcPr>
            <w:tcW w:w="3200" w:type="dxa"/>
            <w:vAlign w:val="bottom"/>
            <w:tcBorders>
              <w:top w:val="single" w:sz="8" w:color="CCFFCC"/>
            </w:tcBorders>
            <w:gridSpan w:val="3"/>
          </w:tcPr>
          <w:p>
            <w:pPr>
              <w:spacing w:after="0"/>
              <w:rPr>
                <w:sz w:val="20"/>
                <w:szCs w:val="20"/>
                <w:color w:val="auto"/>
              </w:rPr>
            </w:pPr>
            <w:r>
              <w:rPr>
                <w:rFonts w:ascii="Arial" w:cs="Arial" w:eastAsia="Arial" w:hAnsi="Arial"/>
                <w:sz w:val="18"/>
                <w:szCs w:val="18"/>
                <w:color w:val="auto"/>
              </w:rPr>
              <w:t>Exercise of stock options</w:t>
            </w:r>
          </w:p>
        </w:tc>
        <w:tc>
          <w:tcPr>
            <w:tcW w:w="880" w:type="dxa"/>
            <w:vAlign w:val="bottom"/>
            <w:tcBorders>
              <w:top w:val="single" w:sz="8" w:color="CCFFCC"/>
            </w:tcBorders>
          </w:tcPr>
          <w:p>
            <w:pPr>
              <w:spacing w:after="0"/>
              <w:rPr>
                <w:sz w:val="21"/>
                <w:szCs w:val="21"/>
                <w:color w:val="auto"/>
              </w:rPr>
            </w:pPr>
          </w:p>
        </w:tc>
        <w:tc>
          <w:tcPr>
            <w:tcW w:w="120" w:type="dxa"/>
            <w:vAlign w:val="bottom"/>
            <w:tcBorders>
              <w:top w:val="single" w:sz="8" w:color="CCFFCC"/>
            </w:tcBorders>
          </w:tcPr>
          <w:p>
            <w:pPr>
              <w:spacing w:after="0"/>
              <w:rPr>
                <w:sz w:val="21"/>
                <w:szCs w:val="21"/>
                <w:color w:val="auto"/>
              </w:rPr>
            </w:pPr>
          </w:p>
        </w:tc>
        <w:tc>
          <w:tcPr>
            <w:tcW w:w="100" w:type="dxa"/>
            <w:vAlign w:val="bottom"/>
            <w:tcBorders>
              <w:top w:val="single" w:sz="8" w:color="CCFFCC"/>
            </w:tcBorders>
          </w:tcPr>
          <w:p>
            <w:pPr>
              <w:spacing w:after="0"/>
              <w:rPr>
                <w:sz w:val="21"/>
                <w:szCs w:val="21"/>
                <w:color w:val="auto"/>
              </w:rPr>
            </w:pPr>
          </w:p>
        </w:tc>
        <w:tc>
          <w:tcPr>
            <w:tcW w:w="560" w:type="dxa"/>
            <w:vAlign w:val="bottom"/>
            <w:tcBorders>
              <w:top w:val="single" w:sz="8" w:color="CCFFCC"/>
            </w:tcBorders>
          </w:tcPr>
          <w:p>
            <w:pPr>
              <w:spacing w:after="0"/>
              <w:rPr>
                <w:sz w:val="21"/>
                <w:szCs w:val="21"/>
                <w:color w:val="auto"/>
              </w:rPr>
            </w:pPr>
          </w:p>
        </w:tc>
        <w:tc>
          <w:tcPr>
            <w:tcW w:w="120" w:type="dxa"/>
            <w:vAlign w:val="bottom"/>
            <w:tcBorders>
              <w:top w:val="single" w:sz="8" w:color="CCFFCC"/>
            </w:tcBorders>
          </w:tcPr>
          <w:p>
            <w:pPr>
              <w:spacing w:after="0"/>
              <w:rPr>
                <w:sz w:val="21"/>
                <w:szCs w:val="21"/>
                <w:color w:val="auto"/>
              </w:rPr>
            </w:pPr>
          </w:p>
        </w:tc>
        <w:tc>
          <w:tcPr>
            <w:tcW w:w="120" w:type="dxa"/>
            <w:vAlign w:val="bottom"/>
            <w:tcBorders>
              <w:top w:val="single" w:sz="8" w:color="CCFFCC"/>
            </w:tcBorders>
          </w:tcPr>
          <w:p>
            <w:pPr>
              <w:spacing w:after="0"/>
              <w:rPr>
                <w:sz w:val="21"/>
                <w:szCs w:val="21"/>
                <w:color w:val="auto"/>
              </w:rPr>
            </w:pPr>
          </w:p>
        </w:tc>
        <w:tc>
          <w:tcPr>
            <w:tcW w:w="760" w:type="dxa"/>
            <w:vAlign w:val="bottom"/>
            <w:tcBorders>
              <w:top w:val="single" w:sz="8" w:color="CCFFCC"/>
            </w:tcBorders>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tcBorders>
              <w:top w:val="single" w:sz="8" w:color="CCFFCC"/>
            </w:tcBorders>
          </w:tcPr>
          <w:p>
            <w:pPr>
              <w:spacing w:after="0"/>
              <w:rPr>
                <w:sz w:val="21"/>
                <w:szCs w:val="21"/>
                <w:color w:val="auto"/>
              </w:rPr>
            </w:pPr>
          </w:p>
        </w:tc>
        <w:tc>
          <w:tcPr>
            <w:tcW w:w="580" w:type="dxa"/>
            <w:vAlign w:val="bottom"/>
            <w:tcBorders>
              <w:top w:val="single" w:sz="8" w:color="CCFFCC"/>
            </w:tcBorders>
          </w:tcPr>
          <w:p>
            <w:pPr>
              <w:spacing w:after="0"/>
              <w:rPr>
                <w:sz w:val="21"/>
                <w:szCs w:val="21"/>
                <w:color w:val="auto"/>
              </w:rPr>
            </w:pPr>
          </w:p>
        </w:tc>
        <w:tc>
          <w:tcPr>
            <w:tcW w:w="100" w:type="dxa"/>
            <w:vAlign w:val="bottom"/>
            <w:tcBorders>
              <w:top w:val="single" w:sz="8" w:color="CCFFCC"/>
            </w:tcBorders>
          </w:tcPr>
          <w:p>
            <w:pPr>
              <w:spacing w:after="0"/>
              <w:rPr>
                <w:sz w:val="21"/>
                <w:szCs w:val="21"/>
                <w:color w:val="auto"/>
              </w:rPr>
            </w:pPr>
          </w:p>
        </w:tc>
        <w:tc>
          <w:tcPr>
            <w:tcW w:w="800" w:type="dxa"/>
            <w:vAlign w:val="bottom"/>
            <w:tcBorders>
              <w:top w:val="single" w:sz="8" w:color="CCFFCC"/>
            </w:tcBorders>
            <w:gridSpan w:val="2"/>
          </w:tcPr>
          <w:p>
            <w:pPr>
              <w:jc w:val="right"/>
              <w:ind w:right="40"/>
              <w:spacing w:after="0"/>
              <w:rPr>
                <w:sz w:val="20"/>
                <w:szCs w:val="20"/>
                <w:color w:val="auto"/>
              </w:rPr>
            </w:pPr>
            <w:r>
              <w:rPr>
                <w:rFonts w:ascii="Arial" w:cs="Arial" w:eastAsia="Arial" w:hAnsi="Arial"/>
                <w:sz w:val="18"/>
                <w:szCs w:val="18"/>
                <w:color w:val="auto"/>
              </w:rPr>
              <w:t>(24,950)</w:t>
            </w:r>
          </w:p>
        </w:tc>
        <w:tc>
          <w:tcPr>
            <w:tcW w:w="680" w:type="dxa"/>
            <w:vAlign w:val="bottom"/>
            <w:tcBorders>
              <w:top w:val="single" w:sz="8" w:color="CCFFCC"/>
            </w:tcBorders>
          </w:tcPr>
          <w:p>
            <w:pPr>
              <w:jc w:val="right"/>
              <w:spacing w:after="0"/>
              <w:rPr>
                <w:sz w:val="20"/>
                <w:szCs w:val="20"/>
                <w:color w:val="auto"/>
              </w:rPr>
            </w:pPr>
            <w:r>
              <w:rPr>
                <w:rFonts w:ascii="Arial" w:cs="Arial" w:eastAsia="Arial" w:hAnsi="Arial"/>
                <w:sz w:val="18"/>
                <w:szCs w:val="18"/>
                <w:color w:val="auto"/>
              </w:rPr>
              <w:t>68</w:t>
            </w:r>
          </w:p>
        </w:tc>
        <w:tc>
          <w:tcPr>
            <w:tcW w:w="120" w:type="dxa"/>
            <w:vAlign w:val="bottom"/>
            <w:tcBorders>
              <w:top w:val="single" w:sz="8" w:color="CCFFCC"/>
            </w:tcBorders>
          </w:tcPr>
          <w:p>
            <w:pPr>
              <w:spacing w:after="0"/>
              <w:rPr>
                <w:sz w:val="21"/>
                <w:szCs w:val="21"/>
                <w:color w:val="auto"/>
              </w:rPr>
            </w:pPr>
          </w:p>
        </w:tc>
        <w:tc>
          <w:tcPr>
            <w:tcW w:w="160" w:type="dxa"/>
            <w:vAlign w:val="bottom"/>
            <w:tcBorders>
              <w:top w:val="single" w:sz="8" w:color="CCFFCC"/>
            </w:tcBorders>
          </w:tcPr>
          <w:p>
            <w:pPr>
              <w:spacing w:after="0"/>
              <w:rPr>
                <w:sz w:val="21"/>
                <w:szCs w:val="21"/>
                <w:color w:val="auto"/>
              </w:rPr>
            </w:pPr>
          </w:p>
        </w:tc>
        <w:tc>
          <w:tcPr>
            <w:tcW w:w="840" w:type="dxa"/>
            <w:vAlign w:val="bottom"/>
            <w:tcBorders>
              <w:top w:val="single" w:sz="8" w:color="CCFFCC"/>
            </w:tcBorders>
          </w:tcPr>
          <w:p>
            <w:pPr>
              <w:spacing w:after="0"/>
              <w:rPr>
                <w:sz w:val="21"/>
                <w:szCs w:val="21"/>
                <w:color w:val="auto"/>
              </w:rPr>
            </w:pPr>
          </w:p>
        </w:tc>
        <w:tc>
          <w:tcPr>
            <w:tcW w:w="100" w:type="dxa"/>
            <w:vAlign w:val="bottom"/>
            <w:tcBorders>
              <w:top w:val="single" w:sz="8" w:color="CCFFCC"/>
            </w:tcBorders>
          </w:tcPr>
          <w:p>
            <w:pPr>
              <w:spacing w:after="0"/>
              <w:rPr>
                <w:sz w:val="21"/>
                <w:szCs w:val="21"/>
                <w:color w:val="auto"/>
              </w:rPr>
            </w:pPr>
          </w:p>
        </w:tc>
        <w:tc>
          <w:tcPr>
            <w:tcW w:w="220" w:type="dxa"/>
            <w:vAlign w:val="bottom"/>
            <w:tcBorders>
              <w:top w:val="single" w:sz="8" w:color="CCFFCC"/>
            </w:tcBorders>
          </w:tcPr>
          <w:p>
            <w:pPr>
              <w:spacing w:after="0"/>
              <w:rPr>
                <w:sz w:val="21"/>
                <w:szCs w:val="21"/>
                <w:color w:val="auto"/>
              </w:rPr>
            </w:pPr>
          </w:p>
        </w:tc>
        <w:tc>
          <w:tcPr>
            <w:tcW w:w="900" w:type="dxa"/>
            <w:vAlign w:val="bottom"/>
            <w:tcBorders>
              <w:top w:val="single" w:sz="8" w:color="CCFFCC"/>
            </w:tcBorders>
          </w:tcPr>
          <w:p>
            <w:pPr>
              <w:spacing w:after="0"/>
              <w:rPr>
                <w:sz w:val="21"/>
                <w:szCs w:val="21"/>
                <w:color w:val="auto"/>
              </w:rPr>
            </w:pPr>
          </w:p>
        </w:tc>
        <w:tc>
          <w:tcPr>
            <w:tcW w:w="100" w:type="dxa"/>
            <w:vAlign w:val="bottom"/>
            <w:tcBorders>
              <w:top w:val="single" w:sz="8" w:color="CCFFCC"/>
            </w:tcBorders>
          </w:tcPr>
          <w:p>
            <w:pPr>
              <w:spacing w:after="0"/>
              <w:rPr>
                <w:sz w:val="21"/>
                <w:szCs w:val="21"/>
                <w:color w:val="auto"/>
              </w:rPr>
            </w:pPr>
          </w:p>
        </w:tc>
        <w:tc>
          <w:tcPr>
            <w:tcW w:w="180" w:type="dxa"/>
            <w:vAlign w:val="bottom"/>
            <w:tcBorders>
              <w:top w:val="single" w:sz="8" w:color="CCFFCC"/>
            </w:tcBorders>
          </w:tcPr>
          <w:p>
            <w:pPr>
              <w:spacing w:after="0"/>
              <w:rPr>
                <w:sz w:val="21"/>
                <w:szCs w:val="21"/>
                <w:color w:val="auto"/>
              </w:rPr>
            </w:pPr>
          </w:p>
        </w:tc>
        <w:tc>
          <w:tcPr>
            <w:tcW w:w="560" w:type="dxa"/>
            <w:vAlign w:val="bottom"/>
            <w:tcBorders>
              <w:top w:val="single" w:sz="8" w:color="CCFFCC"/>
            </w:tcBorders>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Borders>
              <w:top w:val="single" w:sz="8" w:color="CCFFCC"/>
            </w:tcBorders>
          </w:tcPr>
          <w:p>
            <w:pPr>
              <w:spacing w:after="0"/>
              <w:rPr>
                <w:sz w:val="21"/>
                <w:szCs w:val="21"/>
                <w:color w:val="auto"/>
              </w:rPr>
            </w:pPr>
          </w:p>
        </w:tc>
      </w:tr>
      <w:tr>
        <w:trPr>
          <w:trHeight w:val="243"/>
        </w:trPr>
        <w:tc>
          <w:tcPr>
            <w:tcW w:w="320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Contribution of stock to 401(k) plan</w:t>
            </w:r>
          </w:p>
        </w:tc>
        <w:tc>
          <w:tcPr>
            <w:tcW w:w="8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60" w:type="dxa"/>
            <w:vAlign w:val="bottom"/>
            <w:tcBorders>
              <w:right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FFCC"/>
          </w:tcPr>
          <w:p>
            <w:pPr>
              <w:spacing w:after="0"/>
              <w:rPr>
                <w:sz w:val="21"/>
                <w:szCs w:val="21"/>
                <w:color w:val="auto"/>
              </w:rPr>
            </w:pPr>
          </w:p>
        </w:tc>
        <w:tc>
          <w:tcPr>
            <w:tcW w:w="5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8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(30,621)</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393</w:t>
            </w:r>
          </w:p>
        </w:tc>
        <w:tc>
          <w:tcPr>
            <w:tcW w:w="120" w:type="dxa"/>
            <w:vAlign w:val="bottom"/>
            <w:shd w:val="clear" w:color="auto" w:fill="CCFFCC"/>
          </w:tcPr>
          <w:p>
            <w:pPr>
              <w:spacing w:after="0"/>
              <w:rPr>
                <w:sz w:val="21"/>
                <w:szCs w:val="21"/>
                <w:color w:val="auto"/>
              </w:rPr>
            </w:pPr>
          </w:p>
        </w:tc>
      </w:tr>
      <w:tr>
        <w:trPr>
          <w:trHeight w:val="243"/>
        </w:trPr>
        <w:tc>
          <w:tcPr>
            <w:tcW w:w="3200" w:type="dxa"/>
            <w:vAlign w:val="bottom"/>
            <w:gridSpan w:val="3"/>
          </w:tcPr>
          <w:p>
            <w:pPr>
              <w:spacing w:after="0"/>
              <w:rPr>
                <w:sz w:val="20"/>
                <w:szCs w:val="20"/>
                <w:color w:val="auto"/>
              </w:rPr>
            </w:pPr>
            <w:r>
              <w:rPr>
                <w:rFonts w:ascii="Arial" w:cs="Arial" w:eastAsia="Arial" w:hAnsi="Arial"/>
                <w:sz w:val="18"/>
                <w:szCs w:val="18"/>
                <w:color w:val="auto"/>
                <w:w w:val="99"/>
              </w:rPr>
              <w:t>Repayment of receivable common stock</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r>
      <w:tr>
        <w:trPr>
          <w:trHeight w:val="243"/>
        </w:trPr>
        <w:tc>
          <w:tcPr>
            <w:tcW w:w="320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Cash dividend</w:t>
            </w:r>
          </w:p>
        </w:tc>
        <w:tc>
          <w:tcPr>
            <w:tcW w:w="8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60" w:type="dxa"/>
            <w:vAlign w:val="bottom"/>
            <w:tcBorders>
              <w:right w:val="single" w:sz="8" w:color="CCFFCC"/>
            </w:tcBorders>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(1,701)</w:t>
            </w:r>
          </w:p>
        </w:tc>
        <w:tc>
          <w:tcPr>
            <w:tcW w:w="7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6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(1,701)</w:t>
            </w:r>
          </w:p>
        </w:tc>
      </w:tr>
      <w:tr>
        <w:trPr>
          <w:trHeight w:val="243"/>
        </w:trPr>
        <w:tc>
          <w:tcPr>
            <w:tcW w:w="3200" w:type="dxa"/>
            <w:vAlign w:val="bottom"/>
            <w:gridSpan w:val="3"/>
          </w:tcPr>
          <w:p>
            <w:pPr>
              <w:spacing w:after="0"/>
              <w:rPr>
                <w:sz w:val="20"/>
                <w:szCs w:val="20"/>
                <w:color w:val="auto"/>
              </w:rPr>
            </w:pPr>
            <w:r>
              <w:rPr>
                <w:rFonts w:ascii="Arial" w:cs="Arial" w:eastAsia="Arial" w:hAnsi="Arial"/>
                <w:sz w:val="18"/>
                <w:szCs w:val="18"/>
                <w:color w:val="auto"/>
              </w:rPr>
              <w:t>Additional investment in Morion, Inc.</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(42,448)</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539</w:t>
            </w:r>
          </w:p>
        </w:tc>
        <w:tc>
          <w:tcPr>
            <w:tcW w:w="120" w:type="dxa"/>
            <w:vAlign w:val="bottom"/>
          </w:tcPr>
          <w:p>
            <w:pPr>
              <w:spacing w:after="0"/>
              <w:rPr>
                <w:sz w:val="21"/>
                <w:szCs w:val="21"/>
                <w:color w:val="auto"/>
              </w:rPr>
            </w:pPr>
          </w:p>
        </w:tc>
      </w:tr>
      <w:tr>
        <w:trPr>
          <w:trHeight w:val="243"/>
        </w:trPr>
        <w:tc>
          <w:tcPr>
            <w:tcW w:w="320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Repurchase of stock for treasury</w:t>
            </w:r>
          </w:p>
        </w:tc>
        <w:tc>
          <w:tcPr>
            <w:tcW w:w="8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60" w:type="dxa"/>
            <w:vAlign w:val="bottom"/>
            <w:tcBorders>
              <w:right w:val="single" w:sz="8" w:color="CCFFCC"/>
            </w:tcBorders>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5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8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6,300</w:t>
            </w:r>
          </w:p>
        </w:tc>
        <w:tc>
          <w:tcPr>
            <w:tcW w:w="80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6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(66)</w:t>
            </w:r>
          </w:p>
        </w:tc>
      </w:tr>
      <w:tr>
        <w:trPr>
          <w:trHeight w:val="243"/>
        </w:trPr>
        <w:tc>
          <w:tcPr>
            <w:tcW w:w="3200" w:type="dxa"/>
            <w:vAlign w:val="bottom"/>
            <w:gridSpan w:val="3"/>
          </w:tcPr>
          <w:p>
            <w:pPr>
              <w:spacing w:after="0"/>
              <w:rPr>
                <w:sz w:val="20"/>
                <w:szCs w:val="20"/>
                <w:color w:val="auto"/>
              </w:rPr>
            </w:pPr>
            <w:r>
              <w:rPr>
                <w:rFonts w:ascii="Arial" w:cs="Arial" w:eastAsia="Arial" w:hAnsi="Arial"/>
                <w:sz w:val="18"/>
                <w:szCs w:val="18"/>
                <w:color w:val="auto"/>
              </w:rPr>
              <w:t>Increase in market</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3200" w:type="dxa"/>
            <w:vAlign w:val="bottom"/>
            <w:gridSpan w:val="3"/>
          </w:tcPr>
          <w:p>
            <w:pPr>
              <w:ind w:left="180"/>
              <w:spacing w:after="0"/>
              <w:rPr>
                <w:sz w:val="20"/>
                <w:szCs w:val="20"/>
                <w:color w:val="auto"/>
              </w:rPr>
            </w:pPr>
            <w:r>
              <w:rPr>
                <w:rFonts w:ascii="Arial" w:cs="Arial" w:eastAsia="Arial" w:hAnsi="Arial"/>
                <w:sz w:val="18"/>
                <w:szCs w:val="18"/>
                <w:color w:val="auto"/>
              </w:rPr>
              <w:t>value of marketable securities</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1,018</w:t>
            </w: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21"/>
                <w:szCs w:val="21"/>
                <w:color w:val="auto"/>
              </w:rPr>
            </w:pPr>
          </w:p>
        </w:tc>
      </w:tr>
      <w:tr>
        <w:trPr>
          <w:trHeight w:val="243"/>
        </w:trPr>
        <w:tc>
          <w:tcPr>
            <w:tcW w:w="320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Foreign currency translation adjustment</w:t>
            </w:r>
          </w:p>
        </w:tc>
        <w:tc>
          <w:tcPr>
            <w:tcW w:w="8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60" w:type="dxa"/>
            <w:vAlign w:val="bottom"/>
            <w:tcBorders>
              <w:right w:val="single" w:sz="8" w:color="CCFFCC"/>
            </w:tcBorders>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5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0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396</w:t>
            </w:r>
          </w:p>
        </w:tc>
        <w:tc>
          <w:tcPr>
            <w:tcW w:w="180" w:type="dxa"/>
            <w:vAlign w:val="bottom"/>
            <w:shd w:val="clear" w:color="auto" w:fill="CCFFCC"/>
          </w:tcPr>
          <w:p>
            <w:pPr>
              <w:spacing w:after="0"/>
              <w:rPr>
                <w:sz w:val="21"/>
                <w:szCs w:val="21"/>
                <w:color w:val="auto"/>
              </w:rPr>
            </w:pP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396</w:t>
            </w:r>
          </w:p>
        </w:tc>
        <w:tc>
          <w:tcPr>
            <w:tcW w:w="120" w:type="dxa"/>
            <w:vAlign w:val="bottom"/>
            <w:shd w:val="clear" w:color="auto" w:fill="CCFFCC"/>
          </w:tcPr>
          <w:p>
            <w:pPr>
              <w:spacing w:after="0"/>
              <w:rPr>
                <w:sz w:val="21"/>
                <w:szCs w:val="21"/>
                <w:color w:val="auto"/>
              </w:rPr>
            </w:pPr>
          </w:p>
        </w:tc>
      </w:tr>
      <w:tr>
        <w:trPr>
          <w:trHeight w:val="243"/>
        </w:trPr>
        <w:tc>
          <w:tcPr>
            <w:tcW w:w="320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5,037</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5,037</w:t>
            </w:r>
          </w:p>
        </w:tc>
        <w:tc>
          <w:tcPr>
            <w:tcW w:w="120" w:type="dxa"/>
            <w:vAlign w:val="bottom"/>
          </w:tcPr>
          <w:p>
            <w:pPr>
              <w:spacing w:after="0"/>
              <w:rPr>
                <w:sz w:val="21"/>
                <w:szCs w:val="21"/>
                <w:color w:val="auto"/>
              </w:rPr>
            </w:pPr>
          </w:p>
        </w:tc>
      </w:tr>
      <w:tr>
        <w:trPr>
          <w:trHeight w:val="244"/>
        </w:trPr>
        <w:tc>
          <w:tcPr>
            <w:tcW w:w="3200" w:type="dxa"/>
            <w:vAlign w:val="bottom"/>
            <w:tcBorders>
              <w:bottom w:val="single" w:sz="8" w:color="CCFFCC"/>
            </w:tcBorders>
            <w:gridSpan w:val="3"/>
            <w:shd w:val="clear" w:color="auto" w:fill="CCFFCC"/>
          </w:tcPr>
          <w:p>
            <w:pPr>
              <w:spacing w:after="0"/>
              <w:rPr>
                <w:sz w:val="20"/>
                <w:szCs w:val="20"/>
                <w:color w:val="auto"/>
              </w:rPr>
            </w:pPr>
            <w:r>
              <w:rPr>
                <w:rFonts w:ascii="Arial" w:cs="Arial" w:eastAsia="Arial" w:hAnsi="Arial"/>
                <w:sz w:val="18"/>
                <w:szCs w:val="18"/>
                <w:color w:val="auto"/>
              </w:rPr>
              <w:t>Comprehensive income- 2005</w:t>
            </w:r>
          </w:p>
        </w:tc>
        <w:tc>
          <w:tcPr>
            <w:tcW w:w="8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5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760" w:type="dxa"/>
            <w:vAlign w:val="bottom"/>
            <w:tcBorders>
              <w:bottom w:val="single" w:sz="8" w:color="CCFFCC"/>
              <w:right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5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6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8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5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6,451</w:t>
            </w:r>
          </w:p>
        </w:tc>
        <w:tc>
          <w:tcPr>
            <w:tcW w:w="120" w:type="dxa"/>
            <w:vAlign w:val="bottom"/>
            <w:tcBorders>
              <w:bottom w:val="single" w:sz="8" w:color="CCFFCC"/>
            </w:tcBorders>
            <w:shd w:val="clear" w:color="auto" w:fill="CCFFCC"/>
          </w:tcPr>
          <w:p>
            <w:pPr>
              <w:spacing w:after="0"/>
              <w:rPr>
                <w:sz w:val="21"/>
                <w:szCs w:val="21"/>
                <w:color w:val="auto"/>
              </w:rPr>
            </w:pPr>
          </w:p>
        </w:tc>
      </w:tr>
      <w:tr>
        <w:trPr>
          <w:trHeight w:val="20"/>
        </w:trPr>
        <w:tc>
          <w:tcPr>
            <w:tcW w:w="17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340" w:type="dxa"/>
            <w:vAlign w:val="bottom"/>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tcBorders>
              <w:right w:val="single" w:sz="8" w:color="CCFFCC"/>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r>
      <w:tr>
        <w:trPr>
          <w:trHeight w:val="196"/>
        </w:trPr>
        <w:tc>
          <w:tcPr>
            <w:tcW w:w="3200" w:type="dxa"/>
            <w:vAlign w:val="bottom"/>
            <w:gridSpan w:val="3"/>
          </w:tcPr>
          <w:p>
            <w:pPr>
              <w:spacing w:after="0" w:line="196" w:lineRule="exact"/>
              <w:rPr>
                <w:sz w:val="20"/>
                <w:szCs w:val="20"/>
                <w:color w:val="auto"/>
              </w:rPr>
            </w:pPr>
            <w:r>
              <w:rPr>
                <w:rFonts w:ascii="Arial" w:cs="Arial" w:eastAsia="Arial" w:hAnsi="Arial"/>
                <w:sz w:val="18"/>
                <w:szCs w:val="18"/>
                <w:color w:val="auto"/>
              </w:rPr>
              <w:t>Balance at April 30, 2005</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9,163,940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9,164</w:t>
            </w:r>
          </w:p>
        </w:tc>
        <w:tc>
          <w:tcPr>
            <w:tcW w:w="120" w:type="dxa"/>
            <w:vAlign w:val="bottom"/>
          </w:tcPr>
          <w:p>
            <w:pPr>
              <w:spacing w:after="0"/>
              <w:rPr>
                <w:sz w:val="17"/>
                <w:szCs w:val="17"/>
                <w:color w:val="auto"/>
              </w:rPr>
            </w:pPr>
          </w:p>
        </w:tc>
        <w:tc>
          <w:tcPr>
            <w:tcW w:w="760" w:type="dxa"/>
            <w:vAlign w:val="bottom"/>
          </w:tcPr>
          <w:p>
            <w:pPr>
              <w:jc w:val="right"/>
              <w:ind w:right="30"/>
              <w:spacing w:after="0" w:line="196" w:lineRule="exact"/>
              <w:rPr>
                <w:sz w:val="20"/>
                <w:szCs w:val="20"/>
                <w:color w:val="auto"/>
              </w:rPr>
            </w:pPr>
            <w:r>
              <w:rPr>
                <w:rFonts w:ascii="Arial" w:cs="Arial" w:eastAsia="Arial" w:hAnsi="Arial"/>
                <w:sz w:val="18"/>
                <w:szCs w:val="18"/>
                <w:color w:val="auto"/>
              </w:rPr>
              <w:t>45,289</w:t>
            </w: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12,440</w:t>
            </w:r>
          </w:p>
        </w:tc>
        <w:tc>
          <w:tcPr>
            <w:tcW w:w="8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646,709</w:t>
            </w:r>
          </w:p>
        </w:tc>
        <w:tc>
          <w:tcPr>
            <w:tcW w:w="8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(2,601)</w:t>
            </w:r>
          </w:p>
        </w:tc>
        <w:tc>
          <w:tcPr>
            <w:tcW w:w="160" w:type="dxa"/>
            <w:vAlign w:val="bottom"/>
          </w:tcPr>
          <w:p>
            <w:pPr>
              <w:spacing w:after="0"/>
              <w:rPr>
                <w:sz w:val="17"/>
                <w:szCs w:val="17"/>
                <w:color w:val="auto"/>
              </w:rPr>
            </w:pPr>
          </w:p>
        </w:tc>
        <w:tc>
          <w:tcPr>
            <w:tcW w:w="9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4,901</w:t>
            </w:r>
          </w:p>
        </w:tc>
        <w:tc>
          <w:tcPr>
            <w:tcW w:w="18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w w:val="98"/>
              </w:rPr>
              <w:t>69,193</w:t>
            </w:r>
          </w:p>
        </w:tc>
        <w:tc>
          <w:tcPr>
            <w:tcW w:w="120" w:type="dxa"/>
            <w:vAlign w:val="bottom"/>
          </w:tcPr>
          <w:p>
            <w:pPr>
              <w:spacing w:after="0"/>
              <w:rPr>
                <w:sz w:val="17"/>
                <w:szCs w:val="17"/>
                <w:color w:val="auto"/>
              </w:rPr>
            </w:pPr>
          </w:p>
        </w:tc>
      </w:tr>
      <w:tr>
        <w:trPr>
          <w:trHeight w:val="34"/>
        </w:trPr>
        <w:tc>
          <w:tcPr>
            <w:tcW w:w="172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43"/>
        </w:trPr>
        <w:tc>
          <w:tcPr>
            <w:tcW w:w="320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Exercise of stock options</w:t>
            </w:r>
          </w:p>
        </w:tc>
        <w:tc>
          <w:tcPr>
            <w:tcW w:w="8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60" w:type="dxa"/>
            <w:vAlign w:val="bottom"/>
            <w:tcBorders>
              <w:right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FFCC"/>
          </w:tcPr>
          <w:p>
            <w:pPr>
              <w:spacing w:after="0"/>
              <w:rPr>
                <w:sz w:val="21"/>
                <w:szCs w:val="21"/>
                <w:color w:val="auto"/>
              </w:rPr>
            </w:pPr>
          </w:p>
        </w:tc>
        <w:tc>
          <w:tcPr>
            <w:tcW w:w="5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8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(19,792)</w:t>
            </w:r>
          </w:p>
        </w:tc>
        <w:tc>
          <w:tcPr>
            <w:tcW w:w="6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FFCC"/>
          </w:tcPr>
          <w:p>
            <w:pPr>
              <w:spacing w:after="0"/>
              <w:rPr>
                <w:sz w:val="21"/>
                <w:szCs w:val="21"/>
                <w:color w:val="auto"/>
              </w:rPr>
            </w:pPr>
          </w:p>
        </w:tc>
      </w:tr>
      <w:tr>
        <w:trPr>
          <w:trHeight w:val="243"/>
        </w:trPr>
        <w:tc>
          <w:tcPr>
            <w:tcW w:w="3200" w:type="dxa"/>
            <w:vAlign w:val="bottom"/>
            <w:gridSpan w:val="3"/>
          </w:tcPr>
          <w:p>
            <w:pPr>
              <w:spacing w:after="0"/>
              <w:rPr>
                <w:sz w:val="20"/>
                <w:szCs w:val="20"/>
                <w:color w:val="auto"/>
              </w:rPr>
            </w:pPr>
            <w:r>
              <w:rPr>
                <w:rFonts w:ascii="Arial" w:cs="Arial" w:eastAsia="Arial" w:hAnsi="Arial"/>
                <w:sz w:val="18"/>
                <w:szCs w:val="18"/>
                <w:color w:val="auto"/>
              </w:rPr>
              <w:t>Contribution of stock to 401(k) plan</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(34,723)</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419</w:t>
            </w:r>
          </w:p>
        </w:tc>
        <w:tc>
          <w:tcPr>
            <w:tcW w:w="120" w:type="dxa"/>
            <w:vAlign w:val="bottom"/>
          </w:tcPr>
          <w:p>
            <w:pPr>
              <w:spacing w:after="0"/>
              <w:rPr>
                <w:sz w:val="21"/>
                <w:szCs w:val="21"/>
                <w:color w:val="auto"/>
              </w:rPr>
            </w:pPr>
          </w:p>
        </w:tc>
      </w:tr>
      <w:tr>
        <w:trPr>
          <w:trHeight w:val="243"/>
        </w:trPr>
        <w:tc>
          <w:tcPr>
            <w:tcW w:w="320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Cash dividend</w:t>
            </w:r>
          </w:p>
        </w:tc>
        <w:tc>
          <w:tcPr>
            <w:tcW w:w="8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60" w:type="dxa"/>
            <w:vAlign w:val="bottom"/>
            <w:tcBorders>
              <w:right w:val="single" w:sz="8" w:color="CCFFCC"/>
            </w:tcBorders>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(1,711)</w:t>
            </w:r>
          </w:p>
        </w:tc>
        <w:tc>
          <w:tcPr>
            <w:tcW w:w="7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6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(1,711)</w:t>
            </w:r>
          </w:p>
        </w:tc>
      </w:tr>
      <w:tr>
        <w:trPr>
          <w:trHeight w:val="243"/>
        </w:trPr>
        <w:tc>
          <w:tcPr>
            <w:tcW w:w="3200" w:type="dxa"/>
            <w:vAlign w:val="bottom"/>
            <w:gridSpan w:val="3"/>
          </w:tcPr>
          <w:p>
            <w:pPr>
              <w:spacing w:after="0"/>
              <w:rPr>
                <w:sz w:val="20"/>
                <w:szCs w:val="20"/>
                <w:color w:val="auto"/>
              </w:rPr>
            </w:pPr>
            <w:r>
              <w:rPr>
                <w:rFonts w:ascii="Arial" w:cs="Arial" w:eastAsia="Arial" w:hAnsi="Arial"/>
                <w:sz w:val="18"/>
                <w:szCs w:val="18"/>
                <w:color w:val="auto"/>
              </w:rPr>
              <w:t>Decrease in market</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3200" w:type="dxa"/>
            <w:vAlign w:val="bottom"/>
            <w:gridSpan w:val="3"/>
          </w:tcPr>
          <w:p>
            <w:pPr>
              <w:ind w:left="180"/>
              <w:spacing w:after="0"/>
              <w:rPr>
                <w:sz w:val="20"/>
                <w:szCs w:val="20"/>
                <w:color w:val="auto"/>
              </w:rPr>
            </w:pPr>
            <w:r>
              <w:rPr>
                <w:rFonts w:ascii="Arial" w:cs="Arial" w:eastAsia="Arial" w:hAnsi="Arial"/>
                <w:sz w:val="18"/>
                <w:szCs w:val="18"/>
                <w:color w:val="auto"/>
              </w:rPr>
              <w:t>value of marketable securities</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(1,390)</w:t>
            </w:r>
          </w:p>
        </w:tc>
        <w:tc>
          <w:tcPr>
            <w:tcW w:w="18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(1,390)</w:t>
            </w:r>
          </w:p>
        </w:tc>
      </w:tr>
      <w:tr>
        <w:trPr>
          <w:trHeight w:val="243"/>
        </w:trPr>
        <w:tc>
          <w:tcPr>
            <w:tcW w:w="320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Foreign currency translation adjustment</w:t>
            </w:r>
          </w:p>
        </w:tc>
        <w:tc>
          <w:tcPr>
            <w:tcW w:w="8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60" w:type="dxa"/>
            <w:vAlign w:val="bottom"/>
            <w:tcBorders>
              <w:right w:val="single" w:sz="8" w:color="CCFFCC"/>
            </w:tcBorders>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5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0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(820)</w:t>
            </w:r>
          </w:p>
        </w:tc>
        <w:tc>
          <w:tcPr>
            <w:tcW w:w="180" w:type="dxa"/>
            <w:vAlign w:val="bottom"/>
            <w:shd w:val="clear" w:color="auto" w:fill="CCFFCC"/>
          </w:tcPr>
          <w:p>
            <w:pPr>
              <w:spacing w:after="0"/>
              <w:rPr>
                <w:sz w:val="21"/>
                <w:szCs w:val="21"/>
                <w:color w:val="auto"/>
              </w:rPr>
            </w:pPr>
          </w:p>
        </w:tc>
        <w:tc>
          <w:tcPr>
            <w:tcW w:w="6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(820)</w:t>
            </w:r>
          </w:p>
        </w:tc>
      </w:tr>
      <w:tr>
        <w:trPr>
          <w:trHeight w:val="243"/>
        </w:trPr>
        <w:tc>
          <w:tcPr>
            <w:tcW w:w="3200" w:type="dxa"/>
            <w:vAlign w:val="bottom"/>
            <w:gridSpan w:val="3"/>
          </w:tcPr>
          <w:p>
            <w:pPr>
              <w:spacing w:after="0"/>
              <w:rPr>
                <w:sz w:val="20"/>
                <w:szCs w:val="20"/>
                <w:color w:val="auto"/>
              </w:rPr>
            </w:pPr>
            <w:r>
              <w:rPr>
                <w:rFonts w:ascii="Arial" w:cs="Arial" w:eastAsia="Arial" w:hAnsi="Arial"/>
                <w:sz w:val="18"/>
                <w:szCs w:val="18"/>
                <w:color w:val="auto"/>
              </w:rPr>
              <w:t>Net income</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4,798</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4,798</w:t>
            </w:r>
          </w:p>
        </w:tc>
        <w:tc>
          <w:tcPr>
            <w:tcW w:w="120" w:type="dxa"/>
            <w:vAlign w:val="bottom"/>
          </w:tcPr>
          <w:p>
            <w:pPr>
              <w:spacing w:after="0"/>
              <w:rPr>
                <w:sz w:val="21"/>
                <w:szCs w:val="21"/>
                <w:color w:val="auto"/>
              </w:rPr>
            </w:pPr>
          </w:p>
        </w:tc>
      </w:tr>
      <w:tr>
        <w:trPr>
          <w:trHeight w:val="244"/>
        </w:trPr>
        <w:tc>
          <w:tcPr>
            <w:tcW w:w="3200" w:type="dxa"/>
            <w:vAlign w:val="bottom"/>
            <w:tcBorders>
              <w:bottom w:val="single" w:sz="8" w:color="CCFFCC"/>
            </w:tcBorders>
            <w:gridSpan w:val="3"/>
            <w:shd w:val="clear" w:color="auto" w:fill="CCFFCC"/>
          </w:tcPr>
          <w:p>
            <w:pPr>
              <w:spacing w:after="0"/>
              <w:rPr>
                <w:sz w:val="20"/>
                <w:szCs w:val="20"/>
                <w:color w:val="auto"/>
              </w:rPr>
            </w:pPr>
            <w:r>
              <w:rPr>
                <w:rFonts w:ascii="Arial" w:cs="Arial" w:eastAsia="Arial" w:hAnsi="Arial"/>
                <w:sz w:val="18"/>
                <w:szCs w:val="18"/>
                <w:color w:val="auto"/>
              </w:rPr>
              <w:t>Comprehensive income- 2006</w:t>
            </w:r>
          </w:p>
        </w:tc>
        <w:tc>
          <w:tcPr>
            <w:tcW w:w="8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5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760" w:type="dxa"/>
            <w:vAlign w:val="bottom"/>
            <w:tcBorders>
              <w:bottom w:val="single" w:sz="8" w:color="CCFFCC"/>
              <w:right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5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6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8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5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2,588</w:t>
            </w:r>
          </w:p>
        </w:tc>
        <w:tc>
          <w:tcPr>
            <w:tcW w:w="120" w:type="dxa"/>
            <w:vAlign w:val="bottom"/>
            <w:tcBorders>
              <w:bottom w:val="single" w:sz="8" w:color="CCFFCC"/>
            </w:tcBorders>
            <w:shd w:val="clear" w:color="auto" w:fill="CCFFCC"/>
          </w:tcPr>
          <w:p>
            <w:pPr>
              <w:spacing w:after="0"/>
              <w:rPr>
                <w:sz w:val="21"/>
                <w:szCs w:val="21"/>
                <w:color w:val="auto"/>
              </w:rPr>
            </w:pPr>
          </w:p>
        </w:tc>
      </w:tr>
      <w:tr>
        <w:trPr>
          <w:trHeight w:val="20"/>
        </w:trPr>
        <w:tc>
          <w:tcPr>
            <w:tcW w:w="17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340" w:type="dxa"/>
            <w:vAlign w:val="bottom"/>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tcBorders>
              <w:right w:val="single" w:sz="8" w:color="CCFFCC"/>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r>
      <w:tr>
        <w:trPr>
          <w:trHeight w:val="196"/>
        </w:trPr>
        <w:tc>
          <w:tcPr>
            <w:tcW w:w="3200" w:type="dxa"/>
            <w:vAlign w:val="bottom"/>
            <w:gridSpan w:val="3"/>
          </w:tcPr>
          <w:p>
            <w:pPr>
              <w:spacing w:after="0" w:line="196" w:lineRule="exact"/>
              <w:rPr>
                <w:sz w:val="20"/>
                <w:szCs w:val="20"/>
                <w:color w:val="auto"/>
              </w:rPr>
            </w:pPr>
            <w:r>
              <w:rPr>
                <w:rFonts w:ascii="Arial" w:cs="Arial" w:eastAsia="Arial" w:hAnsi="Arial"/>
                <w:sz w:val="18"/>
                <w:szCs w:val="18"/>
                <w:color w:val="auto"/>
              </w:rPr>
              <w:t>Balance at April 30, 2006</w:t>
            </w: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9,163,940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9,164</w:t>
            </w:r>
          </w:p>
        </w:tc>
        <w:tc>
          <w:tcPr>
            <w:tcW w:w="120" w:type="dxa"/>
            <w:vAlign w:val="bottom"/>
          </w:tcPr>
          <w:p>
            <w:pPr>
              <w:spacing w:after="0"/>
              <w:rPr>
                <w:sz w:val="17"/>
                <w:szCs w:val="17"/>
                <w:color w:val="auto"/>
              </w:rPr>
            </w:pPr>
          </w:p>
        </w:tc>
        <w:tc>
          <w:tcPr>
            <w:tcW w:w="760" w:type="dxa"/>
            <w:vAlign w:val="bottom"/>
          </w:tcPr>
          <w:p>
            <w:pPr>
              <w:jc w:val="right"/>
              <w:ind w:right="30"/>
              <w:spacing w:after="0" w:line="196" w:lineRule="exact"/>
              <w:rPr>
                <w:sz w:val="20"/>
                <w:szCs w:val="20"/>
                <w:color w:val="auto"/>
              </w:rPr>
            </w:pPr>
            <w:r>
              <w:rPr>
                <w:rFonts w:ascii="Arial" w:cs="Arial" w:eastAsia="Arial" w:hAnsi="Arial"/>
                <w:sz w:val="18"/>
                <w:szCs w:val="18"/>
                <w:color w:val="auto"/>
              </w:rPr>
              <w:t>45,688</w:t>
            </w:r>
          </w:p>
        </w:tc>
        <w:tc>
          <w:tcPr>
            <w:tcW w:w="100" w:type="dxa"/>
            <w:vAlign w:val="bottom"/>
          </w:tcPr>
          <w:p>
            <w:pPr>
              <w:spacing w:after="0"/>
              <w:rPr>
                <w:sz w:val="17"/>
                <w:szCs w:val="17"/>
                <w:color w:val="auto"/>
              </w:rPr>
            </w:pPr>
          </w:p>
        </w:tc>
        <w:tc>
          <w:tcPr>
            <w:tcW w:w="6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15,527</w:t>
            </w:r>
          </w:p>
        </w:tc>
        <w:tc>
          <w:tcPr>
            <w:tcW w:w="8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592,194</w:t>
            </w:r>
          </w:p>
        </w:tc>
        <w:tc>
          <w:tcPr>
            <w:tcW w:w="80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(2,437)</w:t>
            </w:r>
          </w:p>
        </w:tc>
        <w:tc>
          <w:tcPr>
            <w:tcW w:w="160" w:type="dxa"/>
            <w:vAlign w:val="bottom"/>
          </w:tcPr>
          <w:p>
            <w:pPr>
              <w:spacing w:after="0"/>
              <w:rPr>
                <w:sz w:val="17"/>
                <w:szCs w:val="17"/>
                <w:color w:val="auto"/>
              </w:rPr>
            </w:pPr>
          </w:p>
        </w:tc>
        <w:tc>
          <w:tcPr>
            <w:tcW w:w="9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00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2,691</w:t>
            </w:r>
          </w:p>
        </w:tc>
        <w:tc>
          <w:tcPr>
            <w:tcW w:w="18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w w:val="98"/>
              </w:rPr>
              <w:t>70,633</w:t>
            </w:r>
          </w:p>
        </w:tc>
        <w:tc>
          <w:tcPr>
            <w:tcW w:w="120" w:type="dxa"/>
            <w:vAlign w:val="bottom"/>
          </w:tcPr>
          <w:p>
            <w:pPr>
              <w:spacing w:after="0"/>
              <w:rPr>
                <w:sz w:val="17"/>
                <w:szCs w:val="17"/>
                <w:color w:val="auto"/>
              </w:rPr>
            </w:pPr>
          </w:p>
        </w:tc>
      </w:tr>
      <w:tr>
        <w:trPr>
          <w:trHeight w:val="34"/>
        </w:trPr>
        <w:tc>
          <w:tcPr>
            <w:tcW w:w="172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1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43"/>
        </w:trPr>
        <w:tc>
          <w:tcPr>
            <w:tcW w:w="320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Exercise of stock options</w:t>
            </w:r>
          </w:p>
        </w:tc>
        <w:tc>
          <w:tcPr>
            <w:tcW w:w="8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60" w:type="dxa"/>
            <w:vAlign w:val="bottom"/>
            <w:tcBorders>
              <w:right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FFCC"/>
          </w:tcPr>
          <w:p>
            <w:pPr>
              <w:spacing w:after="0"/>
              <w:rPr>
                <w:sz w:val="21"/>
                <w:szCs w:val="21"/>
                <w:color w:val="auto"/>
              </w:rPr>
            </w:pPr>
          </w:p>
        </w:tc>
        <w:tc>
          <w:tcPr>
            <w:tcW w:w="5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80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(40,300)</w:t>
            </w:r>
          </w:p>
        </w:tc>
        <w:tc>
          <w:tcPr>
            <w:tcW w:w="8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122</w:t>
            </w:r>
          </w:p>
        </w:tc>
        <w:tc>
          <w:tcPr>
            <w:tcW w:w="16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293</w:t>
            </w:r>
          </w:p>
        </w:tc>
        <w:tc>
          <w:tcPr>
            <w:tcW w:w="120" w:type="dxa"/>
            <w:vAlign w:val="bottom"/>
            <w:shd w:val="clear" w:color="auto" w:fill="CCFFCC"/>
          </w:tcPr>
          <w:p>
            <w:pPr>
              <w:spacing w:after="0"/>
              <w:rPr>
                <w:sz w:val="21"/>
                <w:szCs w:val="21"/>
                <w:color w:val="auto"/>
              </w:rPr>
            </w:pPr>
          </w:p>
        </w:tc>
      </w:tr>
      <w:tr>
        <w:trPr>
          <w:trHeight w:val="243"/>
        </w:trPr>
        <w:tc>
          <w:tcPr>
            <w:tcW w:w="3200" w:type="dxa"/>
            <w:vAlign w:val="bottom"/>
            <w:gridSpan w:val="3"/>
          </w:tcPr>
          <w:p>
            <w:pPr>
              <w:spacing w:after="0"/>
              <w:rPr>
                <w:sz w:val="20"/>
                <w:szCs w:val="20"/>
                <w:color w:val="auto"/>
              </w:rPr>
            </w:pPr>
            <w:r>
              <w:rPr>
                <w:rFonts w:ascii="Arial" w:cs="Arial" w:eastAsia="Arial" w:hAnsi="Arial"/>
                <w:sz w:val="18"/>
                <w:szCs w:val="18"/>
                <w:color w:val="auto"/>
              </w:rPr>
              <w:t>Contribution of stock to 401(k) plan</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(37,550)</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115</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455</w:t>
            </w:r>
          </w:p>
        </w:tc>
        <w:tc>
          <w:tcPr>
            <w:tcW w:w="120" w:type="dxa"/>
            <w:vAlign w:val="bottom"/>
          </w:tcPr>
          <w:p>
            <w:pPr>
              <w:spacing w:after="0"/>
              <w:rPr>
                <w:sz w:val="21"/>
                <w:szCs w:val="21"/>
                <w:color w:val="auto"/>
              </w:rPr>
            </w:pPr>
          </w:p>
        </w:tc>
      </w:tr>
      <w:tr>
        <w:trPr>
          <w:trHeight w:val="243"/>
        </w:trPr>
        <w:tc>
          <w:tcPr>
            <w:tcW w:w="320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Cash dividend</w:t>
            </w:r>
          </w:p>
        </w:tc>
        <w:tc>
          <w:tcPr>
            <w:tcW w:w="8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60" w:type="dxa"/>
            <w:vAlign w:val="bottom"/>
            <w:tcBorders>
              <w:right w:val="single" w:sz="8" w:color="CCFFCC"/>
            </w:tcBorders>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(1,729)</w:t>
            </w:r>
          </w:p>
        </w:tc>
        <w:tc>
          <w:tcPr>
            <w:tcW w:w="7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6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(1,729)</w:t>
            </w:r>
          </w:p>
        </w:tc>
      </w:tr>
      <w:tr>
        <w:trPr>
          <w:trHeight w:val="243"/>
        </w:trPr>
        <w:tc>
          <w:tcPr>
            <w:tcW w:w="3200" w:type="dxa"/>
            <w:vAlign w:val="bottom"/>
            <w:gridSpan w:val="3"/>
          </w:tcPr>
          <w:p>
            <w:pPr>
              <w:spacing w:after="0"/>
              <w:rPr>
                <w:sz w:val="20"/>
                <w:szCs w:val="20"/>
                <w:color w:val="auto"/>
              </w:rPr>
            </w:pPr>
            <w:r>
              <w:rPr>
                <w:rFonts w:ascii="Arial" w:cs="Arial" w:eastAsia="Arial" w:hAnsi="Arial"/>
                <w:sz w:val="18"/>
                <w:szCs w:val="18"/>
                <w:color w:val="auto"/>
              </w:rPr>
              <w:t>Investment in Elcom Technologies</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(39,651)</w:t>
            </w: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120</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r>
      <w:tr>
        <w:trPr>
          <w:trHeight w:val="243"/>
        </w:trPr>
        <w:tc>
          <w:tcPr>
            <w:tcW w:w="320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Stock compensation expense</w:t>
            </w:r>
          </w:p>
        </w:tc>
        <w:tc>
          <w:tcPr>
            <w:tcW w:w="8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60" w:type="dxa"/>
            <w:vAlign w:val="bottom"/>
            <w:tcBorders>
              <w:right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559</w:t>
            </w:r>
          </w:p>
        </w:tc>
        <w:tc>
          <w:tcPr>
            <w:tcW w:w="100" w:type="dxa"/>
            <w:vAlign w:val="bottom"/>
            <w:shd w:val="clear" w:color="auto" w:fill="CCFFCC"/>
          </w:tcPr>
          <w:p>
            <w:pPr>
              <w:spacing w:after="0"/>
              <w:rPr>
                <w:sz w:val="21"/>
                <w:szCs w:val="21"/>
                <w:color w:val="auto"/>
              </w:rPr>
            </w:pPr>
          </w:p>
        </w:tc>
        <w:tc>
          <w:tcPr>
            <w:tcW w:w="5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559</w:t>
            </w:r>
          </w:p>
        </w:tc>
        <w:tc>
          <w:tcPr>
            <w:tcW w:w="120" w:type="dxa"/>
            <w:vAlign w:val="bottom"/>
            <w:shd w:val="clear" w:color="auto" w:fill="CCFFCC"/>
          </w:tcPr>
          <w:p>
            <w:pPr>
              <w:spacing w:after="0"/>
              <w:rPr>
                <w:sz w:val="21"/>
                <w:szCs w:val="21"/>
                <w:color w:val="auto"/>
              </w:rPr>
            </w:pPr>
          </w:p>
        </w:tc>
      </w:tr>
      <w:tr>
        <w:trPr>
          <w:trHeight w:val="243"/>
        </w:trPr>
        <w:tc>
          <w:tcPr>
            <w:tcW w:w="3200" w:type="dxa"/>
            <w:vAlign w:val="bottom"/>
            <w:gridSpan w:val="3"/>
          </w:tcPr>
          <w:p>
            <w:pPr>
              <w:spacing w:after="0"/>
              <w:rPr>
                <w:sz w:val="20"/>
                <w:szCs w:val="20"/>
                <w:color w:val="auto"/>
              </w:rPr>
            </w:pPr>
            <w:r>
              <w:rPr>
                <w:rFonts w:ascii="Arial" w:cs="Arial" w:eastAsia="Arial" w:hAnsi="Arial"/>
                <w:sz w:val="18"/>
                <w:szCs w:val="18"/>
                <w:color w:val="auto"/>
              </w:rPr>
              <w:t>Increase in market value of</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3200" w:type="dxa"/>
            <w:vAlign w:val="bottom"/>
            <w:gridSpan w:val="3"/>
          </w:tcPr>
          <w:p>
            <w:pPr>
              <w:ind w:left="180"/>
              <w:spacing w:after="0"/>
              <w:rPr>
                <w:sz w:val="20"/>
                <w:szCs w:val="20"/>
                <w:color w:val="auto"/>
              </w:rPr>
            </w:pPr>
            <w:r>
              <w:rPr>
                <w:rFonts w:ascii="Arial" w:cs="Arial" w:eastAsia="Arial" w:hAnsi="Arial"/>
                <w:sz w:val="18"/>
                <w:szCs w:val="18"/>
                <w:color w:val="auto"/>
              </w:rPr>
              <w:t>marketable securities</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333</w:t>
            </w: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333</w:t>
            </w:r>
          </w:p>
        </w:tc>
        <w:tc>
          <w:tcPr>
            <w:tcW w:w="120" w:type="dxa"/>
            <w:vAlign w:val="bottom"/>
          </w:tcPr>
          <w:p>
            <w:pPr>
              <w:spacing w:after="0"/>
              <w:rPr>
                <w:sz w:val="21"/>
                <w:szCs w:val="21"/>
                <w:color w:val="auto"/>
              </w:rPr>
            </w:pPr>
          </w:p>
        </w:tc>
      </w:tr>
      <w:tr>
        <w:trPr>
          <w:trHeight w:val="243"/>
        </w:trPr>
        <w:tc>
          <w:tcPr>
            <w:tcW w:w="320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Foreign currency translation adjustment</w:t>
            </w:r>
          </w:p>
        </w:tc>
        <w:tc>
          <w:tcPr>
            <w:tcW w:w="8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56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60" w:type="dxa"/>
            <w:vAlign w:val="bottom"/>
            <w:tcBorders>
              <w:right w:val="single" w:sz="8" w:color="CCFFCC"/>
            </w:tcBorders>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5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7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68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5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FFCC"/>
          </w:tcPr>
          <w:p>
            <w:pPr>
              <w:spacing w:after="0"/>
              <w:rPr>
                <w:sz w:val="21"/>
                <w:szCs w:val="21"/>
                <w:color w:val="auto"/>
              </w:rPr>
            </w:pPr>
          </w:p>
        </w:tc>
      </w:tr>
      <w:tr>
        <w:trPr>
          <w:trHeight w:val="243"/>
        </w:trPr>
        <w:tc>
          <w:tcPr>
            <w:tcW w:w="3200" w:type="dxa"/>
            <w:vAlign w:val="bottom"/>
            <w:gridSpan w:val="3"/>
          </w:tcPr>
          <w:p>
            <w:pPr>
              <w:spacing w:after="0"/>
              <w:rPr>
                <w:sz w:val="20"/>
                <w:szCs w:val="20"/>
                <w:color w:val="auto"/>
              </w:rPr>
            </w:pPr>
            <w:r>
              <w:rPr>
                <w:rFonts w:ascii="Arial" w:cs="Arial" w:eastAsia="Arial" w:hAnsi="Arial"/>
                <w:sz w:val="18"/>
                <w:szCs w:val="18"/>
                <w:color w:val="auto"/>
              </w:rPr>
              <w:t>Net loss</w:t>
            </w: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(257)</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(257)</w:t>
            </w:r>
          </w:p>
        </w:tc>
      </w:tr>
      <w:tr>
        <w:trPr>
          <w:trHeight w:val="244"/>
        </w:trPr>
        <w:tc>
          <w:tcPr>
            <w:tcW w:w="3200" w:type="dxa"/>
            <w:vAlign w:val="bottom"/>
            <w:tcBorders>
              <w:bottom w:val="single" w:sz="8" w:color="CCFFCC"/>
            </w:tcBorders>
            <w:gridSpan w:val="3"/>
            <w:shd w:val="clear" w:color="auto" w:fill="CCFFCC"/>
          </w:tcPr>
          <w:p>
            <w:pPr>
              <w:spacing w:after="0"/>
              <w:rPr>
                <w:sz w:val="20"/>
                <w:szCs w:val="20"/>
                <w:color w:val="auto"/>
              </w:rPr>
            </w:pPr>
            <w:r>
              <w:rPr>
                <w:rFonts w:ascii="Arial" w:cs="Arial" w:eastAsia="Arial" w:hAnsi="Arial"/>
                <w:sz w:val="18"/>
                <w:szCs w:val="18"/>
                <w:color w:val="auto"/>
              </w:rPr>
              <w:t>Comprehensive income- 2007</w:t>
            </w:r>
          </w:p>
        </w:tc>
        <w:tc>
          <w:tcPr>
            <w:tcW w:w="8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56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760" w:type="dxa"/>
            <w:vAlign w:val="bottom"/>
            <w:tcBorders>
              <w:bottom w:val="single" w:sz="8" w:color="CCFFCC"/>
              <w:right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58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7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68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8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top w:val="single" w:sz="8" w:color="auto"/>
              <w:bottom w:val="single" w:sz="8" w:color="CCFFCC"/>
            </w:tcBorders>
            <w:shd w:val="clear" w:color="auto" w:fill="CCFFCC"/>
          </w:tcPr>
          <w:p>
            <w:pPr>
              <w:spacing w:after="0"/>
              <w:rPr>
                <w:sz w:val="21"/>
                <w:szCs w:val="21"/>
                <w:color w:val="auto"/>
              </w:rPr>
            </w:pPr>
          </w:p>
        </w:tc>
        <w:tc>
          <w:tcPr>
            <w:tcW w:w="56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FFCC"/>
            </w:tcBorders>
            <w:shd w:val="clear" w:color="auto" w:fill="CCFFCC"/>
          </w:tcPr>
          <w:p>
            <w:pPr>
              <w:spacing w:after="0"/>
              <w:rPr>
                <w:sz w:val="21"/>
                <w:szCs w:val="21"/>
                <w:color w:val="auto"/>
              </w:rPr>
            </w:pPr>
          </w:p>
        </w:tc>
      </w:tr>
      <w:tr>
        <w:trPr>
          <w:trHeight w:val="20"/>
        </w:trPr>
        <w:tc>
          <w:tcPr>
            <w:tcW w:w="172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340" w:type="dxa"/>
            <w:vAlign w:val="bottom"/>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tcBorders>
              <w:right w:val="single" w:sz="8" w:color="CCFFCC"/>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r>
      <w:tr>
        <w:trPr>
          <w:trHeight w:val="243"/>
        </w:trPr>
        <w:tc>
          <w:tcPr>
            <w:tcW w:w="3200" w:type="dxa"/>
            <w:vAlign w:val="bottom"/>
            <w:gridSpan w:val="3"/>
          </w:tcPr>
          <w:p>
            <w:pPr>
              <w:spacing w:after="0"/>
              <w:rPr>
                <w:sz w:val="20"/>
                <w:szCs w:val="20"/>
                <w:color w:val="auto"/>
              </w:rPr>
            </w:pPr>
            <w:r>
              <w:rPr>
                <w:rFonts w:ascii="Arial" w:cs="Arial" w:eastAsia="Arial" w:hAnsi="Arial"/>
                <w:sz w:val="18"/>
                <w:szCs w:val="18"/>
                <w:color w:val="auto"/>
              </w:rPr>
              <w:t>Balance at April 30, 2007</w:t>
            </w:r>
          </w:p>
        </w:tc>
        <w:tc>
          <w:tcPr>
            <w:tcW w:w="880" w:type="dxa"/>
            <w:vAlign w:val="bottom"/>
          </w:tcPr>
          <w:p>
            <w:pPr>
              <w:jc w:val="right"/>
              <w:spacing w:after="0"/>
              <w:rPr>
                <w:sz w:val="20"/>
                <w:szCs w:val="20"/>
                <w:color w:val="auto"/>
              </w:rPr>
            </w:pPr>
            <w:r>
              <w:rPr>
                <w:rFonts w:ascii="Arial" w:cs="Arial" w:eastAsia="Arial" w:hAnsi="Arial"/>
                <w:sz w:val="18"/>
                <w:szCs w:val="18"/>
                <w:color w:val="auto"/>
              </w:rPr>
              <w:t>9,163,940</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9,164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0"/>
              <w:spacing w:after="0"/>
              <w:rPr>
                <w:sz w:val="20"/>
                <w:szCs w:val="20"/>
                <w:color w:val="auto"/>
              </w:rPr>
            </w:pPr>
            <w:r>
              <w:rPr>
                <w:rFonts w:ascii="Arial" w:cs="Arial" w:eastAsia="Arial" w:hAnsi="Arial"/>
                <w:sz w:val="18"/>
                <w:szCs w:val="18"/>
                <w:color w:val="auto"/>
              </w:rPr>
              <w:t>47,138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13,541</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474,693</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($2,080)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3,121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70,884</w:t>
            </w:r>
          </w:p>
        </w:tc>
        <w:tc>
          <w:tcPr>
            <w:tcW w:w="120" w:type="dxa"/>
            <w:vAlign w:val="bottom"/>
          </w:tcPr>
          <w:p>
            <w:pPr>
              <w:spacing w:after="0"/>
              <w:rPr>
                <w:sz w:val="21"/>
                <w:szCs w:val="21"/>
                <w:color w:val="auto"/>
              </w:rPr>
            </w:pPr>
          </w:p>
        </w:tc>
      </w:tr>
      <w:tr>
        <w:trPr>
          <w:trHeight w:val="20"/>
        </w:trPr>
        <w:tc>
          <w:tcPr>
            <w:tcW w:w="17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56"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40" w:name="page41"/>
    <w:bookmarkEnd w:id="40"/>
    <w:p>
      <w:pPr>
        <w:jc w:val="center"/>
        <w:spacing w:after="0"/>
        <w:rPr>
          <w:sz w:val="20"/>
          <w:szCs w:val="20"/>
          <w:color w:val="auto"/>
        </w:rPr>
      </w:pPr>
      <w:r>
        <w:rPr>
          <w:rFonts w:ascii="Arial" w:cs="Arial" w:eastAsia="Arial" w:hAnsi="Arial"/>
          <w:sz w:val="18"/>
          <w:szCs w:val="18"/>
          <w:color w:val="auto"/>
        </w:rPr>
        <w:t>NOTES TO CONSOLIDATED FINANCIAL STATEMENTS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1. Summary of Accounting Policies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r>
        <w:rPr>
          <w:rFonts w:ascii="Arial" w:cs="Arial" w:eastAsia="Arial" w:hAnsi="Arial"/>
          <w:sz w:val="18"/>
          <w:szCs w:val="18"/>
          <w:color w:val="auto"/>
        </w:rPr>
        <w:t>:</w:t>
      </w:r>
    </w:p>
    <w:p>
      <w:pPr>
        <w:spacing w:after="0" w:line="283"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The consolidated financial statements include the accounts of Frequency Electronics, Inc. and its wholly-owned subsidiaries (the "Company" or "Registrant"). References to “FEI” are to the parent company alone and do not refer to any of its subsidiaries. The Company is principally engaged in the design, development and manufacture of precision time and frequency control products and components for microwave integrated circuit applications. See Note 16 for information regarding the Company’s FEI-NY (which includes the subsidiaries FEI Government Systems, Inc., FEI Communications, Inc., and FEI-Asia, Inc.), Gillam-FEI, and FEI-Zyfer business segments. Intercompany accounts and significant intercompany transactions are eliminated in consolidation. To accommodate the different fiscal periods of Gillam-FEI, the Company recognizes its share of net income or loss on a one month lag. Any material events which may occur during the intervening month at Gillam-FEI will be accounted for in the consolidated financial statements.</w:t>
      </w:r>
    </w:p>
    <w:p>
      <w:pPr>
        <w:spacing w:after="0" w:line="221"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These financial statements have been prepared in conformity with generally accepted accounting principles and require management to make estimates and assumptions that affect amounts reported and disclosed in the financial statements and related notes. Actual results could differ from these estimates.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28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Certain prior year amounts have been reclassified to conform to current year presentation. These reclassifications had no effect on reported consolidated earnings.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28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Company considers certificates of deposit and other highly liquid investments with original maturities of three months or less to be cash equivalents. The Company places its temporary cash investments with high credit quality financial institutions. Such investments may be in excess of the FDIC insurance limit. No losses have been experienced on such investments.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Marketable Securities:</w:t>
      </w:r>
    </w:p>
    <w:p>
      <w:pPr>
        <w:spacing w:after="0" w:line="283"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Marketable securities consist of investments in common stocks, mutual funds, and debt securities of U.S. government agencies. Substantially all marketable securities at April 30, 2007 were held in the custody of two financial institutions. Investments in debt and equity securities are categorized as available for sale and are carried at fair value, with unrealized gains and losses excluded from income and recorded directly to stockholders' equity. The Company recognizes gains or losses when securities are sold using the specific identification method.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283"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Losses from uncollectible accounts receivable are provided for by utilizing the allowance for doubtful accounts method based upon management’s estimate of uncollectible accounts. Management specifically analyzes accounts receivable and the potential for bad debts, customer concentrations, credit worthiness, current economic trends and changes in customer payment terms when evaluating the allowance for doubtful accounts.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r>
        <w:rPr>
          <w:rFonts w:ascii="Arial" w:cs="Arial" w:eastAsia="Arial" w:hAnsi="Arial"/>
          <w:sz w:val="18"/>
          <w:szCs w:val="18"/>
          <w:color w:val="auto"/>
        </w:rPr>
        <w:t>:</w:t>
      </w:r>
    </w:p>
    <w:p>
      <w:pPr>
        <w:spacing w:after="0" w:line="283"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Inventories, which consist of finished goods, work-in-process, raw materials and components, are accounted for at the lower of cost (specific and average) or market.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83"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Property, plant and equipment are recorded at cost and include interest on funds borrowed to finance construction. Expenditures for renewals and betterments are capitalized; maintenance and repairs are charged to income when incurred. When fixed assets are sold or retired, the cost and related accumulated depreciation and amortization are eliminated from the respective accounts and any gain or loss is credited or charged to income.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27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If events or changes in circumstances indicate that the carrying amount of a long-lived asset may not be recoverable, the Company estimates the future cash flows expected to result from the use of the asset and its eventual disposition. If the sum of the expected future cash flows (undiscounted and without interest charges) is less than the carrying amount of the long-lived asset, an impairment loss is recognized. To date, no impairment losses have been recognized.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Depreciation and Amortization:</w:t>
      </w:r>
    </w:p>
    <w:p>
      <w:pPr>
        <w:spacing w:after="0" w:line="28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Depreciation of fixed assets is computed on the straight-line method based upon the estimated useful lives of the assets (40 years for buildings and 3 to 10 years for other depreciable assets). Leasehold improvements are amortized on the straight-line method over the shorter of the term of the lease or the useful life of the related improvement.</w:t>
      </w:r>
    </w:p>
    <w:p>
      <w:pPr>
        <w:spacing w:after="0" w:line="23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Amortization of identifiable intangible assets is based upon the expected lives of the assets and is recorded at a rate which approximates the Company’s utilization of the assets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83"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Intangible assets consist of customer lists which result from the excess purchase price over the fair value of acquired tangible assets. The customer lists are measured at fair value and amortized over the estimated useful life of 3 to 5 years.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8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Company records goodwill as the excess of purchase price over the fair value of identifiable net assets acquired. In accordance with Statement of Financial Accounting Standards ("FAS") No. 142 "Goodwill and Other Intangible Assets," goodwill is tested for impairment on at least an annual basis. When it is determined that the carrying value of investments may not be recoverable, the Company writes down the related goodwill to an amount commensurate with the revised value of the acquired assets. The Company measures impairment based on revenue projections, recent transactions involving similar businesses and price/revenue multiples at which they were bought and sold, price/revenue multiples of competitors, and the present market value of publicly-traded companies in the Company’s industry.</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Cost Recognition:</w:t>
      </w:r>
    </w:p>
    <w:p>
      <w:pPr>
        <w:spacing w:after="0" w:line="283"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Revenues under larger, long-term contracts, which generally require billings based on achievement of milestones rather than delivery of product, are reported in operating results using the percentage of completion method. For U.S. Government and other fixed-price contracts that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w:t>
      </w:r>
    </w:p>
    <w:p>
      <w:pPr>
        <w:spacing w:after="0" w:line="225"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On production-type orders, revenue is recorded as units are delivered with the related cost of sales recognized on each shipment based upon a percentage of estimated final program costs. Changes in job performance may result in revisions to costs and revenue and are recognized in the period in which revisions are determined to be required. Provisions for anticipated losses are made in the period in which they become determinable.</w:t>
      </w:r>
    </w:p>
    <w:p>
      <w:pPr>
        <w:spacing w:after="0" w:line="220" w:lineRule="exact"/>
        <w:rPr>
          <w:sz w:val="20"/>
          <w:szCs w:val="20"/>
          <w:color w:val="auto"/>
        </w:rPr>
      </w:pPr>
    </w:p>
    <w:p>
      <w:pPr>
        <w:jc w:val="both"/>
        <w:ind w:right="20" w:firstLine="486"/>
        <w:spacing w:after="0" w:line="342" w:lineRule="auto"/>
        <w:rPr>
          <w:sz w:val="20"/>
          <w:szCs w:val="20"/>
          <w:color w:val="auto"/>
        </w:rPr>
      </w:pPr>
      <w:r>
        <w:rPr>
          <w:rFonts w:ascii="Arial" w:cs="Arial" w:eastAsia="Arial" w:hAnsi="Arial"/>
          <w:sz w:val="16"/>
          <w:szCs w:val="16"/>
          <w:color w:val="auto"/>
        </w:rPr>
        <w:t>For customer orders in the Company’s subsidiaries, and smaller contracts or orders in the other business segments, sales of products and services to customers are reported in operating results upon shipment of the product or performance of the services pursuant to terms of the customer order.</w:t>
      </w:r>
    </w:p>
    <w:p>
      <w:pPr>
        <w:spacing w:after="0" w:line="17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Contract costs include all direct material, direct labor costs, manufacturing overhead and other direct costs related to contract performance. Selling, general and administrative costs are charged to expense as incurred.</w:t>
      </w:r>
    </w:p>
    <w:p>
      <w:pPr>
        <w:spacing w:after="0" w:line="22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accordance with industry practice, inventoried costs contain amounts relating to contracts and programs with long production cycles, a portion of which will not be realized within one year.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28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Comprehensive income consists of net income and other comprehensive income. Other comprehensive income includes unrealized gains or losses, net of tax, on securities available for sale during the year and the effects of foreign currency translation adjustments.</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w:t>
      </w:r>
    </w:p>
    <w:p>
      <w:pPr>
        <w:spacing w:after="0" w:line="283"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Company engages in research and development activities to identify new applications for its core technologies, to improve existing products and to improve manufacturing processes to achieve cost reductions and manufacturing efficiencies. Research and development costs include direct labor, manufacturing overhead, direct materials and contracted services. Such costs are expensed as incurred. In the normal course of business the Company is also contracted to perform research and development for others. The costs incurred under such contracts are recorded in cost of sales.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83"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Company recognizes deferred tax liabilities and assets based on the expected future tax consequences of events that have been included in the financial statements or tax returns. Under this method, deferred tax liabilities and assets are determined based on the difference between the financial statement and tax bases of assets and liabilities using enacted tax rates in effect for the year in which the differences are expected to reverse. Valuation allowances are established when necessary to reduce deferred tax assets to the amount expected to be realized.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8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Basic earnings per share are computed by dividing net earnings by the weighted average number of shares of common stock outstanding. Diluted earnings per share are computed by dividing net earnings by the sum of the weighted average number of shares of common stock and the if-converted effect of unexercised stock options.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Values of Financial Instruments:</w:t>
      </w:r>
    </w:p>
    <w:p>
      <w:pPr>
        <w:spacing w:after="0" w:line="28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Cash and cash equivalents and loans payable are reflected in the accompanying consolidated balance sheets at amounts considered by management to reasonably approximate fair value based upon the nature of the instrument and current market conditions. Management is not aware of any factors that would significantly affect the value of these amounts.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Adjustments:</w:t>
      </w:r>
    </w:p>
    <w:p>
      <w:pPr>
        <w:spacing w:after="0" w:line="283"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The local currency is the functional currency of each of the Company’s non-US subsidiaries. No foreign currency gains or losses are recorded on intercompany transactions since they are effected at current rates of exchange. The results of operations of foreign subsidiaries, when translated into US dollars, reflect the average rates of exchange for the periods presented. The balance sheets of foreign subsidiaries, except for equity accounts, are translated into US dollars at the rates of exchange in effect on the date of the balance sheet. As a result, similar results in local currency can vary significantly upon translation into US dollars if exchange rates fluctuate significantly from one period to the next.</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w:t>
      </w:r>
    </w:p>
    <w:p>
      <w:pPr>
        <w:spacing w:after="0" w:line="28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Effective May 1, 2006, the Company adopted the fair value recognition provisions of Statement of Financial Accounting Standards No. 123(R), “Share-Based Payment” (“FAS 123(R)”), using the modified prospective transition method. Under the modified prospective transition method, compensation cost of $559,000 was recognized during the year ended April 30, 2007, and includes: (a) compensation cost for all share-based payments granted prior to, but not yet vested as of May 1, 2006, based on the grant date fair value estimated in accordance with the original provisions of FAS 123, and (b) compensation cost for all share-based payments granted subsequent to May 1, 2006, based on the grant-date fair value estimated in accordance with the provisions of FAS 123(R). Results for prior periods have not been restated.</w:t>
      </w:r>
    </w:p>
    <w:p>
      <w:pPr>
        <w:spacing w:after="0" w:line="24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Upon adoption of FAS 123(R), the Company elected to continue to value its share-based payment transactions using the Black-Scholes valuation model, which was previously used by the Company for purposes of preparing the pro forma disclosures under FAS 123. Such value is recognized as expense on a straight-line basis over the service period of the awards, which is generally the vesting period, net of estimated forfeitures. This is the same attribution method that was used by the Company for purposes of its pro forma disclosures under FAS 123.</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279"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At April 30, 2007, unrecognized compensation cost for all the Company’s stock-based compensation awards was approximately $1.0 million which is expected to be recognized over a weighted average period of 2.7 years.</w:t>
      </w:r>
    </w:p>
    <w:p>
      <w:pPr>
        <w:spacing w:after="0" w:line="22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addition, the Company applied the provisions of Staff Accounting Bulletin No. 107 (“SAB 107”), issued by the Securities and Exchange Commission in March 2005 in its adoption of FAS 123(R). SAB 107 requires stock-based compensation to be classified in the same expense line items as cash compensation. Accordingly, during the year ended April 30, 2007, stock-based compensation expense was $285,000 in cost of sales and $274,000 in selling, general and administrative expense.</w:t>
      </w:r>
    </w:p>
    <w:p>
      <w:pPr>
        <w:spacing w:after="0" w:line="24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Prior to the adoption of FAS 123(R), the Company presented all tax benefits resulting from tax deductions associated with the exercise of stock options by employees as cash flows from operating activities in the Consolidated Statements of Cash Flows. Under FAS 123(R) “excess tax benefits” are to be classified as cash flows from financing activities in the Consolidated Statement of Cash Flows. For this purpose, the excess tax benefits are tax benefits related to the difference between the total tax deduction associated with the exercise of stock options by employees and the amount of compensation cost recognized for those options. For the year ended April 30, 2007, there were no excess tax benefits to be included within Other Financing Activities of the Cash Flows from Financing Activities pursuant to this requirement of FAS 123(R).</w:t>
      </w:r>
    </w:p>
    <w:p>
      <w:pPr>
        <w:spacing w:after="0" w:line="23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Effect of Adoption of FAS 123(R)</w:t>
      </w:r>
    </w:p>
    <w:p>
      <w:pPr>
        <w:spacing w:after="0" w:line="27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application of FAS 123(R) had the following effect on the reported amounts for the year ended April 30, 2007, relative to amounts that would have been reported using the intrinsic value method under previous accounting (in thousands, except for per share amounts).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8"/>
                <w:szCs w:val="18"/>
                <w:color w:val="auto"/>
                <w:w w:val="95"/>
              </w:rPr>
              <w:t>Using Intrinsic</w:t>
            </w:r>
          </w:p>
        </w:tc>
        <w:tc>
          <w:tcPr>
            <w:tcW w:w="1600" w:type="dxa"/>
            <w:vAlign w:val="bottom"/>
            <w:gridSpan w:val="2"/>
          </w:tcPr>
          <w:p>
            <w:pPr>
              <w:ind w:left="240"/>
              <w:spacing w:after="0"/>
              <w:rPr>
                <w:sz w:val="20"/>
                <w:szCs w:val="20"/>
                <w:color w:val="auto"/>
              </w:rPr>
            </w:pPr>
            <w:r>
              <w:rPr>
                <w:rFonts w:ascii="Arial" w:cs="Arial" w:eastAsia="Arial" w:hAnsi="Arial"/>
                <w:sz w:val="18"/>
                <w:szCs w:val="18"/>
                <w:color w:val="auto"/>
              </w:rPr>
              <w:t>FAS 123(R)</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As</w:t>
            </w:r>
          </w:p>
        </w:tc>
      </w:tr>
      <w:tr>
        <w:trPr>
          <w:trHeight w:val="270"/>
        </w:trPr>
        <w:tc>
          <w:tcPr>
            <w:tcW w:w="674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1"/>
              </w:rPr>
              <w:t>Value Method</w:t>
            </w:r>
          </w:p>
        </w:tc>
        <w:tc>
          <w:tcPr>
            <w:tcW w:w="240" w:type="dxa"/>
            <w:vAlign w:val="bottom"/>
          </w:tcPr>
          <w:p>
            <w:pPr>
              <w:spacing w:after="0"/>
              <w:rPr>
                <w:sz w:val="23"/>
                <w:szCs w:val="23"/>
                <w:color w:val="auto"/>
              </w:rPr>
            </w:pPr>
          </w:p>
        </w:tc>
        <w:tc>
          <w:tcPr>
            <w:tcW w:w="13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Adjustments</w:t>
            </w:r>
          </w:p>
        </w:tc>
        <w:tc>
          <w:tcPr>
            <w:tcW w:w="220" w:type="dxa"/>
            <w:vAlign w:val="bottom"/>
          </w:tcPr>
          <w:p>
            <w:pPr>
              <w:spacing w:after="0"/>
              <w:rPr>
                <w:sz w:val="23"/>
                <w:szCs w:val="23"/>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Reported</w:t>
            </w:r>
          </w:p>
        </w:tc>
        <w:tc>
          <w:tcPr>
            <w:tcW w:w="100" w:type="dxa"/>
            <w:vAlign w:val="bottom"/>
          </w:tcPr>
          <w:p>
            <w:pPr>
              <w:spacing w:after="0"/>
              <w:rPr>
                <w:sz w:val="23"/>
                <w:szCs w:val="23"/>
                <w:color w:val="auto"/>
              </w:rPr>
            </w:pPr>
          </w:p>
        </w:tc>
      </w:tr>
      <w:tr>
        <w:trPr>
          <w:trHeight w:val="237"/>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Operating Loss</w:t>
            </w:r>
          </w:p>
        </w:tc>
        <w:tc>
          <w:tcPr>
            <w:tcW w:w="120" w:type="dxa"/>
            <w:vAlign w:val="bottom"/>
            <w:shd w:val="clear" w:color="auto" w:fill="CCFFCC"/>
          </w:tcPr>
          <w:p>
            <w:pPr>
              <w:spacing w:after="0"/>
              <w:rPr>
                <w:sz w:val="20"/>
                <w:szCs w:val="20"/>
                <w:color w:val="auto"/>
              </w:rPr>
            </w:pPr>
          </w:p>
        </w:tc>
        <w:tc>
          <w:tcPr>
            <w:tcW w:w="15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($3,162)</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($559)</w:t>
            </w:r>
          </w:p>
        </w:tc>
        <w:tc>
          <w:tcPr>
            <w:tcW w:w="14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($3,721)</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Loss before benefit</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for income taxes</w:t>
            </w:r>
          </w:p>
        </w:tc>
        <w:tc>
          <w:tcPr>
            <w:tcW w:w="120" w:type="dxa"/>
            <w:vAlign w:val="bottom"/>
          </w:tcPr>
          <w:p>
            <w:pPr>
              <w:spacing w:after="0"/>
              <w:rPr>
                <w:sz w:val="21"/>
                <w:szCs w:val="21"/>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($1,253)</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($559)</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($1,812)</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122</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($379)</w:t>
            </w:r>
          </w:p>
        </w:tc>
        <w:tc>
          <w:tcPr>
            <w:tcW w:w="14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($257)</w:t>
            </w:r>
          </w:p>
        </w:tc>
      </w:tr>
      <w:tr>
        <w:trPr>
          <w:trHeight w:val="243"/>
        </w:trPr>
        <w:tc>
          <w:tcPr>
            <w:tcW w:w="6740" w:type="dxa"/>
            <w:vAlign w:val="bottom"/>
          </w:tcPr>
          <w:p>
            <w:pPr>
              <w:spacing w:after="0"/>
              <w:rPr>
                <w:sz w:val="20"/>
                <w:szCs w:val="20"/>
                <w:color w:val="auto"/>
              </w:rPr>
            </w:pPr>
            <w:r>
              <w:rPr>
                <w:rFonts w:ascii="Arial" w:cs="Arial" w:eastAsia="Arial" w:hAnsi="Arial"/>
                <w:sz w:val="18"/>
                <w:szCs w:val="18"/>
                <w:color w:val="auto"/>
              </w:rPr>
              <w:t>Basic Earnings (Loss)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0.01</w:t>
            </w:r>
          </w:p>
        </w:tc>
        <w:tc>
          <w:tcPr>
            <w:tcW w:w="160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1460" w:type="dxa"/>
            <w:vAlign w:val="bottom"/>
            <w:gridSpan w:val="2"/>
          </w:tcPr>
          <w:p>
            <w:pPr>
              <w:jc w:val="right"/>
              <w:ind w:right="40"/>
              <w:spacing w:after="0"/>
              <w:rPr>
                <w:sz w:val="20"/>
                <w:szCs w:val="20"/>
                <w:color w:val="auto"/>
              </w:rPr>
            </w:pPr>
            <w:r>
              <w:rPr>
                <w:rFonts w:ascii="Arial" w:cs="Arial" w:eastAsia="Arial" w:hAnsi="Arial"/>
                <w:sz w:val="18"/>
                <w:szCs w:val="18"/>
                <w:color w:val="auto"/>
              </w:rPr>
              <w:t>($0.03)</w:t>
            </w:r>
          </w:p>
        </w:tc>
      </w:tr>
      <w:tr>
        <w:trPr>
          <w:trHeight w:val="243"/>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Diluted Earnings (Loss) per Share</w:t>
            </w:r>
          </w:p>
        </w:tc>
        <w:tc>
          <w:tcPr>
            <w:tcW w:w="12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0.01</w:t>
            </w:r>
          </w:p>
        </w:tc>
        <w:tc>
          <w:tcPr>
            <w:tcW w:w="160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($0.01)</w:t>
            </w:r>
          </w:p>
        </w:tc>
        <w:tc>
          <w:tcPr>
            <w:tcW w:w="14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($0.03)</w:t>
            </w:r>
          </w:p>
        </w:tc>
      </w:tr>
    </w:tbl>
    <w:p>
      <w:pPr>
        <w:spacing w:after="0" w:line="25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weighted average fair value of each option has been estimated on the date of grant using the Black-Scholes options pricing model with the following weighted average assumptions used for grants in each of the years ended April 30, 2007, 2006 and 2005: dividend yield of 1.3%, 1.4%, and 1.1%; expected volatility of 59%; risk free interest rate of 5.0%, 4.1%, and 3.9%; and expected lives of six and one-half years, respectively.</w:t>
      </w:r>
    </w:p>
    <w:p>
      <w:pPr>
        <w:spacing w:after="0" w:line="22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expected life assumption was determined based on the Company’s historical experience. For purposes of both FAS 123 and FAS 123(R), the expected volatility assumption was based on the historical volatility of the Company’s common stock. The dividend yield assumption was determined based upon the Company’s past history of dividend payments and its intention to make future dividend payments. The risk-free interest rate assumption was determined using the implied yield currently available for zero-coupon U.S. government issues with a remaining term equal to the expected life of the stock options.</w:t>
      </w:r>
    </w:p>
    <w:p>
      <w:pPr>
        <w:spacing w:after="0" w:line="24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Fiscal years 2006 and 2005</w:t>
      </w:r>
    </w:p>
    <w:p>
      <w:pPr>
        <w:spacing w:after="0" w:line="27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Through fiscal year 2006, the Company applied the disclosure-only provisions of FAS No. 148, “</w:t>
      </w: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 and continues to measure compensation cost in accordance with Accounting Principles Board Opinion No. 25 (“APB 25”), “</w:t>
      </w:r>
      <w:r>
        <w:rPr>
          <w:rFonts w:ascii="Arial" w:cs="Arial" w:eastAsia="Arial" w:hAnsi="Arial"/>
          <w:sz w:val="18"/>
          <w:szCs w:val="18"/>
          <w:i w:val="1"/>
          <w:iCs w:val="1"/>
          <w:color w:val="auto"/>
        </w:rPr>
        <w:t>Accounting for Stock Issued to</w:t>
      </w:r>
      <w:r>
        <w:rPr>
          <w:rFonts w:ascii="Arial" w:cs="Arial" w:eastAsia="Arial" w:hAnsi="Arial"/>
          <w:sz w:val="18"/>
          <w:szCs w:val="18"/>
          <w:color w:val="auto"/>
        </w:rPr>
        <w:t xml:space="preserve"> </w:t>
      </w:r>
      <w:r>
        <w:rPr>
          <w:rFonts w:ascii="Arial" w:cs="Arial" w:eastAsia="Arial" w:hAnsi="Arial"/>
          <w:sz w:val="18"/>
          <w:szCs w:val="18"/>
          <w:i w:val="1"/>
          <w:iCs w:val="1"/>
          <w:color w:val="auto"/>
        </w:rPr>
        <w:t>Employees.</w:t>
      </w:r>
      <w:r>
        <w:rPr>
          <w:rFonts w:ascii="Arial" w:cs="Arial" w:eastAsia="Arial" w:hAnsi="Arial"/>
          <w:sz w:val="18"/>
          <w:szCs w:val="18"/>
          <w:color w:val="auto"/>
        </w:rPr>
        <w:t>” Historically, this has not resulted in compensation cost upon the grant of options under a qualified stock option plan. However, in accordance</w:t>
      </w:r>
      <w:r>
        <w:rPr>
          <w:rFonts w:ascii="Arial" w:cs="Arial" w:eastAsia="Arial" w:hAnsi="Arial"/>
          <w:sz w:val="18"/>
          <w:szCs w:val="18"/>
          <w:i w:val="1"/>
          <w:iCs w:val="1"/>
          <w:color w:val="auto"/>
        </w:rPr>
        <w:t xml:space="preserve"> </w:t>
      </w:r>
      <w:r>
        <w:rPr>
          <w:rFonts w:ascii="Arial" w:cs="Arial" w:eastAsia="Arial" w:hAnsi="Arial"/>
          <w:sz w:val="18"/>
          <w:szCs w:val="18"/>
          <w:color w:val="auto"/>
        </w:rPr>
        <w:t>with FAS No. 148, the Company provided pro forma disclosures of net income (loss) and income (loss) per share as if the fair value method had been applied beginning in fiscal 1996.</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27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illustrates the effect on the Company’s consolidated statements of operations had compensation cost for stock option awards under the plans been determined based on the fair value at the grant dates consistent with the provisions of FAS No. 123:</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p>
        </w:tc>
        <w:tc>
          <w:tcPr>
            <w:tcW w:w="3080" w:type="dxa"/>
            <w:vAlign w:val="bottom"/>
            <w:gridSpan w:val="7"/>
          </w:tcPr>
          <w:p>
            <w:pPr>
              <w:jc w:val="right"/>
              <w:ind w:right="280"/>
              <w:spacing w:after="0"/>
              <w:rPr>
                <w:sz w:val="20"/>
                <w:szCs w:val="20"/>
                <w:color w:val="auto"/>
              </w:rPr>
            </w:pPr>
            <w:r>
              <w:rPr>
                <w:rFonts w:ascii="Arial" w:cs="Arial" w:eastAsia="Arial" w:hAnsi="Arial"/>
                <w:sz w:val="18"/>
                <w:szCs w:val="18"/>
                <w:color w:val="auto"/>
                <w:w w:val="93"/>
              </w:rPr>
              <w:t>(in thousands, except per share data)</w:t>
            </w:r>
          </w:p>
        </w:tc>
      </w:tr>
      <w:tr>
        <w:trPr>
          <w:trHeight w:val="264"/>
        </w:trPr>
        <w:tc>
          <w:tcPr>
            <w:tcW w:w="8340" w:type="dxa"/>
            <w:vAlign w:val="bottom"/>
          </w:tcPr>
          <w:p>
            <w:pPr>
              <w:spacing w:after="0"/>
              <w:rPr>
                <w:sz w:val="22"/>
                <w:szCs w:val="22"/>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2006</w:t>
            </w:r>
          </w:p>
        </w:tc>
        <w:tc>
          <w:tcPr>
            <w:tcW w:w="46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22"/>
                <w:szCs w:val="22"/>
                <w:color w:val="auto"/>
              </w:rPr>
            </w:pPr>
          </w:p>
        </w:tc>
      </w:tr>
      <w:tr>
        <w:trPr>
          <w:trHeight w:val="237"/>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Net Income, as reported</w:t>
            </w:r>
          </w:p>
        </w:tc>
        <w:tc>
          <w:tcPr>
            <w:tcW w:w="920" w:type="dxa"/>
            <w:vAlign w:val="bottom"/>
            <w:shd w:val="clear" w:color="auto" w:fill="CCFFCC"/>
          </w:tcPr>
          <w:p>
            <w:pPr>
              <w:jc w:val="right"/>
              <w:ind w:right="73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7"/>
              </w:rPr>
              <w:t>4,798</w:t>
            </w:r>
          </w:p>
        </w:tc>
        <w:tc>
          <w:tcPr>
            <w:tcW w:w="140" w:type="dxa"/>
            <w:vAlign w:val="bottom"/>
            <w:shd w:val="clear" w:color="auto" w:fill="CCFFCC"/>
          </w:tcPr>
          <w:p>
            <w:pPr>
              <w:spacing w:after="0"/>
              <w:rPr>
                <w:sz w:val="20"/>
                <w:szCs w:val="20"/>
                <w:color w:val="auto"/>
              </w:rPr>
            </w:pPr>
          </w:p>
        </w:tc>
        <w:tc>
          <w:tcPr>
            <w:tcW w:w="38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5,037</w:t>
            </w:r>
          </w:p>
        </w:tc>
      </w:tr>
      <w:tr>
        <w:trPr>
          <w:trHeight w:val="270"/>
        </w:trPr>
        <w:tc>
          <w:tcPr>
            <w:tcW w:w="8340" w:type="dxa"/>
            <w:vAlign w:val="bottom"/>
          </w:tcPr>
          <w:p>
            <w:pPr>
              <w:spacing w:after="0"/>
              <w:rPr>
                <w:sz w:val="20"/>
                <w:szCs w:val="20"/>
                <w:color w:val="auto"/>
              </w:rPr>
            </w:pPr>
            <w:r>
              <w:rPr>
                <w:rFonts w:ascii="Arial" w:cs="Arial" w:eastAsia="Arial" w:hAnsi="Arial"/>
                <w:sz w:val="18"/>
                <w:szCs w:val="18"/>
                <w:color w:val="auto"/>
              </w:rPr>
              <w:t>Cost of stock options, net of taxes</w:t>
            </w:r>
          </w:p>
        </w:tc>
        <w:tc>
          <w:tcPr>
            <w:tcW w:w="920" w:type="dxa"/>
            <w:vAlign w:val="bottom"/>
          </w:tcPr>
          <w:p>
            <w:pPr>
              <w:spacing w:after="0"/>
              <w:rPr>
                <w:sz w:val="23"/>
                <w:szCs w:val="23"/>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(309)</w:t>
            </w: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(525)</w:t>
            </w:r>
          </w:p>
        </w:tc>
      </w:tr>
      <w:tr>
        <w:trPr>
          <w:trHeight w:val="277"/>
        </w:trPr>
        <w:tc>
          <w:tcPr>
            <w:tcW w:w="83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Net Income pro forma</w:t>
            </w:r>
          </w:p>
        </w:tc>
        <w:tc>
          <w:tcPr>
            <w:tcW w:w="920" w:type="dxa"/>
            <w:vAlign w:val="bottom"/>
            <w:tcBorders>
              <w:top w:val="single" w:sz="8" w:color="auto"/>
              <w:bottom w:val="single" w:sz="8" w:color="auto"/>
            </w:tcBorders>
            <w:shd w:val="clear" w:color="auto" w:fill="CCFFCC"/>
          </w:tcPr>
          <w:p>
            <w:pPr>
              <w:jc w:val="right"/>
              <w:ind w:right="73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97"/>
              </w:rPr>
              <w:t>4,489</w:t>
            </w:r>
          </w:p>
        </w:tc>
        <w:tc>
          <w:tcPr>
            <w:tcW w:w="140" w:type="dxa"/>
            <w:vAlign w:val="bottom"/>
            <w:tcBorders>
              <w:bottom w:val="single" w:sz="8" w:color="CCFFCC"/>
            </w:tcBorders>
            <w:shd w:val="clear" w:color="auto" w:fill="CCFFCC"/>
          </w:tcPr>
          <w:p>
            <w:pPr>
              <w:spacing w:after="0"/>
              <w:rPr>
                <w:sz w:val="24"/>
                <w:szCs w:val="24"/>
                <w:color w:val="auto"/>
              </w:rPr>
            </w:pPr>
          </w:p>
        </w:tc>
        <w:tc>
          <w:tcPr>
            <w:tcW w:w="80" w:type="dxa"/>
            <w:vAlign w:val="bottom"/>
            <w:tcBorders>
              <w:bottom w:val="single" w:sz="8" w:color="CCFFCC"/>
            </w:tcBorders>
            <w:shd w:val="clear" w:color="auto" w:fill="CCFFCC"/>
          </w:tcPr>
          <w:p>
            <w:pPr>
              <w:spacing w:after="0"/>
              <w:rPr>
                <w:sz w:val="24"/>
                <w:szCs w:val="24"/>
                <w:color w:val="auto"/>
              </w:rPr>
            </w:pPr>
          </w:p>
        </w:tc>
        <w:tc>
          <w:tcPr>
            <w:tcW w:w="300" w:type="dxa"/>
            <w:vAlign w:val="bottom"/>
            <w:tcBorders>
              <w:top w:val="single" w:sz="8" w:color="auto"/>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4,512</w:t>
            </w:r>
          </w:p>
        </w:tc>
        <w:tc>
          <w:tcPr>
            <w:tcW w:w="100" w:type="dxa"/>
            <w:vAlign w:val="bottom"/>
            <w:tcBorders>
              <w:bottom w:val="single" w:sz="8" w:color="CCFFCC"/>
            </w:tcBorders>
            <w:shd w:val="clear" w:color="auto" w:fill="CCFFCC"/>
          </w:tcPr>
          <w:p>
            <w:pPr>
              <w:spacing w:after="0"/>
              <w:rPr>
                <w:sz w:val="24"/>
                <w:szCs w:val="24"/>
                <w:color w:val="auto"/>
              </w:rPr>
            </w:pPr>
          </w:p>
        </w:tc>
      </w:tr>
      <w:tr>
        <w:trPr>
          <w:trHeight w:val="224"/>
        </w:trPr>
        <w:tc>
          <w:tcPr>
            <w:tcW w:w="8340" w:type="dxa"/>
            <w:vAlign w:val="bottom"/>
          </w:tcPr>
          <w:p>
            <w:pPr>
              <w:spacing w:after="0"/>
              <w:rPr>
                <w:sz w:val="20"/>
                <w:szCs w:val="20"/>
                <w:color w:val="auto"/>
              </w:rPr>
            </w:pPr>
            <w:r>
              <w:rPr>
                <w:rFonts w:ascii="Arial" w:cs="Arial" w:eastAsia="Arial" w:hAnsi="Arial"/>
                <w:sz w:val="18"/>
                <w:szCs w:val="18"/>
                <w:color w:val="auto"/>
              </w:rPr>
              <w:t>Income per share, as reported:</w:t>
            </w: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83"/>
        </w:trPr>
        <w:tc>
          <w:tcPr>
            <w:tcW w:w="8340" w:type="dxa"/>
            <w:vAlign w:val="bottom"/>
            <w:tcBorders>
              <w:bottom w:val="single" w:sz="8" w:color="CCFFCC"/>
            </w:tcBorders>
            <w:shd w:val="clear" w:color="auto" w:fill="CCFFCC"/>
          </w:tcPr>
          <w:p>
            <w:pPr>
              <w:ind w:left="500"/>
              <w:spacing w:after="0"/>
              <w:rPr>
                <w:sz w:val="20"/>
                <w:szCs w:val="20"/>
                <w:color w:val="auto"/>
              </w:rPr>
            </w:pPr>
            <w:r>
              <w:rPr>
                <w:rFonts w:ascii="Arial" w:cs="Arial" w:eastAsia="Arial" w:hAnsi="Arial"/>
                <w:sz w:val="18"/>
                <w:szCs w:val="18"/>
                <w:color w:val="auto"/>
              </w:rPr>
              <w:t>Basic</w:t>
            </w:r>
          </w:p>
        </w:tc>
        <w:tc>
          <w:tcPr>
            <w:tcW w:w="920" w:type="dxa"/>
            <w:vAlign w:val="bottom"/>
            <w:tcBorders>
              <w:bottom w:val="single" w:sz="8" w:color="auto"/>
            </w:tcBorders>
            <w:shd w:val="clear" w:color="auto" w:fill="CCFFCC"/>
          </w:tcPr>
          <w:p>
            <w:pPr>
              <w:jc w:val="right"/>
              <w:ind w:right="73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0.56</w:t>
            </w:r>
          </w:p>
        </w:tc>
        <w:tc>
          <w:tcPr>
            <w:tcW w:w="140" w:type="dxa"/>
            <w:vAlign w:val="bottom"/>
            <w:tcBorders>
              <w:bottom w:val="single" w:sz="8" w:color="CCFFCC"/>
            </w:tcBorders>
            <w:shd w:val="clear" w:color="auto" w:fill="CCFFCC"/>
          </w:tcPr>
          <w:p>
            <w:pPr>
              <w:spacing w:after="0"/>
              <w:rPr>
                <w:sz w:val="24"/>
                <w:szCs w:val="24"/>
                <w:color w:val="auto"/>
              </w:rPr>
            </w:pPr>
          </w:p>
        </w:tc>
        <w:tc>
          <w:tcPr>
            <w:tcW w:w="80" w:type="dxa"/>
            <w:vAlign w:val="bottom"/>
            <w:tcBorders>
              <w:bottom w:val="single" w:sz="8" w:color="CCFFCC"/>
            </w:tcBorders>
            <w:shd w:val="clear" w:color="auto" w:fill="CCFFCC"/>
          </w:tcPr>
          <w:p>
            <w:pPr>
              <w:spacing w:after="0"/>
              <w:rPr>
                <w:sz w:val="24"/>
                <w:szCs w:val="24"/>
                <w:color w:val="auto"/>
              </w:rPr>
            </w:pPr>
          </w:p>
        </w:tc>
        <w:tc>
          <w:tcPr>
            <w:tcW w:w="30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0.59</w:t>
            </w:r>
          </w:p>
        </w:tc>
        <w:tc>
          <w:tcPr>
            <w:tcW w:w="100" w:type="dxa"/>
            <w:vAlign w:val="bottom"/>
            <w:tcBorders>
              <w:bottom w:val="single" w:sz="8" w:color="CCFFCC"/>
            </w:tcBorders>
            <w:shd w:val="clear" w:color="auto" w:fill="CCFFCC"/>
          </w:tcPr>
          <w:p>
            <w:pPr>
              <w:spacing w:after="0"/>
              <w:rPr>
                <w:sz w:val="24"/>
                <w:szCs w:val="24"/>
                <w:color w:val="auto"/>
              </w:rPr>
            </w:pPr>
          </w:p>
        </w:tc>
      </w:tr>
      <w:tr>
        <w:trPr>
          <w:trHeight w:val="224"/>
        </w:trPr>
        <w:tc>
          <w:tcPr>
            <w:tcW w:w="8340" w:type="dxa"/>
            <w:vAlign w:val="bottom"/>
          </w:tcPr>
          <w:p>
            <w:pPr>
              <w:ind w:left="500"/>
              <w:spacing w:after="0"/>
              <w:rPr>
                <w:sz w:val="20"/>
                <w:szCs w:val="20"/>
                <w:color w:val="auto"/>
              </w:rPr>
            </w:pPr>
            <w:r>
              <w:rPr>
                <w:rFonts w:ascii="Arial" w:cs="Arial" w:eastAsia="Arial" w:hAnsi="Arial"/>
                <w:sz w:val="18"/>
                <w:szCs w:val="18"/>
                <w:color w:val="auto"/>
              </w:rPr>
              <w:t>Diluted</w:t>
            </w:r>
          </w:p>
        </w:tc>
        <w:tc>
          <w:tcPr>
            <w:tcW w:w="920" w:type="dxa"/>
            <w:vAlign w:val="bottom"/>
          </w:tcPr>
          <w:p>
            <w:pPr>
              <w:jc w:val="right"/>
              <w:ind w:right="73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0.55</w:t>
            </w:r>
          </w:p>
        </w:tc>
        <w:tc>
          <w:tcPr>
            <w:tcW w:w="140" w:type="dxa"/>
            <w:vAlign w:val="bottom"/>
          </w:tcPr>
          <w:p>
            <w:pPr>
              <w:spacing w:after="0"/>
              <w:rPr>
                <w:sz w:val="19"/>
                <w:szCs w:val="19"/>
                <w:color w:val="auto"/>
              </w:rPr>
            </w:pPr>
          </w:p>
        </w:tc>
        <w:tc>
          <w:tcPr>
            <w:tcW w:w="3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0.58</w:t>
            </w:r>
          </w:p>
        </w:tc>
      </w:tr>
      <w:tr>
        <w:trPr>
          <w:trHeight w:val="20"/>
        </w:trPr>
        <w:tc>
          <w:tcPr>
            <w:tcW w:w="83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Income per share- pro forma</w:t>
            </w:r>
          </w:p>
        </w:tc>
        <w:tc>
          <w:tcPr>
            <w:tcW w:w="920" w:type="dxa"/>
            <w:vAlign w:val="bottom"/>
            <w:shd w:val="clear" w:color="auto" w:fill="CCFFCC"/>
          </w:tcPr>
          <w:p>
            <w:pPr>
              <w:spacing w:after="0"/>
              <w:rPr>
                <w:sz w:val="19"/>
                <w:szCs w:val="19"/>
                <w:color w:val="auto"/>
              </w:rPr>
            </w:pPr>
          </w:p>
        </w:tc>
        <w:tc>
          <w:tcPr>
            <w:tcW w:w="46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8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108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Basic</w:t>
            </w:r>
          </w:p>
        </w:tc>
        <w:tc>
          <w:tcPr>
            <w:tcW w:w="92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21"/>
                <w:szCs w:val="21"/>
                <w:color w:val="auto"/>
              </w:rPr>
            </w:pPr>
          </w:p>
        </w:tc>
      </w:tr>
      <w:tr>
        <w:trPr>
          <w:trHeight w:val="20"/>
        </w:trPr>
        <w:tc>
          <w:tcPr>
            <w:tcW w:w="8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8340" w:type="dxa"/>
            <w:vAlign w:val="bottom"/>
            <w:tcBorders>
              <w:bottom w:val="single" w:sz="8" w:color="CCFFCC"/>
            </w:tcBorders>
            <w:shd w:val="clear" w:color="auto" w:fill="CCFFCC"/>
          </w:tcPr>
          <w:p>
            <w:pPr>
              <w:ind w:left="500"/>
              <w:spacing w:after="0"/>
              <w:rPr>
                <w:sz w:val="20"/>
                <w:szCs w:val="20"/>
                <w:color w:val="auto"/>
              </w:rPr>
            </w:pPr>
            <w:r>
              <w:rPr>
                <w:rFonts w:ascii="Arial" w:cs="Arial" w:eastAsia="Arial" w:hAnsi="Arial"/>
                <w:sz w:val="18"/>
                <w:szCs w:val="18"/>
                <w:color w:val="auto"/>
              </w:rPr>
              <w:t>Diluted</w:t>
            </w:r>
          </w:p>
        </w:tc>
        <w:tc>
          <w:tcPr>
            <w:tcW w:w="920" w:type="dxa"/>
            <w:vAlign w:val="bottom"/>
            <w:tcBorders>
              <w:bottom w:val="single" w:sz="8" w:color="auto"/>
            </w:tcBorders>
            <w:shd w:val="clear" w:color="auto" w:fill="CCFFCC"/>
          </w:tcPr>
          <w:p>
            <w:pPr>
              <w:jc w:val="right"/>
              <w:ind w:right="73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0.52</w:t>
            </w:r>
          </w:p>
        </w:tc>
        <w:tc>
          <w:tcPr>
            <w:tcW w:w="140" w:type="dxa"/>
            <w:vAlign w:val="bottom"/>
            <w:tcBorders>
              <w:bottom w:val="single" w:sz="8" w:color="CCFFCC"/>
            </w:tcBorders>
            <w:shd w:val="clear" w:color="auto" w:fill="CCFFCC"/>
          </w:tcPr>
          <w:p>
            <w:pPr>
              <w:spacing w:after="0"/>
              <w:rPr>
                <w:sz w:val="22"/>
                <w:szCs w:val="22"/>
                <w:color w:val="auto"/>
              </w:rPr>
            </w:pPr>
          </w:p>
        </w:tc>
        <w:tc>
          <w:tcPr>
            <w:tcW w:w="80" w:type="dxa"/>
            <w:vAlign w:val="bottom"/>
            <w:tcBorders>
              <w:bottom w:val="single" w:sz="8" w:color="CCFFCC"/>
            </w:tcBorders>
            <w:shd w:val="clear" w:color="auto" w:fill="CCFFCC"/>
          </w:tcPr>
          <w:p>
            <w:pPr>
              <w:spacing w:after="0"/>
              <w:rPr>
                <w:sz w:val="22"/>
                <w:szCs w:val="22"/>
                <w:color w:val="auto"/>
              </w:rPr>
            </w:pPr>
          </w:p>
        </w:tc>
        <w:tc>
          <w:tcPr>
            <w:tcW w:w="30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0.52</w:t>
            </w:r>
          </w:p>
        </w:tc>
        <w:tc>
          <w:tcPr>
            <w:tcW w:w="100" w:type="dxa"/>
            <w:vAlign w:val="bottom"/>
            <w:tcBorders>
              <w:bottom w:val="single" w:sz="8" w:color="CCFFCC"/>
            </w:tcBorders>
            <w:shd w:val="clear" w:color="auto" w:fill="CCFFCC"/>
          </w:tcPr>
          <w:p>
            <w:pPr>
              <w:spacing w:after="0"/>
              <w:rPr>
                <w:sz w:val="22"/>
                <w:szCs w:val="22"/>
                <w:color w:val="auto"/>
              </w:rPr>
            </w:pPr>
          </w:p>
        </w:tc>
      </w:tr>
    </w:tbl>
    <w:p>
      <w:pPr>
        <w:spacing w:after="0" w:line="25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weighted average fair value of each option has been estimated on the date of grant using the Black-Scholes options pricing model with the following weighted average assumptions used for grants in each of the three years ended April 30, 2006 and 2005; dividend yield of 1.4% and 1.1%, expected volatility of 59%; risk free interest rate of 4.1% and 3.9%; and expected lives of six and one-half years, respectively.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28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June 2006, the FASB issued Financial Interpretation No. 48, “Accounting for Uncertainty in Income Taxes - an interpretation of FASB Statement No. 109.” (“FIN 48”) This interpretation clarifies the accounting for uncertainty in income taxes recognized in an entity’s financial statements and prescribes recognition thresholds and measurement attributes for tax positions taken in a tax return. FIN 48 is effective for the Company beginning in fiscal year 2008. The Company will comply with the provisions of FIN 48 but the impact of such adoption is not expected to have a material impact on the Company’s financial statements.</w:t>
      </w:r>
    </w:p>
    <w:p>
      <w:pPr>
        <w:spacing w:after="0" w:line="24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September 2006, the FASB issued Statement No. 157, “Fair Value Measurements.” (“FAS 157”) This statement defines fair value, establishes a framework for measuring fair value in generally accepted accounting principles (“GAAP”) and expands disclosures about fair value measurements. FAS 157 does not require any new fair value measurements but simplifies and codifies related guidance. The Company will comply with the provisions of FAS 157 when it becomes effective in fiscal year 2009. The impact of such adoption is not expected to have a material impact on the Company’s financial statements since the Company utilizes fair value measures wherever required by current GAAP.</w:t>
      </w:r>
    </w:p>
    <w:p>
      <w:pPr>
        <w:spacing w:after="0" w:line="242"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The SEC issued Staff Accounting Bulletin No. 108 (“SAB 108”) in September 2006. SAB 108 expresses the views of the SEC staff regarding the process of quantifying the materiality of financial misstatements. SAB 108 requires both the balance sheet (iron curtain) and income statement (rollover) approaches be used when quantifying the materiality of misstatement amounts. In addition, SAB 108 contains guidance on correcting errors under the dual approach and provides transition guidance for correcting errors existing in prior years. SAB 108 is now effective for the Company and, for the fiscal year ended April 30, 2007, there was no impact on the Company’s consolidated financial statements from application of this bulletin.</w:t>
      </w:r>
    </w:p>
    <w:p>
      <w:pPr>
        <w:spacing w:after="0" w:line="227"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In February 2007, the FASB issued Statement No. 159, “The Fair Value Option for Financial Assets and Financial Liabilities including an amendment of SFAS No. 115” (“FAS 159”). The new statement allows entities to choose, at specified election dates, to measure eligible financial assets and liabilities at fair value that are not otherwise required to be measured at fair value. If a company elects the fair value option for an eligible item, changes in that item’s fair value in subsequent reporting periods must be recognized in current earnings. FAS 159 is effective for fiscal years beginning after November 15, 2007. The Company is currently evaluating the potential impact of FAS 159 on its financial position and results of operations.</w:t>
      </w:r>
    </w:p>
    <w:p>
      <w:pPr>
        <w:spacing w:after="0" w:line="253" w:lineRule="exact"/>
        <w:rPr>
          <w:sz w:val="20"/>
          <w:szCs w:val="20"/>
          <w:color w:val="auto"/>
        </w:rPr>
      </w:pPr>
    </w:p>
    <w:p>
      <w:pPr>
        <w:ind w:left="440" w:hanging="432"/>
        <w:spacing w:after="0"/>
        <w:tabs>
          <w:tab w:leader="none" w:pos="44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Accounts Receivable</w:t>
      </w:r>
    </w:p>
    <w:p>
      <w:pPr>
        <w:spacing w:after="0" w:line="29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Accounts receivable include costs and estimated earnings in excess of billings on uncompleted contracts accounted for on the percentage of completion basis of approximately $6,259,000 at April 30, 2007 and $4,857,000 at April 30, 2006. Such amounts represent revenue recognized on long-term contracts that has not been billed, pursuant to contract terms, and was not billable at the balance sheet date.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160" w:type="dxa"/>
            <w:vAlign w:val="bottom"/>
            <w:gridSpan w:val="4"/>
          </w:tcPr>
          <w:p>
            <w:pPr>
              <w:ind w:left="340"/>
              <w:spacing w:after="0"/>
              <w:rPr>
                <w:sz w:val="20"/>
                <w:szCs w:val="20"/>
                <w:color w:val="auto"/>
              </w:rPr>
            </w:pPr>
            <w:r>
              <w:rPr>
                <w:rFonts w:ascii="Arial" w:cs="Arial" w:eastAsia="Arial" w:hAnsi="Arial"/>
                <w:sz w:val="18"/>
                <w:szCs w:val="18"/>
                <w:color w:val="auto"/>
              </w:rPr>
              <w:t>NOTES TO CONSOLIDATED FINANCIAL STATEMENTS - Continued</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86"/>
        </w:trPr>
        <w:tc>
          <w:tcPr>
            <w:tcW w:w="2680" w:type="dxa"/>
            <w:vAlign w:val="bottom"/>
            <w:gridSpan w:val="3"/>
          </w:tcPr>
          <w:p>
            <w:pPr>
              <w:spacing w:after="0"/>
              <w:rPr>
                <w:sz w:val="20"/>
                <w:szCs w:val="20"/>
                <w:color w:val="auto"/>
              </w:rPr>
            </w:pPr>
            <w:r>
              <w:rPr>
                <w:rFonts w:ascii="Arial" w:cs="Arial" w:eastAsia="Arial" w:hAnsi="Arial"/>
                <w:sz w:val="18"/>
                <w:szCs w:val="18"/>
                <w:color w:val="auto"/>
              </w:rPr>
              <w:t>3.   Earnings Per Share</w:t>
            </w:r>
          </w:p>
        </w:tc>
        <w:tc>
          <w:tcPr>
            <w:tcW w:w="40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44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7020" w:type="dxa"/>
            <w:vAlign w:val="bottom"/>
            <w:gridSpan w:val="5"/>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20"/>
        </w:trPr>
        <w:tc>
          <w:tcPr>
            <w:tcW w:w="440" w:type="dxa"/>
            <w:vAlign w:val="bottom"/>
          </w:tcPr>
          <w:p>
            <w:pPr>
              <w:spacing w:after="0"/>
              <w:rPr>
                <w:sz w:val="24"/>
                <w:szCs w:val="24"/>
                <w:color w:val="auto"/>
              </w:rPr>
            </w:pPr>
          </w:p>
        </w:tc>
        <w:tc>
          <w:tcPr>
            <w:tcW w:w="8400" w:type="dxa"/>
            <w:vAlign w:val="bottom"/>
            <w:gridSpan w:val="6"/>
          </w:tcPr>
          <w:p>
            <w:pPr>
              <w:ind w:left="60"/>
              <w:spacing w:after="0"/>
              <w:rPr>
                <w:sz w:val="20"/>
                <w:szCs w:val="20"/>
                <w:color w:val="auto"/>
              </w:rPr>
            </w:pPr>
            <w:r>
              <w:rPr>
                <w:rFonts w:ascii="Arial" w:cs="Arial" w:eastAsia="Arial" w:hAnsi="Arial"/>
                <w:sz w:val="18"/>
                <w:szCs w:val="18"/>
                <w:color w:val="auto"/>
                <w:w w:val="90"/>
              </w:rPr>
              <w:t>Reconciliations of the weighted average shares outstanding for basic and diluted Earnings Per Share are as follows:</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4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060" w:type="dxa"/>
            <w:vAlign w:val="bottom"/>
          </w:tcPr>
          <w:p>
            <w:pPr>
              <w:spacing w:after="0"/>
              <w:rPr>
                <w:sz w:val="23"/>
                <w:szCs w:val="23"/>
                <w:color w:val="auto"/>
              </w:rPr>
            </w:pPr>
          </w:p>
        </w:tc>
        <w:tc>
          <w:tcPr>
            <w:tcW w:w="1380" w:type="dxa"/>
            <w:vAlign w:val="bottom"/>
            <w:tcBorders>
              <w:bottom w:val="single" w:sz="8" w:color="auto"/>
            </w:tcBorders>
          </w:tcPr>
          <w:p>
            <w:pPr>
              <w:spacing w:after="0"/>
              <w:rPr>
                <w:sz w:val="23"/>
                <w:szCs w:val="23"/>
                <w:color w:val="auto"/>
              </w:rPr>
            </w:pPr>
          </w:p>
        </w:tc>
        <w:tc>
          <w:tcPr>
            <w:tcW w:w="1840" w:type="dxa"/>
            <w:vAlign w:val="bottom"/>
            <w:tcBorders>
              <w:bottom w:val="single" w:sz="8" w:color="auto"/>
            </w:tcBorders>
            <w:gridSpan w:val="4"/>
          </w:tcPr>
          <w:p>
            <w:pPr>
              <w:ind w:left="120"/>
              <w:spacing w:after="0"/>
              <w:rPr>
                <w:sz w:val="20"/>
                <w:szCs w:val="20"/>
                <w:color w:val="auto"/>
              </w:rPr>
            </w:pPr>
            <w:r>
              <w:rPr>
                <w:rFonts w:ascii="Arial" w:cs="Arial" w:eastAsia="Arial" w:hAnsi="Arial"/>
                <w:sz w:val="18"/>
                <w:szCs w:val="18"/>
                <w:color w:val="auto"/>
                <w:w w:val="98"/>
              </w:rPr>
              <w:t>Years ended April 30,</w:t>
            </w:r>
          </w:p>
        </w:tc>
        <w:tc>
          <w:tcPr>
            <w:tcW w:w="13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r>
      <w:tr>
        <w:trPr>
          <w:trHeight w:val="264"/>
        </w:trPr>
        <w:tc>
          <w:tcPr>
            <w:tcW w:w="4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5440" w:type="dxa"/>
            <w:vAlign w:val="bottom"/>
            <w:gridSpan w:val="2"/>
          </w:tcPr>
          <w:p>
            <w:pPr>
              <w:jc w:val="right"/>
              <w:ind w:right="410"/>
              <w:spacing w:after="0"/>
              <w:rPr>
                <w:sz w:val="20"/>
                <w:szCs w:val="20"/>
                <w:color w:val="auto"/>
              </w:rPr>
            </w:pPr>
            <w:r>
              <w:rPr>
                <w:rFonts w:ascii="Arial" w:cs="Arial" w:eastAsia="Arial" w:hAnsi="Arial"/>
                <w:sz w:val="18"/>
                <w:szCs w:val="18"/>
                <w:color w:val="auto"/>
              </w:rPr>
              <w:t>2007</w:t>
            </w: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0" w:type="dxa"/>
            <w:vAlign w:val="bottom"/>
          </w:tcPr>
          <w:p>
            <w:pPr>
              <w:jc w:val="right"/>
              <w:ind w:right="430"/>
              <w:spacing w:after="0"/>
              <w:rPr>
                <w:sz w:val="20"/>
                <w:szCs w:val="20"/>
                <w:color w:val="auto"/>
              </w:rPr>
            </w:pPr>
            <w:r>
              <w:rPr>
                <w:rFonts w:ascii="Arial" w:cs="Arial" w:eastAsia="Arial" w:hAnsi="Arial"/>
                <w:sz w:val="18"/>
                <w:szCs w:val="18"/>
                <w:color w:val="auto"/>
                <w:w w:val="89"/>
              </w:rPr>
              <w:t>2006</w:t>
            </w:r>
          </w:p>
        </w:tc>
        <w:tc>
          <w:tcPr>
            <w:tcW w:w="220" w:type="dxa"/>
            <w:vAlign w:val="bottom"/>
          </w:tcPr>
          <w:p>
            <w:pPr>
              <w:spacing w:after="0"/>
              <w:rPr>
                <w:sz w:val="22"/>
                <w:szCs w:val="22"/>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22"/>
                <w:szCs w:val="22"/>
                <w:color w:val="auto"/>
              </w:rPr>
            </w:pPr>
          </w:p>
        </w:tc>
      </w:tr>
      <w:tr>
        <w:trPr>
          <w:trHeight w:val="237"/>
        </w:trPr>
        <w:tc>
          <w:tcPr>
            <w:tcW w:w="2680" w:type="dxa"/>
            <w:vAlign w:val="bottom"/>
            <w:gridSpan w:val="3"/>
          </w:tcPr>
          <w:p>
            <w:pPr>
              <w:spacing w:after="0"/>
              <w:rPr>
                <w:sz w:val="20"/>
                <w:szCs w:val="20"/>
                <w:color w:val="auto"/>
              </w:rPr>
            </w:pPr>
            <w:r>
              <w:rPr>
                <w:rFonts w:ascii="Arial" w:cs="Arial" w:eastAsia="Arial" w:hAnsi="Arial"/>
                <w:sz w:val="18"/>
                <w:szCs w:val="18"/>
                <w:color w:val="auto"/>
              </w:rPr>
              <w:t>Basic EPS Shares outstanding</w:t>
            </w:r>
          </w:p>
        </w:tc>
        <w:tc>
          <w:tcPr>
            <w:tcW w:w="406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2680" w:type="dxa"/>
            <w:vAlign w:val="bottom"/>
            <w:gridSpan w:val="3"/>
          </w:tcPr>
          <w:p>
            <w:pPr>
              <w:ind w:left="180"/>
              <w:spacing w:after="0"/>
              <w:rPr>
                <w:sz w:val="20"/>
                <w:szCs w:val="20"/>
                <w:color w:val="auto"/>
              </w:rPr>
            </w:pPr>
            <w:r>
              <w:rPr>
                <w:rFonts w:ascii="Arial" w:cs="Arial" w:eastAsia="Arial" w:hAnsi="Arial"/>
                <w:sz w:val="18"/>
                <w:szCs w:val="18"/>
                <w:color w:val="auto"/>
              </w:rPr>
              <w:t>(weighted average)</w:t>
            </w:r>
          </w:p>
        </w:tc>
        <w:tc>
          <w:tcPr>
            <w:tcW w:w="5440" w:type="dxa"/>
            <w:vAlign w:val="bottom"/>
            <w:gridSpan w:val="2"/>
          </w:tcPr>
          <w:p>
            <w:pPr>
              <w:jc w:val="right"/>
              <w:spacing w:after="0"/>
              <w:rPr>
                <w:sz w:val="20"/>
                <w:szCs w:val="20"/>
                <w:color w:val="auto"/>
              </w:rPr>
            </w:pPr>
            <w:r>
              <w:rPr>
                <w:rFonts w:ascii="Arial" w:cs="Arial" w:eastAsia="Arial" w:hAnsi="Arial"/>
                <w:sz w:val="18"/>
                <w:szCs w:val="18"/>
                <w:color w:val="auto"/>
              </w:rPr>
              <w:t>8,620,776</w:t>
            </w: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8,537,427</w:t>
            </w:r>
          </w:p>
        </w:tc>
        <w:tc>
          <w:tcPr>
            <w:tcW w:w="220" w:type="dxa"/>
            <w:vAlign w:val="bottom"/>
          </w:tcPr>
          <w:p>
            <w:pPr>
              <w:spacing w:after="0"/>
              <w:rPr>
                <w:sz w:val="21"/>
                <w:szCs w:val="21"/>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8,484,682</w:t>
            </w:r>
          </w:p>
        </w:tc>
      </w:tr>
      <w:tr>
        <w:trPr>
          <w:trHeight w:val="275"/>
        </w:trPr>
        <w:tc>
          <w:tcPr>
            <w:tcW w:w="2680" w:type="dxa"/>
            <w:vAlign w:val="bottom"/>
            <w:tcBorders>
              <w:bottom w:val="single" w:sz="8" w:color="CCFFCC"/>
            </w:tcBorders>
            <w:gridSpan w:val="3"/>
            <w:shd w:val="clear" w:color="auto" w:fill="CCFFCC"/>
          </w:tcPr>
          <w:p>
            <w:pPr>
              <w:spacing w:after="0"/>
              <w:rPr>
                <w:sz w:val="20"/>
                <w:szCs w:val="20"/>
                <w:color w:val="auto"/>
              </w:rPr>
            </w:pPr>
            <w:r>
              <w:rPr>
                <w:rFonts w:ascii="Arial" w:cs="Arial" w:eastAsia="Arial" w:hAnsi="Arial"/>
                <w:sz w:val="18"/>
                <w:szCs w:val="18"/>
                <w:color w:val="auto"/>
              </w:rPr>
              <w:t>Effect of Dilutive Securities</w:t>
            </w:r>
          </w:p>
        </w:tc>
        <w:tc>
          <w:tcPr>
            <w:tcW w:w="4060" w:type="dxa"/>
            <w:vAlign w:val="bottom"/>
            <w:tcBorders>
              <w:bottom w:val="single" w:sz="8" w:color="CCFFCC"/>
            </w:tcBorders>
            <w:shd w:val="clear" w:color="auto" w:fill="CCFFCC"/>
          </w:tcPr>
          <w:p>
            <w:pPr>
              <w:spacing w:after="0"/>
              <w:rPr>
                <w:sz w:val="23"/>
                <w:szCs w:val="23"/>
                <w:color w:val="auto"/>
              </w:rPr>
            </w:pPr>
          </w:p>
        </w:tc>
        <w:tc>
          <w:tcPr>
            <w:tcW w:w="1620" w:type="dxa"/>
            <w:vAlign w:val="bottom"/>
            <w:tcBorders>
              <w:bottom w:val="single" w:sz="8" w:color="CCFFCC"/>
            </w:tcBorders>
            <w:gridSpan w:val="2"/>
            <w:shd w:val="clear" w:color="auto" w:fill="CCFFCC"/>
          </w:tcPr>
          <w:p>
            <w:pPr>
              <w:jc w:val="right"/>
              <w:ind w:right="15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FFCC"/>
            </w:tcBorders>
            <w:shd w:val="clear" w:color="auto" w:fill="CCFFCC"/>
          </w:tcPr>
          <w:p>
            <w:pPr>
              <w:spacing w:after="0"/>
              <w:rPr>
                <w:sz w:val="23"/>
                <w:szCs w:val="23"/>
                <w:color w:val="auto"/>
              </w:rPr>
            </w:pPr>
          </w:p>
        </w:tc>
        <w:tc>
          <w:tcPr>
            <w:tcW w:w="9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153,190</w:t>
            </w:r>
          </w:p>
        </w:tc>
        <w:tc>
          <w:tcPr>
            <w:tcW w:w="220" w:type="dxa"/>
            <w:vAlign w:val="bottom"/>
            <w:tcBorders>
              <w:bottom w:val="single" w:sz="8" w:color="CCFFCC"/>
            </w:tcBorders>
            <w:shd w:val="clear" w:color="auto" w:fill="CCFFCC"/>
          </w:tcPr>
          <w:p>
            <w:pPr>
              <w:spacing w:after="0"/>
              <w:rPr>
                <w:sz w:val="23"/>
                <w:szCs w:val="23"/>
                <w:color w:val="auto"/>
              </w:rPr>
            </w:pPr>
          </w:p>
        </w:tc>
        <w:tc>
          <w:tcPr>
            <w:tcW w:w="14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200,076</w:t>
            </w:r>
          </w:p>
        </w:tc>
      </w:tr>
      <w:tr>
        <w:trPr>
          <w:trHeight w:val="237"/>
        </w:trPr>
        <w:tc>
          <w:tcPr>
            <w:tcW w:w="2680" w:type="dxa"/>
            <w:vAlign w:val="bottom"/>
            <w:tcBorders>
              <w:top w:val="single" w:sz="8" w:color="CCFFCC"/>
            </w:tcBorders>
            <w:gridSpan w:val="3"/>
          </w:tcPr>
          <w:p>
            <w:pPr>
              <w:spacing w:after="0"/>
              <w:rPr>
                <w:sz w:val="20"/>
                <w:szCs w:val="20"/>
                <w:color w:val="auto"/>
              </w:rPr>
            </w:pPr>
            <w:r>
              <w:rPr>
                <w:rFonts w:ascii="Arial" w:cs="Arial" w:eastAsia="Arial" w:hAnsi="Arial"/>
                <w:sz w:val="18"/>
                <w:szCs w:val="18"/>
                <w:color w:val="auto"/>
              </w:rPr>
              <w:t>Diluted EPS Shares outstanding</w:t>
            </w:r>
          </w:p>
        </w:tc>
        <w:tc>
          <w:tcPr>
            <w:tcW w:w="4060" w:type="dxa"/>
            <w:vAlign w:val="bottom"/>
            <w:tcBorders>
              <w:top w:val="single" w:sz="8" w:color="CCFFCC"/>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8,620,776</w:t>
            </w:r>
          </w:p>
        </w:tc>
        <w:tc>
          <w:tcPr>
            <w:tcW w:w="240" w:type="dxa"/>
            <w:vAlign w:val="bottom"/>
            <w:tcBorders>
              <w:top w:val="single" w:sz="8" w:color="CCFFCC"/>
            </w:tcBorders>
          </w:tcPr>
          <w:p>
            <w:pPr>
              <w:spacing w:after="0"/>
              <w:rPr>
                <w:sz w:val="20"/>
                <w:szCs w:val="20"/>
                <w:color w:val="auto"/>
              </w:rPr>
            </w:pPr>
          </w:p>
        </w:tc>
        <w:tc>
          <w:tcPr>
            <w:tcW w:w="48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8,690,617</w:t>
            </w:r>
          </w:p>
        </w:tc>
        <w:tc>
          <w:tcPr>
            <w:tcW w:w="220" w:type="dxa"/>
            <w:vAlign w:val="bottom"/>
            <w:tcBorders>
              <w:top w:val="single" w:sz="8" w:color="CCFFCC"/>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8,684,758</w:t>
            </w:r>
          </w:p>
        </w:tc>
        <w:tc>
          <w:tcPr>
            <w:tcW w:w="100" w:type="dxa"/>
            <w:vAlign w:val="bottom"/>
            <w:tcBorders>
              <w:top w:val="single" w:sz="8" w:color="CCFFCC"/>
            </w:tcBorders>
          </w:tcPr>
          <w:p>
            <w:pPr>
              <w:spacing w:after="0"/>
              <w:rPr>
                <w:sz w:val="20"/>
                <w:szCs w:val="20"/>
                <w:color w:val="auto"/>
              </w:rPr>
            </w:pPr>
          </w:p>
        </w:tc>
      </w:tr>
      <w:tr>
        <w:trPr>
          <w:trHeight w:val="20"/>
        </w:trPr>
        <w:tc>
          <w:tcPr>
            <w:tcW w:w="4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 Dilutive securities are excluded for fiscal year 2007 since the inclusion of such shares would be antidilutive due to the net loss for that year.</w:t>
      </w:r>
    </w:p>
    <w:p>
      <w:pPr>
        <w:spacing w:after="0" w:line="29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Options to purchase 571,550, 571,550, and 505,550 shares of common stock were outstanding during the years ended April 30, 2007, 2006 and 2005, respectively, but were not included in the computation of diluted earnings per share because the exercise price of the options was greater than the average market price of the Company’s common shares during the respective periods. Since the inclusion of such options would have been antidilutive they are excluded from the computation.</w:t>
      </w:r>
    </w:p>
    <w:p>
      <w:pPr>
        <w:spacing w:after="0" w:line="281" w:lineRule="exact"/>
        <w:rPr>
          <w:sz w:val="20"/>
          <w:szCs w:val="20"/>
          <w:color w:val="auto"/>
        </w:rPr>
      </w:pPr>
    </w:p>
    <w:p>
      <w:pPr>
        <w:ind w:left="440" w:hanging="432"/>
        <w:spacing w:after="0"/>
        <w:tabs>
          <w:tab w:leader="none" w:pos="44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Inventories</w:t>
      </w:r>
    </w:p>
    <w:p>
      <w:pPr>
        <w:spacing w:after="0" w:line="293" w:lineRule="exact"/>
        <w:rPr>
          <w:sz w:val="20"/>
          <w:szCs w:val="20"/>
          <w:color w:val="auto"/>
        </w:rPr>
      </w:pPr>
    </w:p>
    <w:p>
      <w:pPr>
        <w:ind w:left="180" w:firstLine="324"/>
        <w:spacing w:after="0" w:line="277" w:lineRule="auto"/>
        <w:rPr>
          <w:sz w:val="20"/>
          <w:szCs w:val="20"/>
          <w:color w:val="auto"/>
        </w:rPr>
      </w:pPr>
      <w:r>
        <w:rPr>
          <w:rFonts w:ascii="Arial" w:cs="Arial" w:eastAsia="Arial" w:hAnsi="Arial"/>
          <w:sz w:val="18"/>
          <w:szCs w:val="18"/>
          <w:color w:val="auto"/>
        </w:rPr>
        <w:t>Inventories, which are reported net of reserves of $5,028,000 (including a fourth quarter adjustment to increase reserves by $800,000) and $3,923,000 at April 30, 2007 and 2006, respectively, consisted of the following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340" w:type="dxa"/>
            <w:vAlign w:val="bottom"/>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5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0"/>
                <w:szCs w:val="20"/>
                <w:color w:val="auto"/>
              </w:rPr>
            </w:pPr>
          </w:p>
        </w:tc>
      </w:tr>
      <w:tr>
        <w:trPr>
          <w:trHeight w:val="237"/>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Raw Materials and Component Parts</w:t>
            </w:r>
          </w:p>
        </w:tc>
        <w:tc>
          <w:tcPr>
            <w:tcW w:w="880" w:type="dxa"/>
            <w:vAlign w:val="bottom"/>
            <w:shd w:val="clear" w:color="auto" w:fill="CCFFCC"/>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7"/>
              </w:rPr>
              <w:t>18,380</w:t>
            </w:r>
          </w:p>
        </w:tc>
        <w:tc>
          <w:tcPr>
            <w:tcW w:w="52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11,172</w:t>
            </w:r>
          </w:p>
        </w:tc>
      </w:tr>
      <w:tr>
        <w:trPr>
          <w:trHeight w:val="270"/>
        </w:trPr>
        <w:tc>
          <w:tcPr>
            <w:tcW w:w="8340" w:type="dxa"/>
            <w:vAlign w:val="bottom"/>
          </w:tcPr>
          <w:p>
            <w:pPr>
              <w:spacing w:after="0"/>
              <w:rPr>
                <w:sz w:val="20"/>
                <w:szCs w:val="20"/>
                <w:color w:val="auto"/>
              </w:rPr>
            </w:pPr>
            <w:r>
              <w:rPr>
                <w:rFonts w:ascii="Arial" w:cs="Arial" w:eastAsia="Arial" w:hAnsi="Arial"/>
                <w:sz w:val="18"/>
                <w:szCs w:val="18"/>
                <w:color w:val="auto"/>
              </w:rPr>
              <w:t>Work in Progress</w:t>
            </w:r>
          </w:p>
        </w:tc>
        <w:tc>
          <w:tcPr>
            <w:tcW w:w="88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12,821</w:t>
            </w:r>
          </w:p>
        </w:tc>
        <w:tc>
          <w:tcPr>
            <w:tcW w:w="2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11,799</w:t>
            </w:r>
          </w:p>
        </w:tc>
        <w:tc>
          <w:tcPr>
            <w:tcW w:w="100" w:type="dxa"/>
            <w:vAlign w:val="bottom"/>
          </w:tcPr>
          <w:p>
            <w:pPr>
              <w:spacing w:after="0"/>
              <w:rPr>
                <w:sz w:val="23"/>
                <w:szCs w:val="23"/>
                <w:color w:val="auto"/>
              </w:rPr>
            </w:pPr>
          </w:p>
        </w:tc>
      </w:tr>
      <w:tr>
        <w:trPr>
          <w:trHeight w:val="277"/>
        </w:trPr>
        <w:tc>
          <w:tcPr>
            <w:tcW w:w="8340" w:type="dxa"/>
            <w:vAlign w:val="bottom"/>
            <w:tcBorders>
              <w:bottom w:val="single" w:sz="8" w:color="CCFFCC"/>
            </w:tcBorders>
            <w:shd w:val="clear" w:color="auto" w:fill="CCFFCC"/>
          </w:tcPr>
          <w:p>
            <w:pPr>
              <w:spacing w:after="0"/>
              <w:rPr>
                <w:sz w:val="24"/>
                <w:szCs w:val="24"/>
                <w:color w:val="auto"/>
              </w:rPr>
            </w:pPr>
          </w:p>
        </w:tc>
        <w:tc>
          <w:tcPr>
            <w:tcW w:w="880" w:type="dxa"/>
            <w:vAlign w:val="bottom"/>
            <w:tcBorders>
              <w:bottom w:val="single" w:sz="8" w:color="auto"/>
            </w:tcBorders>
            <w:shd w:val="clear" w:color="auto" w:fill="CCFFCC"/>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w w:val="87"/>
              </w:rPr>
              <w:t>31,201</w:t>
            </w:r>
          </w:p>
        </w:tc>
        <w:tc>
          <w:tcPr>
            <w:tcW w:w="220" w:type="dxa"/>
            <w:vAlign w:val="bottom"/>
            <w:tcBorders>
              <w:bottom w:val="single" w:sz="8" w:color="CCFFCC"/>
            </w:tcBorders>
            <w:shd w:val="clear" w:color="auto" w:fill="CCFFCC"/>
          </w:tcPr>
          <w:p>
            <w:pPr>
              <w:spacing w:after="0"/>
              <w:rPr>
                <w:sz w:val="24"/>
                <w:szCs w:val="24"/>
                <w:color w:val="auto"/>
              </w:rPr>
            </w:pPr>
          </w:p>
        </w:tc>
        <w:tc>
          <w:tcPr>
            <w:tcW w:w="30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22,971</w:t>
            </w:r>
          </w:p>
        </w:tc>
        <w:tc>
          <w:tcPr>
            <w:tcW w:w="100" w:type="dxa"/>
            <w:vAlign w:val="bottom"/>
            <w:tcBorders>
              <w:bottom w:val="single" w:sz="8" w:color="CCFFCC"/>
            </w:tcBorders>
            <w:shd w:val="clear" w:color="auto" w:fill="CCFFCC"/>
          </w:tcPr>
          <w:p>
            <w:pPr>
              <w:spacing w:after="0"/>
              <w:rPr>
                <w:sz w:val="24"/>
                <w:szCs w:val="24"/>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Arial" w:cs="Arial" w:eastAsia="Arial" w:hAnsi="Arial"/>
                <w:sz w:val="18"/>
                <w:szCs w:val="18"/>
                <w:color w:val="auto"/>
              </w:rPr>
              <w:t>5.</w:t>
            </w:r>
          </w:p>
        </w:tc>
        <w:tc>
          <w:tcPr>
            <w:tcW w:w="1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Marketable Securities</w:t>
            </w:r>
          </w:p>
        </w:tc>
        <w:tc>
          <w:tcPr>
            <w:tcW w:w="2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0"/>
        </w:trPr>
        <w:tc>
          <w:tcPr>
            <w:tcW w:w="440" w:type="dxa"/>
            <w:vAlign w:val="bottom"/>
          </w:tcPr>
          <w:p>
            <w:pPr>
              <w:spacing w:after="0"/>
              <w:rPr>
                <w:sz w:val="24"/>
                <w:szCs w:val="24"/>
                <w:color w:val="auto"/>
              </w:rPr>
            </w:pPr>
          </w:p>
        </w:tc>
        <w:tc>
          <w:tcPr>
            <w:tcW w:w="6840" w:type="dxa"/>
            <w:vAlign w:val="bottom"/>
            <w:gridSpan w:val="6"/>
          </w:tcPr>
          <w:p>
            <w:pPr>
              <w:ind w:left="60"/>
              <w:spacing w:after="0"/>
              <w:rPr>
                <w:sz w:val="20"/>
                <w:szCs w:val="20"/>
                <w:color w:val="auto"/>
              </w:rPr>
            </w:pPr>
            <w:r>
              <w:rPr>
                <w:rFonts w:ascii="Arial" w:cs="Arial" w:eastAsia="Arial" w:hAnsi="Arial"/>
                <w:sz w:val="18"/>
                <w:szCs w:val="18"/>
                <w:color w:val="auto"/>
                <w:w w:val="92"/>
              </w:rPr>
              <w:t>Marketable securities at April 30, 2007 and 2006 are summarized as follows (in thousands):</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8"/>
                <w:szCs w:val="18"/>
                <w:color w:val="auto"/>
                <w:w w:val="99"/>
              </w:rPr>
              <w:t>April 30, 2007</w:t>
            </w: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gridSpan w:val="2"/>
          </w:tcPr>
          <w:p>
            <w:pPr>
              <w:jc w:val="center"/>
              <w:ind w:right="740"/>
              <w:spacing w:after="0"/>
              <w:rPr>
                <w:sz w:val="20"/>
                <w:szCs w:val="20"/>
                <w:color w:val="auto"/>
              </w:rPr>
            </w:pPr>
            <w:r>
              <w:rPr>
                <w:rFonts w:ascii="Arial" w:cs="Arial" w:eastAsia="Arial" w:hAnsi="Arial"/>
                <w:sz w:val="18"/>
                <w:szCs w:val="18"/>
                <w:color w:val="auto"/>
                <w:w w:val="90"/>
              </w:rPr>
              <w:t>Unrealized</w:t>
            </w: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Market</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gridSpan w:val="2"/>
          </w:tcPr>
          <w:p>
            <w:pPr>
              <w:jc w:val="center"/>
              <w:ind w:right="740"/>
              <w:spacing w:after="0"/>
              <w:rPr>
                <w:sz w:val="20"/>
                <w:szCs w:val="20"/>
                <w:color w:val="auto"/>
              </w:rPr>
            </w:pPr>
            <w:r>
              <w:rPr>
                <w:rFonts w:ascii="Arial" w:cs="Arial" w:eastAsia="Arial" w:hAnsi="Arial"/>
                <w:sz w:val="18"/>
                <w:szCs w:val="18"/>
                <w:color w:val="auto"/>
                <w:w w:val="94"/>
              </w:rPr>
              <w:t>Holding</w:t>
            </w:r>
          </w:p>
        </w:tc>
        <w:tc>
          <w:tcPr>
            <w:tcW w:w="0" w:type="dxa"/>
            <w:vAlign w:val="bottom"/>
          </w:tcPr>
          <w:p>
            <w:pPr>
              <w:spacing w:after="0"/>
              <w:rPr>
                <w:sz w:val="1"/>
                <w:szCs w:val="1"/>
                <w:color w:val="auto"/>
              </w:rPr>
            </w:pPr>
          </w:p>
        </w:tc>
      </w:tr>
      <w:tr>
        <w:trPr>
          <w:trHeight w:val="270"/>
        </w:trPr>
        <w:tc>
          <w:tcPr>
            <w:tcW w:w="4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Cost</w:t>
            </w:r>
          </w:p>
        </w:tc>
        <w:tc>
          <w:tcPr>
            <w:tcW w:w="5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6"/>
              </w:rPr>
              <w:t>Value</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2"/>
              </w:rPr>
              <w:t>(Loss) Gain</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66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Fixed income securities</w:t>
            </w:r>
          </w:p>
        </w:tc>
        <w:tc>
          <w:tcPr>
            <w:tcW w:w="8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FFCC"/>
          </w:tcPr>
          <w:p>
            <w:pPr>
              <w:jc w:val="right"/>
              <w:ind w:right="540"/>
              <w:spacing w:after="0"/>
              <w:rPr>
                <w:sz w:val="20"/>
                <w:szCs w:val="20"/>
                <w:color w:val="auto"/>
              </w:rPr>
            </w:pPr>
            <w:r>
              <w:rPr>
                <w:rFonts w:ascii="Arial" w:cs="Arial" w:eastAsia="Arial" w:hAnsi="Arial"/>
                <w:sz w:val="18"/>
                <w:szCs w:val="18"/>
                <w:color w:val="auto"/>
              </w:rPr>
              <w:t>14,172</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13,943</w:t>
            </w:r>
          </w:p>
        </w:tc>
        <w:tc>
          <w:tcPr>
            <w:tcW w:w="5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FFCC"/>
          </w:tcPr>
          <w:p>
            <w:pPr>
              <w:jc w:val="right"/>
              <w:ind w:right="48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70"/>
        </w:trPr>
        <w:tc>
          <w:tcPr>
            <w:tcW w:w="4660" w:type="dxa"/>
            <w:vAlign w:val="bottom"/>
            <w:gridSpan w:val="3"/>
          </w:tcPr>
          <w:p>
            <w:pPr>
              <w:spacing w:after="0"/>
              <w:rPr>
                <w:sz w:val="20"/>
                <w:szCs w:val="20"/>
                <w:color w:val="auto"/>
              </w:rPr>
            </w:pPr>
            <w:r>
              <w:rPr>
                <w:rFonts w:ascii="Arial" w:cs="Arial" w:eastAsia="Arial" w:hAnsi="Arial"/>
                <w:sz w:val="18"/>
                <w:szCs w:val="18"/>
                <w:color w:val="auto"/>
              </w:rPr>
              <w:t>Equity securities</w:t>
            </w: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283</w:t>
            </w:r>
          </w:p>
        </w:tc>
        <w:tc>
          <w:tcPr>
            <w:tcW w:w="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8"/>
                <w:szCs w:val="18"/>
                <w:color w:val="auto"/>
              </w:rPr>
              <w:t>325</w:t>
            </w: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40" w:type="dxa"/>
            <w:vAlign w:val="bottom"/>
            <w:gridSpan w:val="2"/>
          </w:tcPr>
          <w:p>
            <w:pPr>
              <w:jc w:val="right"/>
              <w:ind w:right="5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440" w:type="dxa"/>
            <w:vAlign w:val="bottom"/>
            <w:shd w:val="clear" w:color="auto" w:fill="CCFFCC"/>
          </w:tcPr>
          <w:p>
            <w:pPr>
              <w:spacing w:after="0"/>
              <w:rPr>
                <w:sz w:val="24"/>
                <w:szCs w:val="24"/>
                <w:color w:val="auto"/>
              </w:rPr>
            </w:pPr>
          </w:p>
        </w:tc>
        <w:tc>
          <w:tcPr>
            <w:tcW w:w="1580" w:type="dxa"/>
            <w:vAlign w:val="bottom"/>
            <w:shd w:val="clear" w:color="auto" w:fill="CCFFCC"/>
          </w:tcPr>
          <w:p>
            <w:pPr>
              <w:spacing w:after="0"/>
              <w:rPr>
                <w:sz w:val="24"/>
                <w:szCs w:val="24"/>
                <w:color w:val="auto"/>
              </w:rPr>
            </w:pPr>
          </w:p>
        </w:tc>
        <w:tc>
          <w:tcPr>
            <w:tcW w:w="2640" w:type="dxa"/>
            <w:vAlign w:val="bottom"/>
            <w:shd w:val="clear" w:color="auto" w:fill="CCFFCC"/>
          </w:tcPr>
          <w:p>
            <w:pPr>
              <w:spacing w:after="0"/>
              <w:rPr>
                <w:sz w:val="24"/>
                <w:szCs w:val="24"/>
                <w:color w:val="auto"/>
              </w:rPr>
            </w:pPr>
          </w:p>
        </w:tc>
        <w:tc>
          <w:tcPr>
            <w:tcW w:w="8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FFCC"/>
          </w:tcPr>
          <w:p>
            <w:pPr>
              <w:jc w:val="right"/>
              <w:ind w:right="540"/>
              <w:spacing w:after="0"/>
              <w:rPr>
                <w:sz w:val="20"/>
                <w:szCs w:val="20"/>
                <w:color w:val="auto"/>
              </w:rPr>
            </w:pPr>
            <w:r>
              <w:rPr>
                <w:rFonts w:ascii="Arial" w:cs="Arial" w:eastAsia="Arial" w:hAnsi="Arial"/>
                <w:sz w:val="18"/>
                <w:szCs w:val="18"/>
                <w:color w:val="auto"/>
              </w:rPr>
              <w:t>14,455</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14,268</w:t>
            </w:r>
          </w:p>
        </w:tc>
        <w:tc>
          <w:tcPr>
            <w:tcW w:w="5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FFCC"/>
          </w:tcPr>
          <w:p>
            <w:pPr>
              <w:jc w:val="right"/>
              <w:ind w:right="48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521"/>
        </w:trPr>
        <w:tc>
          <w:tcPr>
            <w:tcW w:w="440" w:type="dxa"/>
            <w:vAlign w:val="bottom"/>
            <w:tcBorders>
              <w:top w:val="single" w:sz="8" w:color="CCFFCC"/>
            </w:tcBorders>
          </w:tcPr>
          <w:p>
            <w:pPr>
              <w:spacing w:after="0"/>
              <w:rPr>
                <w:sz w:val="24"/>
                <w:szCs w:val="24"/>
                <w:color w:val="auto"/>
              </w:rPr>
            </w:pPr>
          </w:p>
        </w:tc>
        <w:tc>
          <w:tcPr>
            <w:tcW w:w="1580" w:type="dxa"/>
            <w:vAlign w:val="bottom"/>
            <w:tcBorders>
              <w:top w:val="single" w:sz="8" w:color="CCFFCC"/>
            </w:tcBorders>
          </w:tcPr>
          <w:p>
            <w:pPr>
              <w:spacing w:after="0"/>
              <w:rPr>
                <w:sz w:val="24"/>
                <w:szCs w:val="24"/>
                <w:color w:val="auto"/>
              </w:rPr>
            </w:pPr>
          </w:p>
        </w:tc>
        <w:tc>
          <w:tcPr>
            <w:tcW w:w="2640" w:type="dxa"/>
            <w:vAlign w:val="bottom"/>
            <w:tcBorders>
              <w:top w:val="single" w:sz="8" w:color="CCFFCC"/>
            </w:tcBorders>
          </w:tcPr>
          <w:p>
            <w:pPr>
              <w:spacing w:after="0"/>
              <w:rPr>
                <w:sz w:val="24"/>
                <w:szCs w:val="24"/>
                <w:color w:val="auto"/>
              </w:rPr>
            </w:pPr>
          </w:p>
        </w:tc>
        <w:tc>
          <w:tcPr>
            <w:tcW w:w="540" w:type="dxa"/>
            <w:vAlign w:val="bottom"/>
            <w:tcBorders>
              <w:top w:val="single" w:sz="8" w:color="CCFFCC"/>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CCFFCC"/>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1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April 30, 2006</w:t>
            </w:r>
          </w:p>
        </w:tc>
        <w:tc>
          <w:tcPr>
            <w:tcW w:w="160" w:type="dxa"/>
            <w:vAlign w:val="bottom"/>
            <w:tcBorders>
              <w:top w:val="single" w:sz="8" w:color="CCFFCC"/>
              <w:bottom w:val="single" w:sz="8" w:color="auto"/>
            </w:tcBorders>
          </w:tcPr>
          <w:p>
            <w:pPr>
              <w:spacing w:after="0"/>
              <w:rPr>
                <w:sz w:val="24"/>
                <w:szCs w:val="24"/>
                <w:color w:val="auto"/>
              </w:rPr>
            </w:pPr>
          </w:p>
        </w:tc>
        <w:tc>
          <w:tcPr>
            <w:tcW w:w="180" w:type="dxa"/>
            <w:vAlign w:val="bottom"/>
            <w:tcBorders>
              <w:top w:val="single" w:sz="8" w:color="CCFFCC"/>
              <w:bottom w:val="single" w:sz="8" w:color="auto"/>
            </w:tcBorders>
          </w:tcPr>
          <w:p>
            <w:pPr>
              <w:spacing w:after="0"/>
              <w:rPr>
                <w:sz w:val="24"/>
                <w:szCs w:val="24"/>
                <w:color w:val="auto"/>
              </w:rPr>
            </w:pPr>
          </w:p>
        </w:tc>
        <w:tc>
          <w:tcPr>
            <w:tcW w:w="200" w:type="dxa"/>
            <w:vAlign w:val="bottom"/>
            <w:tcBorders>
              <w:top w:val="single" w:sz="8" w:color="CCFFCC"/>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1300" w:type="dxa"/>
            <w:vAlign w:val="bottom"/>
            <w:tcBorders>
              <w:top w:val="single" w:sz="8" w:color="auto"/>
              <w:bottom w:val="single" w:sz="8" w:color="auto"/>
            </w:tcBorders>
          </w:tcPr>
          <w:p>
            <w:pPr>
              <w:spacing w:after="0"/>
              <w:rPr>
                <w:sz w:val="24"/>
                <w:szCs w:val="24"/>
                <w:color w:val="auto"/>
              </w:rPr>
            </w:pPr>
          </w:p>
        </w:tc>
        <w:tc>
          <w:tcPr>
            <w:tcW w:w="540" w:type="dxa"/>
            <w:vAlign w:val="bottom"/>
            <w:tcBorders>
              <w:top w:val="single" w:sz="8" w:color="CCFFCC"/>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gridSpan w:val="2"/>
          </w:tcPr>
          <w:p>
            <w:pPr>
              <w:jc w:val="center"/>
              <w:ind w:right="740"/>
              <w:spacing w:after="0"/>
              <w:rPr>
                <w:sz w:val="20"/>
                <w:szCs w:val="20"/>
                <w:color w:val="auto"/>
              </w:rPr>
            </w:pPr>
            <w:r>
              <w:rPr>
                <w:rFonts w:ascii="Arial" w:cs="Arial" w:eastAsia="Arial" w:hAnsi="Arial"/>
                <w:sz w:val="18"/>
                <w:szCs w:val="18"/>
                <w:color w:val="auto"/>
                <w:w w:val="90"/>
              </w:rPr>
              <w:t>Unrealized</w:t>
            </w:r>
          </w:p>
        </w:tc>
        <w:tc>
          <w:tcPr>
            <w:tcW w:w="0" w:type="dxa"/>
            <w:vAlign w:val="bottom"/>
          </w:tcPr>
          <w:p>
            <w:pPr>
              <w:spacing w:after="0"/>
              <w:rPr>
                <w:sz w:val="1"/>
                <w:szCs w:val="1"/>
                <w:color w:val="auto"/>
              </w:rPr>
            </w:pPr>
          </w:p>
        </w:tc>
      </w:tr>
      <w:tr>
        <w:trPr>
          <w:trHeight w:val="243"/>
        </w:trPr>
        <w:tc>
          <w:tcPr>
            <w:tcW w:w="4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Market</w:t>
            </w: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gridSpan w:val="2"/>
          </w:tcPr>
          <w:p>
            <w:pPr>
              <w:jc w:val="center"/>
              <w:ind w:right="740"/>
              <w:spacing w:after="0"/>
              <w:rPr>
                <w:sz w:val="20"/>
                <w:szCs w:val="20"/>
                <w:color w:val="auto"/>
              </w:rPr>
            </w:pPr>
            <w:r>
              <w:rPr>
                <w:rFonts w:ascii="Arial" w:cs="Arial" w:eastAsia="Arial" w:hAnsi="Arial"/>
                <w:sz w:val="18"/>
                <w:szCs w:val="18"/>
                <w:color w:val="auto"/>
                <w:w w:val="94"/>
              </w:rPr>
              <w:t>Holding</w:t>
            </w:r>
          </w:p>
        </w:tc>
        <w:tc>
          <w:tcPr>
            <w:tcW w:w="0" w:type="dxa"/>
            <w:vAlign w:val="bottom"/>
          </w:tcPr>
          <w:p>
            <w:pPr>
              <w:spacing w:after="0"/>
              <w:rPr>
                <w:sz w:val="1"/>
                <w:szCs w:val="1"/>
                <w:color w:val="auto"/>
              </w:rPr>
            </w:pPr>
          </w:p>
        </w:tc>
      </w:tr>
      <w:tr>
        <w:trPr>
          <w:trHeight w:val="270"/>
        </w:trPr>
        <w:tc>
          <w:tcPr>
            <w:tcW w:w="44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Cost</w:t>
            </w:r>
          </w:p>
        </w:tc>
        <w:tc>
          <w:tcPr>
            <w:tcW w:w="54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86"/>
              </w:rPr>
              <w:t>Value</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1"/>
              </w:rPr>
              <w:t>(Loss)</w:t>
            </w: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66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Fixed income securities</w:t>
            </w:r>
          </w:p>
        </w:tc>
        <w:tc>
          <w:tcPr>
            <w:tcW w:w="8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FFCC"/>
          </w:tcPr>
          <w:p>
            <w:pPr>
              <w:jc w:val="right"/>
              <w:ind w:right="540"/>
              <w:spacing w:after="0"/>
              <w:rPr>
                <w:sz w:val="20"/>
                <w:szCs w:val="20"/>
                <w:color w:val="auto"/>
              </w:rPr>
            </w:pPr>
            <w:r>
              <w:rPr>
                <w:rFonts w:ascii="Arial" w:cs="Arial" w:eastAsia="Arial" w:hAnsi="Arial"/>
                <w:sz w:val="18"/>
                <w:szCs w:val="18"/>
                <w:color w:val="auto"/>
              </w:rPr>
              <w:t>22,531</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21,799</w:t>
            </w:r>
          </w:p>
        </w:tc>
        <w:tc>
          <w:tcPr>
            <w:tcW w:w="5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FFCC"/>
          </w:tcPr>
          <w:p>
            <w:pPr>
              <w:jc w:val="right"/>
              <w:ind w:right="480"/>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70"/>
        </w:trPr>
        <w:tc>
          <w:tcPr>
            <w:tcW w:w="4660" w:type="dxa"/>
            <w:vAlign w:val="bottom"/>
            <w:gridSpan w:val="3"/>
          </w:tcPr>
          <w:p>
            <w:pPr>
              <w:spacing w:after="0"/>
              <w:rPr>
                <w:sz w:val="20"/>
                <w:szCs w:val="20"/>
                <w:color w:val="auto"/>
              </w:rPr>
            </w:pPr>
            <w:r>
              <w:rPr>
                <w:rFonts w:ascii="Arial" w:cs="Arial" w:eastAsia="Arial" w:hAnsi="Arial"/>
                <w:sz w:val="18"/>
                <w:szCs w:val="18"/>
                <w:color w:val="auto"/>
              </w:rPr>
              <w:t>Equity securities</w:t>
            </w: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w:t>
            </w:r>
          </w:p>
        </w:tc>
        <w:tc>
          <w:tcPr>
            <w:tcW w:w="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40" w:type="dxa"/>
            <w:vAlign w:val="bottom"/>
            <w:gridSpan w:val="2"/>
          </w:tcPr>
          <w:p>
            <w:pPr>
              <w:jc w:val="right"/>
              <w:ind w:right="4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40" w:type="dxa"/>
            <w:vAlign w:val="bottom"/>
            <w:shd w:val="clear" w:color="auto" w:fill="CCFFCC"/>
          </w:tcPr>
          <w:p>
            <w:pPr>
              <w:spacing w:after="0"/>
              <w:rPr>
                <w:sz w:val="22"/>
                <w:szCs w:val="22"/>
                <w:color w:val="auto"/>
              </w:rPr>
            </w:pPr>
          </w:p>
        </w:tc>
        <w:tc>
          <w:tcPr>
            <w:tcW w:w="1580" w:type="dxa"/>
            <w:vAlign w:val="bottom"/>
            <w:shd w:val="clear" w:color="auto" w:fill="CCFFCC"/>
          </w:tcPr>
          <w:p>
            <w:pPr>
              <w:spacing w:after="0"/>
              <w:rPr>
                <w:sz w:val="22"/>
                <w:szCs w:val="22"/>
                <w:color w:val="auto"/>
              </w:rPr>
            </w:pPr>
          </w:p>
        </w:tc>
        <w:tc>
          <w:tcPr>
            <w:tcW w:w="2640" w:type="dxa"/>
            <w:vAlign w:val="bottom"/>
            <w:shd w:val="clear" w:color="auto" w:fill="CCFFCC"/>
          </w:tcPr>
          <w:p>
            <w:pPr>
              <w:spacing w:after="0"/>
              <w:rPr>
                <w:sz w:val="22"/>
                <w:szCs w:val="22"/>
                <w:color w:val="auto"/>
              </w:rPr>
            </w:pPr>
          </w:p>
        </w:tc>
        <w:tc>
          <w:tcPr>
            <w:tcW w:w="8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FFCC"/>
          </w:tcPr>
          <w:p>
            <w:pPr>
              <w:jc w:val="right"/>
              <w:ind w:right="540"/>
              <w:spacing w:after="0"/>
              <w:rPr>
                <w:sz w:val="20"/>
                <w:szCs w:val="20"/>
                <w:color w:val="auto"/>
              </w:rPr>
            </w:pPr>
            <w:r>
              <w:rPr>
                <w:rFonts w:ascii="Arial" w:cs="Arial" w:eastAsia="Arial" w:hAnsi="Arial"/>
                <w:sz w:val="18"/>
                <w:szCs w:val="18"/>
                <w:color w:val="auto"/>
              </w:rPr>
              <w:t>22,577</w:t>
            </w:r>
          </w:p>
        </w:tc>
        <w:tc>
          <w:tcPr>
            <w:tcW w:w="16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21,836</w:t>
            </w:r>
          </w:p>
        </w:tc>
        <w:tc>
          <w:tcPr>
            <w:tcW w:w="580" w:type="dxa"/>
            <w:vAlign w:val="bottom"/>
            <w:gridSpan w:val="3"/>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FFCC"/>
          </w:tcPr>
          <w:p>
            <w:pPr>
              <w:jc w:val="right"/>
              <w:ind w:right="480"/>
              <w:spacing w:after="0"/>
              <w:rPr>
                <w:sz w:val="20"/>
                <w:szCs w:val="20"/>
                <w:color w:val="auto"/>
              </w:rPr>
            </w:pPr>
            <w:r>
              <w:rPr>
                <w:rFonts w:ascii="Arial" w:cs="Arial" w:eastAsia="Arial" w:hAnsi="Arial"/>
                <w:sz w:val="18"/>
                <w:szCs w:val="18"/>
                <w:color w:val="auto"/>
              </w:rPr>
              <w:t>(741)</w:t>
            </w:r>
          </w:p>
        </w:tc>
        <w:tc>
          <w:tcPr>
            <w:tcW w:w="0" w:type="dxa"/>
            <w:vAlign w:val="bottom"/>
          </w:tcPr>
          <w:p>
            <w:pPr>
              <w:spacing w:after="0"/>
              <w:rPr>
                <w:sz w:val="1"/>
                <w:szCs w:val="1"/>
                <w:color w:val="auto"/>
              </w:rPr>
            </w:pPr>
          </w:p>
        </w:tc>
      </w:tr>
      <w:tr>
        <w:trPr>
          <w:trHeight w:val="20"/>
        </w:trPr>
        <w:tc>
          <w:tcPr>
            <w:tcW w:w="440" w:type="dxa"/>
            <w:vAlign w:val="bottom"/>
            <w:tcBorders>
              <w:top w:val="single" w:sz="8" w:color="CCFFCC"/>
            </w:tcBorders>
            <w:shd w:val="clear" w:color="auto" w:fill="CCFFCC"/>
          </w:tcPr>
          <w:p>
            <w:pPr>
              <w:spacing w:after="0" w:line="20" w:lineRule="exact"/>
              <w:rPr>
                <w:sz w:val="1"/>
                <w:szCs w:val="1"/>
                <w:color w:val="auto"/>
              </w:rPr>
            </w:pPr>
          </w:p>
        </w:tc>
        <w:tc>
          <w:tcPr>
            <w:tcW w:w="1580" w:type="dxa"/>
            <w:vAlign w:val="bottom"/>
            <w:tcBorders>
              <w:top w:val="single" w:sz="8" w:color="CCFFCC"/>
            </w:tcBorders>
            <w:shd w:val="clear" w:color="auto" w:fill="CCFFCC"/>
          </w:tcPr>
          <w:p>
            <w:pPr>
              <w:spacing w:after="0" w:line="20" w:lineRule="exact"/>
              <w:rPr>
                <w:sz w:val="1"/>
                <w:szCs w:val="1"/>
                <w:color w:val="auto"/>
              </w:rPr>
            </w:pPr>
          </w:p>
        </w:tc>
        <w:tc>
          <w:tcPr>
            <w:tcW w:w="264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40" w:type="dxa"/>
            <w:vAlign w:val="bottom"/>
          </w:tcPr>
          <w:p>
            <w:pPr>
              <w:spacing w:after="0"/>
              <w:rPr>
                <w:sz w:val="24"/>
                <w:szCs w:val="24"/>
                <w:color w:val="auto"/>
              </w:rPr>
            </w:pPr>
          </w:p>
        </w:tc>
        <w:tc>
          <w:tcPr>
            <w:tcW w:w="8560" w:type="dxa"/>
            <w:vAlign w:val="bottom"/>
            <w:gridSpan w:val="9"/>
          </w:tcPr>
          <w:p>
            <w:pPr>
              <w:ind w:left="60"/>
              <w:spacing w:after="0"/>
              <w:rPr>
                <w:sz w:val="20"/>
                <w:szCs w:val="20"/>
                <w:color w:val="auto"/>
              </w:rPr>
            </w:pPr>
            <w:r>
              <w:rPr>
                <w:rFonts w:ascii="Arial" w:cs="Arial" w:eastAsia="Arial" w:hAnsi="Arial"/>
                <w:sz w:val="18"/>
                <w:szCs w:val="18"/>
                <w:color w:val="auto"/>
                <w:w w:val="93"/>
              </w:rPr>
              <w:t>Maturities of fixed income securities classified as available-for-sale at April 30, 2007 are as follows (in thousands):</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20" w:type="dxa"/>
            <w:vAlign w:val="bottom"/>
            <w:gridSpan w:val="2"/>
          </w:tcPr>
          <w:p>
            <w:pPr>
              <w:spacing w:after="0"/>
              <w:rPr>
                <w:sz w:val="23"/>
                <w:szCs w:val="23"/>
                <w:color w:val="auto"/>
              </w:rPr>
            </w:pPr>
          </w:p>
        </w:tc>
        <w:tc>
          <w:tcPr>
            <w:tcW w:w="26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4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66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Current</w:t>
            </w:r>
          </w:p>
        </w:tc>
        <w:tc>
          <w:tcPr>
            <w:tcW w:w="54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1280" w:type="dxa"/>
            <w:vAlign w:val="bottom"/>
            <w:shd w:val="clear" w:color="auto" w:fill="CCFFCC"/>
          </w:tcPr>
          <w:p>
            <w:pPr>
              <w:spacing w:after="0"/>
              <w:rPr>
                <w:sz w:val="21"/>
                <w:szCs w:val="21"/>
                <w:color w:val="auto"/>
              </w:rPr>
            </w:pPr>
          </w:p>
        </w:tc>
        <w:tc>
          <w:tcPr>
            <w:tcW w:w="5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40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3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FFCC"/>
          </w:tcPr>
          <w:p>
            <w:pPr>
              <w:spacing w:after="0"/>
              <w:rPr>
                <w:sz w:val="21"/>
                <w:szCs w:val="21"/>
                <w:color w:val="auto"/>
              </w:rPr>
            </w:pPr>
          </w:p>
        </w:tc>
        <w:tc>
          <w:tcPr>
            <w:tcW w:w="1840" w:type="dxa"/>
            <w:vAlign w:val="bottom"/>
            <w:gridSpan w:val="2"/>
            <w:shd w:val="clear" w:color="auto" w:fill="CCFFCC"/>
          </w:tcPr>
          <w:p>
            <w:pPr>
              <w:jc w:val="right"/>
              <w:ind w:righ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660" w:type="dxa"/>
            <w:vAlign w:val="bottom"/>
            <w:gridSpan w:val="3"/>
          </w:tcPr>
          <w:p>
            <w:pPr>
              <w:spacing w:after="0"/>
              <w:rPr>
                <w:sz w:val="20"/>
                <w:szCs w:val="20"/>
                <w:color w:val="auto"/>
              </w:rPr>
            </w:pPr>
            <w:r>
              <w:rPr>
                <w:rFonts w:ascii="Arial" w:cs="Arial" w:eastAsia="Arial" w:hAnsi="Arial"/>
                <w:sz w:val="18"/>
                <w:szCs w:val="18"/>
                <w:color w:val="auto"/>
              </w:rPr>
              <w:t>Due after one year through five years</w:t>
            </w: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gridSpan w:val="2"/>
          </w:tcPr>
          <w:p>
            <w:pPr>
              <w:jc w:val="right"/>
              <w:ind w:right="540"/>
              <w:spacing w:after="0"/>
              <w:rPr>
                <w:sz w:val="20"/>
                <w:szCs w:val="20"/>
                <w:color w:val="auto"/>
              </w:rPr>
            </w:pPr>
            <w:r>
              <w:rPr>
                <w:rFonts w:ascii="Arial" w:cs="Arial" w:eastAsia="Arial" w:hAnsi="Arial"/>
                <w:sz w:val="18"/>
                <w:szCs w:val="18"/>
                <w:color w:val="auto"/>
              </w:rPr>
              <w:t>11,792</w:t>
            </w:r>
          </w:p>
        </w:tc>
        <w:tc>
          <w:tcPr>
            <w:tcW w:w="0" w:type="dxa"/>
            <w:vAlign w:val="bottom"/>
          </w:tcPr>
          <w:p>
            <w:pPr>
              <w:spacing w:after="0"/>
              <w:rPr>
                <w:sz w:val="1"/>
                <w:szCs w:val="1"/>
                <w:color w:val="auto"/>
              </w:rPr>
            </w:pPr>
          </w:p>
        </w:tc>
      </w:tr>
      <w:tr>
        <w:trPr>
          <w:trHeight w:val="250"/>
        </w:trPr>
        <w:tc>
          <w:tcPr>
            <w:tcW w:w="4660" w:type="dxa"/>
            <w:vAlign w:val="bottom"/>
            <w:tcBorders>
              <w:bottom w:val="single" w:sz="8" w:color="CCFFCC"/>
            </w:tcBorders>
            <w:gridSpan w:val="3"/>
            <w:shd w:val="clear" w:color="auto" w:fill="CCFFCC"/>
          </w:tcPr>
          <w:p>
            <w:pPr>
              <w:spacing w:after="0"/>
              <w:rPr>
                <w:sz w:val="20"/>
                <w:szCs w:val="20"/>
                <w:color w:val="auto"/>
              </w:rPr>
            </w:pPr>
            <w:r>
              <w:rPr>
                <w:rFonts w:ascii="Arial" w:cs="Arial" w:eastAsia="Arial" w:hAnsi="Arial"/>
                <w:sz w:val="18"/>
                <w:szCs w:val="18"/>
                <w:color w:val="auto"/>
              </w:rPr>
              <w:t>Due after five years through ten years</w:t>
            </w:r>
          </w:p>
        </w:tc>
        <w:tc>
          <w:tcPr>
            <w:tcW w:w="540" w:type="dxa"/>
            <w:vAlign w:val="bottom"/>
            <w:tcBorders>
              <w:bottom w:val="single" w:sz="8" w:color="CCFFCC"/>
            </w:tcBorders>
            <w:shd w:val="clear" w:color="auto" w:fill="CCFFCC"/>
          </w:tcPr>
          <w:p>
            <w:pPr>
              <w:spacing w:after="0"/>
              <w:rPr>
                <w:sz w:val="21"/>
                <w:szCs w:val="21"/>
                <w:color w:val="auto"/>
              </w:rPr>
            </w:pPr>
          </w:p>
        </w:tc>
        <w:tc>
          <w:tcPr>
            <w:tcW w:w="260" w:type="dxa"/>
            <w:vAlign w:val="bottom"/>
            <w:tcBorders>
              <w:bottom w:val="single" w:sz="8" w:color="CCFFCC"/>
            </w:tcBorders>
            <w:shd w:val="clear" w:color="auto" w:fill="CCFFCC"/>
          </w:tcPr>
          <w:p>
            <w:pPr>
              <w:spacing w:after="0"/>
              <w:rPr>
                <w:sz w:val="21"/>
                <w:szCs w:val="21"/>
                <w:color w:val="auto"/>
              </w:rPr>
            </w:pPr>
          </w:p>
        </w:tc>
        <w:tc>
          <w:tcPr>
            <w:tcW w:w="1280" w:type="dxa"/>
            <w:vAlign w:val="bottom"/>
            <w:tcBorders>
              <w:bottom w:val="single" w:sz="8" w:color="CCFFCC"/>
            </w:tcBorders>
            <w:shd w:val="clear" w:color="auto" w:fill="CCFFCC"/>
          </w:tcPr>
          <w:p>
            <w:pPr>
              <w:spacing w:after="0"/>
              <w:rPr>
                <w:sz w:val="21"/>
                <w:szCs w:val="21"/>
                <w:color w:val="auto"/>
              </w:rPr>
            </w:pPr>
          </w:p>
        </w:tc>
        <w:tc>
          <w:tcPr>
            <w:tcW w:w="54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40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200" w:type="dxa"/>
            <w:vAlign w:val="bottom"/>
            <w:tcBorders>
              <w:bottom w:val="single" w:sz="8" w:color="CCFFCC"/>
            </w:tcBorders>
            <w:shd w:val="clear" w:color="auto" w:fill="CCFFCC"/>
          </w:tcPr>
          <w:p>
            <w:pPr>
              <w:spacing w:after="0"/>
              <w:rPr>
                <w:sz w:val="21"/>
                <w:szCs w:val="21"/>
                <w:color w:val="auto"/>
              </w:rPr>
            </w:pPr>
          </w:p>
        </w:tc>
        <w:tc>
          <w:tcPr>
            <w:tcW w:w="1840" w:type="dxa"/>
            <w:vAlign w:val="bottom"/>
            <w:tcBorders>
              <w:bottom w:val="single" w:sz="8" w:color="CCFFCC"/>
            </w:tcBorders>
            <w:gridSpan w:val="2"/>
            <w:shd w:val="clear" w:color="auto" w:fill="CCFFCC"/>
          </w:tcPr>
          <w:p>
            <w:pPr>
              <w:jc w:val="right"/>
              <w:ind w:right="540"/>
              <w:spacing w:after="0"/>
              <w:rPr>
                <w:sz w:val="20"/>
                <w:szCs w:val="20"/>
                <w:color w:val="auto"/>
              </w:rPr>
            </w:pPr>
            <w:r>
              <w:rPr>
                <w:rFonts w:ascii="Arial" w:cs="Arial" w:eastAsia="Arial" w:hAnsi="Arial"/>
                <w:sz w:val="18"/>
                <w:szCs w:val="18"/>
                <w:color w:val="auto"/>
              </w:rPr>
              <w:t>2,380</w:t>
            </w:r>
          </w:p>
        </w:tc>
        <w:tc>
          <w:tcPr>
            <w:tcW w:w="0" w:type="dxa"/>
            <w:vAlign w:val="bottom"/>
          </w:tcPr>
          <w:p>
            <w:pPr>
              <w:spacing w:after="0"/>
              <w:rPr>
                <w:sz w:val="1"/>
                <w:szCs w:val="1"/>
                <w:color w:val="auto"/>
              </w:rPr>
            </w:pPr>
          </w:p>
        </w:tc>
      </w:tr>
      <w:tr>
        <w:trPr>
          <w:trHeight w:val="20"/>
        </w:trPr>
        <w:tc>
          <w:tcPr>
            <w:tcW w:w="440" w:type="dxa"/>
            <w:vAlign w:val="bottom"/>
            <w:shd w:val="clear" w:color="auto" w:fill="CCFFCC"/>
          </w:tcPr>
          <w:p>
            <w:pPr>
              <w:spacing w:after="0" w:line="20" w:lineRule="exact"/>
              <w:rPr>
                <w:sz w:val="1"/>
                <w:szCs w:val="1"/>
                <w:color w:val="auto"/>
              </w:rPr>
            </w:pPr>
          </w:p>
        </w:tc>
        <w:tc>
          <w:tcPr>
            <w:tcW w:w="1580" w:type="dxa"/>
            <w:vAlign w:val="bottom"/>
            <w:shd w:val="clear" w:color="auto" w:fill="CCFFCC"/>
          </w:tcPr>
          <w:p>
            <w:pPr>
              <w:spacing w:after="0" w:line="20" w:lineRule="exact"/>
              <w:rPr>
                <w:sz w:val="1"/>
                <w:szCs w:val="1"/>
                <w:color w:val="auto"/>
              </w:rPr>
            </w:pPr>
          </w:p>
        </w:tc>
        <w:tc>
          <w:tcPr>
            <w:tcW w:w="2640" w:type="dxa"/>
            <w:vAlign w:val="bottom"/>
            <w:shd w:val="clear" w:color="auto" w:fill="CCFFCC"/>
          </w:tcPr>
          <w:p>
            <w:pPr>
              <w:spacing w:after="0" w:line="20" w:lineRule="exact"/>
              <w:rPr>
                <w:sz w:val="1"/>
                <w:szCs w:val="1"/>
                <w:color w:val="auto"/>
              </w:rPr>
            </w:pPr>
          </w:p>
        </w:tc>
        <w:tc>
          <w:tcPr>
            <w:tcW w:w="540" w:type="dxa"/>
            <w:vAlign w:val="bottom"/>
            <w:shd w:val="clear" w:color="auto" w:fill="CCFFCC"/>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1280" w:type="dxa"/>
            <w:vAlign w:val="bottom"/>
            <w:shd w:val="clear" w:color="auto" w:fill="CCFFCC"/>
          </w:tcPr>
          <w:p>
            <w:pPr>
              <w:spacing w:after="0" w:line="20" w:lineRule="exact"/>
              <w:rPr>
                <w:sz w:val="1"/>
                <w:szCs w:val="1"/>
                <w:color w:val="auto"/>
              </w:rPr>
            </w:pPr>
          </w:p>
        </w:tc>
        <w:tc>
          <w:tcPr>
            <w:tcW w:w="5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4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54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840" w:type="dxa"/>
            <w:vAlign w:val="bottom"/>
            <w:gridSpan w:val="2"/>
          </w:tcPr>
          <w:p>
            <w:pPr>
              <w:jc w:val="right"/>
              <w:ind w:right="540"/>
              <w:spacing w:after="0"/>
              <w:rPr>
                <w:sz w:val="20"/>
                <w:szCs w:val="20"/>
                <w:color w:val="auto"/>
              </w:rPr>
            </w:pPr>
            <w:r>
              <w:rPr>
                <w:rFonts w:ascii="Arial" w:cs="Arial" w:eastAsia="Arial" w:hAnsi="Arial"/>
                <w:sz w:val="18"/>
                <w:szCs w:val="18"/>
                <w:color w:val="auto"/>
              </w:rPr>
              <w:t>14,172</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vMerge w:val="restart"/>
          </w:tcPr>
          <w:p>
            <w:pPr>
              <w:jc w:val="right"/>
              <w:ind w:right="850"/>
              <w:spacing w:after="0"/>
              <w:rPr>
                <w:sz w:val="20"/>
                <w:szCs w:val="20"/>
                <w:color w:val="auto"/>
              </w:rPr>
            </w:pPr>
            <w:r>
              <w:rPr>
                <w:rFonts w:ascii="Arial" w:cs="Arial" w:eastAsia="Arial" w:hAnsi="Arial"/>
                <w:sz w:val="18"/>
                <w:szCs w:val="18"/>
                <w:color w:val="auto"/>
              </w:rPr>
              <w:t>44</w:t>
            </w: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4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264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128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4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130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5" w:right="239" w:bottom="1045"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0" w:type="dxa"/>
            <w:vAlign w:val="bottom"/>
          </w:tcPr>
          <w:p>
            <w:pPr>
              <w:spacing w:after="0"/>
              <w:rPr>
                <w:sz w:val="20"/>
                <w:szCs w:val="20"/>
                <w:color w:val="auto"/>
              </w:rPr>
            </w:pPr>
            <w:r>
              <w:rPr>
                <w:rFonts w:ascii="Arial" w:cs="Arial" w:eastAsia="Arial" w:hAnsi="Arial"/>
                <w:sz w:val="18"/>
                <w:szCs w:val="18"/>
                <w:color w:val="auto"/>
              </w:rPr>
              <w:t>6.</w:t>
            </w:r>
          </w:p>
        </w:tc>
        <w:tc>
          <w:tcPr>
            <w:tcW w:w="7900" w:type="dxa"/>
            <w:vAlign w:val="bottom"/>
            <w:gridSpan w:val="2"/>
          </w:tcPr>
          <w:p>
            <w:pPr>
              <w:spacing w:after="0"/>
              <w:rPr>
                <w:sz w:val="20"/>
                <w:szCs w:val="20"/>
                <w:color w:val="auto"/>
              </w:rPr>
            </w:pPr>
            <w:r>
              <w:rPr>
                <w:rFonts w:ascii="Arial" w:cs="Arial" w:eastAsia="Arial" w:hAnsi="Arial"/>
                <w:sz w:val="18"/>
                <w:szCs w:val="18"/>
                <w:color w:val="auto"/>
              </w:rPr>
              <w:t>Property, Plant and Equipment</w:t>
            </w: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440" w:type="dxa"/>
            <w:vAlign w:val="bottom"/>
          </w:tcPr>
          <w:p>
            <w:pPr>
              <w:spacing w:after="0" w:line="20" w:lineRule="exact"/>
              <w:rPr>
                <w:sz w:val="1"/>
                <w:szCs w:val="1"/>
                <w:color w:val="auto"/>
              </w:rPr>
            </w:pPr>
          </w:p>
        </w:tc>
        <w:tc>
          <w:tcPr>
            <w:tcW w:w="2200" w:type="dxa"/>
            <w:vAlign w:val="bottom"/>
            <w:shd w:val="clear" w:color="auto" w:fill="000000"/>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20"/>
        </w:trPr>
        <w:tc>
          <w:tcPr>
            <w:tcW w:w="440" w:type="dxa"/>
            <w:vAlign w:val="bottom"/>
          </w:tcPr>
          <w:p>
            <w:pPr>
              <w:spacing w:after="0"/>
              <w:rPr>
                <w:sz w:val="24"/>
                <w:szCs w:val="24"/>
                <w:color w:val="auto"/>
              </w:rPr>
            </w:pPr>
          </w:p>
        </w:tc>
        <w:tc>
          <w:tcPr>
            <w:tcW w:w="7900" w:type="dxa"/>
            <w:vAlign w:val="bottom"/>
            <w:gridSpan w:val="2"/>
          </w:tcPr>
          <w:p>
            <w:pPr>
              <w:ind w:left="60"/>
              <w:spacing w:after="0"/>
              <w:rPr>
                <w:sz w:val="20"/>
                <w:szCs w:val="20"/>
                <w:color w:val="auto"/>
              </w:rPr>
            </w:pPr>
            <w:r>
              <w:rPr>
                <w:rFonts w:ascii="Arial" w:cs="Arial" w:eastAsia="Arial" w:hAnsi="Arial"/>
                <w:sz w:val="18"/>
                <w:szCs w:val="18"/>
                <w:color w:val="auto"/>
              </w:rPr>
              <w:t>Property, plant and equipment at April 30, 2007 and 2006, consists of the following (in thousands):</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40"/>
        </w:trPr>
        <w:tc>
          <w:tcPr>
            <w:tcW w:w="4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2007</w:t>
            </w: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2006</w:t>
            </w:r>
          </w:p>
        </w:tc>
        <w:tc>
          <w:tcPr>
            <w:tcW w:w="100" w:type="dxa"/>
            <w:vAlign w:val="bottom"/>
          </w:tcPr>
          <w:p>
            <w:pPr>
              <w:spacing w:after="0"/>
              <w:rPr>
                <w:sz w:val="24"/>
                <w:szCs w:val="24"/>
                <w:color w:val="auto"/>
              </w:rPr>
            </w:pPr>
          </w:p>
        </w:tc>
      </w:tr>
      <w:tr>
        <w:trPr>
          <w:trHeight w:val="237"/>
        </w:trPr>
        <w:tc>
          <w:tcPr>
            <w:tcW w:w="834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Buildings and building improvements</w:t>
            </w: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3,046</w:t>
            </w:r>
          </w:p>
        </w:tc>
        <w:tc>
          <w:tcPr>
            <w:tcW w:w="520" w:type="dxa"/>
            <w:vAlign w:val="bottom"/>
            <w:gridSpan w:val="2"/>
            <w:shd w:val="clear" w:color="auto" w:fill="CCFFCC"/>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2,649</w:t>
            </w:r>
          </w:p>
        </w:tc>
      </w:tr>
      <w:tr>
        <w:trPr>
          <w:trHeight w:val="270"/>
        </w:trPr>
        <w:tc>
          <w:tcPr>
            <w:tcW w:w="8340" w:type="dxa"/>
            <w:vAlign w:val="bottom"/>
            <w:gridSpan w:val="3"/>
          </w:tcPr>
          <w:p>
            <w:pPr>
              <w:spacing w:after="0"/>
              <w:rPr>
                <w:sz w:val="20"/>
                <w:szCs w:val="20"/>
                <w:color w:val="auto"/>
              </w:rPr>
            </w:pPr>
            <w:r>
              <w:rPr>
                <w:rFonts w:ascii="Arial" w:cs="Arial" w:eastAsia="Arial" w:hAnsi="Arial"/>
                <w:sz w:val="18"/>
                <w:szCs w:val="18"/>
                <w:color w:val="auto"/>
              </w:rPr>
              <w:t>Machinery, equipment and furniture</w:t>
            </w: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35,186</w:t>
            </w:r>
          </w:p>
        </w:tc>
        <w:tc>
          <w:tcPr>
            <w:tcW w:w="2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32,765</w:t>
            </w:r>
          </w:p>
        </w:tc>
        <w:tc>
          <w:tcPr>
            <w:tcW w:w="100" w:type="dxa"/>
            <w:vAlign w:val="bottom"/>
          </w:tcPr>
          <w:p>
            <w:pPr>
              <w:spacing w:after="0"/>
              <w:rPr>
                <w:sz w:val="23"/>
                <w:szCs w:val="23"/>
                <w:color w:val="auto"/>
              </w:rPr>
            </w:pPr>
          </w:p>
        </w:tc>
      </w:tr>
      <w:tr>
        <w:trPr>
          <w:trHeight w:val="237"/>
        </w:trPr>
        <w:tc>
          <w:tcPr>
            <w:tcW w:w="440" w:type="dxa"/>
            <w:vAlign w:val="bottom"/>
            <w:shd w:val="clear" w:color="auto" w:fill="CCFFCC"/>
          </w:tcPr>
          <w:p>
            <w:pPr>
              <w:spacing w:after="0"/>
              <w:rPr>
                <w:sz w:val="20"/>
                <w:szCs w:val="20"/>
                <w:color w:val="auto"/>
              </w:rPr>
            </w:pPr>
          </w:p>
        </w:tc>
        <w:tc>
          <w:tcPr>
            <w:tcW w:w="2200" w:type="dxa"/>
            <w:vAlign w:val="bottom"/>
            <w:shd w:val="clear" w:color="auto" w:fill="CCFFCC"/>
          </w:tcPr>
          <w:p>
            <w:pPr>
              <w:spacing w:after="0"/>
              <w:rPr>
                <w:sz w:val="20"/>
                <w:szCs w:val="20"/>
                <w:color w:val="auto"/>
              </w:rPr>
            </w:pPr>
          </w:p>
        </w:tc>
        <w:tc>
          <w:tcPr>
            <w:tcW w:w="570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38,232</w:t>
            </w:r>
          </w:p>
        </w:tc>
        <w:tc>
          <w:tcPr>
            <w:tcW w:w="220" w:type="dxa"/>
            <w:vAlign w:val="bottom"/>
            <w:shd w:val="clear" w:color="auto" w:fill="CCFFCC"/>
          </w:tcPr>
          <w:p>
            <w:pPr>
              <w:spacing w:after="0"/>
              <w:rPr>
                <w:sz w:val="20"/>
                <w:szCs w:val="20"/>
                <w:color w:val="auto"/>
              </w:rPr>
            </w:pPr>
          </w:p>
        </w:tc>
        <w:tc>
          <w:tcPr>
            <w:tcW w:w="300" w:type="dxa"/>
            <w:vAlign w:val="bottom"/>
            <w:shd w:val="clear" w:color="auto" w:fill="CCFFCC"/>
          </w:tcPr>
          <w:p>
            <w:pPr>
              <w:spacing w:after="0"/>
              <w:rPr>
                <w:sz w:val="20"/>
                <w:szCs w:val="20"/>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35,414</w:t>
            </w:r>
          </w:p>
        </w:tc>
      </w:tr>
      <w:tr>
        <w:trPr>
          <w:trHeight w:val="270"/>
        </w:trPr>
        <w:tc>
          <w:tcPr>
            <w:tcW w:w="8340" w:type="dxa"/>
            <w:vAlign w:val="bottom"/>
            <w:gridSpan w:val="3"/>
          </w:tcPr>
          <w:p>
            <w:pPr>
              <w:spacing w:after="0"/>
              <w:rPr>
                <w:sz w:val="20"/>
                <w:szCs w:val="20"/>
                <w:color w:val="auto"/>
              </w:rPr>
            </w:pPr>
            <w:r>
              <w:rPr>
                <w:rFonts w:ascii="Arial" w:cs="Arial" w:eastAsia="Arial" w:hAnsi="Arial"/>
                <w:sz w:val="18"/>
                <w:szCs w:val="18"/>
                <w:color w:val="auto"/>
              </w:rPr>
              <w:t>Less, accumulated depreciation</w:t>
            </w: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30,393</w:t>
            </w:r>
          </w:p>
        </w:tc>
        <w:tc>
          <w:tcPr>
            <w:tcW w:w="2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28,751</w:t>
            </w:r>
          </w:p>
        </w:tc>
        <w:tc>
          <w:tcPr>
            <w:tcW w:w="100" w:type="dxa"/>
            <w:vAlign w:val="bottom"/>
          </w:tcPr>
          <w:p>
            <w:pPr>
              <w:spacing w:after="0"/>
              <w:rPr>
                <w:sz w:val="23"/>
                <w:szCs w:val="23"/>
                <w:color w:val="auto"/>
              </w:rPr>
            </w:pPr>
          </w:p>
        </w:tc>
      </w:tr>
      <w:tr>
        <w:trPr>
          <w:trHeight w:val="277"/>
        </w:trPr>
        <w:tc>
          <w:tcPr>
            <w:tcW w:w="440" w:type="dxa"/>
            <w:vAlign w:val="bottom"/>
            <w:tcBorders>
              <w:bottom w:val="single" w:sz="8" w:color="CCFFCC"/>
            </w:tcBorders>
            <w:shd w:val="clear" w:color="auto" w:fill="CCFFCC"/>
          </w:tcPr>
          <w:p>
            <w:pPr>
              <w:spacing w:after="0"/>
              <w:rPr>
                <w:sz w:val="24"/>
                <w:szCs w:val="24"/>
                <w:color w:val="auto"/>
              </w:rPr>
            </w:pPr>
          </w:p>
        </w:tc>
        <w:tc>
          <w:tcPr>
            <w:tcW w:w="2200" w:type="dxa"/>
            <w:vAlign w:val="bottom"/>
            <w:tcBorders>
              <w:bottom w:val="single" w:sz="8" w:color="CCFFCC"/>
            </w:tcBorders>
            <w:shd w:val="clear" w:color="auto" w:fill="CCFFCC"/>
          </w:tcPr>
          <w:p>
            <w:pPr>
              <w:spacing w:after="0"/>
              <w:rPr>
                <w:sz w:val="24"/>
                <w:szCs w:val="24"/>
                <w:color w:val="auto"/>
              </w:rPr>
            </w:pPr>
          </w:p>
        </w:tc>
        <w:tc>
          <w:tcPr>
            <w:tcW w:w="5700" w:type="dxa"/>
            <w:vAlign w:val="bottom"/>
            <w:tcBorders>
              <w:bottom w:val="single" w:sz="8" w:color="CCFFCC"/>
            </w:tcBorders>
            <w:shd w:val="clear" w:color="auto" w:fill="CCFFCC"/>
          </w:tcPr>
          <w:p>
            <w:pPr>
              <w:spacing w:after="0"/>
              <w:rPr>
                <w:sz w:val="24"/>
                <w:szCs w:val="24"/>
                <w:color w:val="auto"/>
              </w:rPr>
            </w:pPr>
          </w:p>
        </w:tc>
        <w:tc>
          <w:tcPr>
            <w:tcW w:w="30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7,839</w:t>
            </w:r>
          </w:p>
        </w:tc>
        <w:tc>
          <w:tcPr>
            <w:tcW w:w="220" w:type="dxa"/>
            <w:vAlign w:val="bottom"/>
            <w:tcBorders>
              <w:bottom w:val="single" w:sz="8" w:color="CCFFCC"/>
            </w:tcBorders>
            <w:shd w:val="clear" w:color="auto" w:fill="CCFFCC"/>
          </w:tcPr>
          <w:p>
            <w:pPr>
              <w:spacing w:after="0"/>
              <w:rPr>
                <w:sz w:val="24"/>
                <w:szCs w:val="24"/>
                <w:color w:val="auto"/>
              </w:rPr>
            </w:pPr>
          </w:p>
        </w:tc>
        <w:tc>
          <w:tcPr>
            <w:tcW w:w="300" w:type="dxa"/>
            <w:vAlign w:val="bottom"/>
            <w:tcBorders>
              <w:bottom w:val="single" w:sz="8" w:color="auto"/>
            </w:tcBorders>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6,663</w:t>
            </w:r>
          </w:p>
        </w:tc>
        <w:tc>
          <w:tcPr>
            <w:tcW w:w="100" w:type="dxa"/>
            <w:vAlign w:val="bottom"/>
            <w:tcBorders>
              <w:bottom w:val="single" w:sz="8" w:color="CCFFCC"/>
            </w:tcBorders>
            <w:shd w:val="clear" w:color="auto" w:fill="CCFFCC"/>
          </w:tcPr>
          <w:p>
            <w:pPr>
              <w:spacing w:after="0"/>
              <w:rPr>
                <w:sz w:val="24"/>
                <w:szCs w:val="24"/>
                <w:color w:val="auto"/>
              </w:rPr>
            </w:pPr>
          </w:p>
        </w:tc>
      </w:tr>
    </w:tbl>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Depreciation expense for the years ended April 30, 2007, 2006 and 2005 was $1,665,000, $1,783,000, and $1,908,000, respectively.</w:t>
      </w:r>
    </w:p>
    <w:p>
      <w:pPr>
        <w:spacing w:after="0" w:line="279"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Maintenance and repairs charged to operations for the years ended April 30, 2007, 2006 and 2005 was approximately $912,000, $724,000 and $585,000, respectively.</w:t>
      </w:r>
    </w:p>
    <w:p>
      <w:pPr>
        <w:spacing w:after="0" w:line="22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January 1998, the Company sold the Long Island, New York building that it occupies to Reckson Associates Realty Corp., a real estate investment trust (“REIT”) whose shares were then traded on the New York Stock Exchange. The sale involved a tax-deferred exchange of the building for approximately 513,000 participation units of Reckson Operating Partnership, L.P. (“REIT units”) which were valued at closing at $12 million. Each REIT unit was convertible into one share of the common stock of the REIT.</w:t>
      </w:r>
    </w:p>
    <w:p>
      <w:pPr>
        <w:spacing w:after="0" w:line="241"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Company leased back approximately 43% of the building from the purchaser (the "Reckson lease"). Under the accounting provisions for sale and leaseback transactions, the sale of this building was initially considered a financing until the REIT units were converted to Reckson stock in March 2005. Upon conversion of the REIT units, the Company recognized a gain of $4.6 million and deferred an additional $1.3 million gain. The deferred gain will be recognized into income over the remaining term of the initial leaseback period. Annual rental payments are $400,000 for the initial 11-year term which ends in January 2009. The Reckson lease contains two five-year renewal periods at the option of the Company. On May 16, 2007, the Company exercised its option to renew the lease for the first five year period and, commencing February 2009, will pay annual rent of $600,000. Under the terms of the lease, the Company is required to pay its proportional share of real estate taxes, insurance and other charges.</w:t>
      </w:r>
    </w:p>
    <w:p>
      <w:pPr>
        <w:spacing w:after="0" w:line="232"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In addition, the Company’s subsidiaries in China, France and California lease their office and manufacturing facilities. The lease for the FEI-Asia facility is for a one-year term with rent of $15,000 payable quarterly. The current lease for the FEI-Zyfer facility expires in June 2007 and requires monthly payments of $22,600. In July 2007, FEI-Zyfer expects to move into newly leased space encompassing 27,850 square feet. Monthly rental payments will be $23,700 for the first year and will increase each year over the 125 month lease term. Satel-FEI, a wholly-owned subsidiary of Gillam-FEI, occupies office space under a 9-year lease, cancelable after three years, at an approximate rate of $2,000 per month.</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p>
        </w:tc>
        <w:tc>
          <w:tcPr>
            <w:tcW w:w="9980" w:type="dxa"/>
            <w:vAlign w:val="bottom"/>
            <w:gridSpan w:val="3"/>
          </w:tcPr>
          <w:p>
            <w:pPr>
              <w:spacing w:after="0"/>
              <w:rPr>
                <w:sz w:val="20"/>
                <w:szCs w:val="20"/>
                <w:color w:val="auto"/>
              </w:rPr>
            </w:pPr>
            <w:r>
              <w:rPr>
                <w:rFonts w:ascii="Arial" w:cs="Arial" w:eastAsia="Arial" w:hAnsi="Arial"/>
                <w:sz w:val="18"/>
                <w:szCs w:val="18"/>
                <w:color w:val="auto"/>
              </w:rPr>
              <w:t>Future minimum lease payments required by the leases are as follows (in thousands):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104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Years ending April 30,</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500" w:type="dxa"/>
            <w:vAlign w:val="bottom"/>
            <w:shd w:val="clear" w:color="auto" w:fill="CCFFCC"/>
          </w:tcPr>
          <w:p>
            <w:pPr>
              <w:spacing w:after="0"/>
              <w:rPr>
                <w:sz w:val="20"/>
                <w:szCs w:val="20"/>
                <w:color w:val="auto"/>
              </w:rPr>
            </w:pPr>
            <w:r>
              <w:rPr>
                <w:rFonts w:ascii="Arial" w:cs="Arial" w:eastAsia="Arial" w:hAnsi="Arial"/>
                <w:sz w:val="18"/>
                <w:szCs w:val="18"/>
                <w:color w:val="auto"/>
              </w:rPr>
              <w:t>2008</w:t>
            </w:r>
          </w:p>
        </w:tc>
        <w:tc>
          <w:tcPr>
            <w:tcW w:w="9980" w:type="dxa"/>
            <w:vAlign w:val="bottom"/>
            <w:gridSpan w:val="3"/>
            <w:shd w:val="clear" w:color="auto" w:fill="CCFFCC"/>
          </w:tcPr>
          <w:p>
            <w:pPr>
              <w:jc w:val="right"/>
              <w:ind w:right="35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CFFCC"/>
          </w:tcPr>
          <w:p>
            <w:pPr>
              <w:spacing w:after="0"/>
              <w:rPr>
                <w:sz w:val="20"/>
                <w:szCs w:val="20"/>
                <w:color w:val="auto"/>
              </w:rPr>
            </w:pPr>
          </w:p>
        </w:tc>
      </w:tr>
      <w:tr>
        <w:trPr>
          <w:trHeight w:val="243"/>
        </w:trPr>
        <w:tc>
          <w:tcPr>
            <w:tcW w:w="500" w:type="dxa"/>
            <w:vAlign w:val="bottom"/>
          </w:tcPr>
          <w:p>
            <w:pPr>
              <w:spacing w:after="0"/>
              <w:rPr>
                <w:sz w:val="20"/>
                <w:szCs w:val="20"/>
                <w:color w:val="auto"/>
              </w:rPr>
            </w:pPr>
            <w:r>
              <w:rPr>
                <w:rFonts w:ascii="Arial" w:cs="Arial" w:eastAsia="Arial" w:hAnsi="Arial"/>
                <w:sz w:val="18"/>
                <w:szCs w:val="18"/>
                <w:color w:val="auto"/>
              </w:rPr>
              <w:t>2009</w:t>
            </w:r>
          </w:p>
        </w:tc>
        <w:tc>
          <w:tcPr>
            <w:tcW w:w="1860" w:type="dxa"/>
            <w:vAlign w:val="bottom"/>
          </w:tcPr>
          <w:p>
            <w:pPr>
              <w:spacing w:after="0"/>
              <w:rPr>
                <w:sz w:val="21"/>
                <w:szCs w:val="21"/>
                <w:color w:val="auto"/>
              </w:rPr>
            </w:pPr>
          </w:p>
        </w:tc>
        <w:tc>
          <w:tcPr>
            <w:tcW w:w="7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696</w:t>
            </w:r>
          </w:p>
        </w:tc>
        <w:tc>
          <w:tcPr>
            <w:tcW w:w="100" w:type="dxa"/>
            <w:vAlign w:val="bottom"/>
          </w:tcPr>
          <w:p>
            <w:pPr>
              <w:spacing w:after="0"/>
              <w:rPr>
                <w:sz w:val="21"/>
                <w:szCs w:val="21"/>
                <w:color w:val="auto"/>
              </w:rPr>
            </w:pPr>
          </w:p>
        </w:tc>
      </w:tr>
      <w:tr>
        <w:trPr>
          <w:trHeight w:val="243"/>
        </w:trPr>
        <w:tc>
          <w:tcPr>
            <w:tcW w:w="500" w:type="dxa"/>
            <w:vAlign w:val="bottom"/>
            <w:shd w:val="clear" w:color="auto" w:fill="CCFFCC"/>
          </w:tcPr>
          <w:p>
            <w:pPr>
              <w:spacing w:after="0"/>
              <w:rPr>
                <w:sz w:val="20"/>
                <w:szCs w:val="20"/>
                <w:color w:val="auto"/>
              </w:rPr>
            </w:pPr>
            <w:r>
              <w:rPr>
                <w:rFonts w:ascii="Arial" w:cs="Arial" w:eastAsia="Arial" w:hAnsi="Arial"/>
                <w:sz w:val="18"/>
                <w:szCs w:val="18"/>
                <w:color w:val="auto"/>
              </w:rPr>
              <w:t>2010</w:t>
            </w:r>
          </w:p>
        </w:tc>
        <w:tc>
          <w:tcPr>
            <w:tcW w:w="1860" w:type="dxa"/>
            <w:vAlign w:val="bottom"/>
            <w:shd w:val="clear" w:color="auto" w:fill="CCFFCC"/>
          </w:tcPr>
          <w:p>
            <w:pPr>
              <w:spacing w:after="0"/>
              <w:rPr>
                <w:sz w:val="21"/>
                <w:szCs w:val="21"/>
                <w:color w:val="auto"/>
              </w:rPr>
            </w:pPr>
          </w:p>
        </w:tc>
        <w:tc>
          <w:tcPr>
            <w:tcW w:w="7580" w:type="dxa"/>
            <w:vAlign w:val="bottom"/>
            <w:shd w:val="clear" w:color="auto" w:fill="CCFFCC"/>
          </w:tcPr>
          <w:p>
            <w:pPr>
              <w:spacing w:after="0"/>
              <w:rPr>
                <w:sz w:val="21"/>
                <w:szCs w:val="21"/>
                <w:color w:val="auto"/>
              </w:rPr>
            </w:pPr>
          </w:p>
        </w:tc>
        <w:tc>
          <w:tcPr>
            <w:tcW w:w="540" w:type="dxa"/>
            <w:vAlign w:val="bottom"/>
            <w:shd w:val="clear" w:color="auto" w:fill="CCFFCC"/>
          </w:tcPr>
          <w:p>
            <w:pPr>
              <w:spacing w:after="0"/>
              <w:rPr>
                <w:sz w:val="21"/>
                <w:szCs w:val="21"/>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926</w:t>
            </w:r>
          </w:p>
        </w:tc>
        <w:tc>
          <w:tcPr>
            <w:tcW w:w="100" w:type="dxa"/>
            <w:vAlign w:val="bottom"/>
            <w:shd w:val="clear" w:color="auto" w:fill="CCFFCC"/>
          </w:tcPr>
          <w:p>
            <w:pPr>
              <w:spacing w:after="0"/>
              <w:rPr>
                <w:sz w:val="21"/>
                <w:szCs w:val="21"/>
                <w:color w:val="auto"/>
              </w:rPr>
            </w:pPr>
          </w:p>
        </w:tc>
      </w:tr>
      <w:tr>
        <w:trPr>
          <w:trHeight w:val="243"/>
        </w:trPr>
        <w:tc>
          <w:tcPr>
            <w:tcW w:w="500" w:type="dxa"/>
            <w:vAlign w:val="bottom"/>
          </w:tcPr>
          <w:p>
            <w:pPr>
              <w:spacing w:after="0"/>
              <w:rPr>
                <w:sz w:val="20"/>
                <w:szCs w:val="20"/>
                <w:color w:val="auto"/>
              </w:rPr>
            </w:pPr>
            <w:r>
              <w:rPr>
                <w:rFonts w:ascii="Arial" w:cs="Arial" w:eastAsia="Arial" w:hAnsi="Arial"/>
                <w:sz w:val="18"/>
                <w:szCs w:val="18"/>
                <w:color w:val="auto"/>
              </w:rPr>
              <w:t>2011</w:t>
            </w:r>
          </w:p>
        </w:tc>
        <w:tc>
          <w:tcPr>
            <w:tcW w:w="1860" w:type="dxa"/>
            <w:vAlign w:val="bottom"/>
          </w:tcPr>
          <w:p>
            <w:pPr>
              <w:spacing w:after="0"/>
              <w:rPr>
                <w:sz w:val="21"/>
                <w:szCs w:val="21"/>
                <w:color w:val="auto"/>
              </w:rPr>
            </w:pPr>
          </w:p>
        </w:tc>
        <w:tc>
          <w:tcPr>
            <w:tcW w:w="75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936</w:t>
            </w:r>
          </w:p>
        </w:tc>
        <w:tc>
          <w:tcPr>
            <w:tcW w:w="100" w:type="dxa"/>
            <w:vAlign w:val="bottom"/>
          </w:tcPr>
          <w:p>
            <w:pPr>
              <w:spacing w:after="0"/>
              <w:rPr>
                <w:sz w:val="21"/>
                <w:szCs w:val="21"/>
                <w:color w:val="auto"/>
              </w:rPr>
            </w:pPr>
          </w:p>
        </w:tc>
      </w:tr>
      <w:tr>
        <w:trPr>
          <w:trHeight w:val="243"/>
        </w:trPr>
        <w:tc>
          <w:tcPr>
            <w:tcW w:w="500" w:type="dxa"/>
            <w:vAlign w:val="bottom"/>
            <w:shd w:val="clear" w:color="auto" w:fill="CCFFCC"/>
          </w:tcPr>
          <w:p>
            <w:pPr>
              <w:spacing w:after="0"/>
              <w:rPr>
                <w:sz w:val="20"/>
                <w:szCs w:val="20"/>
                <w:color w:val="auto"/>
              </w:rPr>
            </w:pPr>
            <w:r>
              <w:rPr>
                <w:rFonts w:ascii="Arial" w:cs="Arial" w:eastAsia="Arial" w:hAnsi="Arial"/>
                <w:sz w:val="18"/>
                <w:szCs w:val="18"/>
                <w:color w:val="auto"/>
              </w:rPr>
              <w:t>2012</w:t>
            </w:r>
          </w:p>
        </w:tc>
        <w:tc>
          <w:tcPr>
            <w:tcW w:w="1860" w:type="dxa"/>
            <w:vAlign w:val="bottom"/>
            <w:shd w:val="clear" w:color="auto" w:fill="CCFFCC"/>
          </w:tcPr>
          <w:p>
            <w:pPr>
              <w:spacing w:after="0"/>
              <w:rPr>
                <w:sz w:val="21"/>
                <w:szCs w:val="21"/>
                <w:color w:val="auto"/>
              </w:rPr>
            </w:pPr>
          </w:p>
        </w:tc>
        <w:tc>
          <w:tcPr>
            <w:tcW w:w="7580" w:type="dxa"/>
            <w:vAlign w:val="bottom"/>
            <w:shd w:val="clear" w:color="auto" w:fill="CCFFCC"/>
          </w:tcPr>
          <w:p>
            <w:pPr>
              <w:spacing w:after="0"/>
              <w:rPr>
                <w:sz w:val="21"/>
                <w:szCs w:val="21"/>
                <w:color w:val="auto"/>
              </w:rPr>
            </w:pPr>
          </w:p>
        </w:tc>
        <w:tc>
          <w:tcPr>
            <w:tcW w:w="540" w:type="dxa"/>
            <w:vAlign w:val="bottom"/>
            <w:shd w:val="clear" w:color="auto" w:fill="CCFFCC"/>
          </w:tcPr>
          <w:p>
            <w:pPr>
              <w:spacing w:after="0"/>
              <w:rPr>
                <w:sz w:val="21"/>
                <w:szCs w:val="21"/>
                <w:color w:val="auto"/>
              </w:rPr>
            </w:pPr>
          </w:p>
        </w:tc>
        <w:tc>
          <w:tcPr>
            <w:tcW w:w="8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947</w:t>
            </w:r>
          </w:p>
        </w:tc>
        <w:tc>
          <w:tcPr>
            <w:tcW w:w="100" w:type="dxa"/>
            <w:vAlign w:val="bottom"/>
            <w:shd w:val="clear" w:color="auto" w:fill="CCFFCC"/>
          </w:tcPr>
          <w:p>
            <w:pPr>
              <w:spacing w:after="0"/>
              <w:rPr>
                <w:sz w:val="21"/>
                <w:szCs w:val="21"/>
                <w:color w:val="auto"/>
              </w:rPr>
            </w:pPr>
          </w:p>
        </w:tc>
      </w:tr>
      <w:tr>
        <w:trPr>
          <w:trHeight w:val="270"/>
        </w:trPr>
        <w:tc>
          <w:tcPr>
            <w:tcW w:w="994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5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w:t>
            </w:r>
          </w:p>
        </w:tc>
        <w:tc>
          <w:tcPr>
            <w:tcW w:w="100" w:type="dxa"/>
            <w:vAlign w:val="bottom"/>
          </w:tcPr>
          <w:p>
            <w:pPr>
              <w:spacing w:after="0"/>
              <w:rPr>
                <w:sz w:val="23"/>
                <w:szCs w:val="23"/>
                <w:color w:val="auto"/>
              </w:rPr>
            </w:pPr>
          </w:p>
        </w:tc>
      </w:tr>
      <w:tr>
        <w:trPr>
          <w:trHeight w:val="277"/>
        </w:trPr>
        <w:tc>
          <w:tcPr>
            <w:tcW w:w="500" w:type="dxa"/>
            <w:vAlign w:val="bottom"/>
            <w:tcBorders>
              <w:bottom w:val="single" w:sz="8" w:color="CCFFCC"/>
            </w:tcBorders>
            <w:shd w:val="clear" w:color="auto" w:fill="CCFFCC"/>
          </w:tcPr>
          <w:p>
            <w:pPr>
              <w:spacing w:after="0"/>
              <w:rPr>
                <w:sz w:val="24"/>
                <w:szCs w:val="24"/>
                <w:color w:val="auto"/>
              </w:rPr>
            </w:pPr>
          </w:p>
        </w:tc>
        <w:tc>
          <w:tcPr>
            <w:tcW w:w="9440" w:type="dxa"/>
            <w:vAlign w:val="bottom"/>
            <w:tcBorders>
              <w:bottom w:val="single" w:sz="8" w:color="CCFFCC"/>
            </w:tcBorders>
            <w:gridSpan w:val="2"/>
            <w:shd w:val="clear" w:color="auto" w:fill="CCFFCC"/>
          </w:tcPr>
          <w:p>
            <w:pPr>
              <w:spacing w:after="0"/>
              <w:rPr>
                <w:sz w:val="24"/>
                <w:szCs w:val="24"/>
                <w:color w:val="auto"/>
              </w:rPr>
            </w:pPr>
          </w:p>
        </w:tc>
        <w:tc>
          <w:tcPr>
            <w:tcW w:w="540" w:type="dxa"/>
            <w:vAlign w:val="bottom"/>
            <w:tcBorders>
              <w:bottom w:val="single" w:sz="8" w:color="auto"/>
            </w:tcBorders>
            <w:shd w:val="clear" w:color="auto" w:fill="CCFFCC"/>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7,193</w:t>
            </w:r>
          </w:p>
        </w:tc>
        <w:tc>
          <w:tcPr>
            <w:tcW w:w="100" w:type="dxa"/>
            <w:vAlign w:val="bottom"/>
            <w:tcBorders>
              <w:bottom w:val="single" w:sz="8" w:color="CCFFCC"/>
            </w:tcBorders>
            <w:shd w:val="clear" w:color="auto" w:fill="CCFFCC"/>
          </w:tcPr>
          <w:p>
            <w:pPr>
              <w:spacing w:after="0"/>
              <w:rPr>
                <w:sz w:val="24"/>
                <w:szCs w:val="24"/>
                <w:color w:val="auto"/>
              </w:rPr>
            </w:pPr>
          </w:p>
        </w:tc>
      </w:tr>
      <w:tr>
        <w:trPr>
          <w:trHeight w:val="426"/>
        </w:trPr>
        <w:tc>
          <w:tcPr>
            <w:tcW w:w="500" w:type="dxa"/>
            <w:vAlign w:val="bottom"/>
          </w:tcPr>
          <w:p>
            <w:pPr>
              <w:spacing w:after="0"/>
              <w:rPr>
                <w:sz w:val="20"/>
                <w:szCs w:val="20"/>
                <w:color w:val="auto"/>
              </w:rPr>
            </w:pPr>
            <w:r>
              <w:rPr>
                <w:rFonts w:ascii="Arial" w:cs="Arial" w:eastAsia="Arial" w:hAnsi="Arial"/>
                <w:sz w:val="18"/>
                <w:szCs w:val="18"/>
                <w:color w:val="auto"/>
              </w:rPr>
              <w:t>7.</w:t>
            </w:r>
          </w:p>
        </w:tc>
        <w:tc>
          <w:tcPr>
            <w:tcW w:w="1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Related Party Transaction</w:t>
            </w:r>
          </w:p>
        </w:tc>
        <w:tc>
          <w:tcPr>
            <w:tcW w:w="8120" w:type="dxa"/>
            <w:vAlign w:val="bottom"/>
            <w:gridSpan w:val="2"/>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8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During the year ended April 30, 2006, the Company sold the remaining building formerly owned by its French subsidiary to the former president of Gillam-FEI. The sale price of the building was approximately $975,000 and was based upon an independent appraisal of the building. The Company recognized a gain of approximately $680,000 on the sale.</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279" w:lineRule="exact"/>
        <w:rPr>
          <w:sz w:val="20"/>
          <w:szCs w:val="20"/>
          <w:color w:val="auto"/>
        </w:rPr>
      </w:pPr>
    </w:p>
    <w:p>
      <w:pPr>
        <w:ind w:left="500" w:hanging="492"/>
        <w:spacing w:after="0"/>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u w:val="single" w:color="auto"/>
          <w:color w:val="auto"/>
        </w:rPr>
        <w:t>Debt Obligations</w:t>
      </w:r>
    </w:p>
    <w:p>
      <w:pPr>
        <w:spacing w:after="0" w:line="27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has an $11.5 million line of credit with the financial institution which also manages a substantial portion of its investment in marketable securities. The line is secured by the investments. During the 2007 fiscal year, the Company borrowed $5 million under this line of credit. During fiscal year 2006, the Company borrowed and repaid $1 million. No amount was outstanding as of April 30, 2006. During fiscal year 2007, advances against the line of credit bore interest at variable interest rates between 6.34% and 6.65%.</w:t>
      </w:r>
    </w:p>
    <w:p>
      <w:pPr>
        <w:spacing w:after="0" w:line="24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Company’s European subsidiaries have available approximately 1.7 million Euros (approximately $2.2 million based on current rates of exchange between the dollar and the Euro) in bank credit lines to meet short-term cash flow requirements. As of April 30, 2007, no amount was outstanding under such lines of credit. Interest on these credit lines varies from 0.5% to 1.5% over the EURO Interbank Offered rate (EURIBOR). At April 30, 2007 and 2006, the rate was 4.361% and 3.166%, respectively, based on the 1 month EURIBOR.</w:t>
      </w:r>
    </w:p>
    <w:p>
      <w:pPr>
        <w:spacing w:after="0" w:line="241"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u w:val="single" w:color="auto"/>
          <w:color w:val="auto"/>
        </w:rPr>
        <w:t>Accrued Liabilities</w:t>
      </w:r>
    </w:p>
    <w:p>
      <w:pPr>
        <w:spacing w:after="0" w:line="279" w:lineRule="exact"/>
        <w:rPr>
          <w:rFonts w:ascii="Arial" w:cs="Arial" w:eastAsia="Arial" w:hAnsi="Arial"/>
          <w:sz w:val="18"/>
          <w:szCs w:val="18"/>
          <w:color w:val="auto"/>
        </w:rPr>
      </w:pPr>
    </w:p>
    <w:p>
      <w:pPr>
        <w:ind w:left="500"/>
        <w:spacing w:after="0"/>
        <w:rPr>
          <w:rFonts w:ascii="Arial" w:cs="Arial" w:eastAsia="Arial" w:hAnsi="Arial"/>
          <w:sz w:val="18"/>
          <w:szCs w:val="18"/>
          <w:color w:val="auto"/>
        </w:rPr>
      </w:pPr>
      <w:r>
        <w:rPr>
          <w:rFonts w:ascii="Arial" w:cs="Arial" w:eastAsia="Arial" w:hAnsi="Arial"/>
          <w:sz w:val="18"/>
          <w:szCs w:val="18"/>
          <w:color w:val="auto"/>
        </w:rPr>
        <w:t>Accrued liabilities at April 30, 2007 and 2006 consist of the following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2007</w:t>
            </w:r>
          </w:p>
        </w:tc>
        <w:tc>
          <w:tcPr>
            <w:tcW w:w="5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2006</w:t>
            </w:r>
          </w:p>
        </w:tc>
        <w:tc>
          <w:tcPr>
            <w:tcW w:w="540" w:type="dxa"/>
            <w:vAlign w:val="bottom"/>
          </w:tcPr>
          <w:p>
            <w:pPr>
              <w:spacing w:after="0"/>
              <w:rPr>
                <w:sz w:val="20"/>
                <w:szCs w:val="20"/>
                <w:color w:val="auto"/>
              </w:rPr>
            </w:pPr>
          </w:p>
        </w:tc>
      </w:tr>
      <w:tr>
        <w:trPr>
          <w:trHeight w:val="237"/>
        </w:trPr>
        <w:tc>
          <w:tcPr>
            <w:tcW w:w="658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Other compensation including payroll taxes</w:t>
            </w:r>
          </w:p>
        </w:tc>
        <w:tc>
          <w:tcPr>
            <w:tcW w:w="1640" w:type="dxa"/>
            <w:vAlign w:val="bottom"/>
            <w:gridSpan w:val="2"/>
            <w:shd w:val="clear" w:color="auto" w:fill="CCFFCC"/>
          </w:tcPr>
          <w:p>
            <w:pPr>
              <w:jc w:val="right"/>
              <w:ind w:right="91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2,104</w:t>
            </w:r>
          </w:p>
        </w:tc>
        <w:tc>
          <w:tcPr>
            <w:tcW w:w="260" w:type="dxa"/>
            <w:vAlign w:val="bottom"/>
            <w:shd w:val="clear" w:color="auto" w:fill="CCFFCC"/>
          </w:tcPr>
          <w:p>
            <w:pPr>
              <w:spacing w:after="0"/>
              <w:rPr>
                <w:sz w:val="20"/>
                <w:szCs w:val="20"/>
                <w:color w:val="auto"/>
              </w:rPr>
            </w:pPr>
          </w:p>
        </w:tc>
        <w:tc>
          <w:tcPr>
            <w:tcW w:w="6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FFCC"/>
          </w:tcPr>
          <w:p>
            <w:pPr>
              <w:jc w:val="right"/>
              <w:ind w:right="540"/>
              <w:spacing w:after="0"/>
              <w:rPr>
                <w:sz w:val="20"/>
                <w:szCs w:val="20"/>
                <w:color w:val="auto"/>
              </w:rPr>
            </w:pPr>
            <w:r>
              <w:rPr>
                <w:rFonts w:ascii="Arial" w:cs="Arial" w:eastAsia="Arial" w:hAnsi="Arial"/>
                <w:sz w:val="18"/>
                <w:szCs w:val="18"/>
                <w:color w:val="auto"/>
              </w:rPr>
              <w:t>2,161</w:t>
            </w:r>
          </w:p>
        </w:tc>
      </w:tr>
      <w:tr>
        <w:trPr>
          <w:trHeight w:val="243"/>
        </w:trPr>
        <w:tc>
          <w:tcPr>
            <w:tcW w:w="6580" w:type="dxa"/>
            <w:vAlign w:val="bottom"/>
            <w:gridSpan w:val="3"/>
          </w:tcPr>
          <w:p>
            <w:pPr>
              <w:spacing w:after="0"/>
              <w:rPr>
                <w:sz w:val="20"/>
                <w:szCs w:val="20"/>
                <w:color w:val="auto"/>
              </w:rPr>
            </w:pPr>
            <w:r>
              <w:rPr>
                <w:rFonts w:ascii="Arial" w:cs="Arial" w:eastAsia="Arial" w:hAnsi="Arial"/>
                <w:sz w:val="18"/>
                <w:szCs w:val="18"/>
                <w:color w:val="auto"/>
              </w:rPr>
              <w:t>Due customers</w:t>
            </w:r>
          </w:p>
        </w:tc>
        <w:tc>
          <w:tcPr>
            <w:tcW w:w="5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447</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0" w:type="dxa"/>
            <w:vAlign w:val="bottom"/>
            <w:gridSpan w:val="2"/>
          </w:tcPr>
          <w:p>
            <w:pPr>
              <w:jc w:val="right"/>
              <w:ind w:right="540"/>
              <w:spacing w:after="0"/>
              <w:rPr>
                <w:sz w:val="20"/>
                <w:szCs w:val="20"/>
                <w:color w:val="auto"/>
              </w:rPr>
            </w:pPr>
            <w:r>
              <w:rPr>
                <w:rFonts w:ascii="Arial" w:cs="Arial" w:eastAsia="Arial" w:hAnsi="Arial"/>
                <w:sz w:val="18"/>
                <w:szCs w:val="18"/>
                <w:color w:val="auto"/>
              </w:rPr>
              <w:t>491</w:t>
            </w:r>
          </w:p>
        </w:tc>
      </w:tr>
      <w:tr>
        <w:trPr>
          <w:trHeight w:val="243"/>
        </w:trPr>
        <w:tc>
          <w:tcPr>
            <w:tcW w:w="658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Vacation accrual</w:t>
            </w:r>
          </w:p>
        </w:tc>
        <w:tc>
          <w:tcPr>
            <w:tcW w:w="540" w:type="dxa"/>
            <w:vAlign w:val="bottom"/>
            <w:shd w:val="clear" w:color="auto" w:fill="CCFFCC"/>
          </w:tcPr>
          <w:p>
            <w:pPr>
              <w:spacing w:after="0"/>
              <w:rPr>
                <w:sz w:val="21"/>
                <w:szCs w:val="21"/>
                <w:color w:val="auto"/>
              </w:rPr>
            </w:pPr>
          </w:p>
        </w:tc>
        <w:tc>
          <w:tcPr>
            <w:tcW w:w="1100" w:type="dxa"/>
            <w:vAlign w:val="bottom"/>
            <w:shd w:val="clear" w:color="auto" w:fill="CCFFCC"/>
          </w:tcPr>
          <w:p>
            <w:pPr>
              <w:spacing w:after="0"/>
              <w:rPr>
                <w:sz w:val="21"/>
                <w:szCs w:val="21"/>
                <w:color w:val="auto"/>
              </w:rPr>
            </w:pPr>
          </w:p>
        </w:tc>
        <w:tc>
          <w:tcPr>
            <w:tcW w:w="7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839</w:t>
            </w:r>
          </w:p>
        </w:tc>
        <w:tc>
          <w:tcPr>
            <w:tcW w:w="28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1800" w:type="dxa"/>
            <w:vAlign w:val="bottom"/>
            <w:gridSpan w:val="2"/>
            <w:shd w:val="clear" w:color="auto" w:fill="CCFFCC"/>
          </w:tcPr>
          <w:p>
            <w:pPr>
              <w:jc w:val="right"/>
              <w:ind w:right="540"/>
              <w:spacing w:after="0"/>
              <w:rPr>
                <w:sz w:val="20"/>
                <w:szCs w:val="20"/>
                <w:color w:val="auto"/>
              </w:rPr>
            </w:pPr>
            <w:r>
              <w:rPr>
                <w:rFonts w:ascii="Arial" w:cs="Arial" w:eastAsia="Arial" w:hAnsi="Arial"/>
                <w:sz w:val="18"/>
                <w:szCs w:val="18"/>
                <w:color w:val="auto"/>
              </w:rPr>
              <w:t>593</w:t>
            </w:r>
          </w:p>
        </w:tc>
      </w:tr>
      <w:tr>
        <w:trPr>
          <w:trHeight w:val="270"/>
        </w:trPr>
        <w:tc>
          <w:tcPr>
            <w:tcW w:w="540" w:type="dxa"/>
            <w:vAlign w:val="bottom"/>
          </w:tcPr>
          <w:p>
            <w:pPr>
              <w:spacing w:after="0"/>
              <w:rPr>
                <w:sz w:val="20"/>
                <w:szCs w:val="20"/>
                <w:color w:val="auto"/>
              </w:rPr>
            </w:pPr>
            <w:r>
              <w:rPr>
                <w:rFonts w:ascii="Arial" w:cs="Arial" w:eastAsia="Arial" w:hAnsi="Arial"/>
                <w:sz w:val="18"/>
                <w:szCs w:val="18"/>
                <w:color w:val="auto"/>
              </w:rPr>
              <w:t>Other</w:t>
            </w:r>
          </w:p>
        </w:tc>
        <w:tc>
          <w:tcPr>
            <w:tcW w:w="1920" w:type="dxa"/>
            <w:vAlign w:val="bottom"/>
          </w:tcPr>
          <w:p>
            <w:pPr>
              <w:spacing w:after="0"/>
              <w:rPr>
                <w:sz w:val="23"/>
                <w:szCs w:val="23"/>
                <w:color w:val="auto"/>
              </w:rPr>
            </w:pPr>
          </w:p>
        </w:tc>
        <w:tc>
          <w:tcPr>
            <w:tcW w:w="4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676</w:t>
            </w:r>
          </w:p>
        </w:tc>
        <w:tc>
          <w:tcPr>
            <w:tcW w:w="540" w:type="dxa"/>
            <w:vAlign w:val="bottom"/>
          </w:tcPr>
          <w:p>
            <w:pPr>
              <w:spacing w:after="0"/>
              <w:rPr>
                <w:sz w:val="23"/>
                <w:szCs w:val="23"/>
                <w:color w:val="auto"/>
              </w:rPr>
            </w:pPr>
          </w:p>
        </w:tc>
      </w:tr>
      <w:tr>
        <w:trPr>
          <w:trHeight w:val="277"/>
        </w:trPr>
        <w:tc>
          <w:tcPr>
            <w:tcW w:w="540" w:type="dxa"/>
            <w:vAlign w:val="bottom"/>
            <w:shd w:val="clear" w:color="auto" w:fill="CCFFCC"/>
          </w:tcPr>
          <w:p>
            <w:pPr>
              <w:spacing w:after="0"/>
              <w:rPr>
                <w:sz w:val="24"/>
                <w:szCs w:val="24"/>
                <w:color w:val="auto"/>
              </w:rPr>
            </w:pPr>
          </w:p>
        </w:tc>
        <w:tc>
          <w:tcPr>
            <w:tcW w:w="1920" w:type="dxa"/>
            <w:vAlign w:val="bottom"/>
            <w:shd w:val="clear" w:color="auto" w:fill="CCFFCC"/>
          </w:tcPr>
          <w:p>
            <w:pPr>
              <w:spacing w:after="0"/>
              <w:rPr>
                <w:sz w:val="24"/>
                <w:szCs w:val="24"/>
                <w:color w:val="auto"/>
              </w:rPr>
            </w:pPr>
          </w:p>
        </w:tc>
        <w:tc>
          <w:tcPr>
            <w:tcW w:w="4120" w:type="dxa"/>
            <w:vAlign w:val="bottom"/>
            <w:shd w:val="clear" w:color="auto" w:fill="CCFFCC"/>
          </w:tcPr>
          <w:p>
            <w:pPr>
              <w:spacing w:after="0"/>
              <w:rPr>
                <w:sz w:val="24"/>
                <w:szCs w:val="24"/>
                <w:color w:val="auto"/>
              </w:rPr>
            </w:pPr>
          </w:p>
        </w:tc>
        <w:tc>
          <w:tcPr>
            <w:tcW w:w="1640" w:type="dxa"/>
            <w:vAlign w:val="bottom"/>
            <w:gridSpan w:val="2"/>
            <w:shd w:val="clear" w:color="auto" w:fill="CCFFCC"/>
          </w:tcPr>
          <w:p>
            <w:pPr>
              <w:jc w:val="right"/>
              <w:ind w:right="91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3,980</w:t>
            </w:r>
          </w:p>
        </w:tc>
        <w:tc>
          <w:tcPr>
            <w:tcW w:w="260" w:type="dxa"/>
            <w:vAlign w:val="bottom"/>
            <w:shd w:val="clear" w:color="auto" w:fill="CCFFCC"/>
          </w:tcPr>
          <w:p>
            <w:pPr>
              <w:spacing w:after="0"/>
              <w:rPr>
                <w:sz w:val="24"/>
                <w:szCs w:val="24"/>
                <w:color w:val="auto"/>
              </w:rPr>
            </w:pPr>
          </w:p>
        </w:tc>
        <w:tc>
          <w:tcPr>
            <w:tcW w:w="62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FFCC"/>
          </w:tcPr>
          <w:p>
            <w:pPr>
              <w:jc w:val="right"/>
              <w:ind w:right="540"/>
              <w:spacing w:after="0"/>
              <w:rPr>
                <w:sz w:val="20"/>
                <w:szCs w:val="20"/>
                <w:color w:val="auto"/>
              </w:rPr>
            </w:pPr>
            <w:r>
              <w:rPr>
                <w:rFonts w:ascii="Arial" w:cs="Arial" w:eastAsia="Arial" w:hAnsi="Arial"/>
                <w:sz w:val="18"/>
                <w:szCs w:val="18"/>
                <w:color w:val="auto"/>
              </w:rPr>
              <w:t>3,921</w:t>
            </w:r>
          </w:p>
        </w:tc>
      </w:tr>
      <w:tr>
        <w:trPr>
          <w:trHeight w:val="467"/>
        </w:trPr>
        <w:tc>
          <w:tcPr>
            <w:tcW w:w="54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10.</w:t>
            </w:r>
          </w:p>
        </w:tc>
        <w:tc>
          <w:tcPr>
            <w:tcW w:w="6040" w:type="dxa"/>
            <w:vAlign w:val="bottom"/>
            <w:tcBorders>
              <w:top w:val="single" w:sz="8" w:color="CCFFCC"/>
            </w:tcBorders>
            <w:gridSpan w:val="2"/>
          </w:tcPr>
          <w:p>
            <w:pPr>
              <w:spacing w:after="0"/>
              <w:rPr>
                <w:sz w:val="20"/>
                <w:szCs w:val="20"/>
                <w:color w:val="auto"/>
              </w:rPr>
            </w:pPr>
            <w:r>
              <w:rPr>
                <w:rFonts w:ascii="Arial" w:cs="Arial" w:eastAsia="Arial" w:hAnsi="Arial"/>
                <w:sz w:val="18"/>
                <w:szCs w:val="18"/>
                <w:color w:val="auto"/>
              </w:rPr>
              <w:t>Investment in Morion, Inc.</w:t>
            </w:r>
          </w:p>
        </w:tc>
        <w:tc>
          <w:tcPr>
            <w:tcW w:w="540" w:type="dxa"/>
            <w:vAlign w:val="bottom"/>
            <w:tcBorders>
              <w:top w:val="single" w:sz="8" w:color="CCFFCC"/>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60" w:type="dxa"/>
            <w:vAlign w:val="bottom"/>
            <w:tcBorders>
              <w:top w:val="single" w:sz="8" w:color="CCFFCC"/>
            </w:tcBorders>
          </w:tcPr>
          <w:p>
            <w:pPr>
              <w:spacing w:after="0"/>
              <w:rPr>
                <w:sz w:val="24"/>
                <w:szCs w:val="24"/>
                <w:color w:val="auto"/>
              </w:rPr>
            </w:pPr>
          </w:p>
        </w:tc>
        <w:tc>
          <w:tcPr>
            <w:tcW w:w="280" w:type="dxa"/>
            <w:vAlign w:val="bottom"/>
            <w:tcBorders>
              <w:top w:val="single" w:sz="8" w:color="CCFFC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540" w:type="dxa"/>
            <w:vAlign w:val="bottom"/>
            <w:tcBorders>
              <w:top w:val="single" w:sz="8" w:color="CCFFCC"/>
            </w:tcBorders>
          </w:tcPr>
          <w:p>
            <w:pPr>
              <w:spacing w:after="0"/>
              <w:rPr>
                <w:sz w:val="24"/>
                <w:szCs w:val="24"/>
                <w:color w:val="auto"/>
              </w:rPr>
            </w:pPr>
          </w:p>
        </w:tc>
      </w:tr>
      <w:tr>
        <w:trPr>
          <w:trHeight w:val="20"/>
        </w:trPr>
        <w:tc>
          <w:tcPr>
            <w:tcW w:w="540" w:type="dxa"/>
            <w:vAlign w:val="bottom"/>
          </w:tcPr>
          <w:p>
            <w:pPr>
              <w:spacing w:after="0" w:line="20" w:lineRule="exact"/>
              <w:rPr>
                <w:sz w:val="1"/>
                <w:szCs w:val="1"/>
                <w:color w:val="auto"/>
              </w:rPr>
            </w:pPr>
          </w:p>
        </w:tc>
        <w:tc>
          <w:tcPr>
            <w:tcW w:w="192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In fiscal years 2007 and 2006, the Company’s investment in Morion, Inc., a privately-held Russian company, was between 36.6% and 36.2% of Morion’s outstanding shares. The Company reported its investment under the equity method and recorded its proportionate share of the earnings of Morion.</w:t>
      </w:r>
    </w:p>
    <w:p>
      <w:pPr>
        <w:spacing w:after="0" w:line="178"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At April 30, 2007, 2006, and 2005, the Company’s share of the underlying net assets of Morion exceeded the investment by $359,000, $471,000 and $549,000, respectively. The excess relates to certain property, plant and equipment and is being amortized into income by increasing the Company’s share of Morion’s net income. The Company uses the straightline method to amortize the excess over the remaining useful lives of the property, plant and equipment.</w:t>
      </w:r>
    </w:p>
    <w:p>
      <w:pPr>
        <w:spacing w:after="0" w:line="20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During the fiscal years ended April 30, 2007, 2006 and 2005, the Company acquired product from Morion in the aggregate amount of approximately $454,000, $467,000 and $659,000, respectively, and the Company sold product to Morion in the aggregate amount of approximately $269,000, $462,000 and $181,000, respectively.</w:t>
      </w:r>
    </w:p>
    <w:p>
      <w:pPr>
        <w:spacing w:after="0" w:line="235"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In June 2007, the Company reduced its investment in Morion from 36.6% to 8% of its outstanding shares. Based upon a determination by the Russian Federation that Morion was in a “strategic industry,” Gazprombank, a Russian government majority-owned joint stock bank, acquired the majority interest in Morion previously held by the European Bank for Reconstruction and Development and a portion of the shares previously held by the Company, both at the same price per share. Gazprombank, through its wholly-owned subsidiary, Finproject, Ltd., paid the Company proceeds of approximately $5.8 million. In the first quarter of fiscal year 2008, which ends July 31, 2007, the Company will recognize a pre-tax gain of approximately $3.0 million on the sale of the Morion shares. This is in addition to approximately $2.0 million in equity income realized in prior periods from the Morion investment. In future periods, the Company will account for its remaining investment in Morion on the cost basis.</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320"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Acquisition of Zyfer, Inc</w:t>
      </w:r>
      <w:r>
        <w:rPr>
          <w:rFonts w:ascii="Arial" w:cs="Arial" w:eastAsia="Arial" w:hAnsi="Arial"/>
          <w:sz w:val="18"/>
          <w:szCs w:val="18"/>
          <w:color w:val="auto"/>
        </w:rPr>
        <w:t>.</w:t>
      </w:r>
    </w:p>
    <w:p>
      <w:pPr>
        <w:spacing w:after="0" w:line="29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fiscal year 2004 acquisition of FEI-Zyfer, Inc. is treated as a purchase acquisition. The $2.9 million purchase price, including contingent payments, was allocated to net assets acquired of approximately $1.8 million. The purchase price in excess of net assets acquired, approximately $1.1 million, was allocated to fixed assets ($300,000), to customer lists ($600,000) which will be amortized over 6 years, and to goodwill ($200,000). Amortization expense for the years ended April 30, 2007, 2006 and 2005 was approximately $60,000, $78,000 and $106,000, respectively. For the fiscal year ending April 30, 2008, amortization expense will decline to $48,000, followed by a “balloon” writeoff of the customer list balance, expected to be $186,000, for the year ending April 30, 2009.</w:t>
      </w:r>
    </w:p>
    <w:p>
      <w:pPr>
        <w:spacing w:after="0" w:line="288" w:lineRule="exact"/>
        <w:rPr>
          <w:sz w:val="20"/>
          <w:szCs w:val="20"/>
          <w:color w:val="auto"/>
        </w:rPr>
      </w:pPr>
    </w:p>
    <w:p>
      <w:pPr>
        <w:ind w:left="780" w:hanging="772"/>
        <w:spacing w:after="0"/>
        <w:tabs>
          <w:tab w:leader="none" w:pos="780" w:val="left"/>
        </w:tabs>
        <w:numPr>
          <w:ilvl w:val="0"/>
          <w:numId w:val="19"/>
        </w:numPr>
        <w:rPr>
          <w:rFonts w:ascii="Arial" w:cs="Arial" w:eastAsia="Arial" w:hAnsi="Arial"/>
          <w:sz w:val="18"/>
          <w:szCs w:val="18"/>
          <w:color w:val="auto"/>
        </w:rPr>
      </w:pPr>
      <w:r>
        <w:rPr>
          <w:rFonts w:ascii="Arial" w:cs="Arial" w:eastAsia="Arial" w:hAnsi="Arial"/>
          <w:sz w:val="18"/>
          <w:szCs w:val="18"/>
          <w:u w:val="single" w:color="auto"/>
          <w:color w:val="auto"/>
        </w:rPr>
        <w:t>Investment in Elcom Technologies, Inc.</w:t>
      </w:r>
    </w:p>
    <w:p>
      <w:pPr>
        <w:spacing w:after="0" w:line="293"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In December 2006, the Company acquired a 25% interest (20% on a fully-diluted basis) in the outstanding shares of Elcom Technologies, Inc., a privately-held company which designs and manufactures advanced RF microwave devices. The Company and Elcom entered into a mutual business and facilities support agreement and Frequency Electronics obtained an exclusive license to use Elcom’s technology in space-borne applications. The Company received preferred stock, a $1.5 million convertible note and a 10-year warrant to purchase additional stock in exchange for cash and 39,651 shares of Frequency Electronics common stock. The Company will account for this investment on the equity method.</w:t>
      </w:r>
    </w:p>
    <w:p>
      <w:pPr>
        <w:spacing w:after="0" w:line="267" w:lineRule="exact"/>
        <w:rPr>
          <w:sz w:val="20"/>
          <w:szCs w:val="20"/>
          <w:color w:val="auto"/>
        </w:rPr>
      </w:pPr>
    </w:p>
    <w:p>
      <w:pPr>
        <w:ind w:left="660" w:hanging="652"/>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Employee Benefit Plans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Profit Sharing Plan:</w:t>
      </w:r>
    </w:p>
    <w:p>
      <w:pPr>
        <w:spacing w:after="0" w:line="28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 adopted a profit sharing plan and trust under section 401(k) of the Internal Revenue Code. This plan allows all eligible employees to defer a portion of their income through voluntary contributions to the plan. In accordance with the provisions of the plan, the Company can make discretionary matching contributions in the form of cash or common stock. For the years ended April 30, 2007, 2006 and 2005, the Company contributed 37,550, 34,723, and 30,621 shares of common stock, respectively. The approximate value of these shares at the date of issuance was $455,000 in fiscal year 2007, $419,000 in fiscal year 2006 and $393,000 in fiscal year 2005.</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Incentive Pool:</w:t>
      </w:r>
    </w:p>
    <w:p>
      <w:pPr>
        <w:spacing w:after="0" w:line="28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Company maintains incentive bonus programs for certain employees which are based on operating profits of the individual subsidiaries to which the employees are assigned. The Company also adopted a plan for the President and Chief Executive Officer of the Company, which formula is based on consolidated pre-tax profits. The Company charged $30,000, $572,000 and $694,000 to operations under these plans for the fiscal years ended April 30, 2007, 2006 and 2005, respectively.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Contractor Stock Option Plan:</w:t>
      </w:r>
    </w:p>
    <w:p>
      <w:pPr>
        <w:spacing w:after="0" w:line="283"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Through early fiscal year 2006, the Company had an Independent Contractor Stock Option Plan under which up to 350,000 shares could be granted. An Independent Contractor Stock Option Committee determined to whom options may be granted from among eligible participants, the timing and duration of option grants, the option price, and the number of shares of common stock subject to each option. Options were granted in prior fiscal years to certain independent contractors at a price equal to the then fair market value of the Company’s common stock. The options were exercisable over specified periods per terms of the individual agreements. In fiscal year 2005, the Company granted 30,000 shares to a new member of the Company’s Board of Directors. One-third of the options may be exercised one year after the grant date; two-thirds, two years after the grant date and all of the options, three years after the grant date. The exercise price of the grant was at the then fair market value of the Company’s common stock, consequently, no compensation expense was recognized because the Company applied the intrinsic value method for a director of the Company under the provisions of APB 25. No compensation expense was recorded during the years ended April 30, 2007, 2006 and 2005 as no other grants were made in those years and previous grants have been fully expensed. As a result of the adoption by the stockholders of the 2005 Stock Award Plan, the Independent Contractor Stock Option Plan was discontinued. No additional grants will be made under this plan.</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9" w:name="page50"/>
    <w:bookmarkEnd w:id="49"/>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2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Transactions under this plan, including the weighted average exercise prices of the options, are as follows: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2007</w:t>
            </w:r>
          </w:p>
        </w:tc>
        <w:tc>
          <w:tcPr>
            <w:tcW w:w="740" w:type="dxa"/>
            <w:vAlign w:val="bottom"/>
            <w:tcBorders>
              <w:bottom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2006</w:t>
            </w:r>
          </w:p>
        </w:tc>
        <w:tc>
          <w:tcPr>
            <w:tcW w:w="7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8"/>
                <w:szCs w:val="18"/>
                <w:color w:val="auto"/>
              </w:rPr>
              <w:t>2005</w:t>
            </w:r>
          </w:p>
        </w:tc>
        <w:tc>
          <w:tcPr>
            <w:tcW w:w="720" w:type="dxa"/>
            <w:vAlign w:val="bottom"/>
            <w:tcBorders>
              <w:bottom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Wtd</w:t>
            </w:r>
          </w:p>
        </w:tc>
        <w:tc>
          <w:tcPr>
            <w:tcW w:w="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40" w:type="dxa"/>
            <w:vAlign w:val="bottom"/>
          </w:tcPr>
          <w:p>
            <w:pPr>
              <w:jc w:val="right"/>
              <w:ind w:right="30"/>
              <w:spacing w:after="0" w:line="201" w:lineRule="exact"/>
              <w:rPr>
                <w:sz w:val="20"/>
                <w:szCs w:val="20"/>
                <w:color w:val="auto"/>
              </w:rPr>
            </w:pPr>
            <w:r>
              <w:rPr>
                <w:rFonts w:ascii="Arial" w:cs="Arial" w:eastAsia="Arial" w:hAnsi="Arial"/>
                <w:sz w:val="18"/>
                <w:szCs w:val="18"/>
                <w:color w:val="auto"/>
              </w:rPr>
              <w:t>Wtd</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jc w:val="right"/>
              <w:ind w:right="30"/>
              <w:spacing w:after="0" w:line="201" w:lineRule="exact"/>
              <w:rPr>
                <w:sz w:val="20"/>
                <w:szCs w:val="20"/>
                <w:color w:val="auto"/>
              </w:rPr>
            </w:pPr>
            <w:r>
              <w:rPr>
                <w:rFonts w:ascii="Arial" w:cs="Arial" w:eastAsia="Arial" w:hAnsi="Arial"/>
                <w:sz w:val="18"/>
                <w:szCs w:val="18"/>
                <w:color w:val="auto"/>
              </w:rPr>
              <w:t>Wtd</w:t>
            </w: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80" w:type="dxa"/>
            <w:vAlign w:val="bottom"/>
            <w:gridSpan w:val="2"/>
          </w:tcPr>
          <w:p>
            <w:pPr>
              <w:jc w:val="right"/>
              <w:ind w:right="680"/>
              <w:spacing w:after="0"/>
              <w:rPr>
                <w:sz w:val="20"/>
                <w:szCs w:val="20"/>
                <w:color w:val="auto"/>
              </w:rPr>
            </w:pPr>
            <w:r>
              <w:rPr>
                <w:rFonts w:ascii="Arial" w:cs="Arial" w:eastAsia="Arial" w:hAnsi="Arial"/>
                <w:sz w:val="18"/>
                <w:szCs w:val="18"/>
                <w:color w:val="auto"/>
              </w:rPr>
              <w:t>Avg</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8"/>
                <w:szCs w:val="18"/>
                <w:color w:val="auto"/>
              </w:rPr>
              <w:t>Avg</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Avg</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Shares</w:t>
            </w: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Price</w:t>
            </w:r>
          </w:p>
        </w:tc>
        <w:tc>
          <w:tcPr>
            <w:tcW w:w="320" w:type="dxa"/>
            <w:vAlign w:val="bottom"/>
          </w:tcPr>
          <w:p>
            <w:pPr>
              <w:spacing w:after="0"/>
              <w:rPr>
                <w:sz w:val="22"/>
                <w:szCs w:val="22"/>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Shares</w:t>
            </w:r>
          </w:p>
        </w:tc>
        <w:tc>
          <w:tcPr>
            <w:tcW w:w="3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Price</w:t>
            </w:r>
          </w:p>
        </w:tc>
        <w:tc>
          <w:tcPr>
            <w:tcW w:w="2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Shares</w:t>
            </w:r>
          </w:p>
        </w:tc>
        <w:tc>
          <w:tcPr>
            <w:tcW w:w="3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Price</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144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82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44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Outstanding</w:t>
            </w:r>
          </w:p>
        </w:tc>
        <w:tc>
          <w:tcPr>
            <w:tcW w:w="32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380" w:type="dxa"/>
            <w:vAlign w:val="bottom"/>
            <w:shd w:val="clear" w:color="auto" w:fill="CCFFCC"/>
          </w:tcPr>
          <w:p>
            <w:pPr>
              <w:spacing w:after="0"/>
              <w:rPr>
                <w:sz w:val="17"/>
                <w:szCs w:val="17"/>
                <w:color w:val="auto"/>
              </w:rPr>
            </w:pPr>
          </w:p>
        </w:tc>
        <w:tc>
          <w:tcPr>
            <w:tcW w:w="36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54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380" w:type="dxa"/>
            <w:vAlign w:val="bottom"/>
            <w:shd w:val="clear" w:color="auto" w:fill="CCFFCC"/>
          </w:tcPr>
          <w:p>
            <w:pPr>
              <w:spacing w:after="0"/>
              <w:rPr>
                <w:sz w:val="17"/>
                <w:szCs w:val="17"/>
                <w:color w:val="auto"/>
              </w:rPr>
            </w:pPr>
          </w:p>
        </w:tc>
        <w:tc>
          <w:tcPr>
            <w:tcW w:w="36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380" w:type="dxa"/>
            <w:vAlign w:val="bottom"/>
            <w:shd w:val="clear" w:color="auto" w:fill="CCFFCC"/>
          </w:tcPr>
          <w:p>
            <w:pPr>
              <w:spacing w:after="0"/>
              <w:rPr>
                <w:sz w:val="17"/>
                <w:szCs w:val="17"/>
                <w:color w:val="auto"/>
              </w:rPr>
            </w:pPr>
          </w:p>
        </w:tc>
        <w:tc>
          <w:tcPr>
            <w:tcW w:w="38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5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FFCC"/>
          </w:tcPr>
          <w:p>
            <w:pPr>
              <w:spacing w:after="0"/>
              <w:rPr>
                <w:sz w:val="20"/>
                <w:szCs w:val="20"/>
                <w:color w:val="auto"/>
              </w:rPr>
            </w:pPr>
            <w:r>
              <w:rPr>
                <w:rFonts w:ascii="Arial" w:cs="Arial" w:eastAsia="Arial" w:hAnsi="Arial"/>
                <w:sz w:val="18"/>
                <w:szCs w:val="18"/>
                <w:color w:val="auto"/>
              </w:rPr>
              <w:t>at beginning</w:t>
            </w:r>
          </w:p>
        </w:tc>
        <w:tc>
          <w:tcPr>
            <w:tcW w:w="3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shd w:val="clear" w:color="auto" w:fill="CCFFCC"/>
          </w:tcPr>
          <w:p>
            <w:pPr>
              <w:spacing w:after="0"/>
              <w:rPr>
                <w:sz w:val="20"/>
                <w:szCs w:val="20"/>
                <w:color w:val="auto"/>
              </w:rPr>
            </w:pPr>
            <w:r>
              <w:rPr>
                <w:rFonts w:ascii="Arial" w:cs="Arial" w:eastAsia="Arial" w:hAnsi="Arial"/>
                <w:sz w:val="18"/>
                <w:szCs w:val="18"/>
                <w:color w:val="auto"/>
              </w:rPr>
              <w:t>of year</w:t>
            </w:r>
          </w:p>
        </w:tc>
        <w:tc>
          <w:tcPr>
            <w:tcW w:w="320" w:type="dxa"/>
            <w:vAlign w:val="bottom"/>
            <w:shd w:val="clear" w:color="auto" w:fill="CCFFCC"/>
          </w:tcPr>
          <w:p>
            <w:pPr>
              <w:spacing w:after="0"/>
              <w:rPr>
                <w:sz w:val="20"/>
                <w:szCs w:val="20"/>
                <w:color w:val="auto"/>
              </w:rPr>
            </w:pPr>
          </w:p>
        </w:tc>
        <w:tc>
          <w:tcPr>
            <w:tcW w:w="9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141,050</w:t>
            </w:r>
          </w:p>
        </w:tc>
        <w:tc>
          <w:tcPr>
            <w:tcW w:w="7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540"/>
              <w:spacing w:after="0"/>
              <w:rPr>
                <w:sz w:val="20"/>
                <w:szCs w:val="20"/>
                <w:color w:val="auto"/>
              </w:rPr>
            </w:pPr>
            <w:r>
              <w:rPr>
                <w:rFonts w:ascii="Arial" w:cs="Arial" w:eastAsia="Arial" w:hAnsi="Arial"/>
                <w:sz w:val="18"/>
                <w:szCs w:val="18"/>
                <w:color w:val="auto"/>
              </w:rPr>
              <w:t>15.33</w:t>
            </w:r>
          </w:p>
        </w:tc>
        <w:tc>
          <w:tcPr>
            <w:tcW w:w="320" w:type="dxa"/>
            <w:vAlign w:val="bottom"/>
            <w:shd w:val="clear" w:color="auto" w:fill="CCFFCC"/>
          </w:tcPr>
          <w:p>
            <w:pPr>
              <w:spacing w:after="0"/>
              <w:rPr>
                <w:sz w:val="20"/>
                <w:szCs w:val="20"/>
                <w:color w:val="auto"/>
              </w:rPr>
            </w:pPr>
          </w:p>
        </w:tc>
        <w:tc>
          <w:tcPr>
            <w:tcW w:w="9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141,050</w:t>
            </w:r>
          </w:p>
        </w:tc>
        <w:tc>
          <w:tcPr>
            <w:tcW w:w="7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15.33</w:t>
            </w:r>
          </w:p>
        </w:tc>
        <w:tc>
          <w:tcPr>
            <w:tcW w:w="280" w:type="dxa"/>
            <w:vAlign w:val="bottom"/>
            <w:shd w:val="clear" w:color="auto" w:fill="CCFFCC"/>
          </w:tcPr>
          <w:p>
            <w:pPr>
              <w:spacing w:after="0"/>
              <w:rPr>
                <w:sz w:val="20"/>
                <w:szCs w:val="20"/>
                <w:color w:val="auto"/>
              </w:rPr>
            </w:pPr>
          </w:p>
        </w:tc>
        <w:tc>
          <w:tcPr>
            <w:tcW w:w="320" w:type="dxa"/>
            <w:vAlign w:val="bottom"/>
            <w:shd w:val="clear" w:color="auto" w:fill="CCFFCC"/>
          </w:tcPr>
          <w:p>
            <w:pPr>
              <w:spacing w:after="0"/>
              <w:rPr>
                <w:sz w:val="20"/>
                <w:szCs w:val="20"/>
                <w:color w:val="auto"/>
              </w:rPr>
            </w:pPr>
          </w:p>
        </w:tc>
        <w:tc>
          <w:tcPr>
            <w:tcW w:w="9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111,050</w:t>
            </w:r>
          </w:p>
        </w:tc>
        <w:tc>
          <w:tcPr>
            <w:tcW w:w="7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540"/>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43"/>
        </w:trPr>
        <w:tc>
          <w:tcPr>
            <w:tcW w:w="146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30,000</w:t>
            </w: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75"/>
        </w:trPr>
        <w:tc>
          <w:tcPr>
            <w:tcW w:w="20" w:type="dxa"/>
            <w:vAlign w:val="bottom"/>
          </w:tcPr>
          <w:p>
            <w:pPr>
              <w:spacing w:after="0"/>
              <w:rPr>
                <w:sz w:val="23"/>
                <w:szCs w:val="23"/>
                <w:color w:val="auto"/>
              </w:rPr>
            </w:pPr>
          </w:p>
        </w:tc>
        <w:tc>
          <w:tcPr>
            <w:tcW w:w="14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Exercised</w:t>
            </w:r>
          </w:p>
        </w:tc>
        <w:tc>
          <w:tcPr>
            <w:tcW w:w="320" w:type="dxa"/>
            <w:vAlign w:val="bottom"/>
            <w:tcBorders>
              <w:bottom w:val="single" w:sz="8" w:color="CCFFCC"/>
            </w:tcBorders>
            <w:shd w:val="clear" w:color="auto" w:fill="CCFFCC"/>
          </w:tcPr>
          <w:p>
            <w:pPr>
              <w:spacing w:after="0"/>
              <w:rPr>
                <w:sz w:val="23"/>
                <w:szCs w:val="23"/>
                <w:color w:val="auto"/>
              </w:rPr>
            </w:pPr>
          </w:p>
        </w:tc>
        <w:tc>
          <w:tcPr>
            <w:tcW w:w="8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23"/>
                <w:szCs w:val="23"/>
                <w:color w:val="auto"/>
              </w:rPr>
            </w:pPr>
          </w:p>
        </w:tc>
        <w:tc>
          <w:tcPr>
            <w:tcW w:w="380" w:type="dxa"/>
            <w:vAlign w:val="bottom"/>
            <w:tcBorders>
              <w:bottom w:val="single" w:sz="8" w:color="CCFFCC"/>
            </w:tcBorders>
            <w:shd w:val="clear" w:color="auto" w:fill="CCFFCC"/>
          </w:tcPr>
          <w:p>
            <w:pPr>
              <w:spacing w:after="0"/>
              <w:rPr>
                <w:sz w:val="23"/>
                <w:szCs w:val="23"/>
                <w:color w:val="auto"/>
              </w:rPr>
            </w:pPr>
          </w:p>
        </w:tc>
        <w:tc>
          <w:tcPr>
            <w:tcW w:w="360" w:type="dxa"/>
            <w:vAlign w:val="bottom"/>
            <w:tcBorders>
              <w:bottom w:val="single" w:sz="8" w:color="CCFFCC"/>
            </w:tcBorders>
            <w:shd w:val="clear" w:color="auto" w:fill="CCFFCC"/>
          </w:tcPr>
          <w:p>
            <w:pPr>
              <w:spacing w:after="0"/>
              <w:rPr>
                <w:sz w:val="23"/>
                <w:szCs w:val="23"/>
                <w:color w:val="auto"/>
              </w:rPr>
            </w:pPr>
          </w:p>
        </w:tc>
        <w:tc>
          <w:tcPr>
            <w:tcW w:w="1280" w:type="dxa"/>
            <w:vAlign w:val="bottom"/>
            <w:tcBorders>
              <w:bottom w:val="single" w:sz="8" w:color="CCFFCC"/>
            </w:tcBorders>
            <w:gridSpan w:val="2"/>
            <w:shd w:val="clear" w:color="auto" w:fill="CCFFCC"/>
          </w:tcPr>
          <w:p>
            <w:pPr>
              <w:jc w:val="right"/>
              <w:ind w:right="5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FFCC"/>
            </w:tcBorders>
            <w:shd w:val="clear" w:color="auto" w:fill="CCFFCC"/>
          </w:tcPr>
          <w:p>
            <w:pPr>
              <w:spacing w:after="0"/>
              <w:rPr>
                <w:sz w:val="23"/>
                <w:szCs w:val="23"/>
                <w:color w:val="auto"/>
              </w:rPr>
            </w:pPr>
          </w:p>
        </w:tc>
        <w:tc>
          <w:tcPr>
            <w:tcW w:w="98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FFCC"/>
            </w:tcBorders>
            <w:shd w:val="clear" w:color="auto" w:fill="CCFFCC"/>
          </w:tcPr>
          <w:p>
            <w:pPr>
              <w:spacing w:after="0"/>
              <w:rPr>
                <w:sz w:val="23"/>
                <w:szCs w:val="23"/>
                <w:color w:val="auto"/>
              </w:rPr>
            </w:pPr>
          </w:p>
        </w:tc>
        <w:tc>
          <w:tcPr>
            <w:tcW w:w="360" w:type="dxa"/>
            <w:vAlign w:val="bottom"/>
            <w:tcBorders>
              <w:bottom w:val="single" w:sz="8" w:color="CCFFCC"/>
            </w:tcBorders>
            <w:shd w:val="clear" w:color="auto" w:fill="CCFFCC"/>
          </w:tcPr>
          <w:p>
            <w:pPr>
              <w:spacing w:after="0"/>
              <w:rPr>
                <w:sz w:val="23"/>
                <w:szCs w:val="23"/>
                <w:color w:val="auto"/>
              </w:rPr>
            </w:pPr>
          </w:p>
        </w:tc>
        <w:tc>
          <w:tcPr>
            <w:tcW w:w="7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FFCC"/>
            </w:tcBorders>
            <w:shd w:val="clear" w:color="auto" w:fill="CCFFCC"/>
          </w:tcPr>
          <w:p>
            <w:pPr>
              <w:spacing w:after="0"/>
              <w:rPr>
                <w:sz w:val="23"/>
                <w:szCs w:val="23"/>
                <w:color w:val="auto"/>
              </w:rPr>
            </w:pPr>
          </w:p>
        </w:tc>
        <w:tc>
          <w:tcPr>
            <w:tcW w:w="280" w:type="dxa"/>
            <w:vAlign w:val="bottom"/>
            <w:tcBorders>
              <w:bottom w:val="single" w:sz="8" w:color="CCFFCC"/>
            </w:tcBorders>
            <w:shd w:val="clear" w:color="auto" w:fill="CCFFCC"/>
          </w:tcPr>
          <w:p>
            <w:pPr>
              <w:spacing w:after="0"/>
              <w:rPr>
                <w:sz w:val="23"/>
                <w:szCs w:val="23"/>
                <w:color w:val="auto"/>
              </w:rPr>
            </w:pPr>
          </w:p>
        </w:tc>
        <w:tc>
          <w:tcPr>
            <w:tcW w:w="320" w:type="dxa"/>
            <w:vAlign w:val="bottom"/>
            <w:tcBorders>
              <w:bottom w:val="single" w:sz="8" w:color="CCFFCC"/>
            </w:tcBorders>
            <w:shd w:val="clear" w:color="auto" w:fill="CCFFCC"/>
          </w:tcPr>
          <w:p>
            <w:pPr>
              <w:spacing w:after="0"/>
              <w:rPr>
                <w:sz w:val="23"/>
                <w:szCs w:val="23"/>
                <w:color w:val="auto"/>
              </w:rPr>
            </w:pPr>
          </w:p>
        </w:tc>
        <w:tc>
          <w:tcPr>
            <w:tcW w:w="8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FFCC"/>
            </w:tcBorders>
            <w:shd w:val="clear" w:color="auto" w:fill="CCFFCC"/>
          </w:tcPr>
          <w:p>
            <w:pPr>
              <w:spacing w:after="0"/>
              <w:rPr>
                <w:sz w:val="23"/>
                <w:szCs w:val="23"/>
                <w:color w:val="auto"/>
              </w:rPr>
            </w:pPr>
          </w:p>
        </w:tc>
        <w:tc>
          <w:tcPr>
            <w:tcW w:w="380" w:type="dxa"/>
            <w:vAlign w:val="bottom"/>
            <w:tcBorders>
              <w:bottom w:val="single" w:sz="8" w:color="CCFFCC"/>
            </w:tcBorders>
            <w:shd w:val="clear" w:color="auto" w:fill="CCFFCC"/>
          </w:tcPr>
          <w:p>
            <w:pPr>
              <w:spacing w:after="0"/>
              <w:rPr>
                <w:sz w:val="23"/>
                <w:szCs w:val="23"/>
                <w:color w:val="auto"/>
              </w:rPr>
            </w:pPr>
          </w:p>
        </w:tc>
        <w:tc>
          <w:tcPr>
            <w:tcW w:w="380" w:type="dxa"/>
            <w:vAlign w:val="bottom"/>
            <w:tcBorders>
              <w:bottom w:val="single" w:sz="8" w:color="CCFFCC"/>
            </w:tcBorders>
            <w:shd w:val="clear" w:color="auto" w:fill="CCFFCC"/>
          </w:tcPr>
          <w:p>
            <w:pPr>
              <w:spacing w:after="0"/>
              <w:rPr>
                <w:sz w:val="23"/>
                <w:szCs w:val="23"/>
                <w:color w:val="auto"/>
              </w:rPr>
            </w:pPr>
          </w:p>
        </w:tc>
        <w:tc>
          <w:tcPr>
            <w:tcW w:w="1260" w:type="dxa"/>
            <w:vAlign w:val="bottom"/>
            <w:tcBorders>
              <w:bottom w:val="single" w:sz="8" w:color="CCFFCC"/>
            </w:tcBorders>
            <w:gridSpan w:val="2"/>
            <w:shd w:val="clear" w:color="auto" w:fill="CCFFCC"/>
          </w:tcPr>
          <w:p>
            <w:pPr>
              <w:jc w:val="right"/>
              <w:ind w:righ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440" w:type="dxa"/>
            <w:vAlign w:val="bottom"/>
            <w:tcBorders>
              <w:top w:val="single" w:sz="8" w:color="CCFFCC"/>
            </w:tcBorders>
          </w:tcPr>
          <w:p>
            <w:pPr>
              <w:spacing w:after="0" w:line="195" w:lineRule="exact"/>
              <w:rPr>
                <w:sz w:val="20"/>
                <w:szCs w:val="20"/>
                <w:color w:val="auto"/>
              </w:rPr>
            </w:pPr>
            <w:r>
              <w:rPr>
                <w:rFonts w:ascii="Arial" w:cs="Arial" w:eastAsia="Arial" w:hAnsi="Arial"/>
                <w:sz w:val="18"/>
                <w:szCs w:val="18"/>
                <w:color w:val="auto"/>
              </w:rPr>
              <w:t>Outstanding</w:t>
            </w:r>
          </w:p>
        </w:tc>
        <w:tc>
          <w:tcPr>
            <w:tcW w:w="3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60" w:type="dxa"/>
            <w:vAlign w:val="bottom"/>
            <w:tcBorders>
              <w:top w:val="single" w:sz="8" w:color="CCFFCC"/>
            </w:tcBorders>
          </w:tcPr>
          <w:p>
            <w:pPr>
              <w:spacing w:after="0"/>
              <w:rPr>
                <w:sz w:val="16"/>
                <w:szCs w:val="16"/>
                <w:color w:val="auto"/>
              </w:rPr>
            </w:pPr>
          </w:p>
        </w:tc>
        <w:tc>
          <w:tcPr>
            <w:tcW w:w="380" w:type="dxa"/>
            <w:vAlign w:val="bottom"/>
            <w:tcBorders>
              <w:top w:val="single" w:sz="8" w:color="CCFFCC"/>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540" w:type="dxa"/>
            <w:vAlign w:val="bottom"/>
            <w:tcBorders>
              <w:top w:val="single" w:sz="8" w:color="CCFFCC"/>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60" w:type="dxa"/>
            <w:vAlign w:val="bottom"/>
            <w:tcBorders>
              <w:top w:val="single" w:sz="8" w:color="CCFFCC"/>
            </w:tcBorders>
          </w:tcPr>
          <w:p>
            <w:pPr>
              <w:spacing w:after="0"/>
              <w:rPr>
                <w:sz w:val="16"/>
                <w:szCs w:val="16"/>
                <w:color w:val="auto"/>
              </w:rPr>
            </w:pPr>
          </w:p>
        </w:tc>
        <w:tc>
          <w:tcPr>
            <w:tcW w:w="380" w:type="dxa"/>
            <w:vAlign w:val="bottom"/>
            <w:tcBorders>
              <w:top w:val="single" w:sz="8" w:color="CCFFCC"/>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60" w:type="dxa"/>
            <w:vAlign w:val="bottom"/>
            <w:tcBorders>
              <w:top w:val="single" w:sz="8" w:color="CCFFCC"/>
            </w:tcBorders>
          </w:tcPr>
          <w:p>
            <w:pPr>
              <w:spacing w:after="0"/>
              <w:rPr>
                <w:sz w:val="16"/>
                <w:szCs w:val="16"/>
                <w:color w:val="auto"/>
              </w:rPr>
            </w:pPr>
          </w:p>
        </w:tc>
        <w:tc>
          <w:tcPr>
            <w:tcW w:w="280" w:type="dxa"/>
            <w:vAlign w:val="bottom"/>
            <w:tcBorders>
              <w:top w:val="single" w:sz="8" w:color="CCFFCC"/>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60" w:type="dxa"/>
            <w:vAlign w:val="bottom"/>
            <w:tcBorders>
              <w:top w:val="single" w:sz="8" w:color="CCFFCC"/>
            </w:tcBorders>
          </w:tcPr>
          <w:p>
            <w:pPr>
              <w:spacing w:after="0"/>
              <w:rPr>
                <w:sz w:val="16"/>
                <w:szCs w:val="16"/>
                <w:color w:val="auto"/>
              </w:rPr>
            </w:pPr>
          </w:p>
        </w:tc>
        <w:tc>
          <w:tcPr>
            <w:tcW w:w="380" w:type="dxa"/>
            <w:vAlign w:val="bottom"/>
            <w:tcBorders>
              <w:top w:val="single" w:sz="8" w:color="CCFFCC"/>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540" w:type="dxa"/>
            <w:vAlign w:val="bottom"/>
            <w:tcBorders>
              <w:top w:val="single" w:sz="8" w:color="CCFFCC"/>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460" w:type="dxa"/>
            <w:vAlign w:val="bottom"/>
            <w:gridSpan w:val="2"/>
          </w:tcPr>
          <w:p>
            <w:pPr>
              <w:spacing w:after="0"/>
              <w:rPr>
                <w:sz w:val="20"/>
                <w:szCs w:val="20"/>
                <w:color w:val="auto"/>
              </w:rPr>
            </w:pPr>
            <w:r>
              <w:rPr>
                <w:rFonts w:ascii="Arial" w:cs="Arial" w:eastAsia="Arial" w:hAnsi="Arial"/>
                <w:sz w:val="18"/>
                <w:szCs w:val="18"/>
                <w:color w:val="auto"/>
              </w:rPr>
              <w:t>at end of</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60" w:type="dxa"/>
            <w:vAlign w:val="bottom"/>
            <w:gridSpan w:val="2"/>
          </w:tcPr>
          <w:p>
            <w:pPr>
              <w:spacing w:after="0"/>
              <w:rPr>
                <w:sz w:val="20"/>
                <w:szCs w:val="20"/>
                <w:color w:val="auto"/>
              </w:rPr>
            </w:pPr>
            <w:r>
              <w:rPr>
                <w:rFonts w:ascii="Arial" w:cs="Arial" w:eastAsia="Arial" w:hAnsi="Arial"/>
                <w:sz w:val="18"/>
                <w:szCs w:val="18"/>
                <w:color w:val="auto"/>
              </w:rPr>
              <w:t>year</w:t>
            </w:r>
          </w:p>
        </w:tc>
        <w:tc>
          <w:tcPr>
            <w:tcW w:w="3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141,050</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15.33</w:t>
            </w:r>
          </w:p>
        </w:tc>
        <w:tc>
          <w:tcPr>
            <w:tcW w:w="3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141,050</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15.33</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141,050</w:t>
            </w:r>
          </w:p>
        </w:tc>
        <w:tc>
          <w:tcPr>
            <w:tcW w:w="160" w:type="dxa"/>
            <w:vAlign w:val="bottom"/>
          </w:tcPr>
          <w:p>
            <w:pPr>
              <w:spacing w:after="0"/>
              <w:rPr>
                <w:sz w:val="20"/>
                <w:szCs w:val="20"/>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15.33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1440" w:type="dxa"/>
            <w:vAlign w:val="bottom"/>
            <w:shd w:val="clear" w:color="auto" w:fill="CCFFCC"/>
          </w:tcPr>
          <w:p>
            <w:pPr>
              <w:spacing w:after="0" w:line="182" w:lineRule="exact"/>
              <w:rPr>
                <w:sz w:val="20"/>
                <w:szCs w:val="20"/>
                <w:color w:val="auto"/>
              </w:rPr>
            </w:pPr>
            <w:r>
              <w:rPr>
                <w:rFonts w:ascii="Arial" w:cs="Arial" w:eastAsia="Arial" w:hAnsi="Arial"/>
                <w:sz w:val="18"/>
                <w:szCs w:val="18"/>
                <w:color w:val="auto"/>
              </w:rPr>
              <w:t>Exercisable</w:t>
            </w:r>
          </w:p>
        </w:tc>
        <w:tc>
          <w:tcPr>
            <w:tcW w:w="320" w:type="dxa"/>
            <w:vAlign w:val="bottom"/>
            <w:shd w:val="clear" w:color="auto" w:fill="CCFFCC"/>
          </w:tcPr>
          <w:p>
            <w:pPr>
              <w:spacing w:after="0"/>
              <w:rPr>
                <w:sz w:val="15"/>
                <w:szCs w:val="15"/>
                <w:color w:val="auto"/>
              </w:rPr>
            </w:pPr>
          </w:p>
        </w:tc>
        <w:tc>
          <w:tcPr>
            <w:tcW w:w="8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380" w:type="dxa"/>
            <w:vAlign w:val="bottom"/>
            <w:shd w:val="clear" w:color="auto" w:fill="CCFFCC"/>
          </w:tcPr>
          <w:p>
            <w:pPr>
              <w:spacing w:after="0"/>
              <w:rPr>
                <w:sz w:val="15"/>
                <w:szCs w:val="15"/>
                <w:color w:val="auto"/>
              </w:rPr>
            </w:pPr>
          </w:p>
        </w:tc>
        <w:tc>
          <w:tcPr>
            <w:tcW w:w="360" w:type="dxa"/>
            <w:vAlign w:val="bottom"/>
            <w:shd w:val="clear" w:color="auto" w:fill="CCFFCC"/>
          </w:tcPr>
          <w:p>
            <w:pPr>
              <w:spacing w:after="0"/>
              <w:rPr>
                <w:sz w:val="15"/>
                <w:szCs w:val="15"/>
                <w:color w:val="auto"/>
              </w:rPr>
            </w:pPr>
          </w:p>
        </w:tc>
        <w:tc>
          <w:tcPr>
            <w:tcW w:w="740" w:type="dxa"/>
            <w:vAlign w:val="bottom"/>
            <w:shd w:val="clear" w:color="auto" w:fill="CCFFCC"/>
          </w:tcPr>
          <w:p>
            <w:pPr>
              <w:spacing w:after="0"/>
              <w:rPr>
                <w:sz w:val="15"/>
                <w:szCs w:val="15"/>
                <w:color w:val="auto"/>
              </w:rPr>
            </w:pPr>
          </w:p>
        </w:tc>
        <w:tc>
          <w:tcPr>
            <w:tcW w:w="540" w:type="dxa"/>
            <w:vAlign w:val="bottom"/>
            <w:shd w:val="clear" w:color="auto" w:fill="CCFFCC"/>
          </w:tcPr>
          <w:p>
            <w:pPr>
              <w:spacing w:after="0"/>
              <w:rPr>
                <w:sz w:val="15"/>
                <w:szCs w:val="15"/>
                <w:color w:val="auto"/>
              </w:rPr>
            </w:pPr>
          </w:p>
        </w:tc>
        <w:tc>
          <w:tcPr>
            <w:tcW w:w="320" w:type="dxa"/>
            <w:vAlign w:val="bottom"/>
            <w:shd w:val="clear" w:color="auto" w:fill="CCFFCC"/>
          </w:tcPr>
          <w:p>
            <w:pPr>
              <w:spacing w:after="0"/>
              <w:rPr>
                <w:sz w:val="15"/>
                <w:szCs w:val="15"/>
                <w:color w:val="auto"/>
              </w:rPr>
            </w:pPr>
          </w:p>
        </w:tc>
        <w:tc>
          <w:tcPr>
            <w:tcW w:w="8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380" w:type="dxa"/>
            <w:vAlign w:val="bottom"/>
            <w:shd w:val="clear" w:color="auto" w:fill="CCFFCC"/>
          </w:tcPr>
          <w:p>
            <w:pPr>
              <w:spacing w:after="0"/>
              <w:rPr>
                <w:sz w:val="15"/>
                <w:szCs w:val="15"/>
                <w:color w:val="auto"/>
              </w:rPr>
            </w:pPr>
          </w:p>
        </w:tc>
        <w:tc>
          <w:tcPr>
            <w:tcW w:w="360" w:type="dxa"/>
            <w:vAlign w:val="bottom"/>
            <w:shd w:val="clear" w:color="auto" w:fill="CCFFCC"/>
          </w:tcPr>
          <w:p>
            <w:pPr>
              <w:spacing w:after="0"/>
              <w:rPr>
                <w:sz w:val="15"/>
                <w:szCs w:val="15"/>
                <w:color w:val="auto"/>
              </w:rPr>
            </w:pPr>
          </w:p>
        </w:tc>
        <w:tc>
          <w:tcPr>
            <w:tcW w:w="74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280" w:type="dxa"/>
            <w:vAlign w:val="bottom"/>
            <w:shd w:val="clear" w:color="auto" w:fill="CCFFCC"/>
          </w:tcPr>
          <w:p>
            <w:pPr>
              <w:spacing w:after="0"/>
              <w:rPr>
                <w:sz w:val="15"/>
                <w:szCs w:val="15"/>
                <w:color w:val="auto"/>
              </w:rPr>
            </w:pPr>
          </w:p>
        </w:tc>
        <w:tc>
          <w:tcPr>
            <w:tcW w:w="320" w:type="dxa"/>
            <w:vAlign w:val="bottom"/>
            <w:shd w:val="clear" w:color="auto" w:fill="CCFFCC"/>
          </w:tcPr>
          <w:p>
            <w:pPr>
              <w:spacing w:after="0"/>
              <w:rPr>
                <w:sz w:val="15"/>
                <w:szCs w:val="15"/>
                <w:color w:val="auto"/>
              </w:rPr>
            </w:pPr>
          </w:p>
        </w:tc>
        <w:tc>
          <w:tcPr>
            <w:tcW w:w="8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380" w:type="dxa"/>
            <w:vAlign w:val="bottom"/>
            <w:shd w:val="clear" w:color="auto" w:fill="CCFFCC"/>
          </w:tcPr>
          <w:p>
            <w:pPr>
              <w:spacing w:after="0"/>
              <w:rPr>
                <w:sz w:val="15"/>
                <w:szCs w:val="15"/>
                <w:color w:val="auto"/>
              </w:rPr>
            </w:pPr>
          </w:p>
        </w:tc>
        <w:tc>
          <w:tcPr>
            <w:tcW w:w="380" w:type="dxa"/>
            <w:vAlign w:val="bottom"/>
            <w:shd w:val="clear" w:color="auto" w:fill="CCFFCC"/>
          </w:tcPr>
          <w:p>
            <w:pPr>
              <w:spacing w:after="0"/>
              <w:rPr>
                <w:sz w:val="15"/>
                <w:szCs w:val="15"/>
                <w:color w:val="auto"/>
              </w:rPr>
            </w:pPr>
          </w:p>
        </w:tc>
        <w:tc>
          <w:tcPr>
            <w:tcW w:w="720" w:type="dxa"/>
            <w:vAlign w:val="bottom"/>
            <w:shd w:val="clear" w:color="auto" w:fill="CCFFCC"/>
          </w:tcPr>
          <w:p>
            <w:pPr>
              <w:spacing w:after="0"/>
              <w:rPr>
                <w:sz w:val="15"/>
                <w:szCs w:val="15"/>
                <w:color w:val="auto"/>
              </w:rPr>
            </w:pPr>
          </w:p>
        </w:tc>
        <w:tc>
          <w:tcPr>
            <w:tcW w:w="54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FFCC"/>
          </w:tcPr>
          <w:p>
            <w:pPr>
              <w:spacing w:after="0"/>
              <w:rPr>
                <w:sz w:val="20"/>
                <w:szCs w:val="20"/>
                <w:color w:val="auto"/>
              </w:rPr>
            </w:pPr>
            <w:r>
              <w:rPr>
                <w:rFonts w:ascii="Arial" w:cs="Arial" w:eastAsia="Arial" w:hAnsi="Arial"/>
                <w:sz w:val="18"/>
                <w:szCs w:val="18"/>
                <w:color w:val="auto"/>
              </w:rPr>
              <w:t>at end of</w:t>
            </w:r>
          </w:p>
        </w:tc>
        <w:tc>
          <w:tcPr>
            <w:tcW w:w="3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440" w:type="dxa"/>
            <w:vAlign w:val="bottom"/>
            <w:shd w:val="clear" w:color="auto" w:fill="CCFFCC"/>
          </w:tcPr>
          <w:p>
            <w:pPr>
              <w:spacing w:after="0"/>
              <w:rPr>
                <w:sz w:val="20"/>
                <w:szCs w:val="20"/>
                <w:color w:val="auto"/>
              </w:rPr>
            </w:pPr>
            <w:r>
              <w:rPr>
                <w:rFonts w:ascii="Arial" w:cs="Arial" w:eastAsia="Arial" w:hAnsi="Arial"/>
                <w:sz w:val="18"/>
                <w:szCs w:val="18"/>
                <w:color w:val="auto"/>
              </w:rPr>
              <w:t>year</w:t>
            </w:r>
          </w:p>
        </w:tc>
        <w:tc>
          <w:tcPr>
            <w:tcW w:w="320" w:type="dxa"/>
            <w:vAlign w:val="bottom"/>
            <w:shd w:val="clear" w:color="auto" w:fill="CCFFCC"/>
          </w:tcPr>
          <w:p>
            <w:pPr>
              <w:spacing w:after="0"/>
              <w:rPr>
                <w:sz w:val="23"/>
                <w:szCs w:val="23"/>
                <w:color w:val="auto"/>
              </w:rPr>
            </w:pPr>
          </w:p>
        </w:tc>
        <w:tc>
          <w:tcPr>
            <w:tcW w:w="9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131,050</w:t>
            </w:r>
          </w:p>
        </w:tc>
        <w:tc>
          <w:tcPr>
            <w:tcW w:w="7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FFCC"/>
          </w:tcPr>
          <w:p>
            <w:pPr>
              <w:jc w:val="right"/>
              <w:ind w:right="540"/>
              <w:spacing w:after="0"/>
              <w:rPr>
                <w:sz w:val="20"/>
                <w:szCs w:val="20"/>
                <w:color w:val="auto"/>
              </w:rPr>
            </w:pPr>
            <w:r>
              <w:rPr>
                <w:rFonts w:ascii="Arial" w:cs="Arial" w:eastAsia="Arial" w:hAnsi="Arial"/>
                <w:sz w:val="18"/>
                <w:szCs w:val="18"/>
                <w:color w:val="auto"/>
              </w:rPr>
              <w:t>15.38</w:t>
            </w:r>
          </w:p>
        </w:tc>
        <w:tc>
          <w:tcPr>
            <w:tcW w:w="320" w:type="dxa"/>
            <w:vAlign w:val="bottom"/>
            <w:shd w:val="clear" w:color="auto" w:fill="CCFFCC"/>
          </w:tcPr>
          <w:p>
            <w:pPr>
              <w:spacing w:after="0"/>
              <w:rPr>
                <w:sz w:val="23"/>
                <w:szCs w:val="23"/>
                <w:color w:val="auto"/>
              </w:rPr>
            </w:pPr>
          </w:p>
        </w:tc>
        <w:tc>
          <w:tcPr>
            <w:tcW w:w="9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121,050</w:t>
            </w:r>
          </w:p>
        </w:tc>
        <w:tc>
          <w:tcPr>
            <w:tcW w:w="74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15.43</w:t>
            </w:r>
          </w:p>
        </w:tc>
        <w:tc>
          <w:tcPr>
            <w:tcW w:w="280" w:type="dxa"/>
            <w:vAlign w:val="bottom"/>
            <w:shd w:val="clear" w:color="auto" w:fill="CCFFCC"/>
          </w:tcPr>
          <w:p>
            <w:pPr>
              <w:spacing w:after="0"/>
              <w:rPr>
                <w:sz w:val="23"/>
                <w:szCs w:val="23"/>
                <w:color w:val="auto"/>
              </w:rPr>
            </w:pPr>
          </w:p>
        </w:tc>
        <w:tc>
          <w:tcPr>
            <w:tcW w:w="320" w:type="dxa"/>
            <w:vAlign w:val="bottom"/>
            <w:shd w:val="clear" w:color="auto" w:fill="CCFFCC"/>
          </w:tcPr>
          <w:p>
            <w:pPr>
              <w:spacing w:after="0"/>
              <w:rPr>
                <w:sz w:val="23"/>
                <w:szCs w:val="23"/>
                <w:color w:val="auto"/>
              </w:rPr>
            </w:pPr>
          </w:p>
        </w:tc>
        <w:tc>
          <w:tcPr>
            <w:tcW w:w="9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111,050</w:t>
            </w:r>
          </w:p>
        </w:tc>
        <w:tc>
          <w:tcPr>
            <w:tcW w:w="760" w:type="dxa"/>
            <w:vAlign w:val="bottom"/>
            <w:gridSpan w:val="2"/>
            <w:shd w:val="clear" w:color="auto" w:fill="CCFFCC"/>
          </w:tcPr>
          <w:p>
            <w:pPr>
              <w:jc w:val="right"/>
              <w:ind w:right="2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FFCC"/>
          </w:tcPr>
          <w:p>
            <w:pPr>
              <w:jc w:val="right"/>
              <w:ind w:right="540"/>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440" w:type="dxa"/>
            <w:vAlign w:val="bottom"/>
            <w:tcBorders>
              <w:top w:val="single" w:sz="8" w:color="CCFFCC"/>
            </w:tcBorders>
          </w:tcPr>
          <w:p>
            <w:pPr>
              <w:spacing w:after="0" w:line="182" w:lineRule="exact"/>
              <w:rPr>
                <w:sz w:val="20"/>
                <w:szCs w:val="20"/>
                <w:color w:val="auto"/>
              </w:rPr>
            </w:pPr>
            <w:r>
              <w:rPr>
                <w:rFonts w:ascii="Arial" w:cs="Arial" w:eastAsia="Arial" w:hAnsi="Arial"/>
                <w:sz w:val="18"/>
                <w:szCs w:val="18"/>
                <w:color w:val="auto"/>
              </w:rPr>
              <w:t>Available</w:t>
            </w:r>
          </w:p>
        </w:tc>
        <w:tc>
          <w:tcPr>
            <w:tcW w:w="3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60" w:type="dxa"/>
            <w:vAlign w:val="bottom"/>
            <w:tcBorders>
              <w:top w:val="single" w:sz="8" w:color="CCFFCC"/>
            </w:tcBorders>
          </w:tcPr>
          <w:p>
            <w:pPr>
              <w:spacing w:after="0"/>
              <w:rPr>
                <w:sz w:val="15"/>
                <w:szCs w:val="15"/>
                <w:color w:val="auto"/>
              </w:rPr>
            </w:pPr>
          </w:p>
        </w:tc>
        <w:tc>
          <w:tcPr>
            <w:tcW w:w="380" w:type="dxa"/>
            <w:vAlign w:val="bottom"/>
            <w:tcBorders>
              <w:top w:val="single" w:sz="8" w:color="CCFFCC"/>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540" w:type="dxa"/>
            <w:vAlign w:val="bottom"/>
            <w:tcBorders>
              <w:top w:val="single" w:sz="8" w:color="CCFFC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60" w:type="dxa"/>
            <w:vAlign w:val="bottom"/>
            <w:tcBorders>
              <w:top w:val="single" w:sz="8" w:color="CCFFCC"/>
            </w:tcBorders>
          </w:tcPr>
          <w:p>
            <w:pPr>
              <w:spacing w:after="0"/>
              <w:rPr>
                <w:sz w:val="15"/>
                <w:szCs w:val="15"/>
                <w:color w:val="auto"/>
              </w:rPr>
            </w:pPr>
          </w:p>
        </w:tc>
        <w:tc>
          <w:tcPr>
            <w:tcW w:w="380" w:type="dxa"/>
            <w:vAlign w:val="bottom"/>
            <w:tcBorders>
              <w:top w:val="single" w:sz="8" w:color="CCFFCC"/>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60" w:type="dxa"/>
            <w:vAlign w:val="bottom"/>
            <w:tcBorders>
              <w:top w:val="single" w:sz="8" w:color="CCFFCC"/>
            </w:tcBorders>
          </w:tcPr>
          <w:p>
            <w:pPr>
              <w:spacing w:after="0"/>
              <w:rPr>
                <w:sz w:val="15"/>
                <w:szCs w:val="15"/>
                <w:color w:val="auto"/>
              </w:rPr>
            </w:pPr>
          </w:p>
        </w:tc>
        <w:tc>
          <w:tcPr>
            <w:tcW w:w="280" w:type="dxa"/>
            <w:vAlign w:val="bottom"/>
            <w:tcBorders>
              <w:top w:val="single" w:sz="8" w:color="CCFFC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60" w:type="dxa"/>
            <w:vAlign w:val="bottom"/>
            <w:tcBorders>
              <w:top w:val="single" w:sz="8" w:color="CCFFCC"/>
            </w:tcBorders>
          </w:tcPr>
          <w:p>
            <w:pPr>
              <w:spacing w:after="0"/>
              <w:rPr>
                <w:sz w:val="15"/>
                <w:szCs w:val="15"/>
                <w:color w:val="auto"/>
              </w:rPr>
            </w:pPr>
          </w:p>
        </w:tc>
        <w:tc>
          <w:tcPr>
            <w:tcW w:w="380" w:type="dxa"/>
            <w:vAlign w:val="bottom"/>
            <w:tcBorders>
              <w:top w:val="single" w:sz="8" w:color="CCFFCC"/>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540" w:type="dxa"/>
            <w:vAlign w:val="bottom"/>
            <w:tcBorders>
              <w:top w:val="single" w:sz="8" w:color="CCFFCC"/>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460" w:type="dxa"/>
            <w:vAlign w:val="bottom"/>
            <w:gridSpan w:val="2"/>
          </w:tcPr>
          <w:p>
            <w:pPr>
              <w:spacing w:after="0"/>
              <w:rPr>
                <w:sz w:val="20"/>
                <w:szCs w:val="20"/>
                <w:color w:val="auto"/>
              </w:rPr>
            </w:pPr>
            <w:r>
              <w:rPr>
                <w:rFonts w:ascii="Arial" w:cs="Arial" w:eastAsia="Arial" w:hAnsi="Arial"/>
                <w:sz w:val="18"/>
                <w:szCs w:val="18"/>
                <w:color w:val="auto"/>
              </w:rPr>
              <w:t>for grant at</w:t>
            </w: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460" w:type="dxa"/>
            <w:vAlign w:val="bottom"/>
            <w:gridSpan w:val="2"/>
          </w:tcPr>
          <w:p>
            <w:pPr>
              <w:spacing w:after="0"/>
              <w:rPr>
                <w:sz w:val="20"/>
                <w:szCs w:val="20"/>
                <w:color w:val="auto"/>
              </w:rPr>
            </w:pPr>
            <w:r>
              <w:rPr>
                <w:rFonts w:ascii="Arial" w:cs="Arial" w:eastAsia="Arial" w:hAnsi="Arial"/>
                <w:sz w:val="18"/>
                <w:szCs w:val="18"/>
                <w:color w:val="auto"/>
              </w:rPr>
              <w:t>end of year</w:t>
            </w: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189,500</w:t>
            </w: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40" w:type="dxa"/>
            <w:vAlign w:val="bottom"/>
            <w:shd w:val="clear" w:color="auto" w:fill="CCFFCC"/>
          </w:tcPr>
          <w:p>
            <w:pPr>
              <w:spacing w:after="0" w:line="201" w:lineRule="exact"/>
              <w:rPr>
                <w:sz w:val="20"/>
                <w:szCs w:val="20"/>
                <w:color w:val="auto"/>
              </w:rPr>
            </w:pPr>
            <w:r>
              <w:rPr>
                <w:rFonts w:ascii="Arial" w:cs="Arial" w:eastAsia="Arial" w:hAnsi="Arial"/>
                <w:sz w:val="18"/>
                <w:szCs w:val="18"/>
                <w:color w:val="auto"/>
              </w:rPr>
              <w:t>Weighted</w:t>
            </w:r>
          </w:p>
        </w:tc>
        <w:tc>
          <w:tcPr>
            <w:tcW w:w="32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380" w:type="dxa"/>
            <w:vAlign w:val="bottom"/>
            <w:shd w:val="clear" w:color="auto" w:fill="CCFFCC"/>
          </w:tcPr>
          <w:p>
            <w:pPr>
              <w:spacing w:after="0"/>
              <w:rPr>
                <w:sz w:val="17"/>
                <w:szCs w:val="17"/>
                <w:color w:val="auto"/>
              </w:rPr>
            </w:pPr>
          </w:p>
        </w:tc>
        <w:tc>
          <w:tcPr>
            <w:tcW w:w="36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54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380" w:type="dxa"/>
            <w:vAlign w:val="bottom"/>
            <w:shd w:val="clear" w:color="auto" w:fill="CCFFCC"/>
          </w:tcPr>
          <w:p>
            <w:pPr>
              <w:spacing w:after="0"/>
              <w:rPr>
                <w:sz w:val="17"/>
                <w:szCs w:val="17"/>
                <w:color w:val="auto"/>
              </w:rPr>
            </w:pPr>
          </w:p>
        </w:tc>
        <w:tc>
          <w:tcPr>
            <w:tcW w:w="36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380" w:type="dxa"/>
            <w:vAlign w:val="bottom"/>
            <w:shd w:val="clear" w:color="auto" w:fill="CCFFCC"/>
          </w:tcPr>
          <w:p>
            <w:pPr>
              <w:spacing w:after="0"/>
              <w:rPr>
                <w:sz w:val="17"/>
                <w:szCs w:val="17"/>
                <w:color w:val="auto"/>
              </w:rPr>
            </w:pPr>
          </w:p>
        </w:tc>
        <w:tc>
          <w:tcPr>
            <w:tcW w:w="38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5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FFCC"/>
          </w:tcPr>
          <w:p>
            <w:pPr>
              <w:spacing w:after="0"/>
              <w:rPr>
                <w:sz w:val="20"/>
                <w:szCs w:val="20"/>
                <w:color w:val="auto"/>
              </w:rPr>
            </w:pPr>
            <w:r>
              <w:rPr>
                <w:rFonts w:ascii="Arial" w:cs="Arial" w:eastAsia="Arial" w:hAnsi="Arial"/>
                <w:sz w:val="18"/>
                <w:szCs w:val="18"/>
                <w:color w:val="auto"/>
              </w:rPr>
              <w:t>average fair</w:t>
            </w:r>
          </w:p>
        </w:tc>
        <w:tc>
          <w:tcPr>
            <w:tcW w:w="3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shd w:val="clear" w:color="auto" w:fill="CCFFCC"/>
          </w:tcPr>
          <w:p>
            <w:pPr>
              <w:spacing w:after="0"/>
              <w:rPr>
                <w:sz w:val="20"/>
                <w:szCs w:val="20"/>
                <w:color w:val="auto"/>
              </w:rPr>
            </w:pPr>
            <w:r>
              <w:rPr>
                <w:rFonts w:ascii="Arial" w:cs="Arial" w:eastAsia="Arial" w:hAnsi="Arial"/>
                <w:sz w:val="18"/>
                <w:szCs w:val="18"/>
                <w:color w:val="auto"/>
              </w:rPr>
              <w:t>value</w:t>
            </w:r>
          </w:p>
        </w:tc>
        <w:tc>
          <w:tcPr>
            <w:tcW w:w="320" w:type="dxa"/>
            <w:vAlign w:val="bottom"/>
            <w:shd w:val="clear" w:color="auto" w:fill="CCFFCC"/>
          </w:tcPr>
          <w:p>
            <w:pPr>
              <w:spacing w:after="0"/>
              <w:rPr>
                <w:sz w:val="20"/>
                <w:szCs w:val="20"/>
                <w:color w:val="auto"/>
              </w:rPr>
            </w:pPr>
          </w:p>
        </w:tc>
        <w:tc>
          <w:tcPr>
            <w:tcW w:w="8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380" w:type="dxa"/>
            <w:vAlign w:val="bottom"/>
            <w:shd w:val="clear" w:color="auto" w:fill="CCFFCC"/>
          </w:tcPr>
          <w:p>
            <w:pPr>
              <w:spacing w:after="0"/>
              <w:rPr>
                <w:sz w:val="20"/>
                <w:szCs w:val="20"/>
                <w:color w:val="auto"/>
              </w:rPr>
            </w:pPr>
          </w:p>
        </w:tc>
        <w:tc>
          <w:tcPr>
            <w:tcW w:w="360" w:type="dxa"/>
            <w:vAlign w:val="bottom"/>
            <w:shd w:val="clear" w:color="auto" w:fill="CCFFCC"/>
          </w:tcPr>
          <w:p>
            <w:pPr>
              <w:spacing w:after="0"/>
              <w:rPr>
                <w:sz w:val="20"/>
                <w:szCs w:val="20"/>
                <w:color w:val="auto"/>
              </w:rPr>
            </w:pPr>
          </w:p>
        </w:tc>
        <w:tc>
          <w:tcPr>
            <w:tcW w:w="740" w:type="dxa"/>
            <w:vAlign w:val="bottom"/>
            <w:shd w:val="clear" w:color="auto" w:fill="CCFFCC"/>
          </w:tcPr>
          <w:p>
            <w:pPr>
              <w:spacing w:after="0"/>
              <w:rPr>
                <w:sz w:val="20"/>
                <w:szCs w:val="20"/>
                <w:color w:val="auto"/>
              </w:rPr>
            </w:pPr>
          </w:p>
        </w:tc>
        <w:tc>
          <w:tcPr>
            <w:tcW w:w="540" w:type="dxa"/>
            <w:vAlign w:val="bottom"/>
            <w:shd w:val="clear" w:color="auto" w:fill="CCFFCC"/>
          </w:tcPr>
          <w:p>
            <w:pPr>
              <w:spacing w:after="0"/>
              <w:rPr>
                <w:sz w:val="20"/>
                <w:szCs w:val="20"/>
                <w:color w:val="auto"/>
              </w:rPr>
            </w:pPr>
          </w:p>
        </w:tc>
        <w:tc>
          <w:tcPr>
            <w:tcW w:w="320" w:type="dxa"/>
            <w:vAlign w:val="bottom"/>
            <w:shd w:val="clear" w:color="auto" w:fill="CCFFCC"/>
          </w:tcPr>
          <w:p>
            <w:pPr>
              <w:spacing w:after="0"/>
              <w:rPr>
                <w:sz w:val="20"/>
                <w:szCs w:val="20"/>
                <w:color w:val="auto"/>
              </w:rPr>
            </w:pPr>
          </w:p>
        </w:tc>
        <w:tc>
          <w:tcPr>
            <w:tcW w:w="8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380" w:type="dxa"/>
            <w:vAlign w:val="bottom"/>
            <w:shd w:val="clear" w:color="auto" w:fill="CCFFCC"/>
          </w:tcPr>
          <w:p>
            <w:pPr>
              <w:spacing w:after="0"/>
              <w:rPr>
                <w:sz w:val="20"/>
                <w:szCs w:val="20"/>
                <w:color w:val="auto"/>
              </w:rPr>
            </w:pPr>
          </w:p>
        </w:tc>
        <w:tc>
          <w:tcPr>
            <w:tcW w:w="360" w:type="dxa"/>
            <w:vAlign w:val="bottom"/>
            <w:shd w:val="clear" w:color="auto" w:fill="CCFFCC"/>
          </w:tcPr>
          <w:p>
            <w:pPr>
              <w:spacing w:after="0"/>
              <w:rPr>
                <w:sz w:val="20"/>
                <w:szCs w:val="20"/>
                <w:color w:val="auto"/>
              </w:rPr>
            </w:pPr>
          </w:p>
        </w:tc>
        <w:tc>
          <w:tcPr>
            <w:tcW w:w="74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320" w:type="dxa"/>
            <w:vAlign w:val="bottom"/>
            <w:shd w:val="clear" w:color="auto" w:fill="CCFFCC"/>
          </w:tcPr>
          <w:p>
            <w:pPr>
              <w:spacing w:after="0"/>
              <w:rPr>
                <w:sz w:val="20"/>
                <w:szCs w:val="20"/>
                <w:color w:val="auto"/>
              </w:rPr>
            </w:pPr>
          </w:p>
        </w:tc>
        <w:tc>
          <w:tcPr>
            <w:tcW w:w="820" w:type="dxa"/>
            <w:vAlign w:val="bottom"/>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380" w:type="dxa"/>
            <w:vAlign w:val="bottom"/>
            <w:shd w:val="clear" w:color="auto" w:fill="CCFFCC"/>
          </w:tcPr>
          <w:p>
            <w:pPr>
              <w:spacing w:after="0"/>
              <w:rPr>
                <w:sz w:val="20"/>
                <w:szCs w:val="20"/>
                <w:color w:val="auto"/>
              </w:rPr>
            </w:pPr>
          </w:p>
        </w:tc>
        <w:tc>
          <w:tcPr>
            <w:tcW w:w="380" w:type="dxa"/>
            <w:vAlign w:val="bottom"/>
            <w:shd w:val="clear" w:color="auto" w:fill="CCFFCC"/>
          </w:tcPr>
          <w:p>
            <w:pPr>
              <w:spacing w:after="0"/>
              <w:rPr>
                <w:sz w:val="20"/>
                <w:szCs w:val="20"/>
                <w:color w:val="auto"/>
              </w:rPr>
            </w:pPr>
          </w:p>
        </w:tc>
        <w:tc>
          <w:tcPr>
            <w:tcW w:w="720" w:type="dxa"/>
            <w:vAlign w:val="bottom"/>
            <w:shd w:val="clear" w:color="auto" w:fill="CCFFCC"/>
          </w:tcPr>
          <w:p>
            <w:pPr>
              <w:spacing w:after="0"/>
              <w:rPr>
                <w:sz w:val="20"/>
                <w:szCs w:val="20"/>
                <w:color w:val="auto"/>
              </w:rPr>
            </w:pPr>
          </w:p>
        </w:tc>
        <w:tc>
          <w:tcPr>
            <w:tcW w:w="54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40" w:type="dxa"/>
            <w:vAlign w:val="bottom"/>
            <w:shd w:val="clear" w:color="auto" w:fill="CCFFCC"/>
          </w:tcPr>
          <w:p>
            <w:pPr>
              <w:ind w:left="160"/>
              <w:spacing w:after="0" w:line="201" w:lineRule="exact"/>
              <w:rPr>
                <w:sz w:val="20"/>
                <w:szCs w:val="20"/>
                <w:color w:val="auto"/>
              </w:rPr>
            </w:pPr>
            <w:r>
              <w:rPr>
                <w:rFonts w:ascii="Arial" w:cs="Arial" w:eastAsia="Arial" w:hAnsi="Arial"/>
                <w:sz w:val="18"/>
                <w:szCs w:val="18"/>
                <w:color w:val="auto"/>
              </w:rPr>
              <w:t>of options</w:t>
            </w:r>
          </w:p>
        </w:tc>
        <w:tc>
          <w:tcPr>
            <w:tcW w:w="32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380" w:type="dxa"/>
            <w:vAlign w:val="bottom"/>
            <w:shd w:val="clear" w:color="auto" w:fill="CCFFCC"/>
          </w:tcPr>
          <w:p>
            <w:pPr>
              <w:spacing w:after="0"/>
              <w:rPr>
                <w:sz w:val="17"/>
                <w:szCs w:val="17"/>
                <w:color w:val="auto"/>
              </w:rPr>
            </w:pPr>
          </w:p>
        </w:tc>
        <w:tc>
          <w:tcPr>
            <w:tcW w:w="36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54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380" w:type="dxa"/>
            <w:vAlign w:val="bottom"/>
            <w:shd w:val="clear" w:color="auto" w:fill="CCFFCC"/>
          </w:tcPr>
          <w:p>
            <w:pPr>
              <w:spacing w:after="0"/>
              <w:rPr>
                <w:sz w:val="17"/>
                <w:szCs w:val="17"/>
                <w:color w:val="auto"/>
              </w:rPr>
            </w:pPr>
          </w:p>
        </w:tc>
        <w:tc>
          <w:tcPr>
            <w:tcW w:w="360" w:type="dxa"/>
            <w:vAlign w:val="bottom"/>
            <w:shd w:val="clear" w:color="auto" w:fill="CCFFCC"/>
          </w:tcPr>
          <w:p>
            <w:pPr>
              <w:spacing w:after="0"/>
              <w:rPr>
                <w:sz w:val="17"/>
                <w:szCs w:val="17"/>
                <w:color w:val="auto"/>
              </w:rPr>
            </w:pPr>
          </w:p>
        </w:tc>
        <w:tc>
          <w:tcPr>
            <w:tcW w:w="740" w:type="dxa"/>
            <w:vAlign w:val="bottom"/>
            <w:shd w:val="clear" w:color="auto" w:fill="CCFFCC"/>
          </w:tcPr>
          <w:p>
            <w:pPr>
              <w:spacing w:after="0"/>
              <w:rPr>
                <w:sz w:val="17"/>
                <w:szCs w:val="17"/>
                <w:color w:val="auto"/>
              </w:rPr>
            </w:pPr>
          </w:p>
        </w:tc>
        <w:tc>
          <w:tcPr>
            <w:tcW w:w="260" w:type="dxa"/>
            <w:vAlign w:val="bottom"/>
            <w:shd w:val="clear" w:color="auto" w:fill="CCFFCC"/>
          </w:tcPr>
          <w:p>
            <w:pPr>
              <w:spacing w:after="0"/>
              <w:rPr>
                <w:sz w:val="17"/>
                <w:szCs w:val="17"/>
                <w:color w:val="auto"/>
              </w:rPr>
            </w:pPr>
          </w:p>
        </w:tc>
        <w:tc>
          <w:tcPr>
            <w:tcW w:w="28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82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380" w:type="dxa"/>
            <w:vAlign w:val="bottom"/>
            <w:shd w:val="clear" w:color="auto" w:fill="CCFFCC"/>
          </w:tcPr>
          <w:p>
            <w:pPr>
              <w:spacing w:after="0"/>
              <w:rPr>
                <w:sz w:val="17"/>
                <w:szCs w:val="17"/>
                <w:color w:val="auto"/>
              </w:rPr>
            </w:pPr>
          </w:p>
        </w:tc>
        <w:tc>
          <w:tcPr>
            <w:tcW w:w="380" w:type="dxa"/>
            <w:vAlign w:val="bottom"/>
            <w:shd w:val="clear" w:color="auto" w:fill="CCFFCC"/>
          </w:tcPr>
          <w:p>
            <w:pPr>
              <w:spacing w:after="0"/>
              <w:rPr>
                <w:sz w:val="17"/>
                <w:szCs w:val="17"/>
                <w:color w:val="auto"/>
              </w:rPr>
            </w:pPr>
          </w:p>
        </w:tc>
        <w:tc>
          <w:tcPr>
            <w:tcW w:w="720" w:type="dxa"/>
            <w:vAlign w:val="bottom"/>
            <w:shd w:val="clear" w:color="auto" w:fill="CCFFCC"/>
          </w:tcPr>
          <w:p>
            <w:pPr>
              <w:spacing w:after="0"/>
              <w:rPr>
                <w:sz w:val="17"/>
                <w:szCs w:val="17"/>
                <w:color w:val="auto"/>
              </w:rPr>
            </w:pPr>
          </w:p>
        </w:tc>
        <w:tc>
          <w:tcPr>
            <w:tcW w:w="54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granted</w:t>
            </w:r>
          </w:p>
        </w:tc>
        <w:tc>
          <w:tcPr>
            <w:tcW w:w="3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during the</w:t>
            </w:r>
          </w:p>
        </w:tc>
        <w:tc>
          <w:tcPr>
            <w:tcW w:w="3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360" w:type="dxa"/>
            <w:vAlign w:val="bottom"/>
            <w:shd w:val="clear" w:color="auto" w:fill="CCFFCC"/>
          </w:tcPr>
          <w:p>
            <w:pPr>
              <w:spacing w:after="0"/>
              <w:rPr>
                <w:sz w:val="18"/>
                <w:szCs w:val="18"/>
                <w:color w:val="auto"/>
              </w:rPr>
            </w:pPr>
          </w:p>
        </w:tc>
        <w:tc>
          <w:tcPr>
            <w:tcW w:w="74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320" w:type="dxa"/>
            <w:vAlign w:val="bottom"/>
            <w:shd w:val="clear" w:color="auto" w:fill="CCFFCC"/>
          </w:tcPr>
          <w:p>
            <w:pPr>
              <w:spacing w:after="0"/>
              <w:rPr>
                <w:sz w:val="18"/>
                <w:szCs w:val="18"/>
                <w:color w:val="auto"/>
              </w:rPr>
            </w:pPr>
          </w:p>
        </w:tc>
        <w:tc>
          <w:tcPr>
            <w:tcW w:w="8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38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54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40" w:type="dxa"/>
            <w:vAlign w:val="bottom"/>
            <w:shd w:val="clear" w:color="auto" w:fill="CCFFCC"/>
          </w:tcPr>
          <w:p>
            <w:pPr>
              <w:ind w:left="160"/>
              <w:spacing w:after="0"/>
              <w:rPr>
                <w:sz w:val="20"/>
                <w:szCs w:val="20"/>
                <w:color w:val="auto"/>
              </w:rPr>
            </w:pPr>
            <w:r>
              <w:rPr>
                <w:rFonts w:ascii="Arial" w:cs="Arial" w:eastAsia="Arial" w:hAnsi="Arial"/>
                <w:sz w:val="18"/>
                <w:szCs w:val="18"/>
                <w:color w:val="auto"/>
              </w:rPr>
              <w:t>year</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740" w:type="dxa"/>
            <w:vAlign w:val="bottom"/>
            <w:shd w:val="clear" w:color="auto" w:fill="CCFFCC"/>
          </w:tcPr>
          <w:p>
            <w:pPr>
              <w:spacing w:after="0"/>
              <w:rPr>
                <w:sz w:val="21"/>
                <w:szCs w:val="21"/>
                <w:color w:val="auto"/>
              </w:rPr>
            </w:pPr>
          </w:p>
        </w:tc>
        <w:tc>
          <w:tcPr>
            <w:tcW w:w="540" w:type="dxa"/>
            <w:vAlign w:val="bottom"/>
            <w:shd w:val="clear" w:color="auto" w:fill="CCFFCC"/>
          </w:tcPr>
          <w:p>
            <w:pPr>
              <w:spacing w:after="0"/>
              <w:rPr>
                <w:sz w:val="21"/>
                <w:szCs w:val="21"/>
                <w:color w:val="auto"/>
              </w:rPr>
            </w:pP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74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6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7.81</w:t>
            </w:r>
          </w:p>
        </w:tc>
        <w:tc>
          <w:tcPr>
            <w:tcW w:w="380" w:type="dxa"/>
            <w:vAlign w:val="bottom"/>
            <w:shd w:val="clear" w:color="auto" w:fill="CCFFCC"/>
          </w:tcPr>
          <w:p>
            <w:pPr>
              <w:spacing w:after="0"/>
              <w:rPr>
                <w:sz w:val="21"/>
                <w:szCs w:val="21"/>
                <w:color w:val="auto"/>
              </w:rPr>
            </w:pPr>
          </w:p>
        </w:tc>
        <w:tc>
          <w:tcPr>
            <w:tcW w:w="380" w:type="dxa"/>
            <w:vAlign w:val="bottom"/>
            <w:shd w:val="clear" w:color="auto" w:fill="CCFFCC"/>
          </w:tcPr>
          <w:p>
            <w:pPr>
              <w:spacing w:after="0"/>
              <w:rPr>
                <w:sz w:val="21"/>
                <w:szCs w:val="21"/>
                <w:color w:val="auto"/>
              </w:rPr>
            </w:pPr>
          </w:p>
        </w:tc>
        <w:tc>
          <w:tcPr>
            <w:tcW w:w="720" w:type="dxa"/>
            <w:vAlign w:val="bottom"/>
            <w:shd w:val="clear" w:color="auto" w:fill="CCFFCC"/>
          </w:tcPr>
          <w:p>
            <w:pPr>
              <w:spacing w:after="0"/>
              <w:rPr>
                <w:sz w:val="21"/>
                <w:szCs w:val="21"/>
                <w:color w:val="auto"/>
              </w:rPr>
            </w:pPr>
          </w:p>
        </w:tc>
        <w:tc>
          <w:tcPr>
            <w:tcW w:w="54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740" w:type="dxa"/>
            <w:vAlign w:val="bottom"/>
            <w:tcBorders>
              <w:top w:val="single" w:sz="8" w:color="CCFFCC"/>
            </w:tcBorders>
            <w:shd w:val="clear" w:color="auto" w:fill="CCFFCC"/>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CCFFCC"/>
            </w:tcBorders>
            <w:shd w:val="clear" w:color="auto" w:fill="CCFFCC"/>
          </w:tcPr>
          <w:p>
            <w:pPr>
              <w:spacing w:after="0" w:line="20" w:lineRule="exact"/>
              <w:rPr>
                <w:sz w:val="1"/>
                <w:szCs w:val="1"/>
                <w:color w:val="auto"/>
              </w:rPr>
            </w:pPr>
          </w:p>
        </w:tc>
        <w:tc>
          <w:tcPr>
            <w:tcW w:w="54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Plans</w:t>
      </w:r>
      <w:r>
        <w:rPr>
          <w:rFonts w:ascii="Arial" w:cs="Arial" w:eastAsia="Arial" w:hAnsi="Arial"/>
          <w:sz w:val="18"/>
          <w:szCs w:val="18"/>
          <w:color w:val="auto"/>
        </w:rPr>
        <w:t>:</w:t>
      </w:r>
    </w:p>
    <w:p>
      <w:pPr>
        <w:spacing w:after="0" w:line="283"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The Company has various stock plans for key management employees, including officers and directors who are employees. The plans are Nonqualified Stock Option (“NQSO”) plans, Incentive Stock Option ("ISO”) plans and Stock Appreciation Rights (“SARS”). Under these plans, options or SARS are granted at the discretion of the Stock Option committee at an exercise price not less than the fair market value of the Company's common stock on the date of grant. Under one NQSO plan the options were exercisable one year after the date of grant. Under the remaining plans the options and SARS are exercisable over a four-year period beginning one year after the date of grant. The options and SARS expire ten years after the date of grant and are subject to certain restrictions on transferability of the shares obtained on exercise. As of April 30, 2007, eligible employees had been granted options to purchase 1,182,500 shares of Company stock under ISO plans of which approximately 389,000 options are outstanding and approximately 303,000 are exercisable. Through April 30, 2007, eligible employees have been granted options to acquire 1,090,000 shares of Company stock under NQSO plans. Of the NQSO options, approximately 704,000 are both outstanding and exercisable (see tables below). As of April 30, 2007, eligible employees have been granted SARS based on approximately 172,000 shares of Company stock, of which all are outstanding but none are exercisable. When the SARS become exercisable, the Company will settle the SARS by issuing to exercising recipients the number of shares of stock equal to the appreciated value of the Company’s stock between the grant date and exercise date. At the time of exercise, the quantity of shares under the SARS grant equal to the exercise value divided by the then market value of the shares will be returned to the pool of available shares for future grant under the Company’s stock plan.</w:t>
      </w:r>
    </w:p>
    <w:p>
      <w:pPr>
        <w:spacing w:after="0" w:line="22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excess of the consideration received over the par value of the common stock or cost of treasury stock issued under both types of option plans has been recognized as an increase in additional paid-in capital. In fiscal years 2006 and 2005, no charges are made to income with respect to the ISO or NQSO plans.</w:t>
      </w:r>
    </w:p>
    <w:p>
      <w:pPr>
        <w:spacing w:after="0" w:line="23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Transactions under these plans, including the weighted average exercise prices of the options, are as follows: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2007</w:t>
            </w:r>
          </w:p>
        </w:tc>
        <w:tc>
          <w:tcPr>
            <w:tcW w:w="9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2006</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color w:val="auto"/>
              </w:rPr>
              <w:t>2005</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3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Wtd Avg</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Wtd Avg</w:t>
            </w: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Wtd Avg</w:t>
            </w:r>
          </w:p>
        </w:tc>
      </w:tr>
      <w:tr>
        <w:trPr>
          <w:trHeight w:val="270"/>
        </w:trPr>
        <w:tc>
          <w:tcPr>
            <w:tcW w:w="390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7"/>
              </w:rPr>
              <w:t>Price</w:t>
            </w: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7"/>
              </w:rPr>
              <w:t>Price</w:t>
            </w:r>
          </w:p>
        </w:tc>
        <w:tc>
          <w:tcPr>
            <w:tcW w:w="12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Shares</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Price</w:t>
            </w:r>
          </w:p>
        </w:tc>
        <w:tc>
          <w:tcPr>
            <w:tcW w:w="100" w:type="dxa"/>
            <w:vAlign w:val="bottom"/>
          </w:tcPr>
          <w:p>
            <w:pPr>
              <w:spacing w:after="0"/>
              <w:rPr>
                <w:sz w:val="23"/>
                <w:szCs w:val="23"/>
                <w:color w:val="auto"/>
              </w:rPr>
            </w:pPr>
          </w:p>
        </w:tc>
      </w:tr>
      <w:tr>
        <w:trPr>
          <w:trHeight w:val="237"/>
        </w:trPr>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Outstanding at beginning of year</w:t>
            </w:r>
          </w:p>
        </w:tc>
        <w:tc>
          <w:tcPr>
            <w:tcW w:w="220" w:type="dxa"/>
            <w:vAlign w:val="bottom"/>
            <w:shd w:val="clear" w:color="auto" w:fill="CCFFCC"/>
          </w:tcPr>
          <w:p>
            <w:pPr>
              <w:spacing w:after="0"/>
              <w:rPr>
                <w:sz w:val="20"/>
                <w:szCs w:val="20"/>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1,133,387</w:t>
            </w:r>
          </w:p>
        </w:tc>
        <w:tc>
          <w:tcPr>
            <w:tcW w:w="120" w:type="dxa"/>
            <w:vAlign w:val="bottom"/>
            <w:shd w:val="clear" w:color="auto" w:fill="CCFFCC"/>
          </w:tcPr>
          <w:p>
            <w:pPr>
              <w:spacing w:after="0"/>
              <w:rPr>
                <w:sz w:val="20"/>
                <w:szCs w:val="20"/>
                <w:color w:val="auto"/>
              </w:rPr>
            </w:pP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11.32</w:t>
            </w:r>
          </w:p>
        </w:tc>
        <w:tc>
          <w:tcPr>
            <w:tcW w:w="6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1,109,987</w:t>
            </w:r>
          </w:p>
        </w:tc>
        <w:tc>
          <w:tcPr>
            <w:tcW w:w="120" w:type="dxa"/>
            <w:vAlign w:val="bottom"/>
            <w:shd w:val="clear" w:color="auto" w:fill="CCFFCC"/>
          </w:tcPr>
          <w:p>
            <w:pPr>
              <w:spacing w:after="0"/>
              <w:rPr>
                <w:sz w:val="20"/>
                <w:szCs w:val="20"/>
                <w:color w:val="auto"/>
              </w:rPr>
            </w:pP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11.26</w:t>
            </w:r>
          </w:p>
        </w:tc>
        <w:tc>
          <w:tcPr>
            <w:tcW w:w="200" w:type="dxa"/>
            <w:vAlign w:val="bottom"/>
            <w:shd w:val="clear" w:color="auto" w:fill="CCFFCC"/>
          </w:tcPr>
          <w:p>
            <w:pPr>
              <w:spacing w:after="0"/>
              <w:rPr>
                <w:sz w:val="20"/>
                <w:szCs w:val="20"/>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1,081,437</w:t>
            </w:r>
          </w:p>
        </w:tc>
        <w:tc>
          <w:tcPr>
            <w:tcW w:w="100" w:type="dxa"/>
            <w:vAlign w:val="bottom"/>
            <w:shd w:val="clear" w:color="auto" w:fill="CCFFCC"/>
          </w:tcPr>
          <w:p>
            <w:pPr>
              <w:spacing w:after="0"/>
              <w:rPr>
                <w:sz w:val="20"/>
                <w:szCs w:val="20"/>
                <w:color w:val="auto"/>
              </w:rPr>
            </w:pPr>
          </w:p>
        </w:tc>
        <w:tc>
          <w:tcPr>
            <w:tcW w:w="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11.00</w:t>
            </w: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Granted</w:t>
            </w: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172,500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11.93</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39,000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11.32</w:t>
            </w:r>
          </w:p>
        </w:tc>
        <w:tc>
          <w:tcPr>
            <w:tcW w:w="20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59,500</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14.40</w:t>
            </w:r>
          </w:p>
        </w:tc>
      </w:tr>
      <w:tr>
        <w:trPr>
          <w:trHeight w:val="243"/>
        </w:trPr>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Exercised</w:t>
            </w:r>
          </w:p>
        </w:tc>
        <w:tc>
          <w:tcPr>
            <w:tcW w:w="22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(40,300)</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7.28</w:t>
            </w:r>
          </w:p>
        </w:tc>
        <w:tc>
          <w:tcPr>
            <w:tcW w:w="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(19,725)</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7.27</w:t>
            </w:r>
          </w:p>
        </w:tc>
        <w:tc>
          <w:tcPr>
            <w:tcW w:w="200" w:type="dxa"/>
            <w:vAlign w:val="bottom"/>
            <w:shd w:val="clear" w:color="auto" w:fill="CCFFCC"/>
          </w:tcPr>
          <w:p>
            <w:pPr>
              <w:spacing w:after="0"/>
              <w:rPr>
                <w:sz w:val="21"/>
                <w:szCs w:val="21"/>
                <w:color w:val="auto"/>
              </w:rPr>
            </w:pPr>
          </w:p>
        </w:tc>
        <w:tc>
          <w:tcPr>
            <w:tcW w:w="102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(24,950)</w:t>
            </w:r>
          </w:p>
        </w:tc>
        <w:tc>
          <w:tcPr>
            <w:tcW w:w="2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7.06</w:t>
            </w:r>
          </w:p>
        </w:tc>
      </w:tr>
      <w:tr>
        <w:trPr>
          <w:trHeight w:val="270"/>
        </w:trPr>
        <w:tc>
          <w:tcPr>
            <w:tcW w:w="3900" w:type="dxa"/>
            <w:vAlign w:val="bottom"/>
          </w:tcPr>
          <w:p>
            <w:pPr>
              <w:spacing w:after="0"/>
              <w:rPr>
                <w:sz w:val="20"/>
                <w:szCs w:val="20"/>
                <w:color w:val="auto"/>
              </w:rPr>
            </w:pPr>
            <w:r>
              <w:rPr>
                <w:rFonts w:ascii="Arial" w:cs="Arial" w:eastAsia="Arial" w:hAnsi="Arial"/>
                <w:sz w:val="18"/>
                <w:szCs w:val="18"/>
                <w:color w:val="auto"/>
              </w:rPr>
              <w:t>Expired or canceled</w:t>
            </w:r>
          </w:p>
        </w:tc>
        <w:tc>
          <w:tcPr>
            <w:tcW w:w="2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220" w:type="dxa"/>
            <w:vAlign w:val="bottom"/>
            <w:gridSpan w:val="4"/>
          </w:tcPr>
          <w:p>
            <w:pPr>
              <w:jc w:val="right"/>
              <w:ind w:right="100"/>
              <w:spacing w:after="0"/>
              <w:rPr>
                <w:sz w:val="20"/>
                <w:szCs w:val="20"/>
                <w:color w:val="auto"/>
              </w:rPr>
            </w:pPr>
            <w:r>
              <w:rPr>
                <w:rFonts w:ascii="Arial" w:cs="Arial" w:eastAsia="Arial" w:hAnsi="Arial"/>
                <w:sz w:val="18"/>
                <w:szCs w:val="18"/>
                <w:color w:val="auto"/>
              </w:rPr>
              <w:t>(6,000) $</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8.80</w:t>
            </w:r>
          </w:p>
        </w:tc>
      </w:tr>
      <w:tr>
        <w:trPr>
          <w:trHeight w:val="277"/>
        </w:trPr>
        <w:tc>
          <w:tcPr>
            <w:tcW w:w="390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Outstanding at end of year</w:t>
            </w:r>
          </w:p>
        </w:tc>
        <w:tc>
          <w:tcPr>
            <w:tcW w:w="220" w:type="dxa"/>
            <w:vAlign w:val="bottom"/>
            <w:tcBorders>
              <w:top w:val="single" w:sz="8" w:color="auto"/>
              <w:bottom w:val="single" w:sz="8" w:color="auto"/>
            </w:tcBorders>
            <w:shd w:val="clear" w:color="auto" w:fill="CCFFCC"/>
          </w:tcPr>
          <w:p>
            <w:pPr>
              <w:spacing w:after="0"/>
              <w:rPr>
                <w:sz w:val="24"/>
                <w:szCs w:val="24"/>
                <w:color w:val="auto"/>
              </w:rPr>
            </w:pPr>
          </w:p>
        </w:tc>
        <w:tc>
          <w:tcPr>
            <w:tcW w:w="9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1,265,587</w:t>
            </w:r>
          </w:p>
        </w:tc>
        <w:tc>
          <w:tcPr>
            <w:tcW w:w="120" w:type="dxa"/>
            <w:vAlign w:val="bottom"/>
            <w:tcBorders>
              <w:bottom w:val="single" w:sz="8" w:color="CCFFCC"/>
            </w:tcBorders>
            <w:shd w:val="clear" w:color="auto" w:fill="CCFFCC"/>
          </w:tcPr>
          <w:p>
            <w:pPr>
              <w:spacing w:after="0"/>
              <w:rPr>
                <w:sz w:val="24"/>
                <w:szCs w:val="24"/>
                <w:color w:val="auto"/>
              </w:rPr>
            </w:pPr>
          </w:p>
        </w:tc>
        <w:tc>
          <w:tcPr>
            <w:tcW w:w="1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FFCC"/>
            </w:tcBorders>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11.53</w:t>
            </w:r>
          </w:p>
        </w:tc>
        <w:tc>
          <w:tcPr>
            <w:tcW w:w="60" w:type="dxa"/>
            <w:vAlign w:val="bottom"/>
            <w:tcBorders>
              <w:bottom w:val="single" w:sz="8" w:color="CCFFCC"/>
            </w:tcBorders>
            <w:shd w:val="clear" w:color="auto" w:fill="CCFFCC"/>
          </w:tcPr>
          <w:p>
            <w:pPr>
              <w:spacing w:after="0"/>
              <w:rPr>
                <w:sz w:val="24"/>
                <w:szCs w:val="24"/>
                <w:color w:val="auto"/>
              </w:rPr>
            </w:pPr>
          </w:p>
        </w:tc>
        <w:tc>
          <w:tcPr>
            <w:tcW w:w="200" w:type="dxa"/>
            <w:vAlign w:val="bottom"/>
            <w:tcBorders>
              <w:top w:val="single" w:sz="8" w:color="auto"/>
              <w:bottom w:val="single" w:sz="8" w:color="auto"/>
            </w:tcBorders>
            <w:shd w:val="clear" w:color="auto" w:fill="CCFFCC"/>
          </w:tcPr>
          <w:p>
            <w:pPr>
              <w:spacing w:after="0"/>
              <w:rPr>
                <w:sz w:val="24"/>
                <w:szCs w:val="24"/>
                <w:color w:val="auto"/>
              </w:rPr>
            </w:pP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1,133,387</w:t>
            </w:r>
          </w:p>
        </w:tc>
        <w:tc>
          <w:tcPr>
            <w:tcW w:w="120" w:type="dxa"/>
            <w:vAlign w:val="bottom"/>
            <w:tcBorders>
              <w:bottom w:val="single" w:sz="8" w:color="CCFFCC"/>
            </w:tcBorders>
            <w:shd w:val="clear" w:color="auto" w:fill="CCFFCC"/>
          </w:tcPr>
          <w:p>
            <w:pPr>
              <w:spacing w:after="0"/>
              <w:rPr>
                <w:sz w:val="24"/>
                <w:szCs w:val="24"/>
                <w:color w:val="auto"/>
              </w:rPr>
            </w:pPr>
          </w:p>
        </w:tc>
        <w:tc>
          <w:tcPr>
            <w:tcW w:w="180" w:type="dxa"/>
            <w:vAlign w:val="bottom"/>
            <w:tcBorders>
              <w:bottom w:val="single" w:sz="8" w:color="CCFFCC"/>
            </w:tcBorders>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11.32</w:t>
            </w:r>
          </w:p>
        </w:tc>
        <w:tc>
          <w:tcPr>
            <w:tcW w:w="200" w:type="dxa"/>
            <w:vAlign w:val="bottom"/>
            <w:tcBorders>
              <w:top w:val="single" w:sz="8" w:color="auto"/>
              <w:bottom w:val="single" w:sz="8" w:color="auto"/>
            </w:tcBorders>
            <w:shd w:val="clear" w:color="auto" w:fill="CCFFCC"/>
          </w:tcPr>
          <w:p>
            <w:pPr>
              <w:spacing w:after="0"/>
              <w:rPr>
                <w:sz w:val="24"/>
                <w:szCs w:val="24"/>
                <w:color w:val="auto"/>
              </w:rPr>
            </w:pP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8"/>
                <w:szCs w:val="18"/>
                <w:color w:val="auto"/>
              </w:rPr>
              <w:t>1,109,987</w:t>
            </w:r>
          </w:p>
        </w:tc>
        <w:tc>
          <w:tcPr>
            <w:tcW w:w="100" w:type="dxa"/>
            <w:vAlign w:val="bottom"/>
            <w:tcBorders>
              <w:bottom w:val="single" w:sz="8" w:color="CCFFCC"/>
            </w:tcBorders>
            <w:shd w:val="clear" w:color="auto" w:fill="CCFFCC"/>
          </w:tcPr>
          <w:p>
            <w:pPr>
              <w:spacing w:after="0"/>
              <w:rPr>
                <w:sz w:val="24"/>
                <w:szCs w:val="24"/>
                <w:color w:val="auto"/>
              </w:rPr>
            </w:pPr>
          </w:p>
        </w:tc>
        <w:tc>
          <w:tcPr>
            <w:tcW w:w="20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11.26</w:t>
            </w:r>
          </w:p>
        </w:tc>
      </w:tr>
      <w:tr>
        <w:trPr>
          <w:trHeight w:val="224"/>
        </w:trPr>
        <w:tc>
          <w:tcPr>
            <w:tcW w:w="3900" w:type="dxa"/>
            <w:vAlign w:val="bottom"/>
          </w:tcPr>
          <w:p>
            <w:pPr>
              <w:spacing w:after="0"/>
              <w:rPr>
                <w:sz w:val="20"/>
                <w:szCs w:val="20"/>
                <w:color w:val="auto"/>
              </w:rPr>
            </w:pPr>
            <w:r>
              <w:rPr>
                <w:rFonts w:ascii="Arial" w:cs="Arial" w:eastAsia="Arial" w:hAnsi="Arial"/>
                <w:sz w:val="18"/>
                <w:szCs w:val="18"/>
                <w:color w:val="auto"/>
              </w:rPr>
              <w:t>Exercisable at end of year</w:t>
            </w: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1,007,212</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11.45</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972,337</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11.39</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895,587</w:t>
            </w:r>
          </w:p>
        </w:tc>
        <w:tc>
          <w:tcPr>
            <w:tcW w:w="100" w:type="dxa"/>
            <w:vAlign w:val="bottom"/>
          </w:tcPr>
          <w:p>
            <w:pPr>
              <w:spacing w:after="0"/>
              <w:rPr>
                <w:sz w:val="19"/>
                <w:szCs w:val="19"/>
                <w:color w:val="auto"/>
              </w:rPr>
            </w:pP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11.46</w:t>
            </w:r>
          </w:p>
        </w:tc>
      </w:tr>
      <w:tr>
        <w:trPr>
          <w:trHeight w:val="20"/>
        </w:trPr>
        <w:tc>
          <w:tcPr>
            <w:tcW w:w="3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4"/>
        </w:trPr>
        <w:tc>
          <w:tcPr>
            <w:tcW w:w="3900" w:type="dxa"/>
            <w:vAlign w:val="bottom"/>
            <w:shd w:val="clear" w:color="auto" w:fill="CCFFCC"/>
          </w:tcPr>
          <w:p>
            <w:pPr>
              <w:spacing w:after="0"/>
              <w:rPr>
                <w:sz w:val="20"/>
                <w:szCs w:val="20"/>
                <w:color w:val="auto"/>
              </w:rPr>
            </w:pPr>
            <w:r>
              <w:rPr>
                <w:rFonts w:ascii="Arial" w:cs="Arial" w:eastAsia="Arial" w:hAnsi="Arial"/>
                <w:sz w:val="18"/>
                <w:szCs w:val="18"/>
                <w:color w:val="auto"/>
              </w:rPr>
              <w:t>Available for grant at end of year</w:t>
            </w:r>
          </w:p>
        </w:tc>
        <w:tc>
          <w:tcPr>
            <w:tcW w:w="220" w:type="dxa"/>
            <w:vAlign w:val="bottom"/>
            <w:shd w:val="clear" w:color="auto" w:fill="CCFFCC"/>
          </w:tcPr>
          <w:p>
            <w:pPr>
              <w:spacing w:after="0"/>
              <w:rPr>
                <w:sz w:val="22"/>
                <w:szCs w:val="22"/>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226,500</w:t>
            </w:r>
          </w:p>
        </w:tc>
        <w:tc>
          <w:tcPr>
            <w:tcW w:w="12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980" w:type="dxa"/>
            <w:vAlign w:val="bottom"/>
            <w:shd w:val="clear" w:color="auto" w:fill="CCFFCC"/>
          </w:tcPr>
          <w:p>
            <w:pPr>
              <w:spacing w:after="0"/>
              <w:rPr>
                <w:sz w:val="22"/>
                <w:szCs w:val="22"/>
                <w:color w:val="auto"/>
              </w:rPr>
            </w:pPr>
          </w:p>
        </w:tc>
        <w:tc>
          <w:tcPr>
            <w:tcW w:w="60" w:type="dxa"/>
            <w:vAlign w:val="bottom"/>
            <w:shd w:val="clear" w:color="auto" w:fill="CCFFCC"/>
          </w:tcPr>
          <w:p>
            <w:pPr>
              <w:spacing w:after="0"/>
              <w:rPr>
                <w:sz w:val="22"/>
                <w:szCs w:val="22"/>
                <w:color w:val="auto"/>
              </w:rPr>
            </w:pPr>
          </w:p>
        </w:tc>
        <w:tc>
          <w:tcPr>
            <w:tcW w:w="60" w:type="dxa"/>
            <w:vAlign w:val="bottom"/>
            <w:shd w:val="clear" w:color="auto" w:fill="CCFFCC"/>
          </w:tcPr>
          <w:p>
            <w:pPr>
              <w:spacing w:after="0"/>
              <w:rPr>
                <w:sz w:val="22"/>
                <w:szCs w:val="22"/>
                <w:color w:val="auto"/>
              </w:rPr>
            </w:pPr>
          </w:p>
        </w:tc>
        <w:tc>
          <w:tcPr>
            <w:tcW w:w="200" w:type="dxa"/>
            <w:vAlign w:val="bottom"/>
            <w:shd w:val="clear" w:color="auto" w:fill="CCFFCC"/>
          </w:tcPr>
          <w:p>
            <w:pPr>
              <w:spacing w:after="0"/>
              <w:rPr>
                <w:sz w:val="22"/>
                <w:szCs w:val="22"/>
                <w:color w:val="auto"/>
              </w:rPr>
            </w:pPr>
          </w:p>
        </w:tc>
        <w:tc>
          <w:tcPr>
            <w:tcW w:w="10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399,000</w:t>
            </w:r>
          </w:p>
        </w:tc>
        <w:tc>
          <w:tcPr>
            <w:tcW w:w="180" w:type="dxa"/>
            <w:vAlign w:val="bottom"/>
            <w:shd w:val="clear" w:color="auto" w:fill="CCFFCC"/>
          </w:tcPr>
          <w:p>
            <w:pPr>
              <w:spacing w:after="0"/>
              <w:rPr>
                <w:sz w:val="22"/>
                <w:szCs w:val="22"/>
                <w:color w:val="auto"/>
              </w:rPr>
            </w:pPr>
          </w:p>
        </w:tc>
        <w:tc>
          <w:tcPr>
            <w:tcW w:w="94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200" w:type="dxa"/>
            <w:vAlign w:val="bottom"/>
            <w:shd w:val="clear" w:color="auto" w:fill="CCFFCC"/>
          </w:tcPr>
          <w:p>
            <w:pPr>
              <w:spacing w:after="0"/>
              <w:rPr>
                <w:sz w:val="22"/>
                <w:szCs w:val="22"/>
                <w:color w:val="auto"/>
              </w:rPr>
            </w:pPr>
          </w:p>
        </w:tc>
        <w:tc>
          <w:tcPr>
            <w:tcW w:w="9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11,500</w:t>
            </w:r>
          </w:p>
        </w:tc>
        <w:tc>
          <w:tcPr>
            <w:tcW w:w="100" w:type="dxa"/>
            <w:vAlign w:val="bottom"/>
            <w:shd w:val="clear" w:color="auto" w:fill="CCFFCC"/>
          </w:tcPr>
          <w:p>
            <w:pPr>
              <w:spacing w:after="0"/>
              <w:rPr>
                <w:sz w:val="22"/>
                <w:szCs w:val="22"/>
                <w:color w:val="auto"/>
              </w:rPr>
            </w:pPr>
          </w:p>
        </w:tc>
        <w:tc>
          <w:tcPr>
            <w:tcW w:w="2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96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r>
      <w:tr>
        <w:trPr>
          <w:trHeight w:val="224"/>
        </w:trPr>
        <w:tc>
          <w:tcPr>
            <w:tcW w:w="390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Weighted average fair value</w:t>
            </w: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20" w:type="dxa"/>
            <w:vAlign w:val="bottom"/>
            <w:tcBorders>
              <w:top w:val="single" w:sz="8" w:color="CCFFCC"/>
            </w:tcBorders>
          </w:tcPr>
          <w:p>
            <w:pPr>
              <w:spacing w:after="0"/>
              <w:rPr>
                <w:sz w:val="19"/>
                <w:szCs w:val="19"/>
                <w:color w:val="auto"/>
              </w:rPr>
            </w:pPr>
          </w:p>
        </w:tc>
        <w:tc>
          <w:tcPr>
            <w:tcW w:w="180" w:type="dxa"/>
            <w:vAlign w:val="bottom"/>
            <w:tcBorders>
              <w:top w:val="single" w:sz="8" w:color="CCFFCC"/>
            </w:tcBorders>
          </w:tcPr>
          <w:p>
            <w:pPr>
              <w:spacing w:after="0"/>
              <w:rPr>
                <w:sz w:val="19"/>
                <w:szCs w:val="19"/>
                <w:color w:val="auto"/>
              </w:rPr>
            </w:pPr>
          </w:p>
        </w:tc>
        <w:tc>
          <w:tcPr>
            <w:tcW w:w="980" w:type="dxa"/>
            <w:vAlign w:val="bottom"/>
            <w:tcBorders>
              <w:top w:val="single" w:sz="8" w:color="CCFFCC"/>
            </w:tcBorders>
          </w:tcPr>
          <w:p>
            <w:pPr>
              <w:spacing w:after="0"/>
              <w:rPr>
                <w:sz w:val="19"/>
                <w:szCs w:val="19"/>
                <w:color w:val="auto"/>
              </w:rPr>
            </w:pPr>
          </w:p>
        </w:tc>
        <w:tc>
          <w:tcPr>
            <w:tcW w:w="60" w:type="dxa"/>
            <w:vAlign w:val="bottom"/>
            <w:tcBorders>
              <w:top w:val="single" w:sz="8" w:color="CCFFCC"/>
            </w:tcBorders>
          </w:tcPr>
          <w:p>
            <w:pPr>
              <w:spacing w:after="0"/>
              <w:rPr>
                <w:sz w:val="19"/>
                <w:szCs w:val="19"/>
                <w:color w:val="auto"/>
              </w:rPr>
            </w:pPr>
          </w:p>
        </w:tc>
        <w:tc>
          <w:tcPr>
            <w:tcW w:w="60" w:type="dxa"/>
            <w:vAlign w:val="bottom"/>
            <w:tcBorders>
              <w:top w:val="single" w:sz="8" w:color="CCFFC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20" w:type="dxa"/>
            <w:vAlign w:val="bottom"/>
            <w:tcBorders>
              <w:top w:val="single" w:sz="8" w:color="CCFFCC"/>
            </w:tcBorders>
          </w:tcPr>
          <w:p>
            <w:pPr>
              <w:spacing w:after="0"/>
              <w:rPr>
                <w:sz w:val="19"/>
                <w:szCs w:val="19"/>
                <w:color w:val="auto"/>
              </w:rPr>
            </w:pPr>
          </w:p>
        </w:tc>
        <w:tc>
          <w:tcPr>
            <w:tcW w:w="180" w:type="dxa"/>
            <w:vAlign w:val="bottom"/>
            <w:tcBorders>
              <w:top w:val="single" w:sz="8" w:color="CCFFCC"/>
            </w:tcBorders>
          </w:tcPr>
          <w:p>
            <w:pPr>
              <w:spacing w:after="0"/>
              <w:rPr>
                <w:sz w:val="19"/>
                <w:szCs w:val="19"/>
                <w:color w:val="auto"/>
              </w:rPr>
            </w:pPr>
          </w:p>
        </w:tc>
        <w:tc>
          <w:tcPr>
            <w:tcW w:w="940" w:type="dxa"/>
            <w:vAlign w:val="bottom"/>
            <w:tcBorders>
              <w:top w:val="single" w:sz="8" w:color="CCFFCC"/>
            </w:tcBorders>
          </w:tcPr>
          <w:p>
            <w:pPr>
              <w:spacing w:after="0"/>
              <w:rPr>
                <w:sz w:val="19"/>
                <w:szCs w:val="19"/>
                <w:color w:val="auto"/>
              </w:rPr>
            </w:pPr>
          </w:p>
        </w:tc>
        <w:tc>
          <w:tcPr>
            <w:tcW w:w="120" w:type="dxa"/>
            <w:vAlign w:val="bottom"/>
            <w:tcBorders>
              <w:top w:val="single" w:sz="8" w:color="CCFFC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c>
          <w:tcPr>
            <w:tcW w:w="20" w:type="dxa"/>
            <w:vAlign w:val="bottom"/>
            <w:tcBorders>
              <w:top w:val="single" w:sz="8" w:color="CCFFCC"/>
            </w:tcBorders>
          </w:tcPr>
          <w:p>
            <w:pPr>
              <w:spacing w:after="0"/>
              <w:rPr>
                <w:sz w:val="19"/>
                <w:szCs w:val="19"/>
                <w:color w:val="auto"/>
              </w:rPr>
            </w:pPr>
          </w:p>
        </w:tc>
        <w:tc>
          <w:tcPr>
            <w:tcW w:w="180" w:type="dxa"/>
            <w:vAlign w:val="bottom"/>
            <w:tcBorders>
              <w:top w:val="single" w:sz="8" w:color="CCFFCC"/>
            </w:tcBorders>
          </w:tcPr>
          <w:p>
            <w:pPr>
              <w:spacing w:after="0"/>
              <w:rPr>
                <w:sz w:val="19"/>
                <w:szCs w:val="19"/>
                <w:color w:val="auto"/>
              </w:rPr>
            </w:pPr>
          </w:p>
        </w:tc>
        <w:tc>
          <w:tcPr>
            <w:tcW w:w="960" w:type="dxa"/>
            <w:vAlign w:val="bottom"/>
            <w:tcBorders>
              <w:top w:val="single" w:sz="8" w:color="CCFFCC"/>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r>
      <w:tr>
        <w:trPr>
          <w:trHeight w:val="243"/>
        </w:trPr>
        <w:tc>
          <w:tcPr>
            <w:tcW w:w="3900" w:type="dxa"/>
            <w:vAlign w:val="bottom"/>
          </w:tcPr>
          <w:p>
            <w:pPr>
              <w:ind w:left="180"/>
              <w:spacing w:after="0"/>
              <w:rPr>
                <w:sz w:val="20"/>
                <w:szCs w:val="20"/>
                <w:color w:val="auto"/>
              </w:rPr>
            </w:pPr>
            <w:r>
              <w:rPr>
                <w:rFonts w:ascii="Arial" w:cs="Arial" w:eastAsia="Arial" w:hAnsi="Arial"/>
                <w:sz w:val="18"/>
                <w:szCs w:val="18"/>
                <w:color w:val="auto"/>
              </w:rPr>
              <w:t>of options granted during the year</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6.08</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7.60</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8" w:right="239" w:bottom="96"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96" w:gutter="0" w:footer="0" w:header="0"/>
          <w:type w:val="continuous"/>
        </w:sectPr>
      </w:pPr>
    </w:p>
    <w:bookmarkStart w:id="50" w:name="page51"/>
    <w:bookmarkEnd w:id="50"/>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2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information about stock options outstanding at April 30, 2007:</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0" w:type="dxa"/>
            <w:vAlign w:val="bottom"/>
            <w:gridSpan w:val="3"/>
          </w:tcPr>
          <w:p>
            <w:pPr>
              <w:jc w:val="right"/>
              <w:ind w:right="280"/>
              <w:spacing w:after="0"/>
              <w:rPr>
                <w:sz w:val="20"/>
                <w:szCs w:val="20"/>
                <w:color w:val="auto"/>
              </w:rPr>
            </w:pPr>
            <w:r>
              <w:rPr>
                <w:rFonts w:ascii="Arial" w:cs="Arial" w:eastAsia="Arial" w:hAnsi="Arial"/>
                <w:sz w:val="18"/>
                <w:szCs w:val="18"/>
                <w:color w:val="auto"/>
              </w:rPr>
              <w:t>Options Outstanding</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520" w:type="dxa"/>
            <w:vAlign w:val="bottom"/>
            <w:gridSpan w:val="6"/>
          </w:tcPr>
          <w:p>
            <w:pPr>
              <w:jc w:val="right"/>
              <w:ind w:right="1300"/>
              <w:spacing w:after="0"/>
              <w:rPr>
                <w:sz w:val="20"/>
                <w:szCs w:val="20"/>
                <w:color w:val="auto"/>
              </w:rPr>
            </w:pPr>
            <w:r>
              <w:rPr>
                <w:rFonts w:ascii="Arial" w:cs="Arial" w:eastAsia="Arial" w:hAnsi="Arial"/>
                <w:sz w:val="18"/>
                <w:szCs w:val="18"/>
                <w:color w:val="auto"/>
              </w:rPr>
              <w:t>Options Exercisable</w:t>
            </w:r>
          </w:p>
        </w:tc>
      </w:tr>
      <w:tr>
        <w:trPr>
          <w:trHeight w:val="237"/>
        </w:trPr>
        <w:tc>
          <w:tcPr>
            <w:tcW w:w="5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8"/>
                <w:szCs w:val="18"/>
                <w:color w:val="auto"/>
                <w:w w:val="89"/>
              </w:rPr>
              <w:t>Weighted</w:t>
            </w:r>
          </w:p>
        </w:tc>
        <w:tc>
          <w:tcPr>
            <w:tcW w:w="26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540" w:type="dxa"/>
            <w:vAlign w:val="bottom"/>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540" w:type="dxa"/>
            <w:vAlign w:val="bottom"/>
          </w:tcPr>
          <w:p>
            <w:pPr>
              <w:spacing w:after="0"/>
              <w:rPr>
                <w:sz w:val="20"/>
                <w:szCs w:val="20"/>
                <w:color w:val="auto"/>
              </w:rPr>
            </w:pPr>
          </w:p>
        </w:tc>
      </w:tr>
      <w:tr>
        <w:trPr>
          <w:trHeight w:val="243"/>
        </w:trPr>
        <w:tc>
          <w:tcPr>
            <w:tcW w:w="5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Average</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center"/>
              <w:ind w:right="680"/>
              <w:spacing w:after="0"/>
              <w:rPr>
                <w:sz w:val="20"/>
                <w:szCs w:val="20"/>
                <w:color w:val="auto"/>
              </w:rPr>
            </w:pPr>
            <w:r>
              <w:rPr>
                <w:rFonts w:ascii="Arial" w:cs="Arial" w:eastAsia="Arial" w:hAnsi="Arial"/>
                <w:sz w:val="18"/>
                <w:szCs w:val="18"/>
                <w:color w:val="auto"/>
                <w:w w:val="89"/>
              </w:rPr>
              <w:t>Weighted</w:t>
            </w:r>
          </w:p>
        </w:tc>
        <w:tc>
          <w:tcPr>
            <w:tcW w:w="13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center"/>
              <w:ind w:right="720"/>
              <w:spacing w:after="0"/>
              <w:rPr>
                <w:sz w:val="20"/>
                <w:szCs w:val="20"/>
                <w:color w:val="auto"/>
              </w:rPr>
            </w:pPr>
            <w:r>
              <w:rPr>
                <w:rFonts w:ascii="Arial" w:cs="Arial" w:eastAsia="Arial" w:hAnsi="Arial"/>
                <w:sz w:val="18"/>
                <w:szCs w:val="18"/>
                <w:color w:val="auto"/>
                <w:w w:val="89"/>
              </w:rPr>
              <w:t>Weighted</w:t>
            </w:r>
          </w:p>
        </w:tc>
      </w:tr>
      <w:tr>
        <w:trPr>
          <w:trHeight w:val="243"/>
        </w:trPr>
        <w:tc>
          <w:tcPr>
            <w:tcW w:w="5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Number</w:t>
            </w:r>
          </w:p>
        </w:tc>
        <w:tc>
          <w:tcPr>
            <w:tcW w:w="320" w:type="dxa"/>
            <w:vAlign w:val="bottom"/>
          </w:tcPr>
          <w:p>
            <w:pPr>
              <w:spacing w:after="0"/>
              <w:rPr>
                <w:sz w:val="21"/>
                <w:szCs w:val="21"/>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Remaining</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center"/>
              <w:ind w:right="680"/>
              <w:spacing w:after="0"/>
              <w:rPr>
                <w:sz w:val="20"/>
                <w:szCs w:val="20"/>
                <w:color w:val="auto"/>
              </w:rPr>
            </w:pPr>
            <w:r>
              <w:rPr>
                <w:rFonts w:ascii="Arial" w:cs="Arial" w:eastAsia="Arial" w:hAnsi="Arial"/>
                <w:sz w:val="18"/>
                <w:szCs w:val="18"/>
                <w:color w:val="auto"/>
                <w:w w:val="89"/>
              </w:rPr>
              <w:t>Average</w:t>
            </w:r>
          </w:p>
        </w:tc>
        <w:tc>
          <w:tcPr>
            <w:tcW w:w="15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Number</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center"/>
              <w:ind w:right="720"/>
              <w:spacing w:after="0"/>
              <w:rPr>
                <w:sz w:val="20"/>
                <w:szCs w:val="20"/>
                <w:color w:val="auto"/>
              </w:rPr>
            </w:pPr>
            <w:r>
              <w:rPr>
                <w:rFonts w:ascii="Arial" w:cs="Arial" w:eastAsia="Arial" w:hAnsi="Arial"/>
                <w:sz w:val="18"/>
                <w:szCs w:val="18"/>
                <w:color w:val="auto"/>
                <w:w w:val="89"/>
              </w:rPr>
              <w:t>Average</w:t>
            </w:r>
          </w:p>
        </w:tc>
      </w:tr>
      <w:tr>
        <w:trPr>
          <w:trHeight w:val="243"/>
        </w:trPr>
        <w:tc>
          <w:tcPr>
            <w:tcW w:w="2480" w:type="dxa"/>
            <w:vAlign w:val="bottom"/>
            <w:gridSpan w:val="3"/>
          </w:tcPr>
          <w:p>
            <w:pPr>
              <w:spacing w:after="0"/>
              <w:rPr>
                <w:sz w:val="20"/>
                <w:szCs w:val="20"/>
                <w:color w:val="auto"/>
              </w:rPr>
            </w:pPr>
            <w:r>
              <w:rPr>
                <w:rFonts w:ascii="Arial" w:cs="Arial" w:eastAsia="Arial" w:hAnsi="Arial"/>
                <w:sz w:val="18"/>
                <w:szCs w:val="18"/>
                <w:color w:val="auto"/>
              </w:rPr>
              <w:t>Actual Range of</w:t>
            </w: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Outstanding</w:t>
            </w:r>
          </w:p>
        </w:tc>
        <w:tc>
          <w:tcPr>
            <w:tcW w:w="320" w:type="dxa"/>
            <w:vAlign w:val="bottom"/>
          </w:tcPr>
          <w:p>
            <w:pPr>
              <w:spacing w:after="0"/>
              <w:rPr>
                <w:sz w:val="21"/>
                <w:szCs w:val="21"/>
                <w:color w:val="auto"/>
              </w:rPr>
            </w:pPr>
          </w:p>
        </w:tc>
        <w:tc>
          <w:tcPr>
            <w:tcW w:w="168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Contractual</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center"/>
              <w:ind w:right="700"/>
              <w:spacing w:after="0"/>
              <w:rPr>
                <w:sz w:val="20"/>
                <w:szCs w:val="20"/>
                <w:color w:val="auto"/>
              </w:rPr>
            </w:pPr>
            <w:r>
              <w:rPr>
                <w:rFonts w:ascii="Arial" w:cs="Arial" w:eastAsia="Arial" w:hAnsi="Arial"/>
                <w:sz w:val="18"/>
                <w:szCs w:val="18"/>
                <w:color w:val="auto"/>
                <w:w w:val="89"/>
              </w:rPr>
              <w:t>Exercise</w:t>
            </w: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Exercisable</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center"/>
              <w:ind w:right="700"/>
              <w:spacing w:after="0"/>
              <w:rPr>
                <w:sz w:val="20"/>
                <w:szCs w:val="20"/>
                <w:color w:val="auto"/>
              </w:rPr>
            </w:pPr>
            <w:r>
              <w:rPr>
                <w:rFonts w:ascii="Arial" w:cs="Arial" w:eastAsia="Arial" w:hAnsi="Arial"/>
                <w:sz w:val="18"/>
                <w:szCs w:val="18"/>
                <w:color w:val="auto"/>
                <w:w w:val="89"/>
              </w:rPr>
              <w:t>Exercise</w:t>
            </w:r>
          </w:p>
        </w:tc>
      </w:tr>
      <w:tr>
        <w:trPr>
          <w:trHeight w:val="270"/>
        </w:trPr>
        <w:tc>
          <w:tcPr>
            <w:tcW w:w="19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Exercise Prices</w:t>
            </w:r>
          </w:p>
        </w:tc>
        <w:tc>
          <w:tcPr>
            <w:tcW w:w="540" w:type="dxa"/>
            <w:vAlign w:val="bottom"/>
          </w:tcPr>
          <w:p>
            <w:pPr>
              <w:spacing w:after="0"/>
              <w:rPr>
                <w:sz w:val="23"/>
                <w:szCs w:val="23"/>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at 4/30/07</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Life</w:t>
            </w: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2"/>
              </w:rPr>
              <w:t>Price</w:t>
            </w:r>
          </w:p>
        </w:tc>
        <w:tc>
          <w:tcPr>
            <w:tcW w:w="540" w:type="dxa"/>
            <w:vAlign w:val="bottom"/>
          </w:tcPr>
          <w:p>
            <w:pPr>
              <w:spacing w:after="0"/>
              <w:rPr>
                <w:sz w:val="23"/>
                <w:szCs w:val="23"/>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at 4/30/07</w:t>
            </w:r>
          </w:p>
        </w:tc>
        <w:tc>
          <w:tcPr>
            <w:tcW w:w="2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2"/>
              </w:rPr>
              <w:t>Price</w:t>
            </w:r>
          </w:p>
        </w:tc>
        <w:tc>
          <w:tcPr>
            <w:tcW w:w="540" w:type="dxa"/>
            <w:vAlign w:val="bottom"/>
          </w:tcPr>
          <w:p>
            <w:pPr>
              <w:spacing w:after="0"/>
              <w:rPr>
                <w:sz w:val="23"/>
                <w:szCs w:val="23"/>
                <w:color w:val="auto"/>
              </w:rPr>
            </w:pPr>
          </w:p>
        </w:tc>
      </w:tr>
      <w:tr>
        <w:trPr>
          <w:trHeight w:val="237"/>
        </w:trPr>
        <w:tc>
          <w:tcPr>
            <w:tcW w:w="520" w:type="dxa"/>
            <w:vAlign w:val="bottom"/>
            <w:shd w:val="clear" w:color="auto" w:fill="CCFFCC"/>
          </w:tcPr>
          <w:p>
            <w:pPr>
              <w:spacing w:after="0"/>
              <w:rPr>
                <w:sz w:val="20"/>
                <w:szCs w:val="20"/>
                <w:color w:val="auto"/>
              </w:rPr>
            </w:pPr>
            <w:r>
              <w:rPr>
                <w:rFonts w:ascii="Arial" w:cs="Arial" w:eastAsia="Arial" w:hAnsi="Arial"/>
                <w:sz w:val="18"/>
                <w:szCs w:val="18"/>
                <w:color w:val="auto"/>
                <w:w w:val="90"/>
              </w:rPr>
              <w:t>$6.615</w:t>
            </w:r>
          </w:p>
        </w:tc>
        <w:tc>
          <w:tcPr>
            <w:tcW w:w="1420" w:type="dxa"/>
            <w:vAlign w:val="bottom"/>
            <w:shd w:val="clear" w:color="auto" w:fill="CCFFCC"/>
          </w:tcPr>
          <w:p>
            <w:pPr>
              <w:ind w:left="20"/>
              <w:spacing w:after="0"/>
              <w:rPr>
                <w:sz w:val="20"/>
                <w:szCs w:val="20"/>
                <w:color w:val="auto"/>
              </w:rPr>
            </w:pPr>
            <w:r>
              <w:rPr>
                <w:rFonts w:ascii="Arial" w:cs="Arial" w:eastAsia="Arial" w:hAnsi="Arial"/>
                <w:sz w:val="18"/>
                <w:szCs w:val="18"/>
                <w:color w:val="auto"/>
              </w:rPr>
              <w:t>- 9.970</w:t>
            </w:r>
          </w:p>
        </w:tc>
        <w:tc>
          <w:tcPr>
            <w:tcW w:w="540" w:type="dxa"/>
            <w:vAlign w:val="bottom"/>
            <w:shd w:val="clear" w:color="auto" w:fill="CCFFCC"/>
          </w:tcPr>
          <w:p>
            <w:pPr>
              <w:spacing w:after="0"/>
              <w:rPr>
                <w:sz w:val="20"/>
                <w:szCs w:val="20"/>
                <w:color w:val="auto"/>
              </w:rPr>
            </w:pPr>
          </w:p>
        </w:tc>
        <w:tc>
          <w:tcPr>
            <w:tcW w:w="14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448,400</w:t>
            </w:r>
          </w:p>
        </w:tc>
        <w:tc>
          <w:tcPr>
            <w:tcW w:w="200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3.5</w:t>
            </w:r>
          </w:p>
        </w:tc>
        <w:tc>
          <w:tcPr>
            <w:tcW w:w="42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FFCC"/>
          </w:tcPr>
          <w:p>
            <w:pPr>
              <w:jc w:val="right"/>
              <w:ind w:right="540"/>
              <w:spacing w:after="0"/>
              <w:rPr>
                <w:sz w:val="20"/>
                <w:szCs w:val="20"/>
                <w:color w:val="auto"/>
              </w:rPr>
            </w:pPr>
            <w:r>
              <w:rPr>
                <w:rFonts w:ascii="Arial" w:cs="Arial" w:eastAsia="Arial" w:hAnsi="Arial"/>
                <w:sz w:val="18"/>
                <w:szCs w:val="18"/>
                <w:color w:val="auto"/>
              </w:rPr>
              <w:t>7.67</w:t>
            </w:r>
          </w:p>
        </w:tc>
        <w:tc>
          <w:tcPr>
            <w:tcW w:w="15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417,775</w:t>
            </w:r>
          </w:p>
        </w:tc>
        <w:tc>
          <w:tcPr>
            <w:tcW w:w="44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FFCC"/>
          </w:tcPr>
          <w:p>
            <w:pPr>
              <w:jc w:val="right"/>
              <w:ind w:right="540"/>
              <w:spacing w:after="0"/>
              <w:rPr>
                <w:sz w:val="20"/>
                <w:szCs w:val="20"/>
                <w:color w:val="auto"/>
              </w:rPr>
            </w:pPr>
            <w:r>
              <w:rPr>
                <w:rFonts w:ascii="Arial" w:cs="Arial" w:eastAsia="Arial" w:hAnsi="Arial"/>
                <w:sz w:val="18"/>
                <w:szCs w:val="18"/>
                <w:color w:val="auto"/>
              </w:rPr>
              <w:t>7.56</w:t>
            </w:r>
          </w:p>
        </w:tc>
      </w:tr>
      <w:tr>
        <w:trPr>
          <w:trHeight w:val="243"/>
        </w:trPr>
        <w:tc>
          <w:tcPr>
            <w:tcW w:w="520" w:type="dxa"/>
            <w:vAlign w:val="bottom"/>
          </w:tcPr>
          <w:p>
            <w:pPr>
              <w:spacing w:after="0"/>
              <w:rPr>
                <w:sz w:val="20"/>
                <w:szCs w:val="20"/>
                <w:color w:val="auto"/>
              </w:rPr>
            </w:pPr>
            <w:r>
              <w:rPr>
                <w:rFonts w:ascii="Arial" w:cs="Arial" w:eastAsia="Arial" w:hAnsi="Arial"/>
                <w:sz w:val="18"/>
                <w:szCs w:val="18"/>
                <w:color w:val="auto"/>
                <w:w w:val="90"/>
              </w:rPr>
              <w:t>10.167</w:t>
            </w:r>
          </w:p>
        </w:tc>
        <w:tc>
          <w:tcPr>
            <w:tcW w:w="1420" w:type="dxa"/>
            <w:vAlign w:val="bottom"/>
          </w:tcPr>
          <w:p>
            <w:pPr>
              <w:ind w:left="20"/>
              <w:spacing w:after="0"/>
              <w:rPr>
                <w:sz w:val="20"/>
                <w:szCs w:val="20"/>
                <w:color w:val="auto"/>
              </w:rPr>
            </w:pPr>
            <w:r>
              <w:rPr>
                <w:rFonts w:ascii="Arial" w:cs="Arial" w:eastAsia="Arial" w:hAnsi="Arial"/>
                <w:sz w:val="18"/>
                <w:szCs w:val="18"/>
                <w:color w:val="auto"/>
              </w:rPr>
              <w:t>- 16.625</w:t>
            </w:r>
          </w:p>
        </w:tc>
        <w:tc>
          <w:tcPr>
            <w:tcW w:w="54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735,187</w:t>
            </w:r>
          </w:p>
        </w:tc>
        <w:tc>
          <w:tcPr>
            <w:tcW w:w="2000" w:type="dxa"/>
            <w:vAlign w:val="bottom"/>
            <w:gridSpan w:val="3"/>
          </w:tcPr>
          <w:p>
            <w:pPr>
              <w:jc w:val="right"/>
              <w:ind w:right="280"/>
              <w:spacing w:after="0"/>
              <w:rPr>
                <w:sz w:val="20"/>
                <w:szCs w:val="20"/>
                <w:color w:val="auto"/>
              </w:rPr>
            </w:pPr>
            <w:r>
              <w:rPr>
                <w:rFonts w:ascii="Arial" w:cs="Arial" w:eastAsia="Arial" w:hAnsi="Arial"/>
                <w:sz w:val="18"/>
                <w:szCs w:val="18"/>
                <w:color w:val="auto"/>
              </w:rPr>
              <w:t>5.1</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12.52</w:t>
            </w:r>
          </w:p>
        </w:tc>
        <w:tc>
          <w:tcPr>
            <w:tcW w:w="1560" w:type="dxa"/>
            <w:vAlign w:val="bottom"/>
            <w:gridSpan w:val="2"/>
          </w:tcPr>
          <w:p>
            <w:pPr>
              <w:jc w:val="right"/>
              <w:ind w:right="260"/>
              <w:spacing w:after="0"/>
              <w:rPr>
                <w:sz w:val="20"/>
                <w:szCs w:val="20"/>
                <w:color w:val="auto"/>
              </w:rPr>
            </w:pPr>
            <w:r>
              <w:rPr>
                <w:rFonts w:ascii="Arial" w:cs="Arial" w:eastAsia="Arial" w:hAnsi="Arial"/>
                <w:sz w:val="18"/>
                <w:szCs w:val="18"/>
                <w:color w:val="auto"/>
              </w:rPr>
              <w:t>507,437</w:t>
            </w:r>
          </w:p>
        </w:tc>
        <w:tc>
          <w:tcPr>
            <w:tcW w:w="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gridSpan w:val="2"/>
          </w:tcPr>
          <w:p>
            <w:pPr>
              <w:jc w:val="right"/>
              <w:ind w:right="540"/>
              <w:spacing w:after="0"/>
              <w:rPr>
                <w:sz w:val="20"/>
                <w:szCs w:val="20"/>
                <w:color w:val="auto"/>
              </w:rPr>
            </w:pPr>
            <w:r>
              <w:rPr>
                <w:rFonts w:ascii="Arial" w:cs="Arial" w:eastAsia="Arial" w:hAnsi="Arial"/>
                <w:sz w:val="18"/>
                <w:szCs w:val="18"/>
                <w:color w:val="auto"/>
              </w:rPr>
              <w:t>12.67</w:t>
            </w:r>
          </w:p>
        </w:tc>
      </w:tr>
      <w:tr>
        <w:trPr>
          <w:trHeight w:val="243"/>
        </w:trPr>
        <w:tc>
          <w:tcPr>
            <w:tcW w:w="520" w:type="dxa"/>
            <w:vAlign w:val="bottom"/>
            <w:shd w:val="clear" w:color="auto" w:fill="CCFFCC"/>
          </w:tcPr>
          <w:p>
            <w:pPr>
              <w:spacing w:after="0"/>
              <w:rPr>
                <w:sz w:val="20"/>
                <w:szCs w:val="20"/>
                <w:color w:val="auto"/>
              </w:rPr>
            </w:pPr>
            <w:r>
              <w:rPr>
                <w:rFonts w:ascii="Arial" w:cs="Arial" w:eastAsia="Arial" w:hAnsi="Arial"/>
                <w:sz w:val="18"/>
                <w:szCs w:val="18"/>
                <w:color w:val="auto"/>
              </w:rPr>
              <w:t>23.75</w:t>
            </w:r>
          </w:p>
        </w:tc>
        <w:tc>
          <w:tcPr>
            <w:tcW w:w="1420" w:type="dxa"/>
            <w:vAlign w:val="bottom"/>
            <w:shd w:val="clear" w:color="auto" w:fill="CCFFCC"/>
          </w:tcPr>
          <w:p>
            <w:pPr>
              <w:spacing w:after="0"/>
              <w:rPr>
                <w:sz w:val="21"/>
                <w:szCs w:val="21"/>
                <w:color w:val="auto"/>
              </w:rPr>
            </w:pPr>
          </w:p>
        </w:tc>
        <w:tc>
          <w:tcPr>
            <w:tcW w:w="54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82,000</w:t>
            </w:r>
          </w:p>
        </w:tc>
        <w:tc>
          <w:tcPr>
            <w:tcW w:w="2000" w:type="dxa"/>
            <w:vAlign w:val="bottom"/>
            <w:gridSpan w:val="3"/>
            <w:shd w:val="clear" w:color="auto" w:fill="CCFFCC"/>
          </w:tcPr>
          <w:p>
            <w:pPr>
              <w:jc w:val="right"/>
              <w:ind w:right="280"/>
              <w:spacing w:after="0"/>
              <w:rPr>
                <w:sz w:val="20"/>
                <w:szCs w:val="20"/>
                <w:color w:val="auto"/>
              </w:rPr>
            </w:pPr>
            <w:r>
              <w:rPr>
                <w:rFonts w:ascii="Arial" w:cs="Arial" w:eastAsia="Arial" w:hAnsi="Arial"/>
                <w:sz w:val="18"/>
                <w:szCs w:val="18"/>
                <w:color w:val="auto"/>
              </w:rPr>
              <w:t>3.3</w:t>
            </w:r>
          </w:p>
        </w:tc>
        <w:tc>
          <w:tcPr>
            <w:tcW w:w="26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520" w:type="dxa"/>
            <w:vAlign w:val="bottom"/>
            <w:gridSpan w:val="2"/>
            <w:shd w:val="clear" w:color="auto" w:fill="CCFFCC"/>
          </w:tcPr>
          <w:p>
            <w:pPr>
              <w:jc w:val="right"/>
              <w:ind w:right="540"/>
              <w:spacing w:after="0"/>
              <w:rPr>
                <w:sz w:val="20"/>
                <w:szCs w:val="20"/>
                <w:color w:val="auto"/>
              </w:rPr>
            </w:pPr>
            <w:r>
              <w:rPr>
                <w:rFonts w:ascii="Arial" w:cs="Arial" w:eastAsia="Arial" w:hAnsi="Arial"/>
                <w:sz w:val="18"/>
                <w:szCs w:val="18"/>
                <w:color w:val="auto"/>
              </w:rPr>
              <w:t>23.75</w:t>
            </w:r>
          </w:p>
        </w:tc>
        <w:tc>
          <w:tcPr>
            <w:tcW w:w="156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82,000</w:t>
            </w:r>
          </w:p>
        </w:tc>
        <w:tc>
          <w:tcPr>
            <w:tcW w:w="28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520" w:type="dxa"/>
            <w:vAlign w:val="bottom"/>
            <w:gridSpan w:val="2"/>
            <w:shd w:val="clear" w:color="auto" w:fill="CCFFCC"/>
          </w:tcPr>
          <w:p>
            <w:pPr>
              <w:jc w:val="right"/>
              <w:ind w:right="540"/>
              <w:spacing w:after="0"/>
              <w:rPr>
                <w:sz w:val="20"/>
                <w:szCs w:val="20"/>
                <w:color w:val="auto"/>
              </w:rPr>
            </w:pPr>
            <w:r>
              <w:rPr>
                <w:rFonts w:ascii="Arial" w:cs="Arial" w:eastAsia="Arial" w:hAnsi="Arial"/>
                <w:sz w:val="18"/>
                <w:szCs w:val="18"/>
                <w:color w:val="auto"/>
              </w:rPr>
              <w:t>23.75</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Plan:</w:t>
      </w:r>
    </w:p>
    <w:p>
      <w:pPr>
        <w:spacing w:after="0" w:line="283"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During fiscal 1990, the Company adopted a Restricted Stock Plan which provided that key management employees could be granted rights to purchase an aggregate of 375,000 shares of the Company's common stock. The grants, transferability restrictions and purchase price were determined at the discretion of a special committee of the board of directors. The purchase price could not be less than the par value of the common stock. As a result of the adoption by the Company’s stockholders of the 2005 Stock Award Plan, the Restricted Stock Plan was discontinued. No additional grants will be made under this plan.</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2007</w:t>
            </w:r>
          </w:p>
        </w:tc>
        <w:tc>
          <w:tcPr>
            <w:tcW w:w="9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2006</w:t>
            </w: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2005</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37"/>
        </w:trPr>
        <w:tc>
          <w:tcPr>
            <w:tcW w:w="3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Wtd Avg</w:t>
            </w: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8"/>
                <w:szCs w:val="18"/>
                <w:color w:val="auto"/>
                <w:w w:val="94"/>
              </w:rPr>
              <w:t>Wtd Avg</w:t>
            </w: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ind w:left="60"/>
              <w:spacing w:after="0"/>
              <w:rPr>
                <w:sz w:val="20"/>
                <w:szCs w:val="20"/>
                <w:color w:val="auto"/>
              </w:rPr>
            </w:pPr>
            <w:r>
              <w:rPr>
                <w:rFonts w:ascii="Arial" w:cs="Arial" w:eastAsia="Arial" w:hAnsi="Arial"/>
                <w:sz w:val="18"/>
                <w:szCs w:val="18"/>
                <w:color w:val="auto"/>
              </w:rPr>
              <w:t>Wtd Avg</w:t>
            </w:r>
          </w:p>
        </w:tc>
      </w:tr>
      <w:tr>
        <w:trPr>
          <w:trHeight w:val="270"/>
        </w:trPr>
        <w:tc>
          <w:tcPr>
            <w:tcW w:w="3900" w:type="dxa"/>
            <w:vAlign w:val="bottom"/>
          </w:tcPr>
          <w:p>
            <w:pPr>
              <w:spacing w:after="0"/>
              <w:rPr>
                <w:sz w:val="23"/>
                <w:szCs w:val="23"/>
                <w:color w:val="auto"/>
              </w:rPr>
            </w:pPr>
          </w:p>
        </w:tc>
        <w:tc>
          <w:tcPr>
            <w:tcW w:w="11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7"/>
              </w:rPr>
              <w:t>Price</w:t>
            </w:r>
          </w:p>
        </w:tc>
        <w:tc>
          <w:tcPr>
            <w:tcW w:w="120" w:type="dxa"/>
            <w:vAlign w:val="bottom"/>
          </w:tcPr>
          <w:p>
            <w:pPr>
              <w:spacing w:after="0"/>
              <w:rPr>
                <w:sz w:val="23"/>
                <w:szCs w:val="23"/>
                <w:color w:val="auto"/>
              </w:rPr>
            </w:pPr>
          </w:p>
        </w:tc>
        <w:tc>
          <w:tcPr>
            <w:tcW w:w="11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7"/>
              </w:rPr>
              <w:t>Price</w:t>
            </w:r>
          </w:p>
        </w:tc>
        <w:tc>
          <w:tcPr>
            <w:tcW w:w="120" w:type="dxa"/>
            <w:vAlign w:val="bottom"/>
          </w:tcPr>
          <w:p>
            <w:pPr>
              <w:spacing w:after="0"/>
              <w:rPr>
                <w:sz w:val="23"/>
                <w:szCs w:val="23"/>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Shares</w:t>
            </w: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Price</w:t>
            </w:r>
          </w:p>
        </w:tc>
        <w:tc>
          <w:tcPr>
            <w:tcW w:w="100" w:type="dxa"/>
            <w:vAlign w:val="bottom"/>
          </w:tcPr>
          <w:p>
            <w:pPr>
              <w:spacing w:after="0"/>
              <w:rPr>
                <w:sz w:val="23"/>
                <w:szCs w:val="23"/>
                <w:color w:val="auto"/>
              </w:rPr>
            </w:pPr>
          </w:p>
        </w:tc>
      </w:tr>
      <w:tr>
        <w:trPr>
          <w:trHeight w:val="237"/>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Outstanding at beginning of year</w:t>
            </w:r>
          </w:p>
        </w:tc>
        <w:tc>
          <w:tcPr>
            <w:tcW w:w="128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22,500</w:t>
            </w: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4.00</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22,500</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4.00</w:t>
            </w:r>
          </w:p>
        </w:tc>
        <w:tc>
          <w:tcPr>
            <w:tcW w:w="1240" w:type="dxa"/>
            <w:vAlign w:val="bottom"/>
            <w:tcBorders>
              <w:right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22,500</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4.00</w:t>
            </w:r>
          </w:p>
        </w:tc>
      </w:tr>
      <w:tr>
        <w:trPr>
          <w:trHeight w:val="270"/>
        </w:trPr>
        <w:tc>
          <w:tcPr>
            <w:tcW w:w="3900" w:type="dxa"/>
            <w:vAlign w:val="bottom"/>
          </w:tcPr>
          <w:p>
            <w:pPr>
              <w:ind w:left="180"/>
              <w:spacing w:after="0"/>
              <w:rPr>
                <w:sz w:val="20"/>
                <w:szCs w:val="20"/>
                <w:color w:val="auto"/>
              </w:rPr>
            </w:pPr>
            <w:r>
              <w:rPr>
                <w:rFonts w:ascii="Arial" w:cs="Arial" w:eastAsia="Arial" w:hAnsi="Arial"/>
                <w:sz w:val="18"/>
                <w:szCs w:val="18"/>
                <w:color w:val="auto"/>
              </w:rPr>
              <w:t>Exercised</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r>
      <w:tr>
        <w:trPr>
          <w:trHeight w:val="257"/>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Outstanding at end of year</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22,500</w:t>
            </w:r>
          </w:p>
        </w:tc>
        <w:tc>
          <w:tcPr>
            <w:tcW w:w="120" w:type="dxa"/>
            <w:vAlign w:val="bottom"/>
            <w:shd w:val="clear" w:color="auto" w:fill="CCFFCC"/>
          </w:tcPr>
          <w:p>
            <w:pPr>
              <w:spacing w:after="0"/>
              <w:rPr>
                <w:sz w:val="22"/>
                <w:szCs w:val="22"/>
                <w:color w:val="auto"/>
              </w:rPr>
            </w:pPr>
          </w:p>
        </w:tc>
        <w:tc>
          <w:tcPr>
            <w:tcW w:w="18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4.00</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22,500</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4.00</w:t>
            </w:r>
          </w:p>
        </w:tc>
        <w:tc>
          <w:tcPr>
            <w:tcW w:w="1240" w:type="dxa"/>
            <w:vAlign w:val="bottom"/>
            <w:tcBorders>
              <w:right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22,500</w:t>
            </w: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4.00</w:t>
            </w:r>
          </w:p>
        </w:tc>
      </w:tr>
      <w:tr>
        <w:trPr>
          <w:trHeight w:val="20"/>
        </w:trPr>
        <w:tc>
          <w:tcPr>
            <w:tcW w:w="390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224"/>
        </w:trPr>
        <w:tc>
          <w:tcPr>
            <w:tcW w:w="3900" w:type="dxa"/>
            <w:vAlign w:val="bottom"/>
          </w:tcPr>
          <w:p>
            <w:pPr>
              <w:spacing w:after="0"/>
              <w:rPr>
                <w:sz w:val="20"/>
                <w:szCs w:val="20"/>
                <w:color w:val="auto"/>
              </w:rPr>
            </w:pPr>
            <w:r>
              <w:rPr>
                <w:rFonts w:ascii="Arial" w:cs="Arial" w:eastAsia="Arial" w:hAnsi="Arial"/>
                <w:sz w:val="18"/>
                <w:szCs w:val="18"/>
                <w:color w:val="auto"/>
              </w:rPr>
              <w:t>Exercisable at end of year</w:t>
            </w:r>
          </w:p>
        </w:tc>
        <w:tc>
          <w:tcPr>
            <w:tcW w:w="1160" w:type="dxa"/>
            <w:vAlign w:val="bottom"/>
          </w:tcPr>
          <w:p>
            <w:pPr>
              <w:jc w:val="right"/>
              <w:spacing w:after="0"/>
              <w:rPr>
                <w:sz w:val="20"/>
                <w:szCs w:val="20"/>
                <w:color w:val="auto"/>
              </w:rPr>
            </w:pPr>
            <w:r>
              <w:rPr>
                <w:rFonts w:ascii="Arial" w:cs="Arial" w:eastAsia="Arial" w:hAnsi="Arial"/>
                <w:sz w:val="18"/>
                <w:szCs w:val="18"/>
                <w:color w:val="auto"/>
              </w:rPr>
              <w:t>22,500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4.00</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22,500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4.00</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22,500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r>
      <w:tr>
        <w:trPr>
          <w:trHeight w:val="20"/>
        </w:trPr>
        <w:tc>
          <w:tcPr>
            <w:tcW w:w="39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3900" w:type="dxa"/>
            <w:vAlign w:val="bottom"/>
            <w:shd w:val="clear" w:color="auto" w:fill="CCFFCC"/>
          </w:tcPr>
          <w:p>
            <w:pPr>
              <w:ind w:left="180"/>
              <w:spacing w:after="0"/>
              <w:rPr>
                <w:sz w:val="20"/>
                <w:szCs w:val="20"/>
                <w:color w:val="auto"/>
              </w:rPr>
            </w:pPr>
            <w:r>
              <w:rPr>
                <w:rFonts w:ascii="Arial" w:cs="Arial" w:eastAsia="Arial" w:hAnsi="Arial"/>
                <w:sz w:val="18"/>
                <w:szCs w:val="18"/>
                <w:color w:val="auto"/>
              </w:rPr>
              <w:t>Balance of shares available for</w:t>
            </w:r>
          </w:p>
        </w:tc>
        <w:tc>
          <w:tcPr>
            <w:tcW w:w="11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98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12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94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240" w:type="dxa"/>
            <w:vAlign w:val="bottom"/>
            <w:tcBorders>
              <w:right w:val="single" w:sz="8" w:color="CCFFCC"/>
            </w:tcBorders>
            <w:shd w:val="clear" w:color="auto" w:fill="CCFFCC"/>
          </w:tcPr>
          <w:p>
            <w:pPr>
              <w:spacing w:after="0"/>
              <w:rPr>
                <w:sz w:val="19"/>
                <w:szCs w:val="19"/>
                <w:color w:val="auto"/>
              </w:rPr>
            </w:pPr>
          </w:p>
        </w:tc>
        <w:tc>
          <w:tcPr>
            <w:tcW w:w="180" w:type="dxa"/>
            <w:vAlign w:val="bottom"/>
            <w:shd w:val="clear" w:color="auto" w:fill="CCFFCC"/>
          </w:tcPr>
          <w:p>
            <w:pPr>
              <w:spacing w:after="0"/>
              <w:rPr>
                <w:sz w:val="19"/>
                <w:szCs w:val="19"/>
                <w:color w:val="auto"/>
              </w:rPr>
            </w:pPr>
          </w:p>
        </w:tc>
        <w:tc>
          <w:tcPr>
            <w:tcW w:w="9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r>
      <w:tr>
        <w:trPr>
          <w:trHeight w:val="263"/>
        </w:trPr>
        <w:tc>
          <w:tcPr>
            <w:tcW w:w="3900" w:type="dxa"/>
            <w:vAlign w:val="bottom"/>
            <w:shd w:val="clear" w:color="auto" w:fill="CCFFCC"/>
          </w:tcPr>
          <w:p>
            <w:pPr>
              <w:ind w:left="340"/>
              <w:spacing w:after="0"/>
              <w:rPr>
                <w:sz w:val="20"/>
                <w:szCs w:val="20"/>
                <w:color w:val="auto"/>
              </w:rPr>
            </w:pPr>
            <w:r>
              <w:rPr>
                <w:rFonts w:ascii="Arial" w:cs="Arial" w:eastAsia="Arial" w:hAnsi="Arial"/>
                <w:sz w:val="18"/>
                <w:szCs w:val="18"/>
                <w:color w:val="auto"/>
              </w:rPr>
              <w:t>grant at end of year</w:t>
            </w:r>
          </w:p>
        </w:tc>
        <w:tc>
          <w:tcPr>
            <w:tcW w:w="11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98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11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FFCC"/>
          </w:tcPr>
          <w:p>
            <w:pPr>
              <w:spacing w:after="0"/>
              <w:rPr>
                <w:sz w:val="22"/>
                <w:szCs w:val="22"/>
                <w:color w:val="auto"/>
              </w:rPr>
            </w:pPr>
          </w:p>
        </w:tc>
        <w:tc>
          <w:tcPr>
            <w:tcW w:w="180" w:type="dxa"/>
            <w:vAlign w:val="bottom"/>
            <w:shd w:val="clear" w:color="auto" w:fill="CCFFCC"/>
          </w:tcPr>
          <w:p>
            <w:pPr>
              <w:spacing w:after="0"/>
              <w:rPr>
                <w:sz w:val="22"/>
                <w:szCs w:val="22"/>
                <w:color w:val="auto"/>
              </w:rPr>
            </w:pPr>
          </w:p>
        </w:tc>
        <w:tc>
          <w:tcPr>
            <w:tcW w:w="94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1240" w:type="dxa"/>
            <w:vAlign w:val="bottom"/>
            <w:tcBorders>
              <w:right w:val="single" w:sz="8" w:color="CCFFCC"/>
            </w:tcBorders>
            <w:shd w:val="clear" w:color="auto" w:fill="CCFFCC"/>
          </w:tcPr>
          <w:p>
            <w:pPr>
              <w:jc w:val="right"/>
              <w:ind w:right="30"/>
              <w:spacing w:after="0"/>
              <w:rPr>
                <w:sz w:val="20"/>
                <w:szCs w:val="20"/>
                <w:color w:val="auto"/>
              </w:rPr>
            </w:pPr>
            <w:r>
              <w:rPr>
                <w:rFonts w:ascii="Arial" w:cs="Arial" w:eastAsia="Arial" w:hAnsi="Arial"/>
                <w:sz w:val="18"/>
                <w:szCs w:val="18"/>
                <w:color w:val="auto"/>
              </w:rPr>
              <w:t>98,250</w:t>
            </w:r>
          </w:p>
        </w:tc>
        <w:tc>
          <w:tcPr>
            <w:tcW w:w="180" w:type="dxa"/>
            <w:vAlign w:val="bottom"/>
            <w:shd w:val="clear" w:color="auto" w:fill="CCFFCC"/>
          </w:tcPr>
          <w:p>
            <w:pPr>
              <w:spacing w:after="0"/>
              <w:rPr>
                <w:sz w:val="22"/>
                <w:szCs w:val="22"/>
                <w:color w:val="auto"/>
              </w:rPr>
            </w:pPr>
          </w:p>
        </w:tc>
        <w:tc>
          <w:tcPr>
            <w:tcW w:w="96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r>
      <w:tr>
        <w:trPr>
          <w:trHeight w:val="20"/>
        </w:trPr>
        <w:tc>
          <w:tcPr>
            <w:tcW w:w="3900" w:type="dxa"/>
            <w:vAlign w:val="bottom"/>
            <w:tcBorders>
              <w:top w:val="single" w:sz="8" w:color="CCFFCC"/>
            </w:tcBorders>
            <w:shd w:val="clear" w:color="auto" w:fill="CCFFCC"/>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24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9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5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Transferability of shares is restricted for a four-year period, except in the event of a change in control as defined.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Ownership Plan/Stock Bonus Plan:</w:t>
      </w:r>
    </w:p>
    <w:p>
      <w:pPr>
        <w:spacing w:after="0" w:line="28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During 1990 the Company amended its Stock Bonus Plan to become an Employee Stock Ownership Plan (“ESOP”). By means of a bank note, subsequently repaid, the Company reacquired 561,652 shares of its common stock during fiscal 1990. These shares plus approximately 510,000 additional shares issued by the Company from its authorized, unissued shares were sold to the ESOP in May 1990. Shares were released for allocation to participants based on a formula as specified in the ESOP document. By the end of fiscal 2000, all shares (1,071,652) had been allocated to participant accounts of which 556,785 shares remain in the ESOP.</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Compensation Plan:</w:t>
      </w:r>
    </w:p>
    <w:p>
      <w:pPr>
        <w:spacing w:after="0" w:line="28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Company has a program for key employees providing for the payment of benefits upon retirement or death. Under the plan, each key employee receives specified retirement payments for the remainder of the employee's life with a minimum payment of ten years' benefits to either the employee or his beneficiaries. The plan also provides for reduced benefits upon early retirement or termination of employment. The Company pays the benefits out of its working capital but has also purchased whole life or term life insurance policies on the lives of certain of the participants to cover the optional lump sum obligations of the plan upon the death of the participant.</w:t>
      </w:r>
    </w:p>
    <w:p>
      <w:pPr>
        <w:spacing w:after="0" w:line="24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Deferred compensation expense charged to operations during the years ended April 30, 2007, 2006 and 2005 was approximately $878,000, $636,000 and $1,266,000, respectively. During fiscal year 2005, the Company recorded a change in accounting estimate in the amount of $327,000 to reflect the use of a revised actuarial mortality tables to determine its deferred compensation liability.</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1" w:name="page52"/>
    <w:bookmarkEnd w:id="51"/>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279" w:lineRule="exact"/>
        <w:rPr>
          <w:sz w:val="20"/>
          <w:szCs w:val="20"/>
          <w:color w:val="auto"/>
        </w:rPr>
      </w:pPr>
    </w:p>
    <w:p>
      <w:pPr>
        <w:ind w:left="820" w:hanging="812"/>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Income Taxes</w:t>
      </w:r>
    </w:p>
    <w:p>
      <w:pPr>
        <w:spacing w:after="0" w:line="2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(loss) income before (benefit) provision for income taxes consisted of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8"/>
                <w:szCs w:val="18"/>
                <w:color w:val="auto"/>
                <w:w w:val="93"/>
              </w:rPr>
              <w:t>Year Ended April 30,</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64"/>
        </w:trPr>
        <w:tc>
          <w:tcPr>
            <w:tcW w:w="67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2006</w:t>
            </w:r>
          </w:p>
        </w:tc>
        <w:tc>
          <w:tcPr>
            <w:tcW w:w="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22"/>
                <w:szCs w:val="22"/>
                <w:color w:val="auto"/>
              </w:rPr>
            </w:pPr>
          </w:p>
        </w:tc>
      </w:tr>
      <w:tr>
        <w:trPr>
          <w:trHeight w:val="237"/>
        </w:trPr>
        <w:tc>
          <w:tcPr>
            <w:tcW w:w="6740" w:type="dxa"/>
            <w:vAlign w:val="bottom"/>
            <w:shd w:val="clear" w:color="auto" w:fill="CCFFCC"/>
          </w:tcPr>
          <w:p>
            <w:pPr>
              <w:ind w:left="1140"/>
              <w:spacing w:after="0"/>
              <w:rPr>
                <w:sz w:val="20"/>
                <w:szCs w:val="20"/>
                <w:color w:val="auto"/>
              </w:rPr>
            </w:pPr>
            <w:r>
              <w:rPr>
                <w:rFonts w:ascii="Arial" w:cs="Arial" w:eastAsia="Arial" w:hAnsi="Arial"/>
                <w:sz w:val="18"/>
                <w:szCs w:val="18"/>
                <w:color w:val="auto"/>
              </w:rPr>
              <w:t>U.S.</w:t>
            </w: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(1,944)</w:t>
            </w:r>
          </w:p>
        </w:tc>
        <w:tc>
          <w:tcPr>
            <w:tcW w:w="4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5,446</w:t>
            </w:r>
          </w:p>
        </w:tc>
        <w:tc>
          <w:tcPr>
            <w:tcW w:w="220" w:type="dxa"/>
            <w:vAlign w:val="bottom"/>
            <w:shd w:val="clear" w:color="auto" w:fill="CCFFCC"/>
          </w:tcPr>
          <w:p>
            <w:pPr>
              <w:spacing w:after="0"/>
              <w:rPr>
                <w:sz w:val="20"/>
                <w:szCs w:val="20"/>
                <w:color w:val="auto"/>
              </w:rPr>
            </w:pP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6,977</w:t>
            </w:r>
          </w:p>
        </w:tc>
      </w:tr>
      <w:tr>
        <w:trPr>
          <w:trHeight w:val="270"/>
        </w:trPr>
        <w:tc>
          <w:tcPr>
            <w:tcW w:w="6740" w:type="dxa"/>
            <w:vAlign w:val="bottom"/>
          </w:tcPr>
          <w:p>
            <w:pPr>
              <w:ind w:left="1140"/>
              <w:spacing w:after="0"/>
              <w:rPr>
                <w:sz w:val="20"/>
                <w:szCs w:val="20"/>
                <w:color w:val="auto"/>
              </w:rPr>
            </w:pPr>
            <w:r>
              <w:rPr>
                <w:rFonts w:ascii="Arial" w:cs="Arial" w:eastAsia="Arial" w:hAnsi="Arial"/>
                <w:sz w:val="18"/>
                <w:szCs w:val="18"/>
                <w:color w:val="auto"/>
              </w:rPr>
              <w:t>Foreign</w:t>
            </w: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1,181</w:t>
            </w:r>
          </w:p>
        </w:tc>
        <w:tc>
          <w:tcPr>
            <w:tcW w:w="2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3"/>
                <w:szCs w:val="23"/>
                <w:color w:val="auto"/>
              </w:rPr>
            </w:pPr>
          </w:p>
        </w:tc>
      </w:tr>
      <w:tr>
        <w:trPr>
          <w:trHeight w:val="277"/>
        </w:trPr>
        <w:tc>
          <w:tcPr>
            <w:tcW w:w="6740" w:type="dxa"/>
            <w:vAlign w:val="bottom"/>
            <w:shd w:val="clear" w:color="auto" w:fill="CCFFCC"/>
          </w:tcPr>
          <w:p>
            <w:pPr>
              <w:spacing w:after="0"/>
              <w:rPr>
                <w:sz w:val="24"/>
                <w:szCs w:val="24"/>
                <w:color w:val="auto"/>
              </w:rPr>
            </w:pP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(1,812)</w:t>
            </w:r>
          </w:p>
        </w:tc>
        <w:tc>
          <w:tcPr>
            <w:tcW w:w="4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6,627</w:t>
            </w:r>
          </w:p>
        </w:tc>
        <w:tc>
          <w:tcPr>
            <w:tcW w:w="220" w:type="dxa"/>
            <w:vAlign w:val="bottom"/>
            <w:shd w:val="clear" w:color="auto" w:fill="CCFFCC"/>
          </w:tcPr>
          <w:p>
            <w:pPr>
              <w:spacing w:after="0"/>
              <w:rPr>
                <w:sz w:val="24"/>
                <w:szCs w:val="24"/>
                <w:color w:val="auto"/>
              </w:rPr>
            </w:pP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7,147</w:t>
            </w:r>
          </w:p>
        </w:tc>
      </w:tr>
      <w:tr>
        <w:trPr>
          <w:trHeight w:val="224"/>
        </w:trPr>
        <w:tc>
          <w:tcPr>
            <w:tcW w:w="6740" w:type="dxa"/>
            <w:vAlign w:val="bottom"/>
            <w:tcBorders>
              <w:top w:val="single" w:sz="8" w:color="CCFFCC"/>
            </w:tcBorders>
          </w:tcPr>
          <w:p>
            <w:pPr>
              <w:ind w:left="500"/>
              <w:spacing w:after="0"/>
              <w:rPr>
                <w:sz w:val="20"/>
                <w:szCs w:val="20"/>
                <w:color w:val="auto"/>
              </w:rPr>
            </w:pPr>
            <w:r>
              <w:rPr>
                <w:rFonts w:ascii="Arial" w:cs="Arial" w:eastAsia="Arial" w:hAnsi="Arial"/>
                <w:sz w:val="18"/>
                <w:szCs w:val="18"/>
                <w:color w:val="auto"/>
                <w:w w:val="97"/>
              </w:rPr>
              <w:t>The (benefit) provision for income taxes consists of the following (in thousands):</w:t>
            </w: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c>
          <w:tcPr>
            <w:tcW w:w="140" w:type="dxa"/>
            <w:vAlign w:val="bottom"/>
            <w:tcBorders>
              <w:top w:val="single" w:sz="8" w:color="CCFFC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20" w:type="dxa"/>
            <w:vAlign w:val="bottom"/>
            <w:tcBorders>
              <w:top w:val="single" w:sz="8" w:color="CCFFC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Borders>
              <w:top w:val="single" w:sz="8" w:color="CCFFCC"/>
            </w:tcBorders>
          </w:tcPr>
          <w:p>
            <w:pPr>
              <w:spacing w:after="0"/>
              <w:rPr>
                <w:sz w:val="19"/>
                <w:szCs w:val="19"/>
                <w:color w:val="auto"/>
              </w:rPr>
            </w:pPr>
          </w:p>
        </w:tc>
      </w:tr>
      <w:tr>
        <w:trPr>
          <w:trHeight w:val="270"/>
        </w:trPr>
        <w:tc>
          <w:tcPr>
            <w:tcW w:w="67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2006</w:t>
            </w:r>
          </w:p>
        </w:tc>
        <w:tc>
          <w:tcPr>
            <w:tcW w:w="2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23"/>
                <w:szCs w:val="23"/>
                <w:color w:val="auto"/>
              </w:rPr>
            </w:pPr>
          </w:p>
        </w:tc>
      </w:tr>
      <w:tr>
        <w:trPr>
          <w:trHeight w:val="237"/>
        </w:trPr>
        <w:tc>
          <w:tcPr>
            <w:tcW w:w="6740" w:type="dxa"/>
            <w:vAlign w:val="bottom"/>
          </w:tcPr>
          <w:p>
            <w:pPr>
              <w:ind w:left="660"/>
              <w:spacing w:after="0"/>
              <w:rPr>
                <w:sz w:val="20"/>
                <w:szCs w:val="20"/>
                <w:color w:val="auto"/>
              </w:rPr>
            </w:pPr>
            <w:r>
              <w:rPr>
                <w:rFonts w:ascii="Arial" w:cs="Arial" w:eastAsia="Arial" w:hAnsi="Arial"/>
                <w:sz w:val="18"/>
                <w:szCs w:val="18"/>
                <w:color w:val="auto"/>
              </w:rPr>
              <w:t>Current:</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740" w:type="dxa"/>
            <w:vAlign w:val="bottom"/>
            <w:shd w:val="clear" w:color="auto" w:fill="CCFFCC"/>
          </w:tcPr>
          <w:p>
            <w:pPr>
              <w:ind w:left="820"/>
              <w:spacing w:after="0"/>
              <w:rPr>
                <w:sz w:val="20"/>
                <w:szCs w:val="20"/>
                <w:color w:val="auto"/>
              </w:rPr>
            </w:pPr>
            <w:r>
              <w:rPr>
                <w:rFonts w:ascii="Arial" w:cs="Arial" w:eastAsia="Arial" w:hAnsi="Arial"/>
                <w:sz w:val="18"/>
                <w:szCs w:val="18"/>
                <w:color w:val="auto"/>
              </w:rPr>
              <w:t>Federal</w:t>
            </w: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(150)</w:t>
            </w:r>
          </w:p>
        </w:tc>
        <w:tc>
          <w:tcPr>
            <w:tcW w:w="4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850</w:t>
            </w: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4,200</w:t>
            </w:r>
          </w:p>
        </w:tc>
      </w:tr>
      <w:tr>
        <w:trPr>
          <w:trHeight w:val="243"/>
        </w:trPr>
        <w:tc>
          <w:tcPr>
            <w:tcW w:w="6740" w:type="dxa"/>
            <w:vAlign w:val="bottom"/>
          </w:tcPr>
          <w:p>
            <w:pPr>
              <w:ind w:left="820"/>
              <w:spacing w:after="0"/>
              <w:rPr>
                <w:sz w:val="20"/>
                <w:szCs w:val="20"/>
                <w:color w:val="auto"/>
              </w:rPr>
            </w:pPr>
            <w:r>
              <w:rPr>
                <w:rFonts w:ascii="Arial" w:cs="Arial" w:eastAsia="Arial" w:hAnsi="Arial"/>
                <w:sz w:val="18"/>
                <w:szCs w:val="18"/>
                <w:color w:val="auto"/>
              </w:rPr>
              <w:t>Foreign</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70</w:t>
            </w:r>
          </w:p>
        </w:tc>
      </w:tr>
      <w:tr>
        <w:trPr>
          <w:trHeight w:val="250"/>
        </w:trPr>
        <w:tc>
          <w:tcPr>
            <w:tcW w:w="6740" w:type="dxa"/>
            <w:vAlign w:val="bottom"/>
            <w:tcBorders>
              <w:bottom w:val="single" w:sz="8" w:color="CCFFCC"/>
            </w:tcBorders>
            <w:shd w:val="clear" w:color="auto" w:fill="CCFFCC"/>
          </w:tcPr>
          <w:p>
            <w:pPr>
              <w:ind w:left="820"/>
              <w:spacing w:after="0"/>
              <w:rPr>
                <w:sz w:val="20"/>
                <w:szCs w:val="20"/>
                <w:color w:val="auto"/>
              </w:rPr>
            </w:pPr>
            <w:r>
              <w:rPr>
                <w:rFonts w:ascii="Arial" w:cs="Arial" w:eastAsia="Arial" w:hAnsi="Arial"/>
                <w:sz w:val="18"/>
                <w:szCs w:val="18"/>
                <w:color w:val="auto"/>
              </w:rPr>
              <w:t>State</w:t>
            </w:r>
          </w:p>
        </w:tc>
        <w:tc>
          <w:tcPr>
            <w:tcW w:w="300" w:type="dxa"/>
            <w:vAlign w:val="bottom"/>
            <w:tcBorders>
              <w:bottom w:val="single" w:sz="8" w:color="CCFFCC"/>
            </w:tcBorders>
            <w:shd w:val="clear" w:color="auto" w:fill="CCFFCC"/>
          </w:tcPr>
          <w:p>
            <w:pPr>
              <w:spacing w:after="0"/>
              <w:rPr>
                <w:sz w:val="21"/>
                <w:szCs w:val="21"/>
                <w:color w:val="auto"/>
              </w:rPr>
            </w:pPr>
          </w:p>
        </w:tc>
        <w:tc>
          <w:tcPr>
            <w:tcW w:w="118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(100)</w:t>
            </w:r>
          </w:p>
        </w:tc>
        <w:tc>
          <w:tcPr>
            <w:tcW w:w="140" w:type="dxa"/>
            <w:vAlign w:val="bottom"/>
            <w:tcBorders>
              <w:bottom w:val="single" w:sz="8" w:color="CCFFCC"/>
            </w:tcBorders>
            <w:shd w:val="clear" w:color="auto" w:fill="CCFFCC"/>
          </w:tcPr>
          <w:p>
            <w:pPr>
              <w:spacing w:after="0"/>
              <w:rPr>
                <w:sz w:val="21"/>
                <w:szCs w:val="21"/>
                <w:color w:val="auto"/>
              </w:rPr>
            </w:pPr>
          </w:p>
        </w:tc>
        <w:tc>
          <w:tcPr>
            <w:tcW w:w="30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100</w:t>
            </w:r>
          </w:p>
        </w:tc>
        <w:tc>
          <w:tcPr>
            <w:tcW w:w="30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450</w:t>
            </w:r>
          </w:p>
        </w:tc>
      </w:tr>
      <w:tr>
        <w:trPr>
          <w:trHeight w:val="20"/>
        </w:trPr>
        <w:tc>
          <w:tcPr>
            <w:tcW w:w="674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64"/>
        </w:trPr>
        <w:tc>
          <w:tcPr>
            <w:tcW w:w="6740" w:type="dxa"/>
            <w:vAlign w:val="bottom"/>
          </w:tcPr>
          <w:p>
            <w:pPr>
              <w:ind w:left="980"/>
              <w:spacing w:after="0"/>
              <w:rPr>
                <w:sz w:val="20"/>
                <w:szCs w:val="20"/>
                <w:color w:val="auto"/>
              </w:rPr>
            </w:pPr>
            <w:r>
              <w:rPr>
                <w:rFonts w:ascii="Arial" w:cs="Arial" w:eastAsia="Arial" w:hAnsi="Arial"/>
                <w:sz w:val="18"/>
                <w:szCs w:val="18"/>
                <w:color w:val="auto"/>
              </w:rPr>
              <w:t>Current (benefit) provision</w:t>
            </w:r>
          </w:p>
        </w:tc>
        <w:tc>
          <w:tcPr>
            <w:tcW w:w="300" w:type="dxa"/>
            <w:vAlign w:val="bottom"/>
          </w:tcPr>
          <w:p>
            <w:pPr>
              <w:spacing w:after="0"/>
              <w:rPr>
                <w:sz w:val="22"/>
                <w:szCs w:val="22"/>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(250)</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943</w:t>
            </w:r>
          </w:p>
        </w:tc>
        <w:tc>
          <w:tcPr>
            <w:tcW w:w="300" w:type="dxa"/>
            <w:vAlign w:val="bottom"/>
          </w:tcPr>
          <w:p>
            <w:pPr>
              <w:spacing w:after="0"/>
              <w:rPr>
                <w:sz w:val="22"/>
                <w:szCs w:val="22"/>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4,720</w:t>
            </w:r>
          </w:p>
        </w:tc>
      </w:tr>
      <w:tr>
        <w:trPr>
          <w:trHeight w:val="237"/>
        </w:trPr>
        <w:tc>
          <w:tcPr>
            <w:tcW w:w="6740" w:type="dxa"/>
            <w:vAlign w:val="bottom"/>
            <w:shd w:val="clear" w:color="auto" w:fill="CCFFCC"/>
          </w:tcPr>
          <w:p>
            <w:pPr>
              <w:ind w:left="660"/>
              <w:spacing w:after="0"/>
              <w:rPr>
                <w:sz w:val="20"/>
                <w:szCs w:val="20"/>
                <w:color w:val="auto"/>
              </w:rPr>
            </w:pPr>
            <w:r>
              <w:rPr>
                <w:rFonts w:ascii="Arial" w:cs="Arial" w:eastAsia="Arial" w:hAnsi="Arial"/>
                <w:sz w:val="18"/>
                <w:szCs w:val="18"/>
                <w:color w:val="auto"/>
              </w:rPr>
              <w:t>Deferred</w:t>
            </w:r>
          </w:p>
        </w:tc>
        <w:tc>
          <w:tcPr>
            <w:tcW w:w="300" w:type="dxa"/>
            <w:vAlign w:val="bottom"/>
            <w:tcBorders>
              <w:top w:val="single" w:sz="8" w:color="auto"/>
            </w:tcBorders>
            <w:shd w:val="clear" w:color="auto" w:fill="CCFFCC"/>
          </w:tcPr>
          <w:p>
            <w:pPr>
              <w:spacing w:after="0"/>
              <w:rPr>
                <w:sz w:val="20"/>
                <w:szCs w:val="20"/>
                <w:color w:val="auto"/>
              </w:rPr>
            </w:pPr>
          </w:p>
        </w:tc>
        <w:tc>
          <w:tcPr>
            <w:tcW w:w="108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140" w:type="dxa"/>
            <w:vAlign w:val="bottom"/>
            <w:shd w:val="clear" w:color="auto" w:fill="CCFFCC"/>
          </w:tcPr>
          <w:p>
            <w:pPr>
              <w:spacing w:after="0"/>
              <w:rPr>
                <w:sz w:val="20"/>
                <w:szCs w:val="20"/>
                <w:color w:val="auto"/>
              </w:rPr>
            </w:pPr>
          </w:p>
        </w:tc>
        <w:tc>
          <w:tcPr>
            <w:tcW w:w="300" w:type="dxa"/>
            <w:vAlign w:val="bottom"/>
            <w:tcBorders>
              <w:top w:val="single" w:sz="8" w:color="auto"/>
            </w:tcBorders>
            <w:shd w:val="clear" w:color="auto" w:fill="CCFFCC"/>
          </w:tcPr>
          <w:p>
            <w:pPr>
              <w:spacing w:after="0"/>
              <w:rPr>
                <w:sz w:val="20"/>
                <w:szCs w:val="20"/>
                <w:color w:val="auto"/>
              </w:rPr>
            </w:pPr>
          </w:p>
        </w:tc>
        <w:tc>
          <w:tcPr>
            <w:tcW w:w="10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300" w:type="dxa"/>
            <w:vAlign w:val="bottom"/>
            <w:tcBorders>
              <w:top w:val="single" w:sz="8" w:color="auto"/>
            </w:tcBorders>
            <w:shd w:val="clear" w:color="auto" w:fill="CCFFCC"/>
          </w:tcPr>
          <w:p>
            <w:pPr>
              <w:spacing w:after="0"/>
              <w:rPr>
                <w:sz w:val="20"/>
                <w:szCs w:val="20"/>
                <w:color w:val="auto"/>
              </w:rPr>
            </w:pPr>
          </w:p>
        </w:tc>
        <w:tc>
          <w:tcPr>
            <w:tcW w:w="10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6740" w:type="dxa"/>
            <w:vAlign w:val="bottom"/>
          </w:tcPr>
          <w:p>
            <w:pPr>
              <w:ind w:left="820"/>
              <w:spacing w:after="0"/>
              <w:rPr>
                <w:sz w:val="20"/>
                <w:szCs w:val="20"/>
                <w:color w:val="auto"/>
              </w:rPr>
            </w:pPr>
            <w:r>
              <w:rPr>
                <w:rFonts w:ascii="Arial" w:cs="Arial" w:eastAsia="Arial" w:hAnsi="Arial"/>
                <w:sz w:val="18"/>
                <w:szCs w:val="18"/>
                <w:color w:val="auto"/>
              </w:rPr>
              <w:t>Federal</w:t>
            </w:r>
          </w:p>
        </w:tc>
        <w:tc>
          <w:tcPr>
            <w:tcW w:w="30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(950)</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650</w:t>
            </w:r>
          </w:p>
        </w:tc>
        <w:tc>
          <w:tcPr>
            <w:tcW w:w="3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(2,250)</w:t>
            </w:r>
          </w:p>
        </w:tc>
      </w:tr>
      <w:tr>
        <w:trPr>
          <w:trHeight w:val="243"/>
        </w:trPr>
        <w:tc>
          <w:tcPr>
            <w:tcW w:w="6740" w:type="dxa"/>
            <w:vAlign w:val="bottom"/>
            <w:shd w:val="clear" w:color="auto" w:fill="CCFFCC"/>
          </w:tcPr>
          <w:p>
            <w:pPr>
              <w:ind w:left="820"/>
              <w:spacing w:after="0"/>
              <w:rPr>
                <w:sz w:val="20"/>
                <w:szCs w:val="20"/>
                <w:color w:val="auto"/>
              </w:rPr>
            </w:pPr>
            <w:r>
              <w:rPr>
                <w:rFonts w:ascii="Arial" w:cs="Arial" w:eastAsia="Arial" w:hAnsi="Arial"/>
                <w:sz w:val="18"/>
                <w:szCs w:val="18"/>
                <w:color w:val="auto"/>
              </w:rPr>
              <w:t>Foreign</w:t>
            </w:r>
          </w:p>
        </w:tc>
        <w:tc>
          <w:tcPr>
            <w:tcW w:w="30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(205)</w:t>
            </w:r>
          </w:p>
        </w:tc>
        <w:tc>
          <w:tcPr>
            <w:tcW w:w="14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136</w:t>
            </w:r>
          </w:p>
        </w:tc>
        <w:tc>
          <w:tcPr>
            <w:tcW w:w="30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w:t>
            </w:r>
          </w:p>
        </w:tc>
      </w:tr>
      <w:tr>
        <w:trPr>
          <w:trHeight w:val="243"/>
        </w:trPr>
        <w:tc>
          <w:tcPr>
            <w:tcW w:w="6740" w:type="dxa"/>
            <w:vAlign w:val="bottom"/>
          </w:tcPr>
          <w:p>
            <w:pPr>
              <w:ind w:left="820"/>
              <w:spacing w:after="0"/>
              <w:rPr>
                <w:sz w:val="20"/>
                <w:szCs w:val="20"/>
                <w:color w:val="auto"/>
              </w:rPr>
            </w:pPr>
            <w:r>
              <w:rPr>
                <w:rFonts w:ascii="Arial" w:cs="Arial" w:eastAsia="Arial" w:hAnsi="Arial"/>
                <w:sz w:val="18"/>
                <w:szCs w:val="18"/>
                <w:color w:val="auto"/>
              </w:rPr>
              <w:t>State</w:t>
            </w:r>
          </w:p>
        </w:tc>
        <w:tc>
          <w:tcPr>
            <w:tcW w:w="30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(150)</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(400)</w:t>
            </w:r>
          </w:p>
        </w:tc>
      </w:tr>
      <w:tr>
        <w:trPr>
          <w:trHeight w:val="250"/>
        </w:trPr>
        <w:tc>
          <w:tcPr>
            <w:tcW w:w="6740" w:type="dxa"/>
            <w:vAlign w:val="bottom"/>
            <w:tcBorders>
              <w:bottom w:val="single" w:sz="8" w:color="CCFFCC"/>
            </w:tcBorders>
            <w:shd w:val="clear" w:color="auto" w:fill="CCFFCC"/>
          </w:tcPr>
          <w:p>
            <w:pPr>
              <w:ind w:left="820"/>
              <w:spacing w:after="0"/>
              <w:rPr>
                <w:sz w:val="20"/>
                <w:szCs w:val="20"/>
                <w:color w:val="auto"/>
              </w:rPr>
            </w:pPr>
            <w:r>
              <w:rPr>
                <w:rFonts w:ascii="Arial" w:cs="Arial" w:eastAsia="Arial" w:hAnsi="Arial"/>
                <w:sz w:val="18"/>
                <w:szCs w:val="18"/>
                <w:color w:val="auto"/>
              </w:rPr>
              <w:t>Valuation allowance- foreign</w:t>
            </w:r>
          </w:p>
        </w:tc>
        <w:tc>
          <w:tcPr>
            <w:tcW w:w="30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CCFFCC"/>
            </w:tcBorders>
            <w:shd w:val="clear" w:color="auto" w:fill="CCFFCC"/>
          </w:tcPr>
          <w:p>
            <w:pPr>
              <w:spacing w:after="0"/>
              <w:rPr>
                <w:sz w:val="21"/>
                <w:szCs w:val="21"/>
                <w:color w:val="auto"/>
              </w:rPr>
            </w:pPr>
          </w:p>
        </w:tc>
        <w:tc>
          <w:tcPr>
            <w:tcW w:w="30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FFCC"/>
            </w:tcBorders>
            <w:shd w:val="clear" w:color="auto" w:fill="CCFFCC"/>
          </w:tcPr>
          <w:p>
            <w:pPr>
              <w:spacing w:after="0"/>
              <w:rPr>
                <w:sz w:val="21"/>
                <w:szCs w:val="21"/>
                <w:color w:val="auto"/>
              </w:rPr>
            </w:pPr>
          </w:p>
        </w:tc>
        <w:tc>
          <w:tcPr>
            <w:tcW w:w="30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674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64"/>
        </w:trPr>
        <w:tc>
          <w:tcPr>
            <w:tcW w:w="6740" w:type="dxa"/>
            <w:vAlign w:val="bottom"/>
          </w:tcPr>
          <w:p>
            <w:pPr>
              <w:ind w:left="980"/>
              <w:spacing w:after="0"/>
              <w:rPr>
                <w:sz w:val="20"/>
                <w:szCs w:val="20"/>
                <w:color w:val="auto"/>
              </w:rPr>
            </w:pPr>
            <w:r>
              <w:rPr>
                <w:rFonts w:ascii="Arial" w:cs="Arial" w:eastAsia="Arial" w:hAnsi="Arial"/>
                <w:sz w:val="18"/>
                <w:szCs w:val="18"/>
                <w:color w:val="auto"/>
              </w:rPr>
              <w:t>Deferred (benefit) provision</w:t>
            </w:r>
          </w:p>
        </w:tc>
        <w:tc>
          <w:tcPr>
            <w:tcW w:w="300" w:type="dxa"/>
            <w:vAlign w:val="bottom"/>
          </w:tcPr>
          <w:p>
            <w:pPr>
              <w:spacing w:after="0"/>
              <w:rPr>
                <w:sz w:val="22"/>
                <w:szCs w:val="22"/>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(1,305)</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886</w:t>
            </w:r>
          </w:p>
        </w:tc>
        <w:tc>
          <w:tcPr>
            <w:tcW w:w="300" w:type="dxa"/>
            <w:vAlign w:val="bottom"/>
          </w:tcPr>
          <w:p>
            <w:pPr>
              <w:spacing w:after="0"/>
              <w:rPr>
                <w:sz w:val="22"/>
                <w:szCs w:val="22"/>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(2,610)</w:t>
            </w:r>
          </w:p>
        </w:tc>
      </w:tr>
      <w:tr>
        <w:trPr>
          <w:trHeight w:val="20"/>
        </w:trPr>
        <w:tc>
          <w:tcPr>
            <w:tcW w:w="67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6740" w:type="dxa"/>
            <w:vAlign w:val="bottom"/>
            <w:shd w:val="clear" w:color="auto" w:fill="CCFFCC"/>
          </w:tcPr>
          <w:p>
            <w:pPr>
              <w:ind w:left="820"/>
              <w:spacing w:after="0"/>
              <w:rPr>
                <w:sz w:val="20"/>
                <w:szCs w:val="20"/>
                <w:color w:val="auto"/>
              </w:rPr>
            </w:pPr>
            <w:r>
              <w:rPr>
                <w:rFonts w:ascii="Arial" w:cs="Arial" w:eastAsia="Arial" w:hAnsi="Arial"/>
                <w:sz w:val="18"/>
                <w:szCs w:val="18"/>
                <w:color w:val="auto"/>
              </w:rPr>
              <w:t>Total (benefit) provision</w:t>
            </w: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(1,555)</w:t>
            </w:r>
          </w:p>
        </w:tc>
        <w:tc>
          <w:tcPr>
            <w:tcW w:w="4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1,829</w:t>
            </w:r>
          </w:p>
        </w:tc>
        <w:tc>
          <w:tcPr>
            <w:tcW w:w="220" w:type="dxa"/>
            <w:vAlign w:val="bottom"/>
            <w:shd w:val="clear" w:color="auto" w:fill="CCFFCC"/>
          </w:tcPr>
          <w:p>
            <w:pPr>
              <w:spacing w:after="0"/>
              <w:rPr>
                <w:sz w:val="22"/>
                <w:szCs w:val="22"/>
                <w:color w:val="auto"/>
              </w:rPr>
            </w:pP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2,110</w:t>
            </w:r>
          </w:p>
        </w:tc>
      </w:tr>
      <w:tr>
        <w:trPr>
          <w:trHeight w:val="20"/>
        </w:trPr>
        <w:tc>
          <w:tcPr>
            <w:tcW w:w="674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29"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The following table reconciles the reported income tax (benefit) expense with the amount computed using the federal statutory income tax rate (in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2007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2006</w:t>
            </w: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7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Computed "expected" tax (benefit) expense</w:t>
            </w:r>
          </w:p>
        </w:tc>
        <w:tc>
          <w:tcPr>
            <w:tcW w:w="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(616)</w:t>
            </w:r>
          </w:p>
        </w:tc>
        <w:tc>
          <w:tcPr>
            <w:tcW w:w="4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2,253</w:t>
            </w:r>
          </w:p>
        </w:tc>
        <w:tc>
          <w:tcPr>
            <w:tcW w:w="220" w:type="dxa"/>
            <w:vAlign w:val="bottom"/>
            <w:shd w:val="clear" w:color="auto" w:fill="CCFFCC"/>
          </w:tcPr>
          <w:p>
            <w:pPr>
              <w:spacing w:after="0"/>
              <w:rPr>
                <w:sz w:val="20"/>
                <w:szCs w:val="20"/>
                <w:color w:val="auto"/>
              </w:rPr>
            </w:pPr>
          </w:p>
        </w:tc>
        <w:tc>
          <w:tcPr>
            <w:tcW w:w="3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2,430</w:t>
            </w:r>
          </w:p>
        </w:tc>
        <w:tc>
          <w:tcPr>
            <w:tcW w:w="0" w:type="dxa"/>
            <w:vAlign w:val="bottom"/>
          </w:tcPr>
          <w:p>
            <w:pPr>
              <w:spacing w:after="0"/>
              <w:rPr>
                <w:sz w:val="1"/>
                <w:szCs w:val="1"/>
                <w:color w:val="auto"/>
              </w:rPr>
            </w:pP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color w:val="auto"/>
              </w:rPr>
              <w:t>State and local tax, net of federal benefit</w:t>
            </w:r>
          </w:p>
        </w:tc>
        <w:tc>
          <w:tcPr>
            <w:tcW w:w="340" w:type="dxa"/>
            <w:vAlign w:val="bottom"/>
          </w:tcPr>
          <w:p>
            <w:pPr>
              <w:spacing w:after="0"/>
              <w:rPr>
                <w:sz w:val="21"/>
                <w:szCs w:val="21"/>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132</w:t>
            </w:r>
          </w:p>
        </w:tc>
        <w:tc>
          <w:tcPr>
            <w:tcW w:w="32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43"/>
        </w:trPr>
        <w:tc>
          <w:tcPr>
            <w:tcW w:w="67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Nontaxable income from foreign subsidiaries</w:t>
            </w:r>
          </w:p>
        </w:tc>
        <w:tc>
          <w:tcPr>
            <w:tcW w:w="34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(255)</w:t>
            </w:r>
          </w:p>
        </w:tc>
        <w:tc>
          <w:tcPr>
            <w:tcW w:w="32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color w:val="auto"/>
              </w:rPr>
              <w:t>Reserve reversal on foreign deferred taxes</w:t>
            </w:r>
          </w:p>
        </w:tc>
        <w:tc>
          <w:tcPr>
            <w:tcW w:w="340" w:type="dxa"/>
            <w:vAlign w:val="bottom"/>
          </w:tcPr>
          <w:p>
            <w:pPr>
              <w:spacing w:after="0"/>
              <w:rPr>
                <w:sz w:val="21"/>
                <w:szCs w:val="21"/>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Nondeductible expenses</w:t>
            </w:r>
          </w:p>
        </w:tc>
        <w:tc>
          <w:tcPr>
            <w:tcW w:w="340" w:type="dxa"/>
            <w:vAlign w:val="bottom"/>
            <w:shd w:val="clear" w:color="auto" w:fill="CCFFCC"/>
          </w:tcPr>
          <w:p>
            <w:pPr>
              <w:spacing w:after="0"/>
              <w:rPr>
                <w:sz w:val="21"/>
                <w:szCs w:val="21"/>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w:t>
            </w:r>
          </w:p>
        </w:tc>
        <w:tc>
          <w:tcPr>
            <w:tcW w:w="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164</w:t>
            </w:r>
          </w:p>
        </w:tc>
        <w:tc>
          <w:tcPr>
            <w:tcW w:w="32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43"/>
        </w:trPr>
        <w:tc>
          <w:tcPr>
            <w:tcW w:w="6740" w:type="dxa"/>
            <w:vAlign w:val="bottom"/>
            <w:gridSpan w:val="2"/>
          </w:tcPr>
          <w:p>
            <w:pPr>
              <w:spacing w:after="0"/>
              <w:rPr>
                <w:sz w:val="20"/>
                <w:szCs w:val="20"/>
                <w:color w:val="auto"/>
              </w:rPr>
            </w:pPr>
            <w:r>
              <w:rPr>
                <w:rFonts w:ascii="Arial" w:cs="Arial" w:eastAsia="Arial" w:hAnsi="Arial"/>
                <w:sz w:val="18"/>
                <w:szCs w:val="18"/>
                <w:color w:val="auto"/>
              </w:rPr>
              <w:t>Nontaxable life insurance cash value increase</w:t>
            </w:r>
          </w:p>
        </w:tc>
        <w:tc>
          <w:tcPr>
            <w:tcW w:w="340" w:type="dxa"/>
            <w:vAlign w:val="bottom"/>
          </w:tcPr>
          <w:p>
            <w:pPr>
              <w:spacing w:after="0"/>
              <w:rPr>
                <w:sz w:val="21"/>
                <w:szCs w:val="21"/>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c>
          <w:tcPr>
            <w:tcW w:w="320" w:type="dxa"/>
            <w:vAlign w:val="bottom"/>
          </w:tcPr>
          <w:p>
            <w:pPr>
              <w:spacing w:after="0"/>
              <w:rPr>
                <w:sz w:val="21"/>
                <w:szCs w:val="21"/>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43"/>
        </w:trPr>
        <w:tc>
          <w:tcPr>
            <w:tcW w:w="674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Tax credits</w:t>
            </w:r>
          </w:p>
        </w:tc>
        <w:tc>
          <w:tcPr>
            <w:tcW w:w="34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(217)</w:t>
            </w:r>
          </w:p>
        </w:tc>
        <w:tc>
          <w:tcPr>
            <w:tcW w:w="32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(549)</w:t>
            </w:r>
          </w:p>
        </w:tc>
        <w:tc>
          <w:tcPr>
            <w:tcW w:w="0" w:type="dxa"/>
            <w:vAlign w:val="bottom"/>
          </w:tcPr>
          <w:p>
            <w:pPr>
              <w:spacing w:after="0"/>
              <w:rPr>
                <w:sz w:val="1"/>
                <w:szCs w:val="1"/>
                <w:color w:val="auto"/>
              </w:rPr>
            </w:pPr>
          </w:p>
        </w:tc>
      </w:tr>
      <w:tr>
        <w:trPr>
          <w:trHeight w:val="270"/>
        </w:trPr>
        <w:tc>
          <w:tcPr>
            <w:tcW w:w="6740" w:type="dxa"/>
            <w:vAlign w:val="bottom"/>
            <w:gridSpan w:val="2"/>
          </w:tcPr>
          <w:p>
            <w:pPr>
              <w:spacing w:after="0"/>
              <w:rPr>
                <w:sz w:val="20"/>
                <w:szCs w:val="20"/>
                <w:color w:val="auto"/>
              </w:rPr>
            </w:pPr>
            <w:r>
              <w:rPr>
                <w:rFonts w:ascii="Arial" w:cs="Arial" w:eastAsia="Arial" w:hAnsi="Arial"/>
                <w:sz w:val="18"/>
                <w:szCs w:val="18"/>
                <w:color w:val="auto"/>
                <w:w w:val="94"/>
              </w:rPr>
              <w:t>Other items, net, none of which individually exceeds 5% of federal taxes at statutory rates</w:t>
            </w:r>
          </w:p>
        </w:tc>
        <w:tc>
          <w:tcPr>
            <w:tcW w:w="340" w:type="dxa"/>
            <w:vAlign w:val="bottom"/>
          </w:tcPr>
          <w:p>
            <w:pPr>
              <w:spacing w:after="0"/>
              <w:rPr>
                <w:sz w:val="23"/>
                <w:szCs w:val="23"/>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(148)</w:t>
            </w:r>
          </w:p>
        </w:tc>
        <w:tc>
          <w:tcPr>
            <w:tcW w:w="320" w:type="dxa"/>
            <w:vAlign w:val="bottom"/>
          </w:tcPr>
          <w:p>
            <w:pPr>
              <w:spacing w:after="0"/>
              <w:rPr>
                <w:sz w:val="23"/>
                <w:szCs w:val="23"/>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6520" w:type="dxa"/>
            <w:vAlign w:val="bottom"/>
            <w:shd w:val="clear" w:color="auto" w:fill="CCFFCC"/>
          </w:tcPr>
          <w:p>
            <w:pPr>
              <w:spacing w:after="0"/>
              <w:rPr>
                <w:sz w:val="24"/>
                <w:szCs w:val="24"/>
                <w:color w:val="auto"/>
              </w:rPr>
            </w:pPr>
          </w:p>
        </w:tc>
        <w:tc>
          <w:tcPr>
            <w:tcW w:w="220" w:type="dxa"/>
            <w:vAlign w:val="bottom"/>
            <w:shd w:val="clear" w:color="auto" w:fill="CCFFCC"/>
          </w:tcPr>
          <w:p>
            <w:pPr>
              <w:spacing w:after="0"/>
              <w:rPr>
                <w:sz w:val="24"/>
                <w:szCs w:val="24"/>
                <w:color w:val="auto"/>
              </w:rPr>
            </w:pPr>
          </w:p>
        </w:tc>
        <w:tc>
          <w:tcPr>
            <w:tcW w:w="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(1,555)</w:t>
            </w:r>
          </w:p>
        </w:tc>
        <w:tc>
          <w:tcPr>
            <w:tcW w:w="4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1,829</w:t>
            </w:r>
          </w:p>
        </w:tc>
        <w:tc>
          <w:tcPr>
            <w:tcW w:w="220" w:type="dxa"/>
            <w:vAlign w:val="bottom"/>
            <w:shd w:val="clear" w:color="auto" w:fill="CCFFCC"/>
          </w:tcPr>
          <w:p>
            <w:pPr>
              <w:spacing w:after="0"/>
              <w:rPr>
                <w:sz w:val="24"/>
                <w:szCs w:val="24"/>
                <w:color w:val="auto"/>
              </w:rPr>
            </w:pPr>
          </w:p>
        </w:tc>
        <w:tc>
          <w:tcPr>
            <w:tcW w:w="3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2,110</w:t>
            </w:r>
          </w:p>
        </w:tc>
        <w:tc>
          <w:tcPr>
            <w:tcW w:w="0" w:type="dxa"/>
            <w:vAlign w:val="bottom"/>
          </w:tcPr>
          <w:p>
            <w:pPr>
              <w:spacing w:after="0"/>
              <w:rPr>
                <w:sz w:val="1"/>
                <w:szCs w:val="1"/>
                <w:color w:val="auto"/>
              </w:rPr>
            </w:pPr>
          </w:p>
        </w:tc>
      </w:tr>
      <w:tr>
        <w:trPr>
          <w:trHeight w:val="467"/>
        </w:trPr>
        <w:tc>
          <w:tcPr>
            <w:tcW w:w="6740" w:type="dxa"/>
            <w:vAlign w:val="bottom"/>
            <w:tcBorders>
              <w:top w:val="single" w:sz="8" w:color="CCFFCC"/>
            </w:tcBorders>
            <w:gridSpan w:val="2"/>
          </w:tcPr>
          <w:p>
            <w:pPr>
              <w:ind w:left="180"/>
              <w:spacing w:after="0"/>
              <w:rPr>
                <w:sz w:val="20"/>
                <w:szCs w:val="20"/>
                <w:color w:val="auto"/>
              </w:rPr>
            </w:pPr>
            <w:r>
              <w:rPr>
                <w:rFonts w:ascii="Arial" w:cs="Arial" w:eastAsia="Arial" w:hAnsi="Arial"/>
                <w:sz w:val="18"/>
                <w:szCs w:val="18"/>
                <w:color w:val="auto"/>
              </w:rPr>
              <w:t>The components of deferred taxes are as follows (in thousands):</w:t>
            </w:r>
          </w:p>
        </w:tc>
        <w:tc>
          <w:tcPr>
            <w:tcW w:w="34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40" w:type="dxa"/>
            <w:vAlign w:val="bottom"/>
            <w:tcBorders>
              <w:top w:val="single" w:sz="8" w:color="CCFFCC"/>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2007</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2006</w:t>
            </w: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740" w:type="dxa"/>
            <w:vAlign w:val="bottom"/>
            <w:gridSpan w:val="2"/>
          </w:tcPr>
          <w:p>
            <w:pPr>
              <w:ind w:left="660"/>
              <w:spacing w:after="0"/>
              <w:rPr>
                <w:sz w:val="20"/>
                <w:szCs w:val="20"/>
                <w:color w:val="auto"/>
              </w:rPr>
            </w:pPr>
            <w:r>
              <w:rPr>
                <w:rFonts w:ascii="Arial" w:cs="Arial" w:eastAsia="Arial" w:hAnsi="Arial"/>
                <w:sz w:val="18"/>
                <w:szCs w:val="18"/>
                <w:color w:val="auto"/>
              </w:rPr>
              <w:t>Deferred tax assets:</w:t>
            </w:r>
          </w:p>
        </w:tc>
        <w:tc>
          <w:tcPr>
            <w:tcW w:w="3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gridSpan w:val="2"/>
            <w:shd w:val="clear" w:color="auto" w:fill="CCFFCC"/>
          </w:tcPr>
          <w:p>
            <w:pPr>
              <w:ind w:left="820"/>
              <w:spacing w:after="0"/>
              <w:rPr>
                <w:sz w:val="20"/>
                <w:szCs w:val="20"/>
                <w:color w:val="auto"/>
              </w:rPr>
            </w:pPr>
            <w:r>
              <w:rPr>
                <w:rFonts w:ascii="Arial" w:cs="Arial" w:eastAsia="Arial" w:hAnsi="Arial"/>
                <w:sz w:val="18"/>
                <w:szCs w:val="18"/>
                <w:color w:val="auto"/>
              </w:rPr>
              <w:t>Employee benefits</w:t>
            </w:r>
          </w:p>
        </w:tc>
        <w:tc>
          <w:tcPr>
            <w:tcW w:w="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4,563</w:t>
            </w:r>
          </w:p>
        </w:tc>
        <w:tc>
          <w:tcPr>
            <w:tcW w:w="140" w:type="dxa"/>
            <w:vAlign w:val="bottom"/>
            <w:shd w:val="clear" w:color="auto" w:fill="CCFFCC"/>
          </w:tcPr>
          <w:p>
            <w:pPr>
              <w:spacing w:after="0"/>
              <w:rPr>
                <w:sz w:val="21"/>
                <w:szCs w:val="21"/>
                <w:color w:val="auto"/>
              </w:rPr>
            </w:pPr>
          </w:p>
        </w:tc>
        <w:tc>
          <w:tcPr>
            <w:tcW w:w="42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4,157</w:t>
            </w:r>
          </w:p>
        </w:tc>
        <w:tc>
          <w:tcPr>
            <w:tcW w:w="22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ind w:left="820"/>
              <w:spacing w:after="0"/>
              <w:rPr>
                <w:sz w:val="20"/>
                <w:szCs w:val="20"/>
                <w:color w:val="auto"/>
              </w:rPr>
            </w:pPr>
            <w:r>
              <w:rPr>
                <w:rFonts w:ascii="Arial" w:cs="Arial" w:eastAsia="Arial" w:hAnsi="Arial"/>
                <w:sz w:val="18"/>
                <w:szCs w:val="18"/>
                <w:color w:val="auto"/>
              </w:rPr>
              <w:t>Inventory</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1,650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1,450</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2"/>
            <w:shd w:val="clear" w:color="auto" w:fill="CCFFCC"/>
          </w:tcPr>
          <w:p>
            <w:pPr>
              <w:ind w:left="820"/>
              <w:spacing w:after="0"/>
              <w:rPr>
                <w:sz w:val="20"/>
                <w:szCs w:val="20"/>
                <w:color w:val="auto"/>
              </w:rPr>
            </w:pPr>
            <w:r>
              <w:rPr>
                <w:rFonts w:ascii="Arial" w:cs="Arial" w:eastAsia="Arial" w:hAnsi="Arial"/>
                <w:sz w:val="18"/>
                <w:szCs w:val="18"/>
                <w:color w:val="auto"/>
              </w:rPr>
              <w:t>Accounts receivable</w:t>
            </w:r>
          </w:p>
        </w:tc>
        <w:tc>
          <w:tcPr>
            <w:tcW w:w="340" w:type="dxa"/>
            <w:vAlign w:val="bottom"/>
            <w:shd w:val="clear" w:color="auto" w:fill="CCFFCC"/>
          </w:tcPr>
          <w:p>
            <w:pPr>
              <w:spacing w:after="0"/>
              <w:rPr>
                <w:sz w:val="21"/>
                <w:szCs w:val="21"/>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350</w:t>
            </w:r>
          </w:p>
        </w:tc>
        <w:tc>
          <w:tcPr>
            <w:tcW w:w="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200</w:t>
            </w:r>
          </w:p>
        </w:tc>
        <w:tc>
          <w:tcPr>
            <w:tcW w:w="32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ind w:left="820"/>
              <w:spacing w:after="0"/>
              <w:rPr>
                <w:sz w:val="20"/>
                <w:szCs w:val="20"/>
                <w:color w:val="auto"/>
              </w:rPr>
            </w:pPr>
            <w:r>
              <w:rPr>
                <w:rFonts w:ascii="Arial" w:cs="Arial" w:eastAsia="Arial" w:hAnsi="Arial"/>
                <w:sz w:val="18"/>
                <w:szCs w:val="18"/>
                <w:color w:val="auto"/>
              </w:rPr>
              <w:t>Marketable securities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296</w:t>
            </w: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2"/>
            <w:shd w:val="clear" w:color="auto" w:fill="CCFFCC"/>
          </w:tcPr>
          <w:p>
            <w:pPr>
              <w:ind w:left="820"/>
              <w:spacing w:after="0"/>
              <w:rPr>
                <w:sz w:val="20"/>
                <w:szCs w:val="20"/>
                <w:color w:val="auto"/>
              </w:rPr>
            </w:pPr>
            <w:r>
              <w:rPr>
                <w:rFonts w:ascii="Arial" w:cs="Arial" w:eastAsia="Arial" w:hAnsi="Arial"/>
                <w:sz w:val="18"/>
                <w:szCs w:val="18"/>
                <w:color w:val="auto"/>
              </w:rPr>
              <w:t>Research &amp; development</w:t>
            </w:r>
          </w:p>
        </w:tc>
        <w:tc>
          <w:tcPr>
            <w:tcW w:w="340" w:type="dxa"/>
            <w:vAlign w:val="bottom"/>
            <w:shd w:val="clear" w:color="auto" w:fill="CCFFCC"/>
          </w:tcPr>
          <w:p>
            <w:pPr>
              <w:spacing w:after="0"/>
              <w:rPr>
                <w:sz w:val="21"/>
                <w:szCs w:val="21"/>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1,149</w:t>
            </w:r>
          </w:p>
        </w:tc>
        <w:tc>
          <w:tcPr>
            <w:tcW w:w="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632</w:t>
            </w:r>
          </w:p>
        </w:tc>
        <w:tc>
          <w:tcPr>
            <w:tcW w:w="32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ind w:left="820"/>
              <w:spacing w:after="0"/>
              <w:rPr>
                <w:sz w:val="20"/>
                <w:szCs w:val="20"/>
                <w:color w:val="auto"/>
              </w:rPr>
            </w:pPr>
            <w:r>
              <w:rPr>
                <w:rFonts w:ascii="Arial" w:cs="Arial" w:eastAsia="Arial" w:hAnsi="Arial"/>
                <w:sz w:val="18"/>
                <w:szCs w:val="18"/>
                <w:color w:val="auto"/>
              </w:rPr>
              <w:t>Other liabilities</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2"/>
            <w:shd w:val="clear" w:color="auto" w:fill="CCFFCC"/>
          </w:tcPr>
          <w:p>
            <w:pPr>
              <w:ind w:left="820"/>
              <w:spacing w:after="0"/>
              <w:rPr>
                <w:sz w:val="20"/>
                <w:szCs w:val="20"/>
                <w:color w:val="auto"/>
              </w:rPr>
            </w:pPr>
            <w:r>
              <w:rPr>
                <w:rFonts w:ascii="Arial" w:cs="Arial" w:eastAsia="Arial" w:hAnsi="Arial"/>
                <w:sz w:val="18"/>
                <w:szCs w:val="18"/>
                <w:color w:val="auto"/>
              </w:rPr>
              <w:t>Foreign net operating loss carryforwards</w:t>
            </w:r>
          </w:p>
        </w:tc>
        <w:tc>
          <w:tcPr>
            <w:tcW w:w="340" w:type="dxa"/>
            <w:vAlign w:val="bottom"/>
            <w:shd w:val="clear" w:color="auto" w:fill="CCFFCC"/>
          </w:tcPr>
          <w:p>
            <w:pPr>
              <w:spacing w:after="0"/>
              <w:rPr>
                <w:sz w:val="21"/>
                <w:szCs w:val="21"/>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425</w:t>
            </w:r>
          </w:p>
        </w:tc>
        <w:tc>
          <w:tcPr>
            <w:tcW w:w="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116</w:t>
            </w:r>
          </w:p>
        </w:tc>
        <w:tc>
          <w:tcPr>
            <w:tcW w:w="32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740" w:type="dxa"/>
            <w:vAlign w:val="bottom"/>
            <w:gridSpan w:val="2"/>
          </w:tcPr>
          <w:p>
            <w:pPr>
              <w:ind w:left="820"/>
              <w:spacing w:after="0"/>
              <w:rPr>
                <w:sz w:val="20"/>
                <w:szCs w:val="20"/>
                <w:color w:val="auto"/>
              </w:rPr>
            </w:pPr>
            <w:r>
              <w:rPr>
                <w:rFonts w:ascii="Arial" w:cs="Arial" w:eastAsia="Arial" w:hAnsi="Arial"/>
                <w:sz w:val="18"/>
                <w:szCs w:val="18"/>
                <w:color w:val="auto"/>
              </w:rPr>
              <w:t>Miscellaneous</w:t>
            </w:r>
          </w:p>
        </w:tc>
        <w:tc>
          <w:tcPr>
            <w:tcW w:w="34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110</w:t>
            </w: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FFCC"/>
            </w:tcBorders>
            <w:gridSpan w:val="2"/>
            <w:shd w:val="clear" w:color="auto" w:fill="CCFFCC"/>
          </w:tcPr>
          <w:p>
            <w:pPr>
              <w:ind w:left="820"/>
              <w:spacing w:after="0"/>
              <w:rPr>
                <w:sz w:val="20"/>
                <w:szCs w:val="20"/>
                <w:color w:val="auto"/>
              </w:rPr>
            </w:pPr>
            <w:r>
              <w:rPr>
                <w:rFonts w:ascii="Arial" w:cs="Arial" w:eastAsia="Arial" w:hAnsi="Arial"/>
                <w:sz w:val="18"/>
                <w:szCs w:val="18"/>
                <w:color w:val="auto"/>
              </w:rPr>
              <w:t>Total deferred tax asset</w:t>
            </w:r>
          </w:p>
        </w:tc>
        <w:tc>
          <w:tcPr>
            <w:tcW w:w="340" w:type="dxa"/>
            <w:vAlign w:val="bottom"/>
            <w:tcBorders>
              <w:top w:val="single" w:sz="8" w:color="auto"/>
              <w:bottom w:val="single" w:sz="8" w:color="CCFFCC"/>
            </w:tcBorders>
            <w:shd w:val="clear" w:color="auto" w:fill="CCFFCC"/>
          </w:tcPr>
          <w:p>
            <w:pPr>
              <w:spacing w:after="0"/>
              <w:rPr>
                <w:sz w:val="22"/>
                <w:szCs w:val="22"/>
                <w:color w:val="auto"/>
              </w:rPr>
            </w:pPr>
          </w:p>
        </w:tc>
        <w:tc>
          <w:tcPr>
            <w:tcW w:w="104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8,278</w:t>
            </w:r>
          </w:p>
        </w:tc>
        <w:tc>
          <w:tcPr>
            <w:tcW w:w="14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CCFFCC"/>
            </w:tcBorders>
            <w:shd w:val="clear" w:color="auto" w:fill="CCFFCC"/>
          </w:tcPr>
          <w:p>
            <w:pPr>
              <w:spacing w:after="0"/>
              <w:rPr>
                <w:sz w:val="22"/>
                <w:szCs w:val="22"/>
                <w:color w:val="auto"/>
              </w:rPr>
            </w:pPr>
          </w:p>
        </w:tc>
        <w:tc>
          <w:tcPr>
            <w:tcW w:w="320" w:type="dxa"/>
            <w:vAlign w:val="bottom"/>
            <w:tcBorders>
              <w:top w:val="single" w:sz="8" w:color="auto"/>
              <w:bottom w:val="single" w:sz="8" w:color="CCFFCC"/>
            </w:tcBorders>
            <w:shd w:val="clear" w:color="auto" w:fill="CCFFCC"/>
          </w:tcPr>
          <w:p>
            <w:pPr>
              <w:spacing w:after="0"/>
              <w:rPr>
                <w:sz w:val="22"/>
                <w:szCs w:val="22"/>
                <w:color w:val="auto"/>
              </w:rPr>
            </w:pPr>
          </w:p>
        </w:tc>
        <w:tc>
          <w:tcPr>
            <w:tcW w:w="106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7,022</w:t>
            </w:r>
          </w:p>
        </w:tc>
        <w:tc>
          <w:tcPr>
            <w:tcW w:w="220" w:type="dxa"/>
            <w:vAlign w:val="bottom"/>
            <w:tcBorders>
              <w:bottom w:val="single" w:sz="8" w:color="CCFFCC"/>
            </w:tcBorders>
            <w:shd w:val="clear" w:color="auto" w:fill="CCFFCC"/>
          </w:tcPr>
          <w:p>
            <w:pPr>
              <w:spacing w:after="0"/>
              <w:rPr>
                <w:sz w:val="22"/>
                <w:szCs w:val="22"/>
                <w:color w:val="auto"/>
              </w:rPr>
            </w:pPr>
          </w:p>
        </w:tc>
        <w:tc>
          <w:tcPr>
            <w:tcW w:w="320" w:type="dxa"/>
            <w:vAlign w:val="bottom"/>
            <w:tcBorders>
              <w:bottom w:val="single" w:sz="8" w:color="CCFFCC"/>
            </w:tcBorders>
            <w:shd w:val="clear" w:color="auto" w:fill="CCFFCC"/>
          </w:tcPr>
          <w:p>
            <w:pPr>
              <w:spacing w:after="0"/>
              <w:rPr>
                <w:sz w:val="22"/>
                <w:szCs w:val="22"/>
                <w:color w:val="auto"/>
              </w:rPr>
            </w:pPr>
          </w:p>
        </w:tc>
        <w:tc>
          <w:tcPr>
            <w:tcW w:w="1040" w:type="dxa"/>
            <w:vAlign w:val="bottom"/>
            <w:tcBorders>
              <w:bottom w:val="single" w:sz="8" w:color="CCFFCC"/>
            </w:tcBorders>
            <w:shd w:val="clear" w:color="auto" w:fill="CCFFCC"/>
          </w:tcPr>
          <w:p>
            <w:pPr>
              <w:spacing w:after="0"/>
              <w:rPr>
                <w:sz w:val="22"/>
                <w:szCs w:val="22"/>
                <w:color w:val="auto"/>
              </w:rPr>
            </w:pPr>
          </w:p>
        </w:tc>
        <w:tc>
          <w:tcPr>
            <w:tcW w:w="100" w:type="dxa"/>
            <w:vAlign w:val="bottom"/>
            <w:tcBorders>
              <w:bottom w:val="single" w:sz="8" w:color="CCFFCC"/>
            </w:tcBorders>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6740" w:type="dxa"/>
            <w:vAlign w:val="bottom"/>
            <w:tcBorders>
              <w:top w:val="single" w:sz="8" w:color="CCFFCC"/>
            </w:tcBorders>
            <w:gridSpan w:val="2"/>
          </w:tcPr>
          <w:p>
            <w:pPr>
              <w:ind w:left="660"/>
              <w:spacing w:after="0"/>
              <w:rPr>
                <w:sz w:val="20"/>
                <w:szCs w:val="20"/>
                <w:color w:val="auto"/>
              </w:rPr>
            </w:pPr>
            <w:r>
              <w:rPr>
                <w:rFonts w:ascii="Arial" w:cs="Arial" w:eastAsia="Arial" w:hAnsi="Arial"/>
                <w:sz w:val="18"/>
                <w:szCs w:val="18"/>
                <w:color w:val="auto"/>
              </w:rPr>
              <w:t>Deferred tax liabilities:</w:t>
            </w: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40" w:type="dxa"/>
            <w:vAlign w:val="bottom"/>
            <w:tcBorders>
              <w:top w:val="single" w:sz="8" w:color="CCFFCC"/>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20" w:type="dxa"/>
            <w:vAlign w:val="bottom"/>
            <w:tcBorders>
              <w:top w:val="single" w:sz="8" w:color="CCFFCC"/>
            </w:tcBorders>
          </w:tcPr>
          <w:p>
            <w:pPr>
              <w:spacing w:after="0"/>
              <w:rPr>
                <w:sz w:val="20"/>
                <w:szCs w:val="20"/>
                <w:color w:val="auto"/>
              </w:rPr>
            </w:pPr>
          </w:p>
        </w:tc>
        <w:tc>
          <w:tcPr>
            <w:tcW w:w="320" w:type="dxa"/>
            <w:vAlign w:val="bottom"/>
            <w:tcBorders>
              <w:top w:val="single" w:sz="8" w:color="CCFFCC"/>
            </w:tcBorders>
          </w:tcPr>
          <w:p>
            <w:pPr>
              <w:spacing w:after="0"/>
              <w:rPr>
                <w:sz w:val="20"/>
                <w:szCs w:val="20"/>
                <w:color w:val="auto"/>
              </w:rPr>
            </w:pPr>
          </w:p>
        </w:tc>
        <w:tc>
          <w:tcPr>
            <w:tcW w:w="1040" w:type="dxa"/>
            <w:vAlign w:val="bottom"/>
            <w:tcBorders>
              <w:top w:val="single" w:sz="8" w:color="CCFFCC"/>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740" w:type="dxa"/>
            <w:vAlign w:val="bottom"/>
            <w:gridSpan w:val="2"/>
            <w:shd w:val="clear" w:color="auto" w:fill="CCFFCC"/>
          </w:tcPr>
          <w:p>
            <w:pPr>
              <w:ind w:left="820"/>
              <w:spacing w:after="0"/>
              <w:rPr>
                <w:sz w:val="20"/>
                <w:szCs w:val="20"/>
                <w:color w:val="auto"/>
              </w:rPr>
            </w:pPr>
            <w:r>
              <w:rPr>
                <w:rFonts w:ascii="Arial" w:cs="Arial" w:eastAsia="Arial" w:hAnsi="Arial"/>
                <w:sz w:val="18"/>
                <w:szCs w:val="18"/>
                <w:color w:val="auto"/>
              </w:rPr>
              <w:t>Property, plant and equipment</w:t>
            </w:r>
          </w:p>
        </w:tc>
        <w:tc>
          <w:tcPr>
            <w:tcW w:w="340" w:type="dxa"/>
            <w:vAlign w:val="bottom"/>
            <w:shd w:val="clear" w:color="auto" w:fill="CCFFCC"/>
          </w:tcPr>
          <w:p>
            <w:pPr>
              <w:spacing w:after="0"/>
              <w:rPr>
                <w:sz w:val="21"/>
                <w:szCs w:val="21"/>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1,156</w:t>
            </w:r>
          </w:p>
        </w:tc>
        <w:tc>
          <w:tcPr>
            <w:tcW w:w="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1,048</w:t>
            </w:r>
          </w:p>
        </w:tc>
        <w:tc>
          <w:tcPr>
            <w:tcW w:w="22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10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gridSpan w:val="2"/>
          </w:tcPr>
          <w:p>
            <w:pPr>
              <w:ind w:left="820"/>
              <w:spacing w:after="0"/>
              <w:rPr>
                <w:sz w:val="20"/>
                <w:szCs w:val="20"/>
                <w:color w:val="auto"/>
              </w:rPr>
            </w:pPr>
            <w:r>
              <w:rPr>
                <w:rFonts w:ascii="Arial" w:cs="Arial" w:eastAsia="Arial" w:hAnsi="Arial"/>
                <w:sz w:val="18"/>
                <w:szCs w:val="18"/>
                <w:color w:val="auto"/>
              </w:rPr>
              <w:t>Net deferred tax asset</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7,122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5,974</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FFCC"/>
            </w:tcBorders>
            <w:gridSpan w:val="2"/>
            <w:shd w:val="clear" w:color="auto" w:fill="CCFFCC"/>
          </w:tcPr>
          <w:p>
            <w:pPr>
              <w:ind w:left="660"/>
              <w:spacing w:after="0"/>
              <w:rPr>
                <w:sz w:val="20"/>
                <w:szCs w:val="20"/>
                <w:color w:val="auto"/>
              </w:rPr>
            </w:pPr>
            <w:r>
              <w:rPr>
                <w:rFonts w:ascii="Arial" w:cs="Arial" w:eastAsia="Arial" w:hAnsi="Arial"/>
                <w:sz w:val="18"/>
                <w:szCs w:val="18"/>
                <w:color w:val="auto"/>
              </w:rPr>
              <w:t>Valuation allowance</w:t>
            </w:r>
          </w:p>
        </w:tc>
        <w:tc>
          <w:tcPr>
            <w:tcW w:w="340" w:type="dxa"/>
            <w:vAlign w:val="bottom"/>
            <w:tcBorders>
              <w:bottom w:val="single" w:sz="8" w:color="CCFFCC"/>
            </w:tcBorders>
            <w:shd w:val="clear" w:color="auto" w:fill="CCFFCC"/>
          </w:tcPr>
          <w:p>
            <w:pPr>
              <w:spacing w:after="0"/>
              <w:rPr>
                <w:sz w:val="21"/>
                <w:szCs w:val="21"/>
                <w:color w:val="auto"/>
              </w:rPr>
            </w:pPr>
          </w:p>
        </w:tc>
        <w:tc>
          <w:tcPr>
            <w:tcW w:w="1180" w:type="dxa"/>
            <w:vAlign w:val="bottom"/>
            <w:tcBorders>
              <w:bottom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(1,102)</w:t>
            </w:r>
          </w:p>
        </w:tc>
        <w:tc>
          <w:tcPr>
            <w:tcW w:w="10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128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(997)</w:t>
            </w:r>
          </w:p>
        </w:tc>
        <w:tc>
          <w:tcPr>
            <w:tcW w:w="320" w:type="dxa"/>
            <w:vAlign w:val="bottom"/>
            <w:tcBorders>
              <w:bottom w:val="single" w:sz="8" w:color="CCFFCC"/>
            </w:tcBorders>
            <w:shd w:val="clear" w:color="auto" w:fill="CCFFCC"/>
          </w:tcPr>
          <w:p>
            <w:pPr>
              <w:spacing w:after="0"/>
              <w:rPr>
                <w:sz w:val="21"/>
                <w:szCs w:val="21"/>
                <w:color w:val="auto"/>
              </w:rPr>
            </w:pPr>
          </w:p>
        </w:tc>
        <w:tc>
          <w:tcPr>
            <w:tcW w:w="10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52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104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6,020</w:t>
            </w:r>
          </w:p>
        </w:tc>
        <w:tc>
          <w:tcPr>
            <w:tcW w:w="140" w:type="dxa"/>
            <w:vAlign w:val="bottom"/>
          </w:tcPr>
          <w:p>
            <w:pPr>
              <w:spacing w:after="0"/>
              <w:rPr>
                <w:sz w:val="20"/>
                <w:szCs w:val="20"/>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4,977</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ind w:left="5620"/>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65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65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5" w:right="239" w:bottom="708" w:gutter="0" w:footer="0" w:header="0"/>
        </w:sectPr>
      </w:pPr>
    </w:p>
    <w:bookmarkStart w:id="52" w:name="page53"/>
    <w:bookmarkEnd w:id="52"/>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252"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total valuation allowance relates to deferred tax assets of foreign subsidiaries. At April 30, 2007, the Company has available approximately $1.3 million in net operating losses available to offset future income of certain of its foreign subsidiaries. The operating loss carryforwards for the U.S. subsidiaries of the Company are approximately $700,000 and these expire in 20 years.</w:t>
      </w:r>
    </w:p>
    <w:p>
      <w:pPr>
        <w:spacing w:after="0" w:line="235" w:lineRule="exact"/>
        <w:rPr>
          <w:sz w:val="20"/>
          <w:szCs w:val="20"/>
          <w:color w:val="auto"/>
        </w:rPr>
      </w:pPr>
    </w:p>
    <w:p>
      <w:pPr>
        <w:ind w:left="820" w:hanging="812"/>
        <w:spacing w:after="0"/>
        <w:tabs>
          <w:tab w:leader="none" w:pos="820" w:val="left"/>
        </w:tabs>
        <w:numPr>
          <w:ilvl w:val="0"/>
          <w:numId w:val="22"/>
        </w:numPr>
        <w:rPr>
          <w:rFonts w:ascii="Arial" w:cs="Arial" w:eastAsia="Arial" w:hAnsi="Arial"/>
          <w:sz w:val="18"/>
          <w:szCs w:val="18"/>
          <w:color w:val="auto"/>
        </w:rPr>
      </w:pPr>
      <w:r>
        <w:rPr>
          <w:rFonts w:ascii="Arial" w:cs="Arial" w:eastAsia="Arial" w:hAnsi="Arial"/>
          <w:sz w:val="18"/>
          <w:szCs w:val="18"/>
          <w:u w:val="single" w:color="auto"/>
          <w:color w:val="auto"/>
        </w:rPr>
        <w:t>Product Warranties</w:t>
      </w:r>
    </w:p>
    <w:p>
      <w:pPr>
        <w:spacing w:after="0" w:line="27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Company generally provides its customers with a one-year warranty regarding the manufactured quality and functionality of its products. For some limited products, the warranty period has been extended. The Company establishes warranty reserves based on its product history, current information on repair costs and annual sales levels. Changes in the carrying amount of accrued product warranty costs are as follows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color w:val="auto"/>
              </w:rPr>
              <w:t>Year Ended April 30,</w:t>
            </w:r>
          </w:p>
        </w:tc>
        <w:tc>
          <w:tcPr>
            <w:tcW w:w="34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540" w:type="dxa"/>
            <w:vAlign w:val="bottom"/>
          </w:tcPr>
          <w:p>
            <w:pPr>
              <w:spacing w:after="0"/>
              <w:rPr>
                <w:sz w:val="20"/>
                <w:szCs w:val="20"/>
                <w:color w:val="auto"/>
              </w:rPr>
            </w:pPr>
          </w:p>
        </w:tc>
      </w:tr>
      <w:tr>
        <w:trPr>
          <w:trHeight w:val="264"/>
        </w:trPr>
        <w:tc>
          <w:tcPr>
            <w:tcW w:w="5260" w:type="dxa"/>
            <w:vAlign w:val="bottom"/>
          </w:tcPr>
          <w:p>
            <w:pPr>
              <w:spacing w:after="0"/>
              <w:rPr>
                <w:sz w:val="22"/>
                <w:szCs w:val="22"/>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2007</w:t>
            </w:r>
          </w:p>
        </w:tc>
        <w:tc>
          <w:tcPr>
            <w:tcW w:w="460" w:type="dxa"/>
            <w:vAlign w:val="bottom"/>
            <w:tcBorders>
              <w:bottom w:val="single" w:sz="8" w:color="auto"/>
            </w:tcBorders>
          </w:tcPr>
          <w:p>
            <w:pPr>
              <w:spacing w:after="0"/>
              <w:rPr>
                <w:sz w:val="22"/>
                <w:szCs w:val="22"/>
                <w:color w:val="auto"/>
              </w:rPr>
            </w:pPr>
          </w:p>
        </w:tc>
        <w:tc>
          <w:tcPr>
            <w:tcW w:w="5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2006</w:t>
            </w:r>
          </w:p>
        </w:tc>
        <w:tc>
          <w:tcPr>
            <w:tcW w:w="5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2005</w:t>
            </w:r>
          </w:p>
        </w:tc>
        <w:tc>
          <w:tcPr>
            <w:tcW w:w="540" w:type="dxa"/>
            <w:vAlign w:val="bottom"/>
          </w:tcPr>
          <w:p>
            <w:pPr>
              <w:spacing w:after="0"/>
              <w:rPr>
                <w:sz w:val="22"/>
                <w:szCs w:val="22"/>
                <w:color w:val="auto"/>
              </w:rPr>
            </w:pPr>
          </w:p>
        </w:tc>
      </w:tr>
      <w:tr>
        <w:trPr>
          <w:trHeight w:val="237"/>
        </w:trPr>
        <w:tc>
          <w:tcPr>
            <w:tcW w:w="5260" w:type="dxa"/>
            <w:vAlign w:val="bottom"/>
            <w:shd w:val="clear" w:color="auto" w:fill="CCFFCC"/>
          </w:tcPr>
          <w:p>
            <w:pPr>
              <w:spacing w:after="0"/>
              <w:rPr>
                <w:sz w:val="20"/>
                <w:szCs w:val="20"/>
                <w:color w:val="auto"/>
              </w:rPr>
            </w:pPr>
            <w:r>
              <w:rPr>
                <w:rFonts w:ascii="Arial" w:cs="Arial" w:eastAsia="Arial" w:hAnsi="Arial"/>
                <w:sz w:val="18"/>
                <w:szCs w:val="18"/>
                <w:color w:val="auto"/>
              </w:rPr>
              <w:t>Balance at beginning of year</w:t>
            </w:r>
          </w:p>
        </w:tc>
        <w:tc>
          <w:tcPr>
            <w:tcW w:w="1060" w:type="dxa"/>
            <w:vAlign w:val="bottom"/>
            <w:shd w:val="clear" w:color="auto" w:fill="CCFFCC"/>
          </w:tcPr>
          <w:p>
            <w:pPr>
              <w:jc w:val="right"/>
              <w:ind w:right="87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350</w:t>
            </w:r>
          </w:p>
        </w:tc>
        <w:tc>
          <w:tcPr>
            <w:tcW w:w="540" w:type="dxa"/>
            <w:vAlign w:val="bottom"/>
            <w:shd w:val="clear" w:color="auto" w:fill="CCFFCC"/>
          </w:tcPr>
          <w:p>
            <w:pPr>
              <w:spacing w:after="0"/>
              <w:rPr>
                <w:sz w:val="20"/>
                <w:szCs w:val="20"/>
                <w:color w:val="auto"/>
              </w:rPr>
            </w:pPr>
          </w:p>
        </w:tc>
        <w:tc>
          <w:tcPr>
            <w:tcW w:w="320" w:type="dxa"/>
            <w:vAlign w:val="bottom"/>
            <w:shd w:val="clear" w:color="auto" w:fill="CCFFCC"/>
          </w:tcPr>
          <w:p>
            <w:pPr>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FFCC"/>
          </w:tcPr>
          <w:p>
            <w:pPr>
              <w:jc w:val="right"/>
              <w:ind w:right="540"/>
              <w:spacing w:after="0"/>
              <w:rPr>
                <w:sz w:val="20"/>
                <w:szCs w:val="20"/>
                <w:color w:val="auto"/>
              </w:rPr>
            </w:pPr>
            <w:r>
              <w:rPr>
                <w:rFonts w:ascii="Arial" w:cs="Arial" w:eastAsia="Arial" w:hAnsi="Arial"/>
                <w:sz w:val="18"/>
                <w:szCs w:val="18"/>
                <w:color w:val="auto"/>
              </w:rPr>
              <w:t>200</w:t>
            </w:r>
          </w:p>
        </w:tc>
        <w:tc>
          <w:tcPr>
            <w:tcW w:w="340" w:type="dxa"/>
            <w:vAlign w:val="bottom"/>
            <w:shd w:val="clear" w:color="auto" w:fill="CCFFCC"/>
          </w:tcPr>
          <w:p>
            <w:pPr>
              <w:jc w:val="right"/>
              <w:ind w:right="150"/>
              <w:spacing w:after="0"/>
              <w:rPr>
                <w:sz w:val="20"/>
                <w:szCs w:val="20"/>
                <w:color w:val="auto"/>
              </w:rPr>
            </w:pPr>
            <w:r>
              <w:rPr>
                <w:rFonts w:ascii="Arial" w:cs="Arial" w:eastAsia="Arial" w:hAnsi="Arial"/>
                <w:sz w:val="18"/>
                <w:szCs w:val="18"/>
                <w:color w:val="auto"/>
                <w:w w:val="79"/>
              </w:rPr>
              <w:t>$</w:t>
            </w:r>
          </w:p>
        </w:tc>
        <w:tc>
          <w:tcPr>
            <w:tcW w:w="1720" w:type="dxa"/>
            <w:vAlign w:val="bottom"/>
            <w:gridSpan w:val="2"/>
            <w:shd w:val="clear" w:color="auto" w:fill="CCFFCC"/>
          </w:tcPr>
          <w:p>
            <w:pPr>
              <w:jc w:val="right"/>
              <w:ind w:right="540"/>
              <w:spacing w:after="0"/>
              <w:rPr>
                <w:sz w:val="20"/>
                <w:szCs w:val="20"/>
                <w:color w:val="auto"/>
              </w:rPr>
            </w:pPr>
            <w:r>
              <w:rPr>
                <w:rFonts w:ascii="Arial" w:cs="Arial" w:eastAsia="Arial" w:hAnsi="Arial"/>
                <w:sz w:val="18"/>
                <w:szCs w:val="18"/>
                <w:color w:val="auto"/>
              </w:rPr>
              <w:t>400</w:t>
            </w:r>
          </w:p>
        </w:tc>
      </w:tr>
      <w:tr>
        <w:trPr>
          <w:trHeight w:val="243"/>
        </w:trPr>
        <w:tc>
          <w:tcPr>
            <w:tcW w:w="5260" w:type="dxa"/>
            <w:vAlign w:val="bottom"/>
          </w:tcPr>
          <w:p>
            <w:pPr>
              <w:spacing w:after="0"/>
              <w:rPr>
                <w:sz w:val="20"/>
                <w:szCs w:val="20"/>
                <w:color w:val="auto"/>
              </w:rPr>
            </w:pPr>
            <w:r>
              <w:rPr>
                <w:rFonts w:ascii="Arial" w:cs="Arial" w:eastAsia="Arial" w:hAnsi="Arial"/>
                <w:sz w:val="18"/>
                <w:szCs w:val="18"/>
                <w:color w:val="auto"/>
              </w:rPr>
              <w:t>Warranty costs incurred</w:t>
            </w:r>
          </w:p>
        </w:tc>
        <w:tc>
          <w:tcPr>
            <w:tcW w:w="1060" w:type="dxa"/>
            <w:vAlign w:val="bottom"/>
          </w:tcPr>
          <w:p>
            <w:pPr>
              <w:spacing w:after="0"/>
              <w:rPr>
                <w:sz w:val="21"/>
                <w:szCs w:val="21"/>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8"/>
                <w:szCs w:val="18"/>
                <w:color w:val="auto"/>
              </w:rPr>
              <w:t>(596)</w:t>
            </w:r>
          </w:p>
        </w:tc>
        <w:tc>
          <w:tcPr>
            <w:tcW w:w="320" w:type="dxa"/>
            <w:vAlign w:val="bottom"/>
          </w:tcPr>
          <w:p>
            <w:pPr>
              <w:spacing w:after="0"/>
              <w:rPr>
                <w:sz w:val="21"/>
                <w:szCs w:val="21"/>
                <w:color w:val="auto"/>
              </w:rPr>
            </w:pPr>
          </w:p>
        </w:tc>
        <w:tc>
          <w:tcPr>
            <w:tcW w:w="1720" w:type="dxa"/>
            <w:vAlign w:val="bottom"/>
            <w:gridSpan w:val="2"/>
          </w:tcPr>
          <w:p>
            <w:pPr>
              <w:jc w:val="right"/>
              <w:ind w:right="480"/>
              <w:spacing w:after="0"/>
              <w:rPr>
                <w:sz w:val="20"/>
                <w:szCs w:val="20"/>
                <w:color w:val="auto"/>
              </w:rPr>
            </w:pPr>
            <w:r>
              <w:rPr>
                <w:rFonts w:ascii="Arial" w:cs="Arial" w:eastAsia="Arial" w:hAnsi="Arial"/>
                <w:sz w:val="18"/>
                <w:szCs w:val="18"/>
                <w:color w:val="auto"/>
              </w:rPr>
              <w:t>(411)</w:t>
            </w:r>
          </w:p>
        </w:tc>
        <w:tc>
          <w:tcPr>
            <w:tcW w:w="340" w:type="dxa"/>
            <w:vAlign w:val="bottom"/>
          </w:tcPr>
          <w:p>
            <w:pPr>
              <w:spacing w:after="0"/>
              <w:rPr>
                <w:sz w:val="21"/>
                <w:szCs w:val="21"/>
                <w:color w:val="auto"/>
              </w:rPr>
            </w:pPr>
          </w:p>
        </w:tc>
        <w:tc>
          <w:tcPr>
            <w:tcW w:w="1720" w:type="dxa"/>
            <w:vAlign w:val="bottom"/>
            <w:gridSpan w:val="2"/>
          </w:tcPr>
          <w:p>
            <w:pPr>
              <w:jc w:val="right"/>
              <w:ind w:right="480"/>
              <w:spacing w:after="0"/>
              <w:rPr>
                <w:sz w:val="20"/>
                <w:szCs w:val="20"/>
                <w:color w:val="auto"/>
              </w:rPr>
            </w:pPr>
            <w:r>
              <w:rPr>
                <w:rFonts w:ascii="Arial" w:cs="Arial" w:eastAsia="Arial" w:hAnsi="Arial"/>
                <w:sz w:val="18"/>
                <w:szCs w:val="18"/>
                <w:color w:val="auto"/>
              </w:rPr>
              <w:t>(319)</w:t>
            </w:r>
          </w:p>
        </w:tc>
      </w:tr>
      <w:tr>
        <w:trPr>
          <w:trHeight w:val="250"/>
        </w:trPr>
        <w:tc>
          <w:tcPr>
            <w:tcW w:w="52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Product warranty accrual</w:t>
            </w:r>
          </w:p>
        </w:tc>
        <w:tc>
          <w:tcPr>
            <w:tcW w:w="1060" w:type="dxa"/>
            <w:vAlign w:val="bottom"/>
            <w:tcBorders>
              <w:bottom w:val="single" w:sz="8" w:color="CCFFCC"/>
            </w:tcBorders>
            <w:shd w:val="clear" w:color="auto" w:fill="CCFFCC"/>
          </w:tcPr>
          <w:p>
            <w:pPr>
              <w:spacing w:after="0"/>
              <w:rPr>
                <w:sz w:val="21"/>
                <w:szCs w:val="21"/>
                <w:color w:val="auto"/>
              </w:rPr>
            </w:pPr>
          </w:p>
        </w:tc>
        <w:tc>
          <w:tcPr>
            <w:tcW w:w="4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596</w:t>
            </w:r>
          </w:p>
        </w:tc>
        <w:tc>
          <w:tcPr>
            <w:tcW w:w="54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1720" w:type="dxa"/>
            <w:vAlign w:val="bottom"/>
            <w:tcBorders>
              <w:bottom w:val="single" w:sz="8" w:color="CCFFCC"/>
            </w:tcBorders>
            <w:gridSpan w:val="2"/>
            <w:shd w:val="clear" w:color="auto" w:fill="CCFFCC"/>
          </w:tcPr>
          <w:p>
            <w:pPr>
              <w:jc w:val="right"/>
              <w:ind w:right="540"/>
              <w:spacing w:after="0"/>
              <w:rPr>
                <w:sz w:val="20"/>
                <w:szCs w:val="20"/>
                <w:color w:val="auto"/>
              </w:rPr>
            </w:pPr>
            <w:r>
              <w:rPr>
                <w:rFonts w:ascii="Arial" w:cs="Arial" w:eastAsia="Arial" w:hAnsi="Arial"/>
                <w:sz w:val="18"/>
                <w:szCs w:val="18"/>
                <w:color w:val="auto"/>
              </w:rPr>
              <w:t>561</w:t>
            </w:r>
          </w:p>
        </w:tc>
        <w:tc>
          <w:tcPr>
            <w:tcW w:w="340" w:type="dxa"/>
            <w:vAlign w:val="bottom"/>
            <w:tcBorders>
              <w:bottom w:val="single" w:sz="8" w:color="CCFFCC"/>
            </w:tcBorders>
            <w:shd w:val="clear" w:color="auto" w:fill="CCFFCC"/>
          </w:tcPr>
          <w:p>
            <w:pPr>
              <w:spacing w:after="0"/>
              <w:rPr>
                <w:sz w:val="21"/>
                <w:szCs w:val="21"/>
                <w:color w:val="auto"/>
              </w:rPr>
            </w:pPr>
          </w:p>
        </w:tc>
        <w:tc>
          <w:tcPr>
            <w:tcW w:w="1720" w:type="dxa"/>
            <w:vAlign w:val="bottom"/>
            <w:tcBorders>
              <w:bottom w:val="single" w:sz="8" w:color="CCFFCC"/>
            </w:tcBorders>
            <w:gridSpan w:val="2"/>
            <w:shd w:val="clear" w:color="auto" w:fill="CCFFCC"/>
          </w:tcPr>
          <w:p>
            <w:pPr>
              <w:jc w:val="right"/>
              <w:ind w:right="540"/>
              <w:spacing w:after="0"/>
              <w:rPr>
                <w:sz w:val="20"/>
                <w:szCs w:val="20"/>
                <w:color w:val="auto"/>
              </w:rPr>
            </w:pPr>
            <w:r>
              <w:rPr>
                <w:rFonts w:ascii="Arial" w:cs="Arial" w:eastAsia="Arial" w:hAnsi="Arial"/>
                <w:sz w:val="18"/>
                <w:szCs w:val="18"/>
                <w:color w:val="auto"/>
              </w:rPr>
              <w:t>119</w:t>
            </w:r>
          </w:p>
        </w:tc>
      </w:tr>
      <w:tr>
        <w:trPr>
          <w:trHeight w:val="20"/>
        </w:trPr>
        <w:tc>
          <w:tcPr>
            <w:tcW w:w="5260" w:type="dxa"/>
            <w:vAlign w:val="bottom"/>
            <w:shd w:val="clear" w:color="auto" w:fill="CCFFC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40" w:type="dxa"/>
            <w:vAlign w:val="bottom"/>
            <w:shd w:val="clear" w:color="auto" w:fill="CCFF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40" w:type="dxa"/>
            <w:vAlign w:val="bottom"/>
            <w:shd w:val="clear" w:color="auto" w:fill="CCFFCC"/>
          </w:tcPr>
          <w:p>
            <w:pPr>
              <w:spacing w:after="0" w:line="20" w:lineRule="exact"/>
              <w:rPr>
                <w:sz w:val="1"/>
                <w:szCs w:val="1"/>
                <w:color w:val="auto"/>
              </w:rPr>
            </w:pPr>
          </w:p>
        </w:tc>
      </w:tr>
      <w:tr>
        <w:trPr>
          <w:trHeight w:val="237"/>
        </w:trPr>
        <w:tc>
          <w:tcPr>
            <w:tcW w:w="5260" w:type="dxa"/>
            <w:vAlign w:val="bottom"/>
          </w:tcPr>
          <w:p>
            <w:pPr>
              <w:spacing w:after="0"/>
              <w:rPr>
                <w:sz w:val="20"/>
                <w:szCs w:val="20"/>
                <w:color w:val="auto"/>
              </w:rPr>
            </w:pPr>
            <w:r>
              <w:rPr>
                <w:rFonts w:ascii="Arial" w:cs="Arial" w:eastAsia="Arial" w:hAnsi="Arial"/>
                <w:sz w:val="18"/>
                <w:szCs w:val="18"/>
                <w:color w:val="auto"/>
              </w:rPr>
              <w:t>Balance at end of year</w:t>
            </w:r>
          </w:p>
        </w:tc>
        <w:tc>
          <w:tcPr>
            <w:tcW w:w="1060" w:type="dxa"/>
            <w:vAlign w:val="bottom"/>
          </w:tcPr>
          <w:p>
            <w:pPr>
              <w:jc w:val="right"/>
              <w:ind w:right="87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350</w:t>
            </w: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540"/>
              <w:spacing w:after="0"/>
              <w:rPr>
                <w:sz w:val="20"/>
                <w:szCs w:val="20"/>
                <w:color w:val="auto"/>
              </w:rPr>
            </w:pPr>
            <w:r>
              <w:rPr>
                <w:rFonts w:ascii="Arial" w:cs="Arial" w:eastAsia="Arial" w:hAnsi="Arial"/>
                <w:sz w:val="18"/>
                <w:szCs w:val="18"/>
                <w:color w:val="auto"/>
              </w:rPr>
              <w:t>350</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720" w:type="dxa"/>
            <w:vAlign w:val="bottom"/>
            <w:gridSpan w:val="2"/>
          </w:tcPr>
          <w:p>
            <w:pPr>
              <w:jc w:val="right"/>
              <w:ind w:right="540"/>
              <w:spacing w:after="0"/>
              <w:rPr>
                <w:sz w:val="20"/>
                <w:szCs w:val="20"/>
                <w:color w:val="auto"/>
              </w:rPr>
            </w:pPr>
            <w:r>
              <w:rPr>
                <w:rFonts w:ascii="Arial" w:cs="Arial" w:eastAsia="Arial" w:hAnsi="Arial"/>
                <w:sz w:val="18"/>
                <w:szCs w:val="18"/>
                <w:color w:val="auto"/>
              </w:rPr>
              <w:t>200</w:t>
            </w:r>
          </w:p>
        </w:tc>
      </w:tr>
      <w:tr>
        <w:trPr>
          <w:trHeight w:val="20"/>
        </w:trPr>
        <w:tc>
          <w:tcPr>
            <w:tcW w:w="52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bl>
    <w:p>
      <w:pPr>
        <w:spacing w:after="0" w:line="256" w:lineRule="exact"/>
        <w:rPr>
          <w:sz w:val="20"/>
          <w:szCs w:val="20"/>
          <w:color w:val="auto"/>
        </w:rPr>
      </w:pPr>
    </w:p>
    <w:p>
      <w:pPr>
        <w:ind w:left="820" w:hanging="812"/>
        <w:spacing w:after="0"/>
        <w:tabs>
          <w:tab w:leader="none" w:pos="820"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Segment Information</w:t>
      </w:r>
    </w:p>
    <w:p>
      <w:pPr>
        <w:spacing w:after="0" w:line="2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operates under three reportable segments:</w:t>
      </w:r>
    </w:p>
    <w:p>
      <w:pPr>
        <w:spacing w:after="0" w:line="279" w:lineRule="exact"/>
        <w:rPr>
          <w:sz w:val="20"/>
          <w:szCs w:val="20"/>
          <w:color w:val="auto"/>
        </w:rPr>
      </w:pPr>
    </w:p>
    <w:p>
      <w:pPr>
        <w:jc w:val="both"/>
        <w:ind w:left="1140" w:hanging="322"/>
        <w:spacing w:after="0" w:line="264" w:lineRule="auto"/>
        <w:tabs>
          <w:tab w:leader="none" w:pos="1116" w:val="left"/>
        </w:tabs>
        <w:numPr>
          <w:ilvl w:val="0"/>
          <w:numId w:val="24"/>
        </w:numPr>
        <w:rPr>
          <w:rFonts w:ascii="Arial" w:cs="Arial" w:eastAsia="Arial" w:hAnsi="Arial"/>
          <w:sz w:val="18"/>
          <w:szCs w:val="18"/>
          <w:color w:val="auto"/>
        </w:rPr>
      </w:pPr>
      <w:r>
        <w:rPr>
          <w:rFonts w:ascii="Arial" w:cs="Arial" w:eastAsia="Arial" w:hAnsi="Arial"/>
          <w:sz w:val="18"/>
          <w:szCs w:val="18"/>
          <w:color w:val="auto"/>
        </w:rPr>
        <w:t>FEI-NY - consists principally of precision time and frequency control products used in three principal markets- communication satellites (both commercial and U.S. Government-funded); terrestrial cellular telephone or other ground-based telecommunication stations and other components and systems for the U.S. military.</w:t>
      </w:r>
    </w:p>
    <w:p>
      <w:pPr>
        <w:spacing w:after="0" w:line="235" w:lineRule="exact"/>
        <w:rPr>
          <w:rFonts w:ascii="Arial" w:cs="Arial" w:eastAsia="Arial" w:hAnsi="Arial"/>
          <w:sz w:val="18"/>
          <w:szCs w:val="18"/>
          <w:color w:val="auto"/>
        </w:rPr>
      </w:pPr>
    </w:p>
    <w:p>
      <w:pPr>
        <w:ind w:left="1120" w:hanging="302"/>
        <w:spacing w:after="0"/>
        <w:tabs>
          <w:tab w:leader="none" w:pos="11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Gillam-FEI - the Company’s Belgian subsidiary primarily sells wireline synchronization and network management systems.</w:t>
      </w:r>
    </w:p>
    <w:p>
      <w:pPr>
        <w:spacing w:after="0" w:line="279" w:lineRule="exact"/>
        <w:rPr>
          <w:rFonts w:ascii="Arial" w:cs="Arial" w:eastAsia="Arial" w:hAnsi="Arial"/>
          <w:sz w:val="18"/>
          <w:szCs w:val="18"/>
          <w:color w:val="auto"/>
        </w:rPr>
      </w:pPr>
    </w:p>
    <w:p>
      <w:pPr>
        <w:ind w:left="1140" w:hanging="322"/>
        <w:spacing w:after="0" w:line="277" w:lineRule="auto"/>
        <w:tabs>
          <w:tab w:leader="none" w:pos="1116" w:val="left"/>
        </w:tabs>
        <w:numPr>
          <w:ilvl w:val="0"/>
          <w:numId w:val="24"/>
        </w:numPr>
        <w:rPr>
          <w:rFonts w:ascii="Arial" w:cs="Arial" w:eastAsia="Arial" w:hAnsi="Arial"/>
          <w:sz w:val="18"/>
          <w:szCs w:val="18"/>
          <w:color w:val="auto"/>
        </w:rPr>
      </w:pPr>
      <w:r>
        <w:rPr>
          <w:rFonts w:ascii="Arial" w:cs="Arial" w:eastAsia="Arial" w:hAnsi="Arial"/>
          <w:sz w:val="18"/>
          <w:szCs w:val="18"/>
          <w:color w:val="auto"/>
        </w:rPr>
        <w:t>FEI-Zyfer - the products of the Company’s subsidiary incorporate Global Positioning System (GPS) technologies into systems and subsystems for secure communications, both government and commercial, and other locator applications.</w:t>
      </w:r>
    </w:p>
    <w:p>
      <w:pPr>
        <w:spacing w:after="0" w:line="2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Beginning with the first quarter of fiscal year 2007, the Company is reporting its segment information on a geographic basis. The former Commercial Communications and U.S. Government segments, which operate out of the Company’s New York headquarters facility, have been combined into the new segment, FEI-NY. This segment also includes the operations of the Company’s wholly-owned subsidiary, FEI-Asia, which functions primarily as a manufacturing facility for the FEI-NY segment.</w:t>
      </w:r>
    </w:p>
    <w:p>
      <w:pPr>
        <w:spacing w:after="0" w:line="24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Previously, the Company identified its New York-based U.S. Government business as a separate segment even though that segment shared the same facility, equipment and personnel with the Commercial Communications segment. With the acquisition of FEI-Zyfer in fiscal year 2004, the Company now does business on U.S. Government programs out of two separate subsidiaries. The Company’s Chief Executive Officer measures segment performance based on total revenues and profits generated by each geographic center rather than on the specific types of customers or end-users. Consequently, the Company determined that limiting the number of segments to the three indicated above more appropriately reflects the way the Company’s management views the business.</w:t>
      </w:r>
    </w:p>
    <w:p>
      <w:pPr>
        <w:spacing w:after="0" w:line="24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Prior year segment information has been reclassified to conform to the new segment presentation. This includes reclassifying the property, plant and equipment located in the New York facility to the FEI-NY segment and not to corporate assets.</w:t>
      </w:r>
    </w:p>
    <w:p>
      <w:pPr>
        <w:spacing w:after="0" w:line="22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accounting policies of the three segments are the same as those described in the “Summary of Significant Accounting Policies.” The Company evaluates the performance of its segments and allocates resources to them based on operating profit which is defined as income before investment income, interest expense and taxes. The European-based director of Gillam-FEI and the president of FEI-Zyfer manage the assets of these segments. All acquired assets, including intangible assets, are included in the assets of these two segments.</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11"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279"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The table below presents information about reported segments for each of the years ended April 30 with reconciliation of segment amounts to consolidated amounts as reported in the statement of operations or the balance sheet for each of the years (in thousands):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2007</w:t>
            </w:r>
          </w:p>
        </w:tc>
        <w:tc>
          <w:tcPr>
            <w:tcW w:w="3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2006</w:t>
            </w: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2005</w:t>
            </w:r>
          </w:p>
        </w:tc>
        <w:tc>
          <w:tcPr>
            <w:tcW w:w="240" w:type="dxa"/>
            <w:vAlign w:val="bottom"/>
          </w:tcPr>
          <w:p>
            <w:pPr>
              <w:spacing w:after="0"/>
              <w:rPr>
                <w:sz w:val="20"/>
                <w:szCs w:val="20"/>
                <w:color w:val="auto"/>
              </w:rPr>
            </w:pPr>
          </w:p>
        </w:tc>
      </w:tr>
      <w:tr>
        <w:trPr>
          <w:trHeight w:val="237"/>
        </w:trPr>
        <w:tc>
          <w:tcPr>
            <w:tcW w:w="6400" w:type="dxa"/>
            <w:vAlign w:val="bottom"/>
          </w:tcPr>
          <w:p>
            <w:pPr>
              <w:spacing w:after="0"/>
              <w:rPr>
                <w:sz w:val="20"/>
                <w:szCs w:val="20"/>
                <w:color w:val="auto"/>
              </w:rPr>
            </w:pPr>
            <w:r>
              <w:rPr>
                <w:rFonts w:ascii="Arial" w:cs="Arial" w:eastAsia="Arial" w:hAnsi="Arial"/>
                <w:sz w:val="18"/>
                <w:szCs w:val="18"/>
                <w:color w:val="auto"/>
              </w:rPr>
              <w:t>Net sales:</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43"/>
        </w:trPr>
        <w:tc>
          <w:tcPr>
            <w:tcW w:w="6400" w:type="dxa"/>
            <w:vAlign w:val="bottom"/>
            <w:shd w:val="clear" w:color="auto" w:fill="CCFFCC"/>
          </w:tcPr>
          <w:p>
            <w:pPr>
              <w:ind w:left="340"/>
              <w:spacing w:after="0"/>
              <w:rPr>
                <w:sz w:val="20"/>
                <w:szCs w:val="20"/>
                <w:color w:val="auto"/>
              </w:rPr>
            </w:pPr>
            <w:r>
              <w:rPr>
                <w:rFonts w:ascii="Arial" w:cs="Arial" w:eastAsia="Arial" w:hAnsi="Arial"/>
                <w:sz w:val="18"/>
                <w:szCs w:val="18"/>
                <w:color w:val="auto"/>
              </w:rPr>
              <w:t>FEI-NY</w:t>
            </w: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40,184</w:t>
            </w:r>
          </w:p>
        </w:tc>
        <w:tc>
          <w:tcPr>
            <w:tcW w:w="360" w:type="dxa"/>
            <w:vAlign w:val="bottom"/>
            <w:shd w:val="clear" w:color="auto" w:fill="CCFFCC"/>
          </w:tcPr>
          <w:p>
            <w:pPr>
              <w:spacing w:after="0"/>
              <w:rPr>
                <w:sz w:val="21"/>
                <w:szCs w:val="21"/>
                <w:color w:val="auto"/>
              </w:rPr>
            </w:pPr>
          </w:p>
        </w:tc>
        <w:tc>
          <w:tcPr>
            <w:tcW w:w="300" w:type="dxa"/>
            <w:vAlign w:val="bottom"/>
            <w:shd w:val="clear" w:color="auto" w:fill="CCFFCC"/>
          </w:tcPr>
          <w:p>
            <w:pPr>
              <w:jc w:val="right"/>
              <w:ind w:right="14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35,801</w:t>
            </w: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37,067</w:t>
            </w:r>
          </w:p>
        </w:tc>
      </w:tr>
      <w:tr>
        <w:trPr>
          <w:trHeight w:val="243"/>
        </w:trPr>
        <w:tc>
          <w:tcPr>
            <w:tcW w:w="6400" w:type="dxa"/>
            <w:vAlign w:val="bottom"/>
          </w:tcPr>
          <w:p>
            <w:pPr>
              <w:ind w:left="340"/>
              <w:spacing w:after="0"/>
              <w:rPr>
                <w:sz w:val="20"/>
                <w:szCs w:val="20"/>
                <w:color w:val="auto"/>
              </w:rPr>
            </w:pPr>
            <w:r>
              <w:rPr>
                <w:rFonts w:ascii="Arial" w:cs="Arial" w:eastAsia="Arial" w:hAnsi="Arial"/>
                <w:sz w:val="18"/>
                <w:szCs w:val="18"/>
                <w:color w:val="auto"/>
              </w:rPr>
              <w:t>Gillam-FEI</w:t>
            </w:r>
          </w:p>
        </w:tc>
        <w:tc>
          <w:tcPr>
            <w:tcW w:w="30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11,382</w:t>
            </w:r>
            <w:r>
              <w:rPr>
                <w:rFonts w:ascii="Arial" w:cs="Arial" w:eastAsia="Arial" w:hAnsi="Arial"/>
                <w:sz w:val="17"/>
                <w:szCs w:val="17"/>
                <w:color w:val="auto"/>
              </w:rPr>
              <w:t>**</w:t>
            </w:r>
          </w:p>
        </w:tc>
        <w:tc>
          <w:tcPr>
            <w:tcW w:w="300" w:type="dxa"/>
            <w:vAlign w:val="bottom"/>
          </w:tcPr>
          <w:p>
            <w:pPr>
              <w:spacing w:after="0"/>
              <w:rPr>
                <w:sz w:val="21"/>
                <w:szCs w:val="21"/>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9,169</w:t>
            </w:r>
            <w:r>
              <w:rPr>
                <w:rFonts w:ascii="Arial" w:cs="Arial" w:eastAsia="Arial" w:hAnsi="Arial"/>
                <w:sz w:val="17"/>
                <w:szCs w:val="17"/>
                <w:color w:val="auto"/>
              </w:rPr>
              <w:t>**</w:t>
            </w:r>
          </w:p>
        </w:tc>
        <w:tc>
          <w:tcPr>
            <w:tcW w:w="300" w:type="dxa"/>
            <w:vAlign w:val="bottom"/>
          </w:tcPr>
          <w:p>
            <w:pPr>
              <w:spacing w:after="0"/>
              <w:rPr>
                <w:sz w:val="21"/>
                <w:szCs w:val="21"/>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12,599</w:t>
            </w:r>
            <w:r>
              <w:rPr>
                <w:rFonts w:ascii="Arial" w:cs="Arial" w:eastAsia="Arial" w:hAnsi="Arial"/>
                <w:sz w:val="17"/>
                <w:szCs w:val="17"/>
                <w:color w:val="auto"/>
              </w:rPr>
              <w:t>**</w:t>
            </w:r>
          </w:p>
        </w:tc>
      </w:tr>
      <w:tr>
        <w:trPr>
          <w:trHeight w:val="243"/>
        </w:trPr>
        <w:tc>
          <w:tcPr>
            <w:tcW w:w="6400" w:type="dxa"/>
            <w:vAlign w:val="bottom"/>
            <w:shd w:val="clear" w:color="auto" w:fill="CCFFCC"/>
          </w:tcPr>
          <w:p>
            <w:pPr>
              <w:ind w:left="340"/>
              <w:spacing w:after="0"/>
              <w:rPr>
                <w:sz w:val="20"/>
                <w:szCs w:val="20"/>
                <w:color w:val="auto"/>
              </w:rPr>
            </w:pPr>
            <w:r>
              <w:rPr>
                <w:rFonts w:ascii="Arial" w:cs="Arial" w:eastAsia="Arial" w:hAnsi="Arial"/>
                <w:sz w:val="18"/>
                <w:szCs w:val="18"/>
                <w:color w:val="auto"/>
              </w:rPr>
              <w:t>FEI-Zyfer</w:t>
            </w: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7,542</w:t>
            </w:r>
          </w:p>
        </w:tc>
        <w:tc>
          <w:tcPr>
            <w:tcW w:w="36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38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10,055</w:t>
            </w:r>
          </w:p>
        </w:tc>
        <w:tc>
          <w:tcPr>
            <w:tcW w:w="30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8,803</w:t>
            </w: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less intersegment sales</w:t>
            </w:r>
          </w:p>
        </w:tc>
        <w:tc>
          <w:tcPr>
            <w:tcW w:w="300" w:type="dxa"/>
            <w:vAlign w:val="bottom"/>
          </w:tcPr>
          <w:p>
            <w:pPr>
              <w:spacing w:after="0"/>
              <w:rPr>
                <w:sz w:val="23"/>
                <w:szCs w:val="23"/>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(2,902</w:t>
            </w:r>
            <w:r>
              <w:rPr>
                <w:rFonts w:ascii="Arial" w:cs="Arial" w:eastAsia="Arial" w:hAnsi="Arial"/>
                <w:sz w:val="17"/>
                <w:szCs w:val="17"/>
                <w:color w:val="auto"/>
              </w:rPr>
              <w:t>)**</w:t>
            </w:r>
          </w:p>
        </w:tc>
        <w:tc>
          <w:tcPr>
            <w:tcW w:w="300" w:type="dxa"/>
            <w:vAlign w:val="bottom"/>
          </w:tcPr>
          <w:p>
            <w:pPr>
              <w:spacing w:after="0"/>
              <w:rPr>
                <w:sz w:val="23"/>
                <w:szCs w:val="23"/>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(2,215</w:t>
            </w:r>
            <w:r>
              <w:rPr>
                <w:rFonts w:ascii="Arial" w:cs="Arial" w:eastAsia="Arial" w:hAnsi="Arial"/>
                <w:sz w:val="17"/>
                <w:szCs w:val="17"/>
                <w:color w:val="auto"/>
              </w:rPr>
              <w:t>)**</w:t>
            </w:r>
          </w:p>
        </w:tc>
        <w:tc>
          <w:tcPr>
            <w:tcW w:w="300" w:type="dxa"/>
            <w:vAlign w:val="bottom"/>
          </w:tcPr>
          <w:p>
            <w:pPr>
              <w:spacing w:after="0"/>
              <w:rPr>
                <w:sz w:val="23"/>
                <w:szCs w:val="23"/>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(3,296</w:t>
            </w:r>
            <w:r>
              <w:rPr>
                <w:rFonts w:ascii="Arial" w:cs="Arial" w:eastAsia="Arial" w:hAnsi="Arial"/>
                <w:sz w:val="17"/>
                <w:szCs w:val="17"/>
                <w:color w:val="auto"/>
              </w:rPr>
              <w:t>)**</w:t>
            </w:r>
          </w:p>
        </w:tc>
      </w:tr>
      <w:tr>
        <w:trPr>
          <w:trHeight w:val="20"/>
        </w:trPr>
        <w:tc>
          <w:tcPr>
            <w:tcW w:w="6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77"/>
        </w:trPr>
        <w:tc>
          <w:tcPr>
            <w:tcW w:w="6400" w:type="dxa"/>
            <w:vAlign w:val="bottom"/>
            <w:shd w:val="clear" w:color="auto" w:fill="CCFFCC"/>
          </w:tcPr>
          <w:p>
            <w:pPr>
              <w:ind w:left="340"/>
              <w:spacing w:after="0"/>
              <w:rPr>
                <w:sz w:val="20"/>
                <w:szCs w:val="20"/>
                <w:color w:val="auto"/>
              </w:rPr>
            </w:pPr>
            <w:r>
              <w:rPr>
                <w:rFonts w:ascii="Arial" w:cs="Arial" w:eastAsia="Arial" w:hAnsi="Arial"/>
                <w:sz w:val="18"/>
                <w:szCs w:val="18"/>
                <w:color w:val="auto"/>
              </w:rPr>
              <w:t>Consolidated Sales</w:t>
            </w: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56,206</w:t>
            </w:r>
          </w:p>
        </w:tc>
        <w:tc>
          <w:tcPr>
            <w:tcW w:w="360" w:type="dxa"/>
            <w:vAlign w:val="bottom"/>
            <w:shd w:val="clear" w:color="auto" w:fill="CCFFCC"/>
          </w:tcPr>
          <w:p>
            <w:pPr>
              <w:spacing w:after="0"/>
              <w:rPr>
                <w:sz w:val="24"/>
                <w:szCs w:val="24"/>
                <w:color w:val="auto"/>
              </w:rPr>
            </w:pPr>
          </w:p>
        </w:tc>
        <w:tc>
          <w:tcPr>
            <w:tcW w:w="300" w:type="dxa"/>
            <w:vAlign w:val="bottom"/>
            <w:shd w:val="clear" w:color="auto" w:fill="CCFFCC"/>
          </w:tcPr>
          <w:p>
            <w:pPr>
              <w:jc w:val="right"/>
              <w:ind w:right="14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52,810</w:t>
            </w: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55,173</w:t>
            </w:r>
          </w:p>
        </w:tc>
      </w:tr>
      <w:tr>
        <w:trPr>
          <w:trHeight w:val="224"/>
        </w:trPr>
        <w:tc>
          <w:tcPr>
            <w:tcW w:w="6400" w:type="dxa"/>
            <w:vAlign w:val="bottom"/>
            <w:tcBorders>
              <w:top w:val="single" w:sz="8" w:color="CCFFCC"/>
            </w:tcBorders>
          </w:tcPr>
          <w:p>
            <w:pPr>
              <w:spacing w:after="0"/>
              <w:rPr>
                <w:sz w:val="20"/>
                <w:szCs w:val="20"/>
                <w:color w:val="auto"/>
              </w:rPr>
            </w:pPr>
            <w:r>
              <w:rPr>
                <w:rFonts w:ascii="Arial" w:cs="Arial" w:eastAsia="Arial" w:hAnsi="Arial"/>
                <w:sz w:val="18"/>
                <w:szCs w:val="18"/>
                <w:color w:val="auto"/>
              </w:rPr>
              <w:t>Operating (loss) profit:</w:t>
            </w: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360" w:type="dxa"/>
            <w:vAlign w:val="bottom"/>
            <w:tcBorders>
              <w:top w:val="single" w:sz="8" w:color="CCFFC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340" w:type="dxa"/>
            <w:vAlign w:val="bottom"/>
            <w:tcBorders>
              <w:top w:val="single" w:sz="8" w:color="CCFFC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40" w:type="dxa"/>
            <w:vAlign w:val="bottom"/>
            <w:tcBorders>
              <w:top w:val="single" w:sz="8" w:color="CCFFCC"/>
            </w:tcBorders>
          </w:tcPr>
          <w:p>
            <w:pPr>
              <w:spacing w:after="0"/>
              <w:rPr>
                <w:sz w:val="19"/>
                <w:szCs w:val="19"/>
                <w:color w:val="auto"/>
              </w:rPr>
            </w:pPr>
          </w:p>
        </w:tc>
      </w:tr>
      <w:tr>
        <w:trPr>
          <w:trHeight w:val="243"/>
        </w:trPr>
        <w:tc>
          <w:tcPr>
            <w:tcW w:w="6400" w:type="dxa"/>
            <w:vAlign w:val="bottom"/>
            <w:shd w:val="clear" w:color="auto" w:fill="CCFFCC"/>
          </w:tcPr>
          <w:p>
            <w:pPr>
              <w:ind w:left="340"/>
              <w:spacing w:after="0"/>
              <w:rPr>
                <w:sz w:val="20"/>
                <w:szCs w:val="20"/>
                <w:color w:val="auto"/>
              </w:rPr>
            </w:pPr>
            <w:r>
              <w:rPr>
                <w:rFonts w:ascii="Arial" w:cs="Arial" w:eastAsia="Arial" w:hAnsi="Arial"/>
                <w:sz w:val="18"/>
                <w:szCs w:val="18"/>
                <w:color w:val="auto"/>
              </w:rPr>
              <w:t>FEI-NY</w:t>
            </w: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(3,336</w:t>
            </w:r>
            <w:r>
              <w:rPr>
                <w:rFonts w:ascii="Arial" w:cs="Arial" w:eastAsia="Arial" w:hAnsi="Arial"/>
                <w:sz w:val="17"/>
                <w:szCs w:val="17"/>
                <w:color w:val="auto"/>
              </w:rPr>
              <w:t>)**</w:t>
            </w:r>
          </w:p>
        </w:tc>
        <w:tc>
          <w:tcPr>
            <w:tcW w:w="300" w:type="dxa"/>
            <w:vAlign w:val="bottom"/>
            <w:shd w:val="clear" w:color="auto" w:fill="CCFFCC"/>
          </w:tcPr>
          <w:p>
            <w:pPr>
              <w:jc w:val="right"/>
              <w:ind w:right="14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1,864</w:t>
            </w:r>
            <w:r>
              <w:rPr>
                <w:rFonts w:ascii="Arial" w:cs="Arial" w:eastAsia="Arial" w:hAnsi="Arial"/>
                <w:sz w:val="17"/>
                <w:szCs w:val="17"/>
                <w:color w:val="auto"/>
              </w:rPr>
              <w:t>**</w:t>
            </w: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(616</w:t>
            </w:r>
            <w:r>
              <w:rPr>
                <w:rFonts w:ascii="Arial" w:cs="Arial" w:eastAsia="Arial" w:hAnsi="Arial"/>
                <w:sz w:val="17"/>
                <w:szCs w:val="17"/>
                <w:color w:val="auto"/>
              </w:rPr>
              <w:t>)**</w:t>
            </w:r>
          </w:p>
        </w:tc>
      </w:tr>
      <w:tr>
        <w:trPr>
          <w:trHeight w:val="243"/>
        </w:trPr>
        <w:tc>
          <w:tcPr>
            <w:tcW w:w="6400" w:type="dxa"/>
            <w:vAlign w:val="bottom"/>
          </w:tcPr>
          <w:p>
            <w:pPr>
              <w:ind w:left="340"/>
              <w:spacing w:after="0"/>
              <w:rPr>
                <w:sz w:val="20"/>
                <w:szCs w:val="20"/>
                <w:color w:val="auto"/>
              </w:rPr>
            </w:pPr>
            <w:r>
              <w:rPr>
                <w:rFonts w:ascii="Arial" w:cs="Arial" w:eastAsia="Arial" w:hAnsi="Arial"/>
                <w:sz w:val="18"/>
                <w:szCs w:val="18"/>
                <w:color w:val="auto"/>
              </w:rPr>
              <w:t>Gillam-FEI</w:t>
            </w:r>
          </w:p>
        </w:tc>
        <w:tc>
          <w:tcPr>
            <w:tcW w:w="300" w:type="dxa"/>
            <w:vAlign w:val="bottom"/>
          </w:tcPr>
          <w:p>
            <w:pPr>
              <w:spacing w:after="0"/>
              <w:rPr>
                <w:sz w:val="21"/>
                <w:szCs w:val="21"/>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412</w:t>
            </w:r>
            <w:r>
              <w:rPr>
                <w:rFonts w:ascii="Arial" w:cs="Arial" w:eastAsia="Arial" w:hAnsi="Arial"/>
                <w:sz w:val="17"/>
                <w:szCs w:val="17"/>
                <w:color w:val="auto"/>
              </w:rPr>
              <w:t>**</w:t>
            </w:r>
          </w:p>
        </w:tc>
        <w:tc>
          <w:tcPr>
            <w:tcW w:w="300" w:type="dxa"/>
            <w:vAlign w:val="bottom"/>
          </w:tcPr>
          <w:p>
            <w:pPr>
              <w:spacing w:after="0"/>
              <w:rPr>
                <w:sz w:val="21"/>
                <w:szCs w:val="21"/>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8"/>
                <w:szCs w:val="18"/>
                <w:color w:val="auto"/>
              </w:rPr>
              <w:t>(525</w:t>
            </w:r>
            <w:r>
              <w:rPr>
                <w:rFonts w:ascii="Arial" w:cs="Arial" w:eastAsia="Arial" w:hAnsi="Arial"/>
                <w:sz w:val="17"/>
                <w:szCs w:val="17"/>
                <w:color w:val="auto"/>
              </w:rPr>
              <w:t>)**</w:t>
            </w:r>
          </w:p>
        </w:tc>
        <w:tc>
          <w:tcPr>
            <w:tcW w:w="300" w:type="dxa"/>
            <w:vAlign w:val="bottom"/>
          </w:tcPr>
          <w:p>
            <w:pPr>
              <w:spacing w:after="0"/>
              <w:rPr>
                <w:sz w:val="21"/>
                <w:szCs w:val="21"/>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r>
              <w:rPr>
                <w:rFonts w:ascii="Arial" w:cs="Arial" w:eastAsia="Arial" w:hAnsi="Arial"/>
                <w:sz w:val="17"/>
                <w:szCs w:val="17"/>
                <w:color w:val="auto"/>
              </w:rPr>
              <w:t>**</w:t>
            </w:r>
          </w:p>
        </w:tc>
      </w:tr>
      <w:tr>
        <w:trPr>
          <w:trHeight w:val="243"/>
        </w:trPr>
        <w:tc>
          <w:tcPr>
            <w:tcW w:w="6400" w:type="dxa"/>
            <w:vAlign w:val="bottom"/>
            <w:shd w:val="clear" w:color="auto" w:fill="CCFFCC"/>
          </w:tcPr>
          <w:p>
            <w:pPr>
              <w:ind w:left="340"/>
              <w:spacing w:after="0"/>
              <w:rPr>
                <w:sz w:val="20"/>
                <w:szCs w:val="20"/>
                <w:color w:val="auto"/>
              </w:rPr>
            </w:pPr>
            <w:r>
              <w:rPr>
                <w:rFonts w:ascii="Arial" w:cs="Arial" w:eastAsia="Arial" w:hAnsi="Arial"/>
                <w:sz w:val="18"/>
                <w:szCs w:val="18"/>
                <w:color w:val="auto"/>
              </w:rPr>
              <w:t>FEI-Zyfer</w:t>
            </w:r>
          </w:p>
        </w:tc>
        <w:tc>
          <w:tcPr>
            <w:tcW w:w="300" w:type="dxa"/>
            <w:vAlign w:val="bottom"/>
            <w:shd w:val="clear" w:color="auto" w:fill="CCFFCC"/>
          </w:tcPr>
          <w:p>
            <w:pPr>
              <w:spacing w:after="0"/>
              <w:rPr>
                <w:sz w:val="21"/>
                <w:szCs w:val="21"/>
                <w:color w:val="auto"/>
              </w:rPr>
            </w:pPr>
          </w:p>
        </w:tc>
        <w:tc>
          <w:tcPr>
            <w:tcW w:w="144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(339)</w:t>
            </w:r>
          </w:p>
        </w:tc>
        <w:tc>
          <w:tcPr>
            <w:tcW w:w="300" w:type="dxa"/>
            <w:vAlign w:val="bottom"/>
            <w:shd w:val="clear" w:color="auto" w:fill="CCFFCC"/>
          </w:tcPr>
          <w:p>
            <w:pPr>
              <w:spacing w:after="0"/>
              <w:rPr>
                <w:sz w:val="21"/>
                <w:szCs w:val="21"/>
                <w:color w:val="auto"/>
              </w:rPr>
            </w:pPr>
          </w:p>
        </w:tc>
        <w:tc>
          <w:tcPr>
            <w:tcW w:w="138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903</w:t>
            </w:r>
          </w:p>
        </w:tc>
        <w:tc>
          <w:tcPr>
            <w:tcW w:w="30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292</w:t>
            </w:r>
          </w:p>
        </w:tc>
      </w:tr>
      <w:tr>
        <w:trPr>
          <w:trHeight w:val="270"/>
        </w:trPr>
        <w:tc>
          <w:tcPr>
            <w:tcW w:w="6400" w:type="dxa"/>
            <w:vAlign w:val="bottom"/>
          </w:tcPr>
          <w:p>
            <w:pPr>
              <w:ind w:left="340"/>
              <w:spacing w:after="0"/>
              <w:rPr>
                <w:sz w:val="20"/>
                <w:szCs w:val="20"/>
                <w:color w:val="auto"/>
              </w:rPr>
            </w:pPr>
            <w:r>
              <w:rPr>
                <w:rFonts w:ascii="Arial" w:cs="Arial" w:eastAsia="Arial" w:hAnsi="Arial"/>
                <w:sz w:val="18"/>
                <w:szCs w:val="18"/>
                <w:color w:val="auto"/>
              </w:rPr>
              <w:t>Corporate</w:t>
            </w:r>
          </w:p>
        </w:tc>
        <w:tc>
          <w:tcPr>
            <w:tcW w:w="300" w:type="dxa"/>
            <w:vAlign w:val="bottom"/>
          </w:tcPr>
          <w:p>
            <w:pPr>
              <w:spacing w:after="0"/>
              <w:rPr>
                <w:sz w:val="23"/>
                <w:szCs w:val="23"/>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(458)</w:t>
            </w:r>
          </w:p>
        </w:tc>
        <w:tc>
          <w:tcPr>
            <w:tcW w:w="300" w:type="dxa"/>
            <w:vAlign w:val="bottom"/>
          </w:tcPr>
          <w:p>
            <w:pPr>
              <w:spacing w:after="0"/>
              <w:rPr>
                <w:sz w:val="23"/>
                <w:szCs w:val="23"/>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(532)</w:t>
            </w:r>
          </w:p>
        </w:tc>
        <w:tc>
          <w:tcPr>
            <w:tcW w:w="300" w:type="dxa"/>
            <w:vAlign w:val="bottom"/>
          </w:tcPr>
          <w:p>
            <w:pPr>
              <w:spacing w:after="0"/>
              <w:rPr>
                <w:sz w:val="23"/>
                <w:szCs w:val="23"/>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(1,145)</w:t>
            </w:r>
          </w:p>
        </w:tc>
      </w:tr>
      <w:tr>
        <w:trPr>
          <w:trHeight w:val="20"/>
        </w:trPr>
        <w:tc>
          <w:tcPr>
            <w:tcW w:w="64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57"/>
        </w:trPr>
        <w:tc>
          <w:tcPr>
            <w:tcW w:w="6400" w:type="dxa"/>
            <w:vAlign w:val="bottom"/>
            <w:shd w:val="clear" w:color="auto" w:fill="CCFFCC"/>
          </w:tcPr>
          <w:p>
            <w:pPr>
              <w:ind w:left="340"/>
              <w:spacing w:after="0"/>
              <w:rPr>
                <w:sz w:val="20"/>
                <w:szCs w:val="20"/>
                <w:color w:val="auto"/>
              </w:rPr>
            </w:pPr>
            <w:r>
              <w:rPr>
                <w:rFonts w:ascii="Arial" w:cs="Arial" w:eastAsia="Arial" w:hAnsi="Arial"/>
                <w:sz w:val="18"/>
                <w:szCs w:val="18"/>
                <w:color w:val="auto"/>
              </w:rPr>
              <w:t>Consolidated Operating (Loss) Profit</w:t>
            </w:r>
          </w:p>
        </w:tc>
        <w:tc>
          <w:tcPr>
            <w:tcW w:w="300" w:type="dxa"/>
            <w:vAlign w:val="bottom"/>
            <w:shd w:val="clear" w:color="auto" w:fill="CCFFCC"/>
          </w:tcPr>
          <w:p>
            <w:pPr>
              <w:spacing w:after="0"/>
              <w:rPr>
                <w:sz w:val="22"/>
                <w:szCs w:val="22"/>
                <w:color w:val="auto"/>
              </w:rPr>
            </w:pPr>
          </w:p>
        </w:tc>
        <w:tc>
          <w:tcPr>
            <w:tcW w:w="1440" w:type="dxa"/>
            <w:vAlign w:val="bottom"/>
            <w:gridSpan w:val="2"/>
            <w:shd w:val="clear" w:color="auto" w:fill="CCFFCC"/>
          </w:tcPr>
          <w:p>
            <w:pPr>
              <w:jc w:val="right"/>
              <w:ind w:right="300"/>
              <w:spacing w:after="0"/>
              <w:rPr>
                <w:sz w:val="20"/>
                <w:szCs w:val="20"/>
                <w:color w:val="auto"/>
              </w:rPr>
            </w:pPr>
            <w:r>
              <w:rPr>
                <w:rFonts w:ascii="Arial" w:cs="Arial" w:eastAsia="Arial" w:hAnsi="Arial"/>
                <w:sz w:val="18"/>
                <w:szCs w:val="18"/>
                <w:color w:val="auto"/>
              </w:rPr>
              <w:t>($ 3,721)</w:t>
            </w:r>
          </w:p>
        </w:tc>
        <w:tc>
          <w:tcPr>
            <w:tcW w:w="300" w:type="dxa"/>
            <w:vAlign w:val="bottom"/>
            <w:shd w:val="clear" w:color="auto" w:fill="CCFFCC"/>
          </w:tcPr>
          <w:p>
            <w:pPr>
              <w:jc w:val="right"/>
              <w:ind w:right="14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1,710</w:t>
            </w:r>
          </w:p>
        </w:tc>
        <w:tc>
          <w:tcPr>
            <w:tcW w:w="300" w:type="dxa"/>
            <w:vAlign w:val="bottom"/>
            <w:shd w:val="clear" w:color="auto" w:fill="CCFFCC"/>
          </w:tcPr>
          <w:p>
            <w:pPr>
              <w:spacing w:after="0"/>
              <w:rPr>
                <w:sz w:val="22"/>
                <w:szCs w:val="22"/>
                <w:color w:val="auto"/>
              </w:rPr>
            </w:pPr>
          </w:p>
        </w:tc>
        <w:tc>
          <w:tcPr>
            <w:tcW w:w="1300" w:type="dxa"/>
            <w:vAlign w:val="bottom"/>
            <w:gridSpan w:val="2"/>
            <w:shd w:val="clear" w:color="auto" w:fill="CCFFCC"/>
          </w:tcPr>
          <w:p>
            <w:pPr>
              <w:jc w:val="right"/>
              <w:ind w:right="180"/>
              <w:spacing w:after="0"/>
              <w:rPr>
                <w:sz w:val="20"/>
                <w:szCs w:val="20"/>
                <w:color w:val="auto"/>
              </w:rPr>
            </w:pPr>
            <w:r>
              <w:rPr>
                <w:rFonts w:ascii="Arial" w:cs="Arial" w:eastAsia="Arial" w:hAnsi="Arial"/>
                <w:sz w:val="18"/>
                <w:szCs w:val="18"/>
                <w:color w:val="auto"/>
              </w:rPr>
              <w:t>($ 1,269)</w:t>
            </w:r>
          </w:p>
        </w:tc>
      </w:tr>
      <w:tr>
        <w:trPr>
          <w:trHeight w:val="20"/>
        </w:trPr>
        <w:tc>
          <w:tcPr>
            <w:tcW w:w="640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r>
    </w:tbl>
    <w:p>
      <w:pPr>
        <w:spacing w:after="0" w:line="256" w:lineRule="exact"/>
        <w:rPr>
          <w:sz w:val="20"/>
          <w:szCs w:val="20"/>
          <w:color w:val="auto"/>
        </w:rPr>
      </w:pPr>
    </w:p>
    <w:p>
      <w:pPr>
        <w:jc w:val="both"/>
        <w:ind w:left="500" w:hanging="330"/>
        <w:spacing w:after="0" w:line="255" w:lineRule="auto"/>
        <w:tabs>
          <w:tab w:leader="none" w:pos="572" w:val="left"/>
        </w:tabs>
        <w:numPr>
          <w:ilvl w:val="0"/>
          <w:numId w:val="25"/>
        </w:numPr>
        <w:rPr>
          <w:rFonts w:ascii="Arial" w:cs="Arial" w:eastAsia="Arial" w:hAnsi="Arial"/>
          <w:sz w:val="18"/>
          <w:szCs w:val="18"/>
          <w:color w:val="auto"/>
        </w:rPr>
      </w:pPr>
      <w:r>
        <w:rPr>
          <w:rFonts w:ascii="Arial" w:cs="Arial" w:eastAsia="Arial" w:hAnsi="Arial"/>
          <w:sz w:val="18"/>
          <w:szCs w:val="18"/>
          <w:color w:val="auto"/>
        </w:rPr>
        <w:t>For the fiscal years ended April 30, 2007, 2006 and 2005, includes Gillam-FEI intersegment sales of $1.8 million, $945,000 and $2.4 million, respectively, to the FEI-NY segment. In fiscal year 2007, such sales included final development costs and manufacture of assemblies and units of a wireline synchronization product for ultimate production and sale in the U.S. In the prior fiscal years, these amounts were recorded as research and development expense of the FEI-NY segment, resulting in a lower operating profit in fiscal year 2006 and an operating loss in fiscal year 2005 at that segment. In the Gillam-FEI segment, these transactions increased the operating profit in fiscal year 2007, reduced the operating loss in fiscal year 2006 and produced an operating profit in fiscal year 2005.</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2007</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2006</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20"/>
                <w:szCs w:val="20"/>
                <w:color w:val="auto"/>
              </w:rPr>
            </w:pPr>
          </w:p>
        </w:tc>
      </w:tr>
      <w:tr>
        <w:trPr>
          <w:trHeight w:val="237"/>
        </w:trPr>
        <w:tc>
          <w:tcPr>
            <w:tcW w:w="6740" w:type="dxa"/>
            <w:vAlign w:val="bottom"/>
          </w:tcPr>
          <w:p>
            <w:pPr>
              <w:spacing w:after="0"/>
              <w:rPr>
                <w:sz w:val="20"/>
                <w:szCs w:val="20"/>
                <w:color w:val="auto"/>
              </w:rPr>
            </w:pPr>
            <w:r>
              <w:rPr>
                <w:rFonts w:ascii="Arial" w:cs="Arial" w:eastAsia="Arial" w:hAnsi="Arial"/>
                <w:sz w:val="18"/>
                <w:szCs w:val="18"/>
                <w:color w:val="auto"/>
              </w:rPr>
              <w:t>Identifiable assets:</w:t>
            </w: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67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FEI-NY</w:t>
            </w: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49,868</w:t>
            </w:r>
          </w:p>
        </w:tc>
        <w:tc>
          <w:tcPr>
            <w:tcW w:w="140" w:type="dxa"/>
            <w:vAlign w:val="bottom"/>
            <w:shd w:val="clear" w:color="auto" w:fill="CCFFCC"/>
          </w:tcPr>
          <w:p>
            <w:pPr>
              <w:spacing w:after="0"/>
              <w:rPr>
                <w:sz w:val="21"/>
                <w:szCs w:val="21"/>
                <w:color w:val="auto"/>
              </w:rPr>
            </w:pPr>
          </w:p>
        </w:tc>
        <w:tc>
          <w:tcPr>
            <w:tcW w:w="4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44,111</w:t>
            </w: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36,695</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Gillam-FEI</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13,750</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13,755</w:t>
            </w: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13,877</w:t>
            </w:r>
          </w:p>
        </w:tc>
      </w:tr>
      <w:tr>
        <w:trPr>
          <w:trHeight w:val="243"/>
        </w:trPr>
        <w:tc>
          <w:tcPr>
            <w:tcW w:w="67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FEI-Zyfer</w:t>
            </w: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5,366</w:t>
            </w:r>
          </w:p>
        </w:tc>
        <w:tc>
          <w:tcPr>
            <w:tcW w:w="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5,356</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4,796</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less intersegment balances</w:t>
            </w:r>
          </w:p>
        </w:tc>
        <w:tc>
          <w:tcPr>
            <w:tcW w:w="30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(11,773)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(14,585)</w:t>
            </w:r>
          </w:p>
        </w:tc>
        <w:tc>
          <w:tcPr>
            <w:tcW w:w="30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(9,892)</w:t>
            </w:r>
          </w:p>
        </w:tc>
      </w:tr>
      <w:tr>
        <w:trPr>
          <w:trHeight w:val="250"/>
        </w:trPr>
        <w:tc>
          <w:tcPr>
            <w:tcW w:w="6740" w:type="dxa"/>
            <w:vAlign w:val="bottom"/>
            <w:tcBorders>
              <w:bottom w:val="single" w:sz="8" w:color="CCFFCC"/>
            </w:tcBorders>
            <w:shd w:val="clear" w:color="auto" w:fill="CCFFCC"/>
          </w:tcPr>
          <w:p>
            <w:pPr>
              <w:ind w:left="340"/>
              <w:spacing w:after="0"/>
              <w:rPr>
                <w:sz w:val="20"/>
                <w:szCs w:val="20"/>
                <w:color w:val="auto"/>
              </w:rPr>
            </w:pPr>
            <w:r>
              <w:rPr>
                <w:rFonts w:ascii="Arial" w:cs="Arial" w:eastAsia="Arial" w:hAnsi="Arial"/>
                <w:sz w:val="18"/>
                <w:szCs w:val="18"/>
                <w:color w:val="auto"/>
              </w:rPr>
              <w:t>Corporate</w:t>
            </w:r>
          </w:p>
        </w:tc>
        <w:tc>
          <w:tcPr>
            <w:tcW w:w="30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36,615</w:t>
            </w:r>
          </w:p>
        </w:tc>
        <w:tc>
          <w:tcPr>
            <w:tcW w:w="1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30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38,104</w:t>
            </w:r>
          </w:p>
        </w:tc>
        <w:tc>
          <w:tcPr>
            <w:tcW w:w="30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42,898</w:t>
            </w:r>
          </w:p>
        </w:tc>
      </w:tr>
      <w:tr>
        <w:trPr>
          <w:trHeight w:val="20"/>
        </w:trPr>
        <w:tc>
          <w:tcPr>
            <w:tcW w:w="674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color w:val="auto"/>
              </w:rPr>
              <w:t>Consolidated Identifiable Assets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93,826</w:t>
            </w:r>
          </w:p>
        </w:tc>
        <w:tc>
          <w:tcPr>
            <w:tcW w:w="14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86,741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88,374</w:t>
            </w:r>
          </w:p>
        </w:tc>
      </w:tr>
      <w:tr>
        <w:trPr>
          <w:trHeight w:val="20"/>
        </w:trPr>
        <w:tc>
          <w:tcPr>
            <w:tcW w:w="6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4"/>
        </w:trPr>
        <w:tc>
          <w:tcPr>
            <w:tcW w:w="6740" w:type="dxa"/>
            <w:vAlign w:val="bottom"/>
            <w:shd w:val="clear" w:color="auto" w:fill="CCFFCC"/>
          </w:tcPr>
          <w:p>
            <w:pPr>
              <w:spacing w:after="0"/>
              <w:rPr>
                <w:sz w:val="20"/>
                <w:szCs w:val="20"/>
                <w:color w:val="auto"/>
              </w:rPr>
            </w:pPr>
            <w:r>
              <w:rPr>
                <w:rFonts w:ascii="Arial" w:cs="Arial" w:eastAsia="Arial" w:hAnsi="Arial"/>
                <w:sz w:val="18"/>
                <w:szCs w:val="18"/>
                <w:color w:val="auto"/>
              </w:rPr>
              <w:t>Depreciation and amortization (allocated):</w:t>
            </w:r>
          </w:p>
        </w:tc>
        <w:tc>
          <w:tcPr>
            <w:tcW w:w="300" w:type="dxa"/>
            <w:vAlign w:val="bottom"/>
            <w:shd w:val="clear" w:color="auto" w:fill="CCFFCC"/>
          </w:tcPr>
          <w:p>
            <w:pPr>
              <w:spacing w:after="0"/>
              <w:rPr>
                <w:sz w:val="19"/>
                <w:szCs w:val="19"/>
                <w:color w:val="auto"/>
              </w:rPr>
            </w:pPr>
          </w:p>
        </w:tc>
        <w:tc>
          <w:tcPr>
            <w:tcW w:w="1080" w:type="dxa"/>
            <w:vAlign w:val="bottom"/>
            <w:shd w:val="clear" w:color="auto" w:fill="CCFFCC"/>
          </w:tcPr>
          <w:p>
            <w:pPr>
              <w:spacing w:after="0"/>
              <w:rPr>
                <w:sz w:val="19"/>
                <w:szCs w:val="19"/>
                <w:color w:val="auto"/>
              </w:rPr>
            </w:pPr>
          </w:p>
        </w:tc>
        <w:tc>
          <w:tcPr>
            <w:tcW w:w="14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1080" w:type="dxa"/>
            <w:vAlign w:val="bottom"/>
            <w:shd w:val="clear" w:color="auto" w:fill="CCFFCC"/>
          </w:tcPr>
          <w:p>
            <w:pPr>
              <w:spacing w:after="0"/>
              <w:rPr>
                <w:sz w:val="19"/>
                <w:szCs w:val="19"/>
                <w:color w:val="auto"/>
              </w:rPr>
            </w:pPr>
          </w:p>
        </w:tc>
        <w:tc>
          <w:tcPr>
            <w:tcW w:w="220" w:type="dxa"/>
            <w:vAlign w:val="bottom"/>
            <w:shd w:val="clear" w:color="auto" w:fill="CCFFCC"/>
          </w:tcPr>
          <w:p>
            <w:pPr>
              <w:spacing w:after="0"/>
              <w:rPr>
                <w:sz w:val="19"/>
                <w:szCs w:val="19"/>
                <w:color w:val="auto"/>
              </w:rPr>
            </w:pPr>
          </w:p>
        </w:tc>
        <w:tc>
          <w:tcPr>
            <w:tcW w:w="300" w:type="dxa"/>
            <w:vAlign w:val="bottom"/>
            <w:shd w:val="clear" w:color="auto" w:fill="CCFFCC"/>
          </w:tcPr>
          <w:p>
            <w:pPr>
              <w:spacing w:after="0"/>
              <w:rPr>
                <w:sz w:val="19"/>
                <w:szCs w:val="19"/>
                <w:color w:val="auto"/>
              </w:rPr>
            </w:pPr>
          </w:p>
        </w:tc>
        <w:tc>
          <w:tcPr>
            <w:tcW w:w="1060" w:type="dxa"/>
            <w:vAlign w:val="bottom"/>
            <w:shd w:val="clear" w:color="auto" w:fill="CCFFCC"/>
          </w:tcPr>
          <w:p>
            <w:pPr>
              <w:spacing w:after="0"/>
              <w:rPr>
                <w:sz w:val="19"/>
                <w:szCs w:val="19"/>
                <w:color w:val="auto"/>
              </w:rPr>
            </w:pPr>
          </w:p>
        </w:tc>
        <w:tc>
          <w:tcPr>
            <w:tcW w:w="100" w:type="dxa"/>
            <w:vAlign w:val="bottom"/>
            <w:shd w:val="clear" w:color="auto" w:fill="CCFFCC"/>
          </w:tcPr>
          <w:p>
            <w:pPr>
              <w:spacing w:after="0"/>
              <w:rPr>
                <w:sz w:val="19"/>
                <w:szCs w:val="19"/>
                <w:color w:val="auto"/>
              </w:rPr>
            </w:pP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FEI-NY</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1,290</w:t>
            </w:r>
          </w:p>
        </w:tc>
        <w:tc>
          <w:tcPr>
            <w:tcW w:w="140" w:type="dxa"/>
            <w:vAlign w:val="bottom"/>
          </w:tcPr>
          <w:p>
            <w:pPr>
              <w:spacing w:after="0"/>
              <w:rPr>
                <w:sz w:val="21"/>
                <w:szCs w:val="21"/>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1,238</w:t>
            </w:r>
          </w:p>
        </w:tc>
        <w:tc>
          <w:tcPr>
            <w:tcW w:w="220" w:type="dxa"/>
            <w:vAlign w:val="bottom"/>
          </w:tcPr>
          <w:p>
            <w:pPr>
              <w:spacing w:after="0"/>
              <w:rPr>
                <w:sz w:val="21"/>
                <w:szCs w:val="21"/>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1,325</w:t>
            </w:r>
          </w:p>
        </w:tc>
      </w:tr>
      <w:tr>
        <w:trPr>
          <w:trHeight w:val="243"/>
        </w:trPr>
        <w:tc>
          <w:tcPr>
            <w:tcW w:w="6740" w:type="dxa"/>
            <w:vAlign w:val="bottom"/>
            <w:shd w:val="clear" w:color="auto" w:fill="CCFFCC"/>
          </w:tcPr>
          <w:p>
            <w:pPr>
              <w:ind w:left="340"/>
              <w:spacing w:after="0"/>
              <w:rPr>
                <w:sz w:val="20"/>
                <w:szCs w:val="20"/>
                <w:color w:val="auto"/>
              </w:rPr>
            </w:pPr>
            <w:r>
              <w:rPr>
                <w:rFonts w:ascii="Arial" w:cs="Arial" w:eastAsia="Arial" w:hAnsi="Arial"/>
                <w:sz w:val="18"/>
                <w:szCs w:val="18"/>
                <w:color w:val="auto"/>
              </w:rPr>
              <w:t>Gillam-FEI</w:t>
            </w: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164</w:t>
            </w:r>
          </w:p>
        </w:tc>
        <w:tc>
          <w:tcPr>
            <w:tcW w:w="1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30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185</w:t>
            </w:r>
          </w:p>
        </w:tc>
        <w:tc>
          <w:tcPr>
            <w:tcW w:w="30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244</w:t>
            </w:r>
          </w:p>
        </w:tc>
      </w:tr>
      <w:tr>
        <w:trPr>
          <w:trHeight w:val="243"/>
        </w:trPr>
        <w:tc>
          <w:tcPr>
            <w:tcW w:w="6740" w:type="dxa"/>
            <w:vAlign w:val="bottom"/>
          </w:tcPr>
          <w:p>
            <w:pPr>
              <w:ind w:left="340"/>
              <w:spacing w:after="0"/>
              <w:rPr>
                <w:sz w:val="20"/>
                <w:szCs w:val="20"/>
                <w:color w:val="auto"/>
              </w:rPr>
            </w:pPr>
            <w:r>
              <w:rPr>
                <w:rFonts w:ascii="Arial" w:cs="Arial" w:eastAsia="Arial" w:hAnsi="Arial"/>
                <w:sz w:val="18"/>
                <w:szCs w:val="18"/>
                <w:color w:val="auto"/>
              </w:rPr>
              <w:t>FEI-Zyfer</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252</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428</w:t>
            </w: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426</w:t>
            </w:r>
          </w:p>
        </w:tc>
      </w:tr>
      <w:tr>
        <w:trPr>
          <w:trHeight w:val="250"/>
        </w:trPr>
        <w:tc>
          <w:tcPr>
            <w:tcW w:w="6740" w:type="dxa"/>
            <w:vAlign w:val="bottom"/>
            <w:tcBorders>
              <w:bottom w:val="single" w:sz="8" w:color="CCFFCC"/>
            </w:tcBorders>
            <w:shd w:val="clear" w:color="auto" w:fill="CCFFCC"/>
          </w:tcPr>
          <w:p>
            <w:pPr>
              <w:ind w:left="340"/>
              <w:spacing w:after="0"/>
              <w:rPr>
                <w:sz w:val="20"/>
                <w:szCs w:val="20"/>
                <w:color w:val="auto"/>
              </w:rPr>
            </w:pPr>
            <w:r>
              <w:rPr>
                <w:rFonts w:ascii="Arial" w:cs="Arial" w:eastAsia="Arial" w:hAnsi="Arial"/>
                <w:sz w:val="18"/>
                <w:szCs w:val="18"/>
                <w:color w:val="auto"/>
              </w:rPr>
              <w:t>Corporate</w:t>
            </w:r>
          </w:p>
        </w:tc>
        <w:tc>
          <w:tcPr>
            <w:tcW w:w="30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bottom w:val="single" w:sz="8" w:color="CCFFCC"/>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c>
          <w:tcPr>
            <w:tcW w:w="30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CCFFCC"/>
            </w:tcBorders>
            <w:shd w:val="clear" w:color="auto" w:fill="CCFFCC"/>
          </w:tcPr>
          <w:p>
            <w:pPr>
              <w:spacing w:after="0"/>
              <w:rPr>
                <w:sz w:val="21"/>
                <w:szCs w:val="21"/>
                <w:color w:val="auto"/>
              </w:rPr>
            </w:pPr>
          </w:p>
        </w:tc>
        <w:tc>
          <w:tcPr>
            <w:tcW w:w="30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19</w:t>
            </w:r>
          </w:p>
        </w:tc>
      </w:tr>
      <w:tr>
        <w:trPr>
          <w:trHeight w:val="20"/>
        </w:trPr>
        <w:tc>
          <w:tcPr>
            <w:tcW w:w="674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37"/>
        </w:trPr>
        <w:tc>
          <w:tcPr>
            <w:tcW w:w="6740" w:type="dxa"/>
            <w:vAlign w:val="bottom"/>
          </w:tcPr>
          <w:p>
            <w:pPr>
              <w:ind w:left="500"/>
              <w:spacing w:after="0"/>
              <w:rPr>
                <w:sz w:val="20"/>
                <w:szCs w:val="20"/>
                <w:color w:val="auto"/>
              </w:rPr>
            </w:pPr>
            <w:r>
              <w:rPr>
                <w:rFonts w:ascii="Arial" w:cs="Arial" w:eastAsia="Arial" w:hAnsi="Arial"/>
                <w:sz w:val="18"/>
                <w:szCs w:val="18"/>
                <w:color w:val="auto"/>
              </w:rPr>
              <w:t>Consolidated Depreciation and Amortization Expense</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1,725</w:t>
            </w:r>
          </w:p>
        </w:tc>
        <w:tc>
          <w:tcPr>
            <w:tcW w:w="14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1,870</w:t>
            </w:r>
          </w:p>
        </w:tc>
        <w:tc>
          <w:tcPr>
            <w:tcW w:w="2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2,014</w:t>
            </w:r>
          </w:p>
        </w:tc>
      </w:tr>
      <w:tr>
        <w:trPr>
          <w:trHeight w:val="20"/>
        </w:trPr>
        <w:tc>
          <w:tcPr>
            <w:tcW w:w="6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Major Customers</w:t>
      </w:r>
    </w:p>
    <w:p>
      <w:pPr>
        <w:spacing w:after="0" w:line="27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In fiscal year 2007, sales to three customers of the FEI-NY segment aggregated $24.4 million or 61% of that segment’s total sales. These customers accounted for 17%, 14% and 13%, respectively, of the Company’s consolidated sales for the year. During the year ended April 30, 2007, in the Gillam-FEI segment, sales to two customers aggregated $4.0 million or 42% of that segment’s revenues (exclusive of the $1.8 million of intersegment sale). In the FEI-Zyfer segment, two customers accounted for $1.6 million or 21% of that segment’s sales. None of the customers in the Gillam-FEI or FEI-Zyfer segments accounted for more than 10% of consolidated revenues.</w:t>
      </w:r>
    </w:p>
    <w:p>
      <w:pPr>
        <w:spacing w:after="0" w:line="24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 xml:space="preserve">In fiscal year 2006, sales to three customers of the FEI-NY segment aggregated $22.5 million or 63% of that segment’s total sales. These customers accounted for 16%, 14% and 13%, respectively, of the Company’s consolidated sales for the year. In the Gillam-FEI segment, sales to two customers aggregated $3.8 million or 46% of that segment’s revenues (exclusive of the $945,000 intersegment sale). In the FEI-Zyfer segment, two </w:t>
      </w:r>
      <w:r>
        <w:rPr>
          <w:rFonts w:ascii="Arial" w:cs="Arial" w:eastAsia="Arial" w:hAnsi="Arial"/>
          <w:sz w:val="17"/>
          <w:szCs w:val="17"/>
          <w:color w:val="auto"/>
        </w:rPr>
        <w:t>customers accounted</w:t>
      </w:r>
      <w:r>
        <w:rPr>
          <w:rFonts w:ascii="Arial" w:cs="Arial" w:eastAsia="Arial" w:hAnsi="Arial"/>
          <w:sz w:val="18"/>
          <w:szCs w:val="18"/>
          <w:color w:val="auto"/>
        </w:rPr>
        <w:t xml:space="preserve"> </w:t>
      </w:r>
      <w:r>
        <w:rPr>
          <w:rFonts w:ascii="Arial" w:cs="Arial" w:eastAsia="Arial" w:hAnsi="Arial"/>
          <w:sz w:val="17"/>
          <w:szCs w:val="17"/>
          <w:color w:val="auto"/>
        </w:rPr>
        <w:t xml:space="preserve">for $1.9 million or 19% of that segment’s sales. None of the customers in the </w:t>
      </w:r>
      <w:r>
        <w:rPr>
          <w:rFonts w:ascii="Arial" w:cs="Arial" w:eastAsia="Arial" w:hAnsi="Arial"/>
          <w:sz w:val="18"/>
          <w:szCs w:val="18"/>
          <w:color w:val="auto"/>
        </w:rPr>
        <w:t>Gillam-FEI or FEI-Zyfer segments accounted for more than 10% of consolidated</w:t>
      </w:r>
      <w:r>
        <w:rPr>
          <w:rFonts w:ascii="Arial" w:cs="Arial" w:eastAsia="Arial" w:hAnsi="Arial"/>
          <w:sz w:val="17"/>
          <w:szCs w:val="17"/>
          <w:color w:val="auto"/>
        </w:rPr>
        <w:t xml:space="preserve"> </w:t>
      </w:r>
      <w:r>
        <w:rPr>
          <w:rFonts w:ascii="Arial" w:cs="Arial" w:eastAsia="Arial" w:hAnsi="Arial"/>
          <w:sz w:val="18"/>
          <w:szCs w:val="18"/>
          <w:color w:val="auto"/>
        </w:rPr>
        <w:t>revenues.</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4" w:name="page55"/>
    <w:bookmarkEnd w:id="54"/>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27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During fiscal year 2005, sales to two customers accounted for approximately $22.0 million of the FEI-NY segment’s total sales. This amount represents 59% of that segment’s total revenues and 28% and 12%, respectively, of the Company’s consolidated sales for that year. Sales to two customers, aggregating $6.0 million, accounted for 59% of the revenues of the Gillam-FEI segment (exclusive of the $2.4 million intersegment sale). In the FEI-Zyfer segment, two customers accounted for $1.9 million or 21% of that segment’s sales. None of the customers in the Gillam-FEI or FEI-Zyfer segments accounted for more than 10% of consolidated revenues.</w:t>
      </w:r>
    </w:p>
    <w:p>
      <w:pPr>
        <w:spacing w:after="0" w:line="24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loss by the Company of any one of these customers would have a material adverse effect on the Company’s business. The Company believes its relationship with these companies to be mutually satisfactory.</w:t>
      </w:r>
    </w:p>
    <w:p>
      <w:pPr>
        <w:spacing w:after="0" w:line="224" w:lineRule="exact"/>
        <w:rPr>
          <w:sz w:val="20"/>
          <w:szCs w:val="20"/>
          <w:color w:val="auto"/>
        </w:rPr>
      </w:pPr>
    </w:p>
    <w:p>
      <w:pPr>
        <w:ind w:left="180"/>
        <w:spacing w:after="0"/>
        <w:rPr>
          <w:sz w:val="20"/>
          <w:szCs w:val="20"/>
          <w:color w:val="auto"/>
        </w:rPr>
      </w:pPr>
      <w:r>
        <w:rPr>
          <w:rFonts w:ascii="Arial" w:cs="Arial" w:eastAsia="Arial" w:hAnsi="Arial"/>
          <w:sz w:val="18"/>
          <w:szCs w:val="18"/>
          <w:i w:val="1"/>
          <w:iCs w:val="1"/>
          <w:u w:val="single" w:color="auto"/>
          <w:color w:val="auto"/>
        </w:rPr>
        <w:t>Foreign Sales</w:t>
      </w:r>
    </w:p>
    <w:p>
      <w:pPr>
        <w:spacing w:after="0" w:line="27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Revenues in each of the Company’s segments include sales to foreign governments or to companies located in foreign countries. Revenues, based on the location of the procurement entity, were derived from the following countries: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(in thousands)</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3120" w:type="dxa"/>
            <w:vAlign w:val="bottom"/>
          </w:tcPr>
          <w:p>
            <w:pPr>
              <w:spacing w:after="0"/>
              <w:rPr>
                <w:sz w:val="22"/>
                <w:szCs w:val="22"/>
                <w:color w:val="auto"/>
              </w:rPr>
            </w:pPr>
          </w:p>
        </w:tc>
        <w:tc>
          <w:tcPr>
            <w:tcW w:w="3620" w:type="dxa"/>
            <w:vAlign w:val="bottom"/>
            <w:gridSpan w:val="2"/>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2007</w:t>
            </w:r>
          </w:p>
        </w:tc>
        <w:tc>
          <w:tcPr>
            <w:tcW w:w="5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2006</w:t>
            </w:r>
          </w:p>
        </w:tc>
        <w:tc>
          <w:tcPr>
            <w:tcW w:w="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2005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3120" w:type="dxa"/>
            <w:vAlign w:val="bottom"/>
            <w:shd w:val="clear" w:color="auto" w:fill="CCFFCC"/>
          </w:tcPr>
          <w:p>
            <w:pPr>
              <w:spacing w:after="0"/>
              <w:rPr>
                <w:sz w:val="20"/>
                <w:szCs w:val="20"/>
                <w:color w:val="auto"/>
              </w:rPr>
            </w:pPr>
            <w:r>
              <w:rPr>
                <w:rFonts w:ascii="Arial" w:cs="Arial" w:eastAsia="Arial" w:hAnsi="Arial"/>
                <w:sz w:val="18"/>
                <w:szCs w:val="18"/>
                <w:color w:val="auto"/>
              </w:rPr>
              <w:t>China</w:t>
            </w:r>
          </w:p>
        </w:tc>
        <w:tc>
          <w:tcPr>
            <w:tcW w:w="4500" w:type="dxa"/>
            <w:vAlign w:val="bottom"/>
            <w:gridSpan w:val="3"/>
            <w:shd w:val="clear" w:color="auto" w:fill="CCFFCC"/>
          </w:tcPr>
          <w:p>
            <w:pPr>
              <w:jc w:val="right"/>
              <w:ind w:right="69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5,799</w:t>
            </w:r>
          </w:p>
        </w:tc>
        <w:tc>
          <w:tcPr>
            <w:tcW w:w="28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5,301</w:t>
            </w:r>
          </w:p>
        </w:tc>
        <w:tc>
          <w:tcPr>
            <w:tcW w:w="220" w:type="dxa"/>
            <w:vAlign w:val="bottom"/>
            <w:shd w:val="clear" w:color="auto" w:fill="CCFFCC"/>
          </w:tcPr>
          <w:p>
            <w:pPr>
              <w:spacing w:after="0"/>
              <w:rPr>
                <w:sz w:val="20"/>
                <w:szCs w:val="20"/>
                <w:color w:val="auto"/>
              </w:rPr>
            </w:pP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11,422</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Arial" w:cs="Arial" w:eastAsia="Arial" w:hAnsi="Arial"/>
                <w:sz w:val="18"/>
                <w:szCs w:val="18"/>
                <w:color w:val="auto"/>
              </w:rPr>
              <w:t>Belgium</w:t>
            </w:r>
          </w:p>
        </w:tc>
        <w:tc>
          <w:tcPr>
            <w:tcW w:w="3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5,612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4,198</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5,171</w:t>
            </w:r>
          </w:p>
        </w:tc>
        <w:tc>
          <w:tcPr>
            <w:tcW w:w="0" w:type="dxa"/>
            <w:vAlign w:val="bottom"/>
          </w:tcPr>
          <w:p>
            <w:pPr>
              <w:spacing w:after="0"/>
              <w:rPr>
                <w:sz w:val="1"/>
                <w:szCs w:val="1"/>
                <w:color w:val="auto"/>
              </w:rPr>
            </w:pPr>
          </w:p>
        </w:tc>
      </w:tr>
      <w:tr>
        <w:trPr>
          <w:trHeight w:val="243"/>
        </w:trPr>
        <w:tc>
          <w:tcPr>
            <w:tcW w:w="3120" w:type="dxa"/>
            <w:vAlign w:val="bottom"/>
            <w:shd w:val="clear" w:color="auto" w:fill="CCFFCC"/>
          </w:tcPr>
          <w:p>
            <w:pPr>
              <w:spacing w:after="0"/>
              <w:rPr>
                <w:sz w:val="20"/>
                <w:szCs w:val="20"/>
                <w:color w:val="auto"/>
              </w:rPr>
            </w:pPr>
            <w:r>
              <w:rPr>
                <w:rFonts w:ascii="Arial" w:cs="Arial" w:eastAsia="Arial" w:hAnsi="Arial"/>
                <w:sz w:val="18"/>
                <w:szCs w:val="18"/>
                <w:color w:val="auto"/>
              </w:rPr>
              <w:t>France</w:t>
            </w:r>
          </w:p>
        </w:tc>
        <w:tc>
          <w:tcPr>
            <w:tcW w:w="34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880" w:type="dxa"/>
            <w:vAlign w:val="bottom"/>
            <w:shd w:val="clear" w:color="auto" w:fill="CCFFCC"/>
          </w:tcPr>
          <w:p>
            <w:pPr>
              <w:spacing w:after="0"/>
              <w:rPr>
                <w:sz w:val="21"/>
                <w:szCs w:val="21"/>
                <w:color w:val="auto"/>
              </w:rPr>
            </w:pPr>
          </w:p>
        </w:tc>
        <w:tc>
          <w:tcPr>
            <w:tcW w:w="6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2,653</w:t>
            </w:r>
          </w:p>
        </w:tc>
        <w:tc>
          <w:tcPr>
            <w:tcW w:w="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2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2,924</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4,412</w:t>
            </w:r>
          </w:p>
        </w:tc>
        <w:tc>
          <w:tcPr>
            <w:tcW w:w="0" w:type="dxa"/>
            <w:vAlign w:val="bottom"/>
          </w:tcPr>
          <w:p>
            <w:pPr>
              <w:spacing w:after="0"/>
              <w:rPr>
                <w:sz w:val="1"/>
                <w:szCs w:val="1"/>
                <w:color w:val="auto"/>
              </w:rPr>
            </w:pPr>
          </w:p>
        </w:tc>
      </w:tr>
      <w:tr>
        <w:trPr>
          <w:trHeight w:val="243"/>
        </w:trPr>
        <w:tc>
          <w:tcPr>
            <w:tcW w:w="3120" w:type="dxa"/>
            <w:vAlign w:val="bottom"/>
          </w:tcPr>
          <w:p>
            <w:pPr>
              <w:spacing w:after="0"/>
              <w:rPr>
                <w:sz w:val="20"/>
                <w:szCs w:val="20"/>
                <w:color w:val="auto"/>
              </w:rPr>
            </w:pPr>
            <w:r>
              <w:rPr>
                <w:rFonts w:ascii="Arial" w:cs="Arial" w:eastAsia="Arial" w:hAnsi="Arial"/>
                <w:sz w:val="18"/>
                <w:szCs w:val="18"/>
                <w:color w:val="auto"/>
              </w:rPr>
              <w:t>Canada</w:t>
            </w:r>
          </w:p>
        </w:tc>
        <w:tc>
          <w:tcPr>
            <w:tcW w:w="3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953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2,447</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1,021</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Other</w:t>
            </w:r>
          </w:p>
        </w:tc>
        <w:tc>
          <w:tcPr>
            <w:tcW w:w="340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CCFFCC"/>
            </w:tcBorders>
            <w:shd w:val="clear" w:color="auto" w:fill="CCFFCC"/>
          </w:tcPr>
          <w:p>
            <w:pPr>
              <w:spacing w:after="0"/>
              <w:rPr>
                <w:sz w:val="21"/>
                <w:szCs w:val="21"/>
                <w:color w:val="auto"/>
              </w:rPr>
            </w:pPr>
          </w:p>
        </w:tc>
        <w:tc>
          <w:tcPr>
            <w:tcW w:w="62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2,899</w:t>
            </w:r>
          </w:p>
        </w:tc>
        <w:tc>
          <w:tcPr>
            <w:tcW w:w="12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122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3,748</w:t>
            </w:r>
          </w:p>
        </w:tc>
        <w:tc>
          <w:tcPr>
            <w:tcW w:w="220" w:type="dxa"/>
            <w:vAlign w:val="bottom"/>
            <w:tcBorders>
              <w:bottom w:val="single" w:sz="8" w:color="CCFFCC"/>
            </w:tcBorders>
            <w:shd w:val="clear" w:color="auto" w:fill="CCFFCC"/>
          </w:tcPr>
          <w:p>
            <w:pPr>
              <w:spacing w:after="0"/>
              <w:rPr>
                <w:sz w:val="21"/>
                <w:szCs w:val="21"/>
                <w:color w:val="auto"/>
              </w:rPr>
            </w:pPr>
          </w:p>
        </w:tc>
        <w:tc>
          <w:tcPr>
            <w:tcW w:w="30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5,385</w:t>
            </w:r>
          </w:p>
        </w:tc>
        <w:tc>
          <w:tcPr>
            <w:tcW w:w="0" w:type="dxa"/>
            <w:vAlign w:val="bottom"/>
          </w:tcPr>
          <w:p>
            <w:pPr>
              <w:spacing w:after="0"/>
              <w:rPr>
                <w:sz w:val="1"/>
                <w:szCs w:val="1"/>
                <w:color w:val="auto"/>
              </w:rPr>
            </w:pPr>
          </w:p>
        </w:tc>
      </w:tr>
      <w:tr>
        <w:trPr>
          <w:trHeight w:val="20"/>
        </w:trPr>
        <w:tc>
          <w:tcPr>
            <w:tcW w:w="3120" w:type="dxa"/>
            <w:vAlign w:val="bottom"/>
            <w:shd w:val="clear" w:color="auto" w:fill="CCFFCC"/>
          </w:tcPr>
          <w:p>
            <w:pPr>
              <w:spacing w:after="0" w:line="20" w:lineRule="exact"/>
              <w:rPr>
                <w:sz w:val="1"/>
                <w:szCs w:val="1"/>
                <w:color w:val="auto"/>
              </w:rPr>
            </w:pPr>
          </w:p>
        </w:tc>
        <w:tc>
          <w:tcPr>
            <w:tcW w:w="340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120" w:type="dxa"/>
            <w:vAlign w:val="bottom"/>
          </w:tcPr>
          <w:p>
            <w:pPr>
              <w:spacing w:after="0"/>
              <w:rPr>
                <w:sz w:val="20"/>
                <w:szCs w:val="20"/>
                <w:color w:val="auto"/>
              </w:rPr>
            </w:pPr>
          </w:p>
        </w:tc>
        <w:tc>
          <w:tcPr>
            <w:tcW w:w="3620" w:type="dxa"/>
            <w:vAlign w:val="bottom"/>
            <w:gridSpan w:val="2"/>
          </w:tcPr>
          <w:p>
            <w:pPr>
              <w:spacing w:after="0"/>
              <w:rPr>
                <w:sz w:val="20"/>
                <w:szCs w:val="20"/>
                <w:color w:val="auto"/>
              </w:rPr>
            </w:pP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17,916</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18,618</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27,411</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3400" w:type="dxa"/>
            <w:vAlign w:val="bottom"/>
            <w:vMerge w:val="restart"/>
          </w:tcPr>
          <w:p>
            <w:pPr>
              <w:jc w:val="right"/>
              <w:ind w:right="630"/>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3120" w:type="dxa"/>
            <w:vAlign w:val="bottom"/>
          </w:tcPr>
          <w:p>
            <w:pPr>
              <w:spacing w:after="0"/>
              <w:rPr>
                <w:sz w:val="24"/>
                <w:szCs w:val="24"/>
                <w:color w:val="auto"/>
              </w:rPr>
            </w:pPr>
          </w:p>
        </w:tc>
        <w:tc>
          <w:tcPr>
            <w:tcW w:w="34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120" w:type="dxa"/>
            <w:vAlign w:val="bottom"/>
            <w:tcBorders>
              <w:bottom w:val="single" w:sz="8" w:color="808080"/>
            </w:tcBorders>
          </w:tcPr>
          <w:p>
            <w:pPr>
              <w:spacing w:after="0"/>
              <w:rPr>
                <w:sz w:val="10"/>
                <w:szCs w:val="10"/>
                <w:color w:val="auto"/>
              </w:rPr>
            </w:pPr>
          </w:p>
        </w:tc>
        <w:tc>
          <w:tcPr>
            <w:tcW w:w="34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880" w:type="dxa"/>
            <w:vAlign w:val="bottom"/>
            <w:tcBorders>
              <w:bottom w:val="single" w:sz="8" w:color="808080"/>
            </w:tcBorders>
          </w:tcPr>
          <w:p>
            <w:pPr>
              <w:spacing w:after="0"/>
              <w:rPr>
                <w:sz w:val="10"/>
                <w:szCs w:val="10"/>
                <w:color w:val="auto"/>
              </w:rPr>
            </w:pPr>
          </w:p>
        </w:tc>
        <w:tc>
          <w:tcPr>
            <w:tcW w:w="50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122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5" w:name="page56"/>
    <w:bookmarkEnd w:id="55"/>
    <w:p>
      <w:pPr>
        <w:jc w:val="center"/>
        <w:spacing w:after="0"/>
        <w:rPr>
          <w:sz w:val="20"/>
          <w:szCs w:val="20"/>
          <w:color w:val="auto"/>
        </w:rPr>
      </w:pPr>
      <w:r>
        <w:rPr>
          <w:rFonts w:ascii="Arial" w:cs="Arial" w:eastAsia="Arial" w:hAnsi="Arial"/>
          <w:sz w:val="18"/>
          <w:szCs w:val="18"/>
          <w:color w:val="auto"/>
        </w:rPr>
        <w:t>NOTES TO CONSOLIDATED FINANCIAL STATEMENTS - Continued</w:t>
      </w:r>
    </w:p>
    <w:p>
      <w:pPr>
        <w:spacing w:after="0" w:line="320" w:lineRule="exact"/>
        <w:rPr>
          <w:sz w:val="20"/>
          <w:szCs w:val="20"/>
          <w:color w:val="auto"/>
        </w:rPr>
      </w:pPr>
    </w:p>
    <w:p>
      <w:pPr>
        <w:ind w:left="780" w:hanging="772"/>
        <w:spacing w:after="0"/>
        <w:tabs>
          <w:tab w:leader="none" w:pos="780"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Interim Results (Unaudited)</w:t>
      </w:r>
    </w:p>
    <w:p>
      <w:pPr>
        <w:spacing w:after="0" w:line="2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Quarterly results for fiscal years 2007 and 2006 are as follows: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40" w:type="dxa"/>
            <w:vAlign w:val="bottom"/>
            <w:gridSpan w:val="6"/>
          </w:tcPr>
          <w:p>
            <w:pPr>
              <w:jc w:val="right"/>
              <w:ind w:right="360"/>
              <w:spacing w:after="0"/>
              <w:rPr>
                <w:sz w:val="20"/>
                <w:szCs w:val="20"/>
                <w:color w:val="auto"/>
              </w:rPr>
            </w:pPr>
            <w:r>
              <w:rPr>
                <w:rFonts w:ascii="Arial" w:cs="Arial" w:eastAsia="Arial" w:hAnsi="Arial"/>
                <w:sz w:val="18"/>
                <w:szCs w:val="18"/>
                <w:color w:val="auto"/>
                <w:w w:val="89"/>
              </w:rPr>
              <w:t>(in thousands, except per share data)</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70"/>
        </w:trPr>
        <w:tc>
          <w:tcPr>
            <w:tcW w:w="5160" w:type="dxa"/>
            <w:vAlign w:val="bottom"/>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2007</w:t>
            </w:r>
          </w:p>
        </w:tc>
        <w:tc>
          <w:tcPr>
            <w:tcW w:w="6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1"/>
              </w:rPr>
              <w:t>Quarter</w:t>
            </w:r>
          </w:p>
        </w:tc>
        <w:tc>
          <w:tcPr>
            <w:tcW w:w="9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r>
      <w:tr>
        <w:trPr>
          <w:trHeight w:val="264"/>
        </w:trPr>
        <w:tc>
          <w:tcPr>
            <w:tcW w:w="5160" w:type="dxa"/>
            <w:vAlign w:val="bottom"/>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1st</w:t>
            </w:r>
          </w:p>
        </w:tc>
        <w:tc>
          <w:tcPr>
            <w:tcW w:w="5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2nd</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3rd</w:t>
            </w:r>
          </w:p>
        </w:tc>
        <w:tc>
          <w:tcPr>
            <w:tcW w:w="2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4th</w:t>
            </w:r>
          </w:p>
        </w:tc>
        <w:tc>
          <w:tcPr>
            <w:tcW w:w="100" w:type="dxa"/>
            <w:vAlign w:val="bottom"/>
          </w:tcPr>
          <w:p>
            <w:pPr>
              <w:spacing w:after="0"/>
              <w:rPr>
                <w:sz w:val="22"/>
                <w:szCs w:val="22"/>
                <w:color w:val="auto"/>
              </w:rPr>
            </w:pPr>
          </w:p>
        </w:tc>
      </w:tr>
      <w:tr>
        <w:trPr>
          <w:trHeight w:val="237"/>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Net sales</w:t>
            </w:r>
          </w:p>
        </w:tc>
        <w:tc>
          <w:tcPr>
            <w:tcW w:w="840" w:type="dxa"/>
            <w:vAlign w:val="bottom"/>
            <w:shd w:val="clear" w:color="auto" w:fill="CCFFCC"/>
          </w:tcPr>
          <w:p>
            <w:pPr>
              <w:jc w:val="right"/>
              <w:ind w:right="681"/>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w w:val="94"/>
              </w:rPr>
              <w:t>14,314</w:t>
            </w:r>
          </w:p>
        </w:tc>
        <w:tc>
          <w:tcPr>
            <w:tcW w:w="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14,320</w:t>
            </w:r>
          </w:p>
        </w:tc>
        <w:tc>
          <w:tcPr>
            <w:tcW w:w="68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12,117</w:t>
            </w:r>
          </w:p>
        </w:tc>
        <w:tc>
          <w:tcPr>
            <w:tcW w:w="3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15,455</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Gross margin</w:t>
            </w:r>
          </w:p>
        </w:tc>
        <w:tc>
          <w:tcPr>
            <w:tcW w:w="840" w:type="dxa"/>
            <w:vAlign w:val="bottom"/>
          </w:tcPr>
          <w:p>
            <w:pPr>
              <w:spacing w:after="0"/>
              <w:rPr>
                <w:sz w:val="21"/>
                <w:szCs w:val="21"/>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4,853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5,340</w:t>
            </w: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3,777</w:t>
            </w:r>
          </w:p>
        </w:tc>
        <w:tc>
          <w:tcPr>
            <w:tcW w:w="32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3,106</w:t>
            </w:r>
          </w:p>
        </w:tc>
      </w:tr>
      <w:tr>
        <w:trPr>
          <w:trHeight w:val="243"/>
        </w:trPr>
        <w:tc>
          <w:tcPr>
            <w:tcW w:w="5160" w:type="dxa"/>
            <w:vAlign w:val="bottom"/>
            <w:shd w:val="clear" w:color="auto" w:fill="CCFFCC"/>
          </w:tcPr>
          <w:p>
            <w:pPr>
              <w:spacing w:after="0"/>
              <w:rPr>
                <w:sz w:val="20"/>
                <w:szCs w:val="20"/>
                <w:color w:val="auto"/>
              </w:rPr>
            </w:pPr>
            <w:r>
              <w:rPr>
                <w:rFonts w:ascii="Arial" w:cs="Arial" w:eastAsia="Arial" w:hAnsi="Arial"/>
                <w:sz w:val="18"/>
                <w:szCs w:val="18"/>
                <w:color w:val="auto"/>
              </w:rPr>
              <w:t>Net income (loss)</w:t>
            </w:r>
          </w:p>
        </w:tc>
        <w:tc>
          <w:tcPr>
            <w:tcW w:w="840" w:type="dxa"/>
            <w:vAlign w:val="bottom"/>
            <w:shd w:val="clear" w:color="auto" w:fill="CCFFCC"/>
          </w:tcPr>
          <w:p>
            <w:pPr>
              <w:spacing w:after="0"/>
              <w:rPr>
                <w:sz w:val="21"/>
                <w:szCs w:val="21"/>
                <w:color w:val="auto"/>
              </w:rPr>
            </w:pPr>
          </w:p>
        </w:tc>
        <w:tc>
          <w:tcPr>
            <w:tcW w:w="6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898</w:t>
            </w:r>
          </w:p>
        </w:tc>
        <w:tc>
          <w:tcPr>
            <w:tcW w:w="12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187</w:t>
            </w:r>
          </w:p>
        </w:tc>
        <w:tc>
          <w:tcPr>
            <w:tcW w:w="20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(754)</w:t>
            </w:r>
          </w:p>
        </w:tc>
        <w:tc>
          <w:tcPr>
            <w:tcW w:w="320" w:type="dxa"/>
            <w:vAlign w:val="bottom"/>
            <w:shd w:val="clear" w:color="auto" w:fill="CCFFCC"/>
          </w:tcPr>
          <w:p>
            <w:pPr>
              <w:spacing w:after="0"/>
              <w:rPr>
                <w:sz w:val="21"/>
                <w:szCs w:val="21"/>
                <w:color w:val="auto"/>
              </w:rPr>
            </w:pP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(588)</w:t>
            </w:r>
          </w:p>
        </w:tc>
      </w:tr>
      <w:tr>
        <w:trPr>
          <w:trHeight w:val="243"/>
        </w:trPr>
        <w:tc>
          <w:tcPr>
            <w:tcW w:w="5160" w:type="dxa"/>
            <w:vAlign w:val="bottom"/>
          </w:tcPr>
          <w:p>
            <w:pPr>
              <w:spacing w:after="0"/>
              <w:rPr>
                <w:sz w:val="20"/>
                <w:szCs w:val="20"/>
                <w:color w:val="auto"/>
              </w:rPr>
            </w:pPr>
            <w:r>
              <w:rPr>
                <w:rFonts w:ascii="Arial" w:cs="Arial" w:eastAsia="Arial" w:hAnsi="Arial"/>
                <w:sz w:val="18"/>
                <w:szCs w:val="18"/>
                <w:color w:val="auto"/>
              </w:rPr>
              <w:t>*Earnings (loss) per share</w:t>
            </w:r>
          </w:p>
        </w:tc>
        <w:tc>
          <w:tcPr>
            <w:tcW w:w="8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160" w:type="dxa"/>
            <w:vAlign w:val="bottom"/>
            <w:shd w:val="clear" w:color="auto" w:fill="CCFFCC"/>
          </w:tcPr>
          <w:p>
            <w:pPr>
              <w:ind w:left="660"/>
              <w:spacing w:after="0"/>
              <w:rPr>
                <w:sz w:val="20"/>
                <w:szCs w:val="20"/>
                <w:color w:val="auto"/>
              </w:rPr>
            </w:pPr>
            <w:r>
              <w:rPr>
                <w:rFonts w:ascii="Arial" w:cs="Arial" w:eastAsia="Arial" w:hAnsi="Arial"/>
                <w:sz w:val="18"/>
                <w:szCs w:val="18"/>
                <w:color w:val="auto"/>
              </w:rPr>
              <w:t>Basic</w:t>
            </w:r>
          </w:p>
        </w:tc>
        <w:tc>
          <w:tcPr>
            <w:tcW w:w="840" w:type="dxa"/>
            <w:vAlign w:val="bottom"/>
            <w:shd w:val="clear" w:color="auto" w:fill="CCFFCC"/>
          </w:tcPr>
          <w:p>
            <w:pPr>
              <w:jc w:val="right"/>
              <w:ind w:right="681"/>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0.10</w:t>
            </w:r>
          </w:p>
        </w:tc>
        <w:tc>
          <w:tcPr>
            <w:tcW w:w="28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20"/>
              <w:spacing w:after="0"/>
              <w:rPr>
                <w:sz w:val="20"/>
                <w:szCs w:val="20"/>
                <w:color w:val="auto"/>
              </w:rPr>
            </w:pPr>
            <w:r>
              <w:rPr>
                <w:rFonts w:ascii="Arial" w:cs="Arial" w:eastAsia="Arial" w:hAnsi="Arial"/>
                <w:sz w:val="18"/>
                <w:szCs w:val="18"/>
                <w:color w:val="auto"/>
              </w:rPr>
              <w:t>0.02</w:t>
            </w:r>
          </w:p>
        </w:tc>
        <w:tc>
          <w:tcPr>
            <w:tcW w:w="680" w:type="dxa"/>
            <w:vAlign w:val="bottom"/>
            <w:gridSpan w:val="2"/>
            <w:shd w:val="clear" w:color="auto" w:fill="CCFFCC"/>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(0.09)</w:t>
            </w:r>
          </w:p>
        </w:tc>
        <w:tc>
          <w:tcPr>
            <w:tcW w:w="320" w:type="dxa"/>
            <w:vAlign w:val="bottom"/>
            <w:shd w:val="clear" w:color="auto" w:fill="CCFFCC"/>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(0.07)</w:t>
            </w:r>
          </w:p>
        </w:tc>
      </w:tr>
      <w:tr>
        <w:trPr>
          <w:trHeight w:val="243"/>
        </w:trPr>
        <w:tc>
          <w:tcPr>
            <w:tcW w:w="5160" w:type="dxa"/>
            <w:vAlign w:val="bottom"/>
          </w:tcPr>
          <w:p>
            <w:pPr>
              <w:ind w:left="660"/>
              <w:spacing w:after="0"/>
              <w:rPr>
                <w:sz w:val="20"/>
                <w:szCs w:val="20"/>
                <w:color w:val="auto"/>
              </w:rPr>
            </w:pPr>
            <w:r>
              <w:rPr>
                <w:rFonts w:ascii="Arial" w:cs="Arial" w:eastAsia="Arial" w:hAnsi="Arial"/>
                <w:sz w:val="18"/>
                <w:szCs w:val="18"/>
                <w:color w:val="auto"/>
              </w:rPr>
              <w:t>Diluted</w:t>
            </w:r>
          </w:p>
        </w:tc>
        <w:tc>
          <w:tcPr>
            <w:tcW w:w="840" w:type="dxa"/>
            <w:vAlign w:val="bottom"/>
          </w:tcPr>
          <w:p>
            <w:pPr>
              <w:jc w:val="right"/>
              <w:ind w:right="681"/>
              <w:spacing w:after="0"/>
              <w:rPr>
                <w:sz w:val="20"/>
                <w:szCs w:val="20"/>
                <w:color w:val="auto"/>
              </w:rPr>
            </w:pPr>
            <w:r>
              <w:rPr>
                <w:rFonts w:ascii="Arial" w:cs="Arial" w:eastAsia="Arial" w:hAnsi="Arial"/>
                <w:sz w:val="15"/>
                <w:szCs w:val="15"/>
                <w:color w:val="auto"/>
                <w:w w:val="71"/>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0.10</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0.02</w:t>
            </w:r>
          </w:p>
        </w:tc>
        <w:tc>
          <w:tcPr>
            <w:tcW w:w="6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(0.09)</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(0.07)</w:t>
            </w:r>
          </w:p>
        </w:tc>
      </w:tr>
    </w:tbl>
    <w:p>
      <w:pPr>
        <w:spacing w:after="0" w:line="229" w:lineRule="exact"/>
        <w:rPr>
          <w:sz w:val="20"/>
          <w:szCs w:val="20"/>
          <w:color w:val="auto"/>
        </w:rPr>
      </w:pPr>
    </w:p>
    <w:p>
      <w:pPr>
        <w:ind w:left="6980" w:right="1240" w:hanging="6646"/>
        <w:spacing w:after="0" w:line="352" w:lineRule="auto"/>
        <w:rPr>
          <w:sz w:val="20"/>
          <w:szCs w:val="20"/>
          <w:color w:val="auto"/>
        </w:rPr>
      </w:pPr>
      <w:r>
        <w:rPr>
          <w:rFonts w:ascii="Arial" w:cs="Arial" w:eastAsia="Arial" w:hAnsi="Arial"/>
          <w:sz w:val="16"/>
          <w:szCs w:val="16"/>
          <w:color w:val="auto"/>
        </w:rPr>
        <w:t>*Quarterly earnings per share data do not equal the annual amount due to changes in the average common equivalent shares outstanding. (in thousands, except per share data)</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2006 Quarter</w:t>
            </w:r>
          </w:p>
        </w:tc>
        <w:tc>
          <w:tcPr>
            <w:tcW w:w="8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4"/>
        </w:trPr>
        <w:tc>
          <w:tcPr>
            <w:tcW w:w="492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360" w:type="dxa"/>
            <w:vAlign w:val="bottom"/>
            <w:tcBorders>
              <w:bottom w:val="single" w:sz="8" w:color="CCFFCC"/>
            </w:tcBorders>
            <w:gridSpan w:val="2"/>
            <w:shd w:val="clear" w:color="auto" w:fill="CCFFCC"/>
          </w:tcPr>
          <w:p>
            <w:pPr>
              <w:ind w:left="580"/>
              <w:spacing w:after="0"/>
              <w:rPr>
                <w:sz w:val="20"/>
                <w:szCs w:val="20"/>
                <w:color w:val="auto"/>
              </w:rPr>
            </w:pPr>
            <w:r>
              <w:rPr>
                <w:rFonts w:ascii="Arial" w:cs="Arial" w:eastAsia="Arial" w:hAnsi="Arial"/>
                <w:sz w:val="18"/>
                <w:szCs w:val="18"/>
                <w:color w:val="auto"/>
              </w:rPr>
              <w:t>1st</w:t>
            </w:r>
          </w:p>
        </w:tc>
        <w:tc>
          <w:tcPr>
            <w:tcW w:w="120" w:type="dxa"/>
            <w:vAlign w:val="bottom"/>
            <w:tcBorders>
              <w:bottom w:val="single" w:sz="8" w:color="CCFFCC"/>
            </w:tcBorders>
            <w:shd w:val="clear" w:color="auto" w:fill="CCFFCC"/>
          </w:tcPr>
          <w:p>
            <w:pPr>
              <w:spacing w:after="0"/>
              <w:rPr>
                <w:sz w:val="21"/>
                <w:szCs w:val="21"/>
                <w:color w:val="auto"/>
              </w:rPr>
            </w:pPr>
          </w:p>
        </w:tc>
        <w:tc>
          <w:tcPr>
            <w:tcW w:w="360" w:type="dxa"/>
            <w:vAlign w:val="bottom"/>
            <w:tcBorders>
              <w:bottom w:val="single" w:sz="8" w:color="CCFFCC"/>
            </w:tcBorders>
            <w:shd w:val="clear" w:color="auto" w:fill="CCFFCC"/>
          </w:tcPr>
          <w:p>
            <w:pPr>
              <w:spacing w:after="0"/>
              <w:rPr>
                <w:sz w:val="21"/>
                <w:szCs w:val="21"/>
                <w:color w:val="auto"/>
              </w:rPr>
            </w:pPr>
          </w:p>
        </w:tc>
        <w:tc>
          <w:tcPr>
            <w:tcW w:w="1240" w:type="dxa"/>
            <w:vAlign w:val="bottom"/>
            <w:tcBorders>
              <w:bottom w:val="single" w:sz="8" w:color="CCFFCC"/>
            </w:tcBorders>
            <w:gridSpan w:val="2"/>
            <w:shd w:val="clear" w:color="auto" w:fill="CCFFCC"/>
          </w:tcPr>
          <w:p>
            <w:pPr>
              <w:ind w:left="260"/>
              <w:spacing w:after="0"/>
              <w:rPr>
                <w:sz w:val="20"/>
                <w:szCs w:val="20"/>
                <w:color w:val="auto"/>
              </w:rPr>
            </w:pPr>
            <w:r>
              <w:rPr>
                <w:rFonts w:ascii="Arial" w:cs="Arial" w:eastAsia="Arial" w:hAnsi="Arial"/>
                <w:sz w:val="18"/>
                <w:szCs w:val="18"/>
                <w:color w:val="auto"/>
              </w:rPr>
              <w:t>2nd</w:t>
            </w:r>
          </w:p>
        </w:tc>
        <w:tc>
          <w:tcPr>
            <w:tcW w:w="520" w:type="dxa"/>
            <w:vAlign w:val="bottom"/>
            <w:tcBorders>
              <w:bottom w:val="single" w:sz="8" w:color="CCFFCC"/>
            </w:tcBorders>
            <w:shd w:val="clear" w:color="auto" w:fill="CCFFCC"/>
          </w:tcPr>
          <w:p>
            <w:pPr>
              <w:spacing w:after="0"/>
              <w:rPr>
                <w:sz w:val="21"/>
                <w:szCs w:val="21"/>
                <w:color w:val="auto"/>
              </w:rPr>
            </w:pPr>
          </w:p>
        </w:tc>
        <w:tc>
          <w:tcPr>
            <w:tcW w:w="1080" w:type="dxa"/>
            <w:vAlign w:val="bottom"/>
            <w:tcBorders>
              <w:bottom w:val="single" w:sz="8" w:color="CCFFCC"/>
            </w:tcBorders>
            <w:gridSpan w:val="2"/>
            <w:shd w:val="clear" w:color="auto" w:fill="CCFFCC"/>
          </w:tcPr>
          <w:p>
            <w:pPr>
              <w:jc w:val="right"/>
              <w:ind w:right="720"/>
              <w:spacing w:after="0"/>
              <w:rPr>
                <w:sz w:val="20"/>
                <w:szCs w:val="20"/>
                <w:color w:val="auto"/>
              </w:rPr>
            </w:pPr>
            <w:r>
              <w:rPr>
                <w:rFonts w:ascii="Arial" w:cs="Arial" w:eastAsia="Arial" w:hAnsi="Arial"/>
                <w:sz w:val="18"/>
                <w:szCs w:val="18"/>
                <w:color w:val="auto"/>
              </w:rPr>
              <w:t>3rd</w:t>
            </w:r>
          </w:p>
        </w:tc>
        <w:tc>
          <w:tcPr>
            <w:tcW w:w="360" w:type="dxa"/>
            <w:vAlign w:val="bottom"/>
            <w:tcBorders>
              <w:bottom w:val="single" w:sz="8" w:color="CCFFCC"/>
            </w:tcBorders>
            <w:shd w:val="clear" w:color="auto" w:fill="CCFFCC"/>
          </w:tcPr>
          <w:p>
            <w:pPr>
              <w:spacing w:after="0"/>
              <w:rPr>
                <w:sz w:val="21"/>
                <w:szCs w:val="21"/>
                <w:color w:val="auto"/>
              </w:rPr>
            </w:pPr>
          </w:p>
        </w:tc>
        <w:tc>
          <w:tcPr>
            <w:tcW w:w="1100" w:type="dxa"/>
            <w:vAlign w:val="bottom"/>
            <w:tcBorders>
              <w:bottom w:val="single" w:sz="8" w:color="CCFFCC"/>
            </w:tcBorders>
            <w:gridSpan w:val="2"/>
            <w:shd w:val="clear" w:color="auto" w:fill="CCFFCC"/>
          </w:tcPr>
          <w:p>
            <w:pPr>
              <w:ind w:left="260"/>
              <w:spacing w:after="0"/>
              <w:rPr>
                <w:sz w:val="20"/>
                <w:szCs w:val="20"/>
                <w:color w:val="auto"/>
              </w:rPr>
            </w:pPr>
            <w:r>
              <w:rPr>
                <w:rFonts w:ascii="Arial" w:cs="Arial" w:eastAsia="Arial" w:hAnsi="Arial"/>
                <w:sz w:val="18"/>
                <w:szCs w:val="18"/>
                <w:color w:val="auto"/>
              </w:rPr>
              <w:t>4th</w:t>
            </w:r>
          </w:p>
        </w:tc>
      </w:tr>
      <w:tr>
        <w:trPr>
          <w:trHeight w:val="20"/>
        </w:trPr>
        <w:tc>
          <w:tcPr>
            <w:tcW w:w="4920" w:type="dxa"/>
            <w:vAlign w:val="bottom"/>
            <w:shd w:val="clear" w:color="auto" w:fill="CCFFCC"/>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37"/>
        </w:trPr>
        <w:tc>
          <w:tcPr>
            <w:tcW w:w="4920" w:type="dxa"/>
            <w:vAlign w:val="bottom"/>
          </w:tcPr>
          <w:p>
            <w:pPr>
              <w:spacing w:after="0"/>
              <w:rPr>
                <w:sz w:val="20"/>
                <w:szCs w:val="20"/>
                <w:color w:val="auto"/>
              </w:rPr>
            </w:pPr>
            <w:r>
              <w:rPr>
                <w:rFonts w:ascii="Arial" w:cs="Arial" w:eastAsia="Arial" w:hAnsi="Arial"/>
                <w:sz w:val="18"/>
                <w:szCs w:val="18"/>
                <w:color w:val="auto"/>
              </w:rPr>
              <w:t>Net sales</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11,057</w:t>
            </w:r>
          </w:p>
        </w:tc>
        <w:tc>
          <w:tcPr>
            <w:tcW w:w="100" w:type="dxa"/>
            <w:vAlign w:val="bottom"/>
          </w:tcPr>
          <w:p>
            <w:pPr>
              <w:spacing w:after="0"/>
              <w:rPr>
                <w:sz w:val="20"/>
                <w:szCs w:val="20"/>
                <w:color w:val="auto"/>
              </w:rPr>
            </w:pP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11,499</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15,113</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15,141</w:t>
            </w:r>
          </w:p>
        </w:tc>
      </w:tr>
      <w:tr>
        <w:trPr>
          <w:trHeight w:val="243"/>
        </w:trPr>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Gross margin</w:t>
            </w:r>
          </w:p>
        </w:tc>
        <w:tc>
          <w:tcPr>
            <w:tcW w:w="2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4,097</w:t>
            </w:r>
          </w:p>
        </w:tc>
        <w:tc>
          <w:tcPr>
            <w:tcW w:w="12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4,098</w:t>
            </w:r>
          </w:p>
        </w:tc>
        <w:tc>
          <w:tcPr>
            <w:tcW w:w="52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5,462</w:t>
            </w:r>
          </w:p>
        </w:tc>
        <w:tc>
          <w:tcPr>
            <w:tcW w:w="360" w:type="dxa"/>
            <w:vAlign w:val="bottom"/>
            <w:shd w:val="clear" w:color="auto" w:fill="CCFFCC"/>
          </w:tcPr>
          <w:p>
            <w:pPr>
              <w:spacing w:after="0"/>
              <w:rPr>
                <w:sz w:val="21"/>
                <w:szCs w:val="21"/>
                <w:color w:val="auto"/>
              </w:rPr>
            </w:pP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4,960</w:t>
            </w:r>
          </w:p>
        </w:tc>
      </w:tr>
      <w:tr>
        <w:trPr>
          <w:trHeight w:val="243"/>
        </w:trPr>
        <w:tc>
          <w:tcPr>
            <w:tcW w:w="4920" w:type="dxa"/>
            <w:vAlign w:val="bottom"/>
          </w:tcPr>
          <w:p>
            <w:pPr>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1,142</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1,332</w:t>
            </w:r>
          </w:p>
        </w:tc>
        <w:tc>
          <w:tcPr>
            <w:tcW w:w="5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1,248</w:t>
            </w:r>
          </w:p>
        </w:tc>
        <w:tc>
          <w:tcPr>
            <w:tcW w:w="36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1,076</w:t>
            </w:r>
          </w:p>
        </w:tc>
      </w:tr>
      <w:tr>
        <w:trPr>
          <w:trHeight w:val="243"/>
        </w:trPr>
        <w:tc>
          <w:tcPr>
            <w:tcW w:w="4920" w:type="dxa"/>
            <w:vAlign w:val="bottom"/>
            <w:shd w:val="clear" w:color="auto" w:fill="CCFFCC"/>
          </w:tcPr>
          <w:p>
            <w:pPr>
              <w:spacing w:after="0"/>
              <w:rPr>
                <w:sz w:val="20"/>
                <w:szCs w:val="20"/>
                <w:color w:val="auto"/>
              </w:rPr>
            </w:pPr>
            <w:r>
              <w:rPr>
                <w:rFonts w:ascii="Arial" w:cs="Arial" w:eastAsia="Arial" w:hAnsi="Arial"/>
                <w:sz w:val="18"/>
                <w:szCs w:val="18"/>
                <w:color w:val="auto"/>
              </w:rPr>
              <w:t>*Earnings per share</w:t>
            </w:r>
          </w:p>
        </w:tc>
        <w:tc>
          <w:tcPr>
            <w:tcW w:w="24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2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02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52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360" w:type="dxa"/>
            <w:vAlign w:val="bottom"/>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4920" w:type="dxa"/>
            <w:vAlign w:val="bottom"/>
          </w:tcPr>
          <w:p>
            <w:pPr>
              <w:ind w:left="660"/>
              <w:spacing w:after="0"/>
              <w:rPr>
                <w:sz w:val="20"/>
                <w:szCs w:val="20"/>
                <w:color w:val="auto"/>
              </w:rPr>
            </w:pPr>
            <w:r>
              <w:rPr>
                <w:rFonts w:ascii="Arial" w:cs="Arial" w:eastAsia="Arial" w:hAnsi="Arial"/>
                <w:sz w:val="18"/>
                <w:szCs w:val="18"/>
                <w:color w:val="auto"/>
              </w:rPr>
              <w:t>Basic</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0.13</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0.16</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0.15</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0.13</w:t>
            </w:r>
          </w:p>
        </w:tc>
      </w:tr>
      <w:tr>
        <w:trPr>
          <w:trHeight w:val="243"/>
        </w:trPr>
        <w:tc>
          <w:tcPr>
            <w:tcW w:w="4920" w:type="dxa"/>
            <w:vAlign w:val="bottom"/>
            <w:shd w:val="clear" w:color="auto" w:fill="CCFFCC"/>
          </w:tcPr>
          <w:p>
            <w:pPr>
              <w:ind w:left="660"/>
              <w:spacing w:after="0"/>
              <w:rPr>
                <w:sz w:val="20"/>
                <w:szCs w:val="20"/>
                <w:color w:val="auto"/>
              </w:rPr>
            </w:pPr>
            <w:r>
              <w:rPr>
                <w:rFonts w:ascii="Arial" w:cs="Arial" w:eastAsia="Arial" w:hAnsi="Arial"/>
                <w:sz w:val="18"/>
                <w:szCs w:val="18"/>
                <w:color w:val="auto"/>
              </w:rPr>
              <w:t>Diluted</w:t>
            </w:r>
          </w:p>
        </w:tc>
        <w:tc>
          <w:tcPr>
            <w:tcW w:w="36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0.13</w:t>
            </w:r>
          </w:p>
        </w:tc>
        <w:tc>
          <w:tcPr>
            <w:tcW w:w="480" w:type="dxa"/>
            <w:vAlign w:val="bottom"/>
            <w:gridSpan w:val="2"/>
            <w:shd w:val="clear" w:color="auto" w:fill="CCFFCC"/>
          </w:tcPr>
          <w:p>
            <w:pPr>
              <w:jc w:val="right"/>
              <w:ind w:right="2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0.15</w:t>
            </w:r>
          </w:p>
        </w:tc>
        <w:tc>
          <w:tcPr>
            <w:tcW w:w="520" w:type="dxa"/>
            <w:vAlign w:val="bottom"/>
            <w:shd w:val="clear" w:color="auto" w:fill="CCFFCC"/>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0.14</w:t>
            </w:r>
          </w:p>
        </w:tc>
        <w:tc>
          <w:tcPr>
            <w:tcW w:w="360" w:type="dxa"/>
            <w:vAlign w:val="bottom"/>
            <w:shd w:val="clear" w:color="auto" w:fill="CCFFCC"/>
          </w:tcPr>
          <w:p>
            <w:pPr>
              <w:jc w:val="right"/>
              <w:ind w:right="170"/>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0.12</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*Quarterly earnings per share data do not equal the annual amount due to changes in the average common equivalent shares outstanding.</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II - VALUATION AND QUALIFYING ACCOUNTS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9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20" w:type="dxa"/>
            <w:vAlign w:val="bottom"/>
            <w:gridSpan w:val="6"/>
          </w:tcPr>
          <w:p>
            <w:pPr>
              <w:ind w:left="340"/>
              <w:spacing w:after="0"/>
              <w:rPr>
                <w:sz w:val="20"/>
                <w:szCs w:val="20"/>
                <w:color w:val="auto"/>
              </w:rPr>
            </w:pPr>
            <w:r>
              <w:rPr>
                <w:rFonts w:ascii="Arial" w:cs="Arial" w:eastAsia="Arial" w:hAnsi="Arial"/>
                <w:sz w:val="18"/>
                <w:szCs w:val="18"/>
                <w:color w:val="auto"/>
              </w:rPr>
              <w:t>(In thousands)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29"/>
        </w:trPr>
        <w:tc>
          <w:tcPr>
            <w:tcW w:w="19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580" w:type="dxa"/>
            <w:vAlign w:val="bottom"/>
            <w:gridSpan w:val="6"/>
          </w:tcPr>
          <w:p>
            <w:pPr>
              <w:ind w:left="660"/>
              <w:spacing w:after="0"/>
              <w:rPr>
                <w:sz w:val="20"/>
                <w:szCs w:val="20"/>
                <w:color w:val="auto"/>
              </w:rPr>
            </w:pPr>
            <w:r>
              <w:rPr>
                <w:rFonts w:ascii="Arial" w:cs="Arial" w:eastAsia="Arial" w:hAnsi="Arial"/>
                <w:sz w:val="18"/>
                <w:szCs w:val="18"/>
                <w:color w:val="auto"/>
              </w:rPr>
              <w:t>Column C</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4520" w:type="dxa"/>
            <w:vAlign w:val="bottom"/>
            <w:tcBorders>
              <w:bottom w:val="single" w:sz="8" w:color="auto"/>
            </w:tcBorders>
            <w:gridSpan w:val="2"/>
          </w:tcPr>
          <w:p>
            <w:pPr>
              <w:ind w:left="1880"/>
              <w:spacing w:after="0"/>
              <w:rPr>
                <w:sz w:val="20"/>
                <w:szCs w:val="20"/>
                <w:color w:val="auto"/>
              </w:rPr>
            </w:pPr>
            <w:r>
              <w:rPr>
                <w:rFonts w:ascii="Arial" w:cs="Arial" w:eastAsia="Arial" w:hAnsi="Arial"/>
                <w:sz w:val="18"/>
                <w:szCs w:val="18"/>
                <w:color w:val="auto"/>
              </w:rPr>
              <w:t>Column A</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3"/>
              </w:rPr>
              <w:t>Column B</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gridSpan w:val="5"/>
          </w:tcPr>
          <w:p>
            <w:pPr>
              <w:ind w:left="680"/>
              <w:spacing w:after="0"/>
              <w:rPr>
                <w:sz w:val="20"/>
                <w:szCs w:val="20"/>
                <w:color w:val="auto"/>
              </w:rPr>
            </w:pPr>
            <w:r>
              <w:rPr>
                <w:rFonts w:ascii="Arial" w:cs="Arial" w:eastAsia="Arial" w:hAnsi="Arial"/>
                <w:sz w:val="18"/>
                <w:szCs w:val="18"/>
                <w:color w:val="auto"/>
              </w:rPr>
              <w:t>Additions</w:t>
            </w:r>
          </w:p>
        </w:tc>
        <w:tc>
          <w:tcPr>
            <w:tcW w:w="3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4"/>
              </w:rPr>
              <w:t>Column D</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3"/>
              </w:rPr>
              <w:t>Column E</w:t>
            </w:r>
          </w:p>
        </w:tc>
        <w:tc>
          <w:tcPr>
            <w:tcW w:w="120" w:type="dxa"/>
            <w:vAlign w:val="bottom"/>
          </w:tcPr>
          <w:p>
            <w:pPr>
              <w:spacing w:after="0"/>
              <w:rPr>
                <w:sz w:val="20"/>
                <w:szCs w:val="20"/>
                <w:color w:val="auto"/>
              </w:rPr>
            </w:pPr>
          </w:p>
        </w:tc>
      </w:tr>
      <w:tr>
        <w:trPr>
          <w:trHeight w:val="222"/>
        </w:trPr>
        <w:tc>
          <w:tcPr>
            <w:tcW w:w="19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Balance</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Charged</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Charged</w:t>
            </w: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19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at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to costs</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8"/>
                <w:szCs w:val="18"/>
                <w:color w:val="auto"/>
                <w:w w:val="88"/>
              </w:rPr>
              <w:t>to other</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Balance at</w:t>
            </w:r>
          </w:p>
        </w:tc>
      </w:tr>
      <w:tr>
        <w:trPr>
          <w:trHeight w:val="216"/>
        </w:trPr>
        <w:tc>
          <w:tcPr>
            <w:tcW w:w="19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beginning</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and</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480"/>
              <w:spacing w:after="0"/>
              <w:rPr>
                <w:sz w:val="20"/>
                <w:szCs w:val="20"/>
                <w:color w:val="auto"/>
              </w:rPr>
            </w:pPr>
            <w:r>
              <w:rPr>
                <w:rFonts w:ascii="Arial" w:cs="Arial" w:eastAsia="Arial" w:hAnsi="Arial"/>
                <w:sz w:val="18"/>
                <w:szCs w:val="18"/>
                <w:color w:val="auto"/>
                <w:w w:val="89"/>
              </w:rPr>
              <w:t>accounts-</w:t>
            </w: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Deductions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end of</w:t>
            </w:r>
          </w:p>
        </w:tc>
      </w:tr>
      <w:tr>
        <w:trPr>
          <w:trHeight w:val="230"/>
        </w:trPr>
        <w:tc>
          <w:tcPr>
            <w:tcW w:w="4520" w:type="dxa"/>
            <w:vAlign w:val="bottom"/>
            <w:gridSpan w:val="2"/>
          </w:tcPr>
          <w:p>
            <w:pPr>
              <w:ind w:left="1840"/>
              <w:spacing w:after="0"/>
              <w:rPr>
                <w:sz w:val="20"/>
                <w:szCs w:val="20"/>
                <w:color w:val="auto"/>
              </w:rPr>
            </w:pPr>
            <w:r>
              <w:rPr>
                <w:rFonts w:ascii="Arial" w:cs="Arial" w:eastAsia="Arial" w:hAnsi="Arial"/>
                <w:sz w:val="18"/>
                <w:szCs w:val="18"/>
                <w:color w:val="auto"/>
              </w:rPr>
              <w:t>Description</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of period</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8"/>
                <w:szCs w:val="18"/>
                <w:color w:val="auto"/>
                <w:w w:val="83"/>
              </w:rPr>
              <w:t>expenses</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center"/>
              <w:ind w:right="500"/>
              <w:spacing w:after="0"/>
              <w:rPr>
                <w:sz w:val="20"/>
                <w:szCs w:val="20"/>
                <w:color w:val="auto"/>
              </w:rPr>
            </w:pPr>
            <w:r>
              <w:rPr>
                <w:rFonts w:ascii="Arial" w:cs="Arial" w:eastAsia="Arial" w:hAnsi="Arial"/>
                <w:sz w:val="18"/>
                <w:szCs w:val="18"/>
                <w:color w:val="auto"/>
                <w:w w:val="88"/>
              </w:rPr>
              <w:t>describe</w:t>
            </w:r>
          </w:p>
        </w:tc>
        <w:tc>
          <w:tcPr>
            <w:tcW w:w="14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-describe</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period</w:t>
            </w:r>
          </w:p>
        </w:tc>
      </w:tr>
      <w:tr>
        <w:trPr>
          <w:trHeight w:val="466"/>
        </w:trPr>
        <w:tc>
          <w:tcPr>
            <w:tcW w:w="45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Year ended April 30, 2007</w:t>
            </w: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34"/>
        </w:trPr>
        <w:tc>
          <w:tcPr>
            <w:tcW w:w="1920" w:type="dxa"/>
            <w:vAlign w:val="bottom"/>
            <w:tcBorders>
              <w:top w:val="single" w:sz="8" w:color="auto"/>
            </w:tcBorders>
          </w:tcPr>
          <w:p>
            <w:pPr>
              <w:spacing w:after="0"/>
              <w:rPr>
                <w:sz w:val="2"/>
                <w:szCs w:val="2"/>
                <w:color w:val="auto"/>
              </w:rPr>
            </w:pPr>
          </w:p>
        </w:tc>
        <w:tc>
          <w:tcPr>
            <w:tcW w:w="2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70"/>
        </w:trPr>
        <w:tc>
          <w:tcPr>
            <w:tcW w:w="4520" w:type="dxa"/>
            <w:vAlign w:val="bottom"/>
            <w:gridSpan w:val="2"/>
            <w:shd w:val="clear" w:color="auto" w:fill="CCFFCC"/>
          </w:tcPr>
          <w:p>
            <w:pPr>
              <w:ind w:left="340"/>
              <w:spacing w:after="0"/>
              <w:rPr>
                <w:sz w:val="20"/>
                <w:szCs w:val="20"/>
                <w:color w:val="auto"/>
              </w:rPr>
            </w:pPr>
            <w:r>
              <w:rPr>
                <w:rFonts w:ascii="Arial" w:cs="Arial" w:eastAsia="Arial" w:hAnsi="Arial"/>
                <w:sz w:val="18"/>
                <w:szCs w:val="18"/>
                <w:color w:val="auto"/>
              </w:rPr>
              <w:t xml:space="preserve">Allowance for doubtful </w:t>
            </w:r>
            <w:r>
              <w:rPr>
                <w:rFonts w:ascii="Arial" w:cs="Arial" w:eastAsia="Arial" w:hAnsi="Arial"/>
                <w:sz w:val="21"/>
                <w:szCs w:val="21"/>
                <w:color w:val="auto"/>
              </w:rPr>
              <w:t>accounts</w:t>
            </w:r>
          </w:p>
        </w:tc>
        <w:tc>
          <w:tcPr>
            <w:tcW w:w="3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276</w:t>
            </w:r>
          </w:p>
        </w:tc>
        <w:tc>
          <w:tcPr>
            <w:tcW w:w="6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FFCC"/>
          </w:tcPr>
          <w:p>
            <w:pPr>
              <w:spacing w:after="0"/>
              <w:rPr>
                <w:sz w:val="23"/>
                <w:szCs w:val="23"/>
                <w:color w:val="auto"/>
              </w:rPr>
            </w:pPr>
          </w:p>
        </w:tc>
        <w:tc>
          <w:tcPr>
            <w:tcW w:w="4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1340" w:type="dxa"/>
            <w:vAlign w:val="bottom"/>
            <w:gridSpan w:val="2"/>
            <w:shd w:val="clear" w:color="auto" w:fill="CCFFCC"/>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FFCC"/>
          </w:tcPr>
          <w:p>
            <w:pPr>
              <w:spacing w:after="0"/>
              <w:rPr>
                <w:sz w:val="23"/>
                <w:szCs w:val="23"/>
                <w:color w:val="auto"/>
              </w:rPr>
            </w:pP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276</w:t>
            </w:r>
          </w:p>
        </w:tc>
      </w:tr>
      <w:tr>
        <w:trPr>
          <w:trHeight w:val="243"/>
        </w:trPr>
        <w:tc>
          <w:tcPr>
            <w:tcW w:w="4520" w:type="dxa"/>
            <w:vAlign w:val="bottom"/>
            <w:gridSpan w:val="2"/>
          </w:tcPr>
          <w:p>
            <w:pPr>
              <w:ind w:left="340"/>
              <w:spacing w:after="0"/>
              <w:rPr>
                <w:sz w:val="20"/>
                <w:szCs w:val="20"/>
                <w:color w:val="auto"/>
              </w:rPr>
            </w:pPr>
            <w:r>
              <w:rPr>
                <w:rFonts w:ascii="Arial" w:cs="Arial" w:eastAsia="Arial" w:hAnsi="Arial"/>
                <w:sz w:val="18"/>
                <w:szCs w:val="18"/>
                <w:color w:val="auto"/>
              </w:rPr>
              <w:t>Inventory reserves</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3,923</w:t>
            </w:r>
          </w:p>
        </w:tc>
        <w:tc>
          <w:tcPr>
            <w:tcW w:w="60" w:type="dxa"/>
            <w:vAlign w:val="bottom"/>
          </w:tcPr>
          <w:p>
            <w:pPr>
              <w:spacing w:after="0"/>
              <w:rPr>
                <w:sz w:val="21"/>
                <w:szCs w:val="21"/>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1,328</w:t>
            </w:r>
          </w:p>
        </w:tc>
        <w:tc>
          <w:tcPr>
            <w:tcW w:w="60" w:type="dxa"/>
            <w:vAlign w:val="bottom"/>
          </w:tcPr>
          <w:p>
            <w:pPr>
              <w:spacing w:after="0"/>
              <w:rPr>
                <w:sz w:val="21"/>
                <w:szCs w:val="21"/>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73(c)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4"/>
          </w:tcPr>
          <w:p>
            <w:pPr>
              <w:jc w:val="right"/>
              <w:ind w:right="60"/>
              <w:spacing w:after="0"/>
              <w:rPr>
                <w:sz w:val="20"/>
                <w:szCs w:val="20"/>
                <w:color w:val="auto"/>
              </w:rPr>
            </w:pPr>
            <w:r>
              <w:rPr>
                <w:rFonts w:ascii="Arial" w:cs="Arial" w:eastAsia="Arial" w:hAnsi="Arial"/>
                <w:sz w:val="18"/>
                <w:szCs w:val="18"/>
                <w:color w:val="auto"/>
              </w:rPr>
              <w:t>296(b) $</w:t>
            </w:r>
          </w:p>
        </w:tc>
        <w:tc>
          <w:tcPr>
            <w:tcW w:w="1020" w:type="dxa"/>
            <w:vAlign w:val="bottom"/>
          </w:tcPr>
          <w:p>
            <w:pPr>
              <w:jc w:val="right"/>
              <w:spacing w:after="0"/>
              <w:rPr>
                <w:sz w:val="20"/>
                <w:szCs w:val="20"/>
                <w:color w:val="auto"/>
              </w:rPr>
            </w:pPr>
            <w:r>
              <w:rPr>
                <w:rFonts w:ascii="Arial" w:cs="Arial" w:eastAsia="Arial" w:hAnsi="Arial"/>
                <w:sz w:val="18"/>
                <w:szCs w:val="18"/>
                <w:color w:val="auto"/>
              </w:rPr>
              <w:t>5,028</w:t>
            </w:r>
          </w:p>
        </w:tc>
        <w:tc>
          <w:tcPr>
            <w:tcW w:w="120" w:type="dxa"/>
            <w:vAlign w:val="bottom"/>
          </w:tcPr>
          <w:p>
            <w:pPr>
              <w:spacing w:after="0"/>
              <w:rPr>
                <w:sz w:val="21"/>
                <w:szCs w:val="21"/>
                <w:color w:val="auto"/>
              </w:rPr>
            </w:pPr>
          </w:p>
        </w:tc>
      </w:tr>
      <w:tr>
        <w:trPr>
          <w:trHeight w:val="243"/>
        </w:trPr>
        <w:tc>
          <w:tcPr>
            <w:tcW w:w="1920" w:type="dxa"/>
            <w:vAlign w:val="bottom"/>
            <w:shd w:val="clear" w:color="auto" w:fill="CCFFCC"/>
          </w:tcPr>
          <w:p>
            <w:pPr>
              <w:spacing w:after="0"/>
              <w:rPr>
                <w:sz w:val="21"/>
                <w:szCs w:val="21"/>
                <w:color w:val="auto"/>
              </w:rPr>
            </w:pPr>
          </w:p>
        </w:tc>
        <w:tc>
          <w:tcPr>
            <w:tcW w:w="26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98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0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0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r>
      <w:tr>
        <w:trPr>
          <w:trHeight w:val="230"/>
        </w:trPr>
        <w:tc>
          <w:tcPr>
            <w:tcW w:w="4520" w:type="dxa"/>
            <w:vAlign w:val="bottom"/>
            <w:gridSpan w:val="2"/>
          </w:tcPr>
          <w:p>
            <w:pPr>
              <w:spacing w:after="0"/>
              <w:rPr>
                <w:sz w:val="20"/>
                <w:szCs w:val="20"/>
                <w:color w:val="auto"/>
              </w:rPr>
            </w:pPr>
            <w:r>
              <w:rPr>
                <w:rFonts w:ascii="Arial" w:cs="Arial" w:eastAsia="Arial" w:hAnsi="Arial"/>
                <w:sz w:val="18"/>
                <w:szCs w:val="18"/>
                <w:color w:val="auto"/>
              </w:rPr>
              <w:t>Year ended April 30, 2006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34"/>
        </w:trPr>
        <w:tc>
          <w:tcPr>
            <w:tcW w:w="1920" w:type="dxa"/>
            <w:vAlign w:val="bottom"/>
            <w:tcBorders>
              <w:top w:val="single" w:sz="8" w:color="auto"/>
            </w:tcBorders>
          </w:tcPr>
          <w:p>
            <w:pPr>
              <w:spacing w:after="0"/>
              <w:rPr>
                <w:sz w:val="2"/>
                <w:szCs w:val="2"/>
                <w:color w:val="auto"/>
              </w:rPr>
            </w:pPr>
          </w:p>
        </w:tc>
        <w:tc>
          <w:tcPr>
            <w:tcW w:w="26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43"/>
        </w:trPr>
        <w:tc>
          <w:tcPr>
            <w:tcW w:w="1920" w:type="dxa"/>
            <w:vAlign w:val="bottom"/>
            <w:shd w:val="clear" w:color="auto" w:fill="CCFFCC"/>
          </w:tcPr>
          <w:p>
            <w:pPr>
              <w:spacing w:after="0"/>
              <w:rPr>
                <w:sz w:val="21"/>
                <w:szCs w:val="21"/>
                <w:color w:val="auto"/>
              </w:rPr>
            </w:pPr>
          </w:p>
        </w:tc>
        <w:tc>
          <w:tcPr>
            <w:tcW w:w="26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980" w:type="dxa"/>
            <w:vAlign w:val="bottom"/>
            <w:shd w:val="clear" w:color="auto" w:fill="CCFFCC"/>
          </w:tcPr>
          <w:p>
            <w:pPr>
              <w:spacing w:after="0"/>
              <w:rPr>
                <w:sz w:val="21"/>
                <w:szCs w:val="21"/>
                <w:color w:val="auto"/>
              </w:rPr>
            </w:pPr>
          </w:p>
        </w:tc>
        <w:tc>
          <w:tcPr>
            <w:tcW w:w="60" w:type="dxa"/>
            <w:vAlign w:val="bottom"/>
            <w:shd w:val="clear" w:color="auto" w:fill="CCFFCC"/>
          </w:tcPr>
          <w:p>
            <w:pPr>
              <w:spacing w:after="0"/>
              <w:rPr>
                <w:sz w:val="21"/>
                <w:szCs w:val="21"/>
                <w:color w:val="auto"/>
              </w:rPr>
            </w:pPr>
          </w:p>
        </w:tc>
        <w:tc>
          <w:tcPr>
            <w:tcW w:w="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34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1020" w:type="dxa"/>
            <w:vAlign w:val="bottom"/>
            <w:shd w:val="clear" w:color="auto" w:fill="CCFFCC"/>
          </w:tcPr>
          <w:p>
            <w:pPr>
              <w:spacing w:after="0"/>
              <w:rPr>
                <w:sz w:val="21"/>
                <w:szCs w:val="21"/>
                <w:color w:val="auto"/>
              </w:rPr>
            </w:pPr>
          </w:p>
        </w:tc>
        <w:tc>
          <w:tcPr>
            <w:tcW w:w="220" w:type="dxa"/>
            <w:vAlign w:val="bottom"/>
            <w:gridSpan w:val="2"/>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0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r>
      <w:tr>
        <w:trPr>
          <w:trHeight w:val="270"/>
        </w:trPr>
        <w:tc>
          <w:tcPr>
            <w:tcW w:w="4520" w:type="dxa"/>
            <w:vAlign w:val="bottom"/>
            <w:gridSpan w:val="2"/>
          </w:tcPr>
          <w:p>
            <w:pPr>
              <w:ind w:left="340"/>
              <w:spacing w:after="0"/>
              <w:rPr>
                <w:sz w:val="20"/>
                <w:szCs w:val="20"/>
                <w:color w:val="auto"/>
              </w:rPr>
            </w:pPr>
            <w:r>
              <w:rPr>
                <w:rFonts w:ascii="Arial" w:cs="Arial" w:eastAsia="Arial" w:hAnsi="Arial"/>
                <w:sz w:val="18"/>
                <w:szCs w:val="18"/>
                <w:color w:val="auto"/>
              </w:rPr>
              <w:t xml:space="preserve">Allowance for doubtful </w:t>
            </w:r>
            <w:r>
              <w:rPr>
                <w:rFonts w:ascii="Arial" w:cs="Arial" w:eastAsia="Arial" w:hAnsi="Arial"/>
                <w:sz w:val="21"/>
                <w:szCs w:val="21"/>
                <w:color w:val="auto"/>
              </w:rPr>
              <w:t>accounts</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172</w:t>
            </w: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117</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4"/>
          </w:tcPr>
          <w:p>
            <w:pPr>
              <w:jc w:val="right"/>
              <w:ind w:right="60"/>
              <w:spacing w:after="0"/>
              <w:rPr>
                <w:sz w:val="20"/>
                <w:szCs w:val="20"/>
                <w:color w:val="auto"/>
              </w:rPr>
            </w:pPr>
            <w:r>
              <w:rPr>
                <w:rFonts w:ascii="Arial" w:cs="Arial" w:eastAsia="Arial" w:hAnsi="Arial"/>
                <w:sz w:val="18"/>
                <w:szCs w:val="18"/>
                <w:color w:val="auto"/>
              </w:rPr>
              <w:t>13(a)$</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276</w:t>
            </w:r>
          </w:p>
        </w:tc>
      </w:tr>
      <w:tr>
        <w:trPr>
          <w:trHeight w:val="243"/>
        </w:trPr>
        <w:tc>
          <w:tcPr>
            <w:tcW w:w="4520" w:type="dxa"/>
            <w:vAlign w:val="bottom"/>
            <w:gridSpan w:val="2"/>
            <w:shd w:val="clear" w:color="auto" w:fill="CCFFCC"/>
          </w:tcPr>
          <w:p>
            <w:pPr>
              <w:ind w:left="340"/>
              <w:spacing w:after="0"/>
              <w:rPr>
                <w:sz w:val="20"/>
                <w:szCs w:val="20"/>
                <w:color w:val="auto"/>
              </w:rPr>
            </w:pPr>
            <w:r>
              <w:rPr>
                <w:rFonts w:ascii="Arial" w:cs="Arial" w:eastAsia="Arial" w:hAnsi="Arial"/>
                <w:sz w:val="18"/>
                <w:szCs w:val="18"/>
                <w:color w:val="auto"/>
              </w:rPr>
              <w:t>Inventory reserves</w:t>
            </w:r>
          </w:p>
        </w:tc>
        <w:tc>
          <w:tcPr>
            <w:tcW w:w="3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4,289</w:t>
            </w:r>
          </w:p>
        </w:tc>
        <w:tc>
          <w:tcPr>
            <w:tcW w:w="60" w:type="dxa"/>
            <w:vAlign w:val="bottom"/>
            <w:shd w:val="clear" w:color="auto" w:fill="CCFFCC"/>
          </w:tcPr>
          <w:p>
            <w:pPr>
              <w:spacing w:after="0"/>
              <w:rPr>
                <w:sz w:val="21"/>
                <w:szCs w:val="21"/>
                <w:color w:val="auto"/>
              </w:rPr>
            </w:pPr>
          </w:p>
        </w:tc>
        <w:tc>
          <w:tcPr>
            <w:tcW w:w="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680</w:t>
            </w:r>
          </w:p>
        </w:tc>
        <w:tc>
          <w:tcPr>
            <w:tcW w:w="4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1480" w:type="dxa"/>
            <w:vAlign w:val="bottom"/>
            <w:gridSpan w:val="3"/>
            <w:shd w:val="clear" w:color="auto" w:fill="CCFFCC"/>
          </w:tcPr>
          <w:p>
            <w:pPr>
              <w:jc w:val="right"/>
              <w:spacing w:after="0"/>
              <w:rPr>
                <w:sz w:val="20"/>
                <w:szCs w:val="20"/>
                <w:color w:val="auto"/>
              </w:rPr>
            </w:pPr>
            <w:r>
              <w:rPr>
                <w:rFonts w:ascii="Arial" w:cs="Arial" w:eastAsia="Arial" w:hAnsi="Arial"/>
                <w:sz w:val="18"/>
                <w:szCs w:val="18"/>
                <w:color w:val="auto"/>
              </w:rPr>
              <w:t>($52)(c) $</w:t>
            </w:r>
          </w:p>
        </w:tc>
        <w:tc>
          <w:tcPr>
            <w:tcW w:w="1400" w:type="dxa"/>
            <w:vAlign w:val="bottom"/>
            <w:gridSpan w:val="4"/>
            <w:shd w:val="clear" w:color="auto" w:fill="CCFFCC"/>
          </w:tcPr>
          <w:p>
            <w:pPr>
              <w:jc w:val="right"/>
              <w:ind w:right="60"/>
              <w:spacing w:after="0"/>
              <w:rPr>
                <w:sz w:val="20"/>
                <w:szCs w:val="20"/>
                <w:color w:val="auto"/>
              </w:rPr>
            </w:pPr>
            <w:r>
              <w:rPr>
                <w:rFonts w:ascii="Arial" w:cs="Arial" w:eastAsia="Arial" w:hAnsi="Arial"/>
                <w:sz w:val="18"/>
                <w:szCs w:val="18"/>
                <w:color w:val="auto"/>
              </w:rPr>
              <w:t>994(b) $</w:t>
            </w:r>
          </w:p>
        </w:tc>
        <w:tc>
          <w:tcPr>
            <w:tcW w:w="10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3,923</w:t>
            </w:r>
          </w:p>
        </w:tc>
        <w:tc>
          <w:tcPr>
            <w:tcW w:w="120" w:type="dxa"/>
            <w:vAlign w:val="bottom"/>
            <w:shd w:val="clear" w:color="auto" w:fill="CCFFCC"/>
          </w:tcPr>
          <w:p>
            <w:pPr>
              <w:spacing w:after="0"/>
              <w:rPr>
                <w:sz w:val="21"/>
                <w:szCs w:val="21"/>
                <w:color w:val="auto"/>
              </w:rPr>
            </w:pPr>
          </w:p>
        </w:tc>
      </w:tr>
      <w:tr>
        <w:trPr>
          <w:trHeight w:val="243"/>
        </w:trPr>
        <w:tc>
          <w:tcPr>
            <w:tcW w:w="1920" w:type="dxa"/>
            <w:vAlign w:val="bottom"/>
          </w:tcPr>
          <w:p>
            <w:pPr>
              <w:spacing w:after="0"/>
              <w:rPr>
                <w:sz w:val="21"/>
                <w:szCs w:val="21"/>
                <w:color w:val="auto"/>
              </w:rPr>
            </w:pPr>
          </w:p>
        </w:tc>
        <w:tc>
          <w:tcPr>
            <w:tcW w:w="2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64"/>
        </w:trPr>
        <w:tc>
          <w:tcPr>
            <w:tcW w:w="45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Year ended April 30, 2005</w:t>
            </w:r>
          </w:p>
        </w:tc>
        <w:tc>
          <w:tcPr>
            <w:tcW w:w="220" w:type="dxa"/>
            <w:vAlign w:val="bottom"/>
            <w:shd w:val="clear" w:color="auto" w:fill="CCFFCC"/>
          </w:tcPr>
          <w:p>
            <w:pPr>
              <w:spacing w:after="0"/>
              <w:rPr>
                <w:sz w:val="22"/>
                <w:szCs w:val="22"/>
                <w:color w:val="auto"/>
              </w:rPr>
            </w:pPr>
          </w:p>
        </w:tc>
        <w:tc>
          <w:tcPr>
            <w:tcW w:w="140" w:type="dxa"/>
            <w:vAlign w:val="bottom"/>
            <w:shd w:val="clear" w:color="auto" w:fill="CCFFCC"/>
          </w:tcPr>
          <w:p>
            <w:pPr>
              <w:spacing w:after="0"/>
              <w:rPr>
                <w:sz w:val="22"/>
                <w:szCs w:val="22"/>
                <w:color w:val="auto"/>
              </w:rPr>
            </w:pPr>
          </w:p>
        </w:tc>
        <w:tc>
          <w:tcPr>
            <w:tcW w:w="1000" w:type="dxa"/>
            <w:vAlign w:val="bottom"/>
            <w:shd w:val="clear" w:color="auto" w:fill="CCFFCC"/>
          </w:tcPr>
          <w:p>
            <w:pPr>
              <w:spacing w:after="0"/>
              <w:rPr>
                <w:sz w:val="22"/>
                <w:szCs w:val="22"/>
                <w:color w:val="auto"/>
              </w:rPr>
            </w:pPr>
          </w:p>
        </w:tc>
        <w:tc>
          <w:tcPr>
            <w:tcW w:w="60" w:type="dxa"/>
            <w:vAlign w:val="bottom"/>
            <w:shd w:val="clear" w:color="auto" w:fill="CCFFCC"/>
          </w:tcPr>
          <w:p>
            <w:pPr>
              <w:spacing w:after="0"/>
              <w:rPr>
                <w:sz w:val="22"/>
                <w:szCs w:val="22"/>
                <w:color w:val="auto"/>
              </w:rPr>
            </w:pPr>
          </w:p>
        </w:tc>
        <w:tc>
          <w:tcPr>
            <w:tcW w:w="6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980" w:type="dxa"/>
            <w:vAlign w:val="bottom"/>
            <w:shd w:val="clear" w:color="auto" w:fill="CCFFCC"/>
          </w:tcPr>
          <w:p>
            <w:pPr>
              <w:spacing w:after="0"/>
              <w:rPr>
                <w:sz w:val="22"/>
                <w:szCs w:val="22"/>
                <w:color w:val="auto"/>
              </w:rPr>
            </w:pPr>
          </w:p>
        </w:tc>
        <w:tc>
          <w:tcPr>
            <w:tcW w:w="60" w:type="dxa"/>
            <w:vAlign w:val="bottom"/>
            <w:shd w:val="clear" w:color="auto" w:fill="CCFFCC"/>
          </w:tcPr>
          <w:p>
            <w:pPr>
              <w:spacing w:after="0"/>
              <w:rPr>
                <w:sz w:val="22"/>
                <w:szCs w:val="22"/>
                <w:color w:val="auto"/>
              </w:rPr>
            </w:pPr>
          </w:p>
        </w:tc>
        <w:tc>
          <w:tcPr>
            <w:tcW w:w="4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1000" w:type="dxa"/>
            <w:vAlign w:val="bottom"/>
            <w:shd w:val="clear" w:color="auto" w:fill="CCFFCC"/>
          </w:tcPr>
          <w:p>
            <w:pPr>
              <w:spacing w:after="0"/>
              <w:rPr>
                <w:sz w:val="22"/>
                <w:szCs w:val="22"/>
                <w:color w:val="auto"/>
              </w:rPr>
            </w:pPr>
          </w:p>
        </w:tc>
        <w:tc>
          <w:tcPr>
            <w:tcW w:w="340" w:type="dxa"/>
            <w:vAlign w:val="bottom"/>
            <w:shd w:val="clear" w:color="auto" w:fill="CCFFCC"/>
          </w:tcPr>
          <w:p>
            <w:pPr>
              <w:spacing w:after="0"/>
              <w:rPr>
                <w:sz w:val="22"/>
                <w:szCs w:val="22"/>
                <w:color w:val="auto"/>
              </w:rPr>
            </w:pPr>
          </w:p>
        </w:tc>
        <w:tc>
          <w:tcPr>
            <w:tcW w:w="140" w:type="dxa"/>
            <w:vAlign w:val="bottom"/>
            <w:shd w:val="clear" w:color="auto" w:fill="CCFFCC"/>
          </w:tcPr>
          <w:p>
            <w:pPr>
              <w:spacing w:after="0"/>
              <w:rPr>
                <w:sz w:val="22"/>
                <w:szCs w:val="22"/>
                <w:color w:val="auto"/>
              </w:rPr>
            </w:pPr>
          </w:p>
        </w:tc>
        <w:tc>
          <w:tcPr>
            <w:tcW w:w="102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1020" w:type="dxa"/>
            <w:vAlign w:val="bottom"/>
            <w:shd w:val="clear" w:color="auto" w:fill="CCFFCC"/>
          </w:tcPr>
          <w:p>
            <w:pPr>
              <w:spacing w:after="0"/>
              <w:rPr>
                <w:sz w:val="22"/>
                <w:szCs w:val="22"/>
                <w:color w:val="auto"/>
              </w:rPr>
            </w:pPr>
          </w:p>
        </w:tc>
        <w:tc>
          <w:tcPr>
            <w:tcW w:w="120" w:type="dxa"/>
            <w:vAlign w:val="bottom"/>
            <w:shd w:val="clear" w:color="auto" w:fill="CCFFCC"/>
          </w:tcPr>
          <w:p>
            <w:pPr>
              <w:spacing w:after="0"/>
              <w:rPr>
                <w:sz w:val="22"/>
                <w:szCs w:val="22"/>
                <w:color w:val="auto"/>
              </w:rPr>
            </w:pPr>
          </w:p>
        </w:tc>
      </w:tr>
      <w:tr>
        <w:trPr>
          <w:trHeight w:val="243"/>
        </w:trPr>
        <w:tc>
          <w:tcPr>
            <w:tcW w:w="1920" w:type="dxa"/>
            <w:vAlign w:val="bottom"/>
            <w:tcBorders>
              <w:top w:val="single" w:sz="8" w:color="auto"/>
            </w:tcBorders>
          </w:tcPr>
          <w:p>
            <w:pPr>
              <w:spacing w:after="0"/>
              <w:rPr>
                <w:sz w:val="21"/>
                <w:szCs w:val="21"/>
                <w:color w:val="auto"/>
              </w:rPr>
            </w:pPr>
          </w:p>
        </w:tc>
        <w:tc>
          <w:tcPr>
            <w:tcW w:w="2600" w:type="dxa"/>
            <w:vAlign w:val="bottom"/>
            <w:tcBorders>
              <w:top w:val="single" w:sz="8" w:color="CCFFCC"/>
            </w:tcBorders>
          </w:tcPr>
          <w:p>
            <w:pPr>
              <w:spacing w:after="0"/>
              <w:rPr>
                <w:sz w:val="21"/>
                <w:szCs w:val="21"/>
                <w:color w:val="auto"/>
              </w:rPr>
            </w:pPr>
          </w:p>
        </w:tc>
        <w:tc>
          <w:tcPr>
            <w:tcW w:w="220" w:type="dxa"/>
            <w:vAlign w:val="bottom"/>
            <w:tcBorders>
              <w:top w:val="single" w:sz="8" w:color="CCFFCC"/>
            </w:tcBorders>
          </w:tcPr>
          <w:p>
            <w:pPr>
              <w:spacing w:after="0"/>
              <w:rPr>
                <w:sz w:val="21"/>
                <w:szCs w:val="21"/>
                <w:color w:val="auto"/>
              </w:rPr>
            </w:pPr>
          </w:p>
        </w:tc>
        <w:tc>
          <w:tcPr>
            <w:tcW w:w="140" w:type="dxa"/>
            <w:vAlign w:val="bottom"/>
            <w:tcBorders>
              <w:top w:val="single" w:sz="8" w:color="CCFFCC"/>
            </w:tcBorders>
          </w:tcPr>
          <w:p>
            <w:pPr>
              <w:spacing w:after="0"/>
              <w:rPr>
                <w:sz w:val="21"/>
                <w:szCs w:val="21"/>
                <w:color w:val="auto"/>
              </w:rPr>
            </w:pPr>
          </w:p>
        </w:tc>
        <w:tc>
          <w:tcPr>
            <w:tcW w:w="1000" w:type="dxa"/>
            <w:vAlign w:val="bottom"/>
            <w:tcBorders>
              <w:top w:val="single" w:sz="8" w:color="CCFFCC"/>
            </w:tcBorders>
          </w:tcPr>
          <w:p>
            <w:pPr>
              <w:spacing w:after="0"/>
              <w:rPr>
                <w:sz w:val="21"/>
                <w:szCs w:val="21"/>
                <w:color w:val="auto"/>
              </w:rPr>
            </w:pPr>
          </w:p>
        </w:tc>
        <w:tc>
          <w:tcPr>
            <w:tcW w:w="60" w:type="dxa"/>
            <w:vAlign w:val="bottom"/>
            <w:tcBorders>
              <w:top w:val="single" w:sz="8" w:color="CCFFCC"/>
            </w:tcBorders>
          </w:tcPr>
          <w:p>
            <w:pPr>
              <w:spacing w:after="0"/>
              <w:rPr>
                <w:sz w:val="21"/>
                <w:szCs w:val="21"/>
                <w:color w:val="auto"/>
              </w:rPr>
            </w:pPr>
          </w:p>
        </w:tc>
        <w:tc>
          <w:tcPr>
            <w:tcW w:w="60" w:type="dxa"/>
            <w:vAlign w:val="bottom"/>
            <w:tcBorders>
              <w:top w:val="single" w:sz="8" w:color="CCFFCC"/>
            </w:tcBorders>
          </w:tcPr>
          <w:p>
            <w:pPr>
              <w:spacing w:after="0"/>
              <w:rPr>
                <w:sz w:val="21"/>
                <w:szCs w:val="21"/>
                <w:color w:val="auto"/>
              </w:rPr>
            </w:pPr>
          </w:p>
        </w:tc>
        <w:tc>
          <w:tcPr>
            <w:tcW w:w="160" w:type="dxa"/>
            <w:vAlign w:val="bottom"/>
            <w:tcBorders>
              <w:top w:val="single" w:sz="8" w:color="CCFFCC"/>
            </w:tcBorders>
          </w:tcPr>
          <w:p>
            <w:pPr>
              <w:spacing w:after="0"/>
              <w:rPr>
                <w:sz w:val="21"/>
                <w:szCs w:val="21"/>
                <w:color w:val="auto"/>
              </w:rPr>
            </w:pPr>
          </w:p>
        </w:tc>
        <w:tc>
          <w:tcPr>
            <w:tcW w:w="980" w:type="dxa"/>
            <w:vAlign w:val="bottom"/>
            <w:tcBorders>
              <w:top w:val="single" w:sz="8" w:color="CCFFCC"/>
            </w:tcBorders>
          </w:tcPr>
          <w:p>
            <w:pPr>
              <w:spacing w:after="0"/>
              <w:rPr>
                <w:sz w:val="21"/>
                <w:szCs w:val="21"/>
                <w:color w:val="auto"/>
              </w:rPr>
            </w:pPr>
          </w:p>
        </w:tc>
        <w:tc>
          <w:tcPr>
            <w:tcW w:w="60" w:type="dxa"/>
            <w:vAlign w:val="bottom"/>
            <w:tcBorders>
              <w:top w:val="single" w:sz="8" w:color="CCFFCC"/>
            </w:tcBorders>
          </w:tcPr>
          <w:p>
            <w:pPr>
              <w:spacing w:after="0"/>
              <w:rPr>
                <w:sz w:val="21"/>
                <w:szCs w:val="21"/>
                <w:color w:val="auto"/>
              </w:rPr>
            </w:pPr>
          </w:p>
        </w:tc>
        <w:tc>
          <w:tcPr>
            <w:tcW w:w="40" w:type="dxa"/>
            <w:vAlign w:val="bottom"/>
            <w:tcBorders>
              <w:top w:val="single" w:sz="8" w:color="CCFFCC"/>
            </w:tcBorders>
          </w:tcPr>
          <w:p>
            <w:pPr>
              <w:spacing w:after="0"/>
              <w:rPr>
                <w:sz w:val="21"/>
                <w:szCs w:val="21"/>
                <w:color w:val="auto"/>
              </w:rPr>
            </w:pPr>
          </w:p>
        </w:tc>
        <w:tc>
          <w:tcPr>
            <w:tcW w:w="160" w:type="dxa"/>
            <w:vAlign w:val="bottom"/>
            <w:tcBorders>
              <w:top w:val="single" w:sz="8" w:color="CCFFCC"/>
            </w:tcBorders>
          </w:tcPr>
          <w:p>
            <w:pPr>
              <w:spacing w:after="0"/>
              <w:rPr>
                <w:sz w:val="21"/>
                <w:szCs w:val="21"/>
                <w:color w:val="auto"/>
              </w:rPr>
            </w:pPr>
          </w:p>
        </w:tc>
        <w:tc>
          <w:tcPr>
            <w:tcW w:w="1000" w:type="dxa"/>
            <w:vAlign w:val="bottom"/>
            <w:tcBorders>
              <w:top w:val="single" w:sz="8" w:color="CCFFCC"/>
            </w:tcBorders>
          </w:tcPr>
          <w:p>
            <w:pPr>
              <w:spacing w:after="0"/>
              <w:rPr>
                <w:sz w:val="21"/>
                <w:szCs w:val="21"/>
                <w:color w:val="auto"/>
              </w:rPr>
            </w:pPr>
          </w:p>
        </w:tc>
        <w:tc>
          <w:tcPr>
            <w:tcW w:w="340" w:type="dxa"/>
            <w:vAlign w:val="bottom"/>
            <w:tcBorders>
              <w:top w:val="single" w:sz="8" w:color="CCFFCC"/>
            </w:tcBorders>
          </w:tcPr>
          <w:p>
            <w:pPr>
              <w:spacing w:after="0"/>
              <w:rPr>
                <w:sz w:val="21"/>
                <w:szCs w:val="21"/>
                <w:color w:val="auto"/>
              </w:rPr>
            </w:pPr>
          </w:p>
        </w:tc>
        <w:tc>
          <w:tcPr>
            <w:tcW w:w="140" w:type="dxa"/>
            <w:vAlign w:val="bottom"/>
            <w:tcBorders>
              <w:top w:val="single" w:sz="8" w:color="CCFFCC"/>
            </w:tcBorders>
          </w:tcPr>
          <w:p>
            <w:pPr>
              <w:spacing w:after="0"/>
              <w:rPr>
                <w:sz w:val="21"/>
                <w:szCs w:val="21"/>
                <w:color w:val="auto"/>
              </w:rPr>
            </w:pPr>
          </w:p>
        </w:tc>
        <w:tc>
          <w:tcPr>
            <w:tcW w:w="1020" w:type="dxa"/>
            <w:vAlign w:val="bottom"/>
            <w:tcBorders>
              <w:top w:val="single" w:sz="8" w:color="CCFFCC"/>
            </w:tcBorders>
          </w:tcPr>
          <w:p>
            <w:pPr>
              <w:spacing w:after="0"/>
              <w:rPr>
                <w:sz w:val="21"/>
                <w:szCs w:val="21"/>
                <w:color w:val="auto"/>
              </w:rPr>
            </w:pPr>
          </w:p>
        </w:tc>
        <w:tc>
          <w:tcPr>
            <w:tcW w:w="120" w:type="dxa"/>
            <w:vAlign w:val="bottom"/>
            <w:tcBorders>
              <w:top w:val="single" w:sz="8" w:color="CCFFCC"/>
            </w:tcBorders>
          </w:tcPr>
          <w:p>
            <w:pPr>
              <w:spacing w:after="0"/>
              <w:rPr>
                <w:sz w:val="21"/>
                <w:szCs w:val="21"/>
                <w:color w:val="auto"/>
              </w:rPr>
            </w:pPr>
          </w:p>
        </w:tc>
        <w:tc>
          <w:tcPr>
            <w:tcW w:w="100" w:type="dxa"/>
            <w:vAlign w:val="bottom"/>
            <w:tcBorders>
              <w:top w:val="single" w:sz="8" w:color="CCFFCC"/>
            </w:tcBorders>
          </w:tcPr>
          <w:p>
            <w:pPr>
              <w:spacing w:after="0"/>
              <w:rPr>
                <w:sz w:val="21"/>
                <w:szCs w:val="21"/>
                <w:color w:val="auto"/>
              </w:rPr>
            </w:pPr>
          </w:p>
        </w:tc>
        <w:tc>
          <w:tcPr>
            <w:tcW w:w="160" w:type="dxa"/>
            <w:vAlign w:val="bottom"/>
            <w:tcBorders>
              <w:top w:val="single" w:sz="8" w:color="CCFFCC"/>
            </w:tcBorders>
          </w:tcPr>
          <w:p>
            <w:pPr>
              <w:spacing w:after="0"/>
              <w:rPr>
                <w:sz w:val="21"/>
                <w:szCs w:val="21"/>
                <w:color w:val="auto"/>
              </w:rPr>
            </w:pPr>
          </w:p>
        </w:tc>
        <w:tc>
          <w:tcPr>
            <w:tcW w:w="1020" w:type="dxa"/>
            <w:vAlign w:val="bottom"/>
            <w:tcBorders>
              <w:top w:val="single" w:sz="8" w:color="CCFFCC"/>
            </w:tcBorders>
          </w:tcPr>
          <w:p>
            <w:pPr>
              <w:spacing w:after="0"/>
              <w:rPr>
                <w:sz w:val="21"/>
                <w:szCs w:val="21"/>
                <w:color w:val="auto"/>
              </w:rPr>
            </w:pPr>
          </w:p>
        </w:tc>
        <w:tc>
          <w:tcPr>
            <w:tcW w:w="120" w:type="dxa"/>
            <w:vAlign w:val="bottom"/>
            <w:tcBorders>
              <w:top w:val="single" w:sz="8" w:color="CCFFCC"/>
            </w:tcBorders>
          </w:tcPr>
          <w:p>
            <w:pPr>
              <w:spacing w:after="0"/>
              <w:rPr>
                <w:sz w:val="21"/>
                <w:szCs w:val="21"/>
                <w:color w:val="auto"/>
              </w:rPr>
            </w:pPr>
          </w:p>
        </w:tc>
      </w:tr>
      <w:tr>
        <w:trPr>
          <w:trHeight w:val="270"/>
        </w:trPr>
        <w:tc>
          <w:tcPr>
            <w:tcW w:w="4520" w:type="dxa"/>
            <w:vAlign w:val="bottom"/>
            <w:gridSpan w:val="2"/>
            <w:shd w:val="clear" w:color="auto" w:fill="CCFFCC"/>
          </w:tcPr>
          <w:p>
            <w:pPr>
              <w:ind w:left="340"/>
              <w:spacing w:after="0"/>
              <w:rPr>
                <w:sz w:val="20"/>
                <w:szCs w:val="20"/>
                <w:color w:val="auto"/>
              </w:rPr>
            </w:pPr>
            <w:r>
              <w:rPr>
                <w:rFonts w:ascii="Arial" w:cs="Arial" w:eastAsia="Arial" w:hAnsi="Arial"/>
                <w:sz w:val="18"/>
                <w:szCs w:val="18"/>
                <w:color w:val="auto"/>
              </w:rPr>
              <w:t xml:space="preserve">Allowance for doubtful </w:t>
            </w:r>
            <w:r>
              <w:rPr>
                <w:rFonts w:ascii="Arial" w:cs="Arial" w:eastAsia="Arial" w:hAnsi="Arial"/>
                <w:sz w:val="21"/>
                <w:szCs w:val="21"/>
                <w:color w:val="auto"/>
              </w:rPr>
              <w:t>accounts</w:t>
            </w:r>
          </w:p>
        </w:tc>
        <w:tc>
          <w:tcPr>
            <w:tcW w:w="3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60"/>
              <w:spacing w:after="0"/>
              <w:rPr>
                <w:sz w:val="20"/>
                <w:szCs w:val="20"/>
                <w:color w:val="auto"/>
              </w:rPr>
            </w:pPr>
            <w:r>
              <w:rPr>
                <w:rFonts w:ascii="Arial" w:cs="Arial" w:eastAsia="Arial" w:hAnsi="Arial"/>
                <w:sz w:val="18"/>
                <w:szCs w:val="18"/>
                <w:color w:val="auto"/>
              </w:rPr>
              <w:t>140</w:t>
            </w:r>
          </w:p>
        </w:tc>
        <w:tc>
          <w:tcPr>
            <w:tcW w:w="2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FFCC"/>
          </w:tcPr>
          <w:p>
            <w:pPr>
              <w:spacing w:after="0"/>
              <w:rPr>
                <w:sz w:val="23"/>
                <w:szCs w:val="23"/>
                <w:color w:val="auto"/>
              </w:rPr>
            </w:pPr>
          </w:p>
        </w:tc>
        <w:tc>
          <w:tcPr>
            <w:tcW w:w="4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1000" w:type="dxa"/>
            <w:vAlign w:val="bottom"/>
            <w:shd w:val="clear" w:color="auto" w:fill="CCFFCC"/>
          </w:tcPr>
          <w:p>
            <w:pPr>
              <w:spacing w:after="0"/>
              <w:rPr>
                <w:sz w:val="23"/>
                <w:szCs w:val="23"/>
                <w:color w:val="auto"/>
              </w:rPr>
            </w:pPr>
          </w:p>
        </w:tc>
        <w:tc>
          <w:tcPr>
            <w:tcW w:w="340" w:type="dxa"/>
            <w:vAlign w:val="bottom"/>
            <w:shd w:val="clear" w:color="auto" w:fill="CCFFCC"/>
          </w:tcPr>
          <w:p>
            <w:pPr>
              <w:spacing w:after="0"/>
              <w:rPr>
                <w:sz w:val="23"/>
                <w:szCs w:val="23"/>
                <w:color w:val="auto"/>
              </w:rPr>
            </w:pP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4"/>
            <w:shd w:val="clear" w:color="auto" w:fill="CCFFCC"/>
          </w:tcPr>
          <w:p>
            <w:pPr>
              <w:jc w:val="right"/>
              <w:ind w:right="60"/>
              <w:spacing w:after="0"/>
              <w:rPr>
                <w:sz w:val="20"/>
                <w:szCs w:val="20"/>
                <w:color w:val="auto"/>
              </w:rPr>
            </w:pPr>
            <w:r>
              <w:rPr>
                <w:rFonts w:ascii="Arial" w:cs="Arial" w:eastAsia="Arial" w:hAnsi="Arial"/>
                <w:sz w:val="18"/>
                <w:szCs w:val="18"/>
                <w:color w:val="auto"/>
              </w:rPr>
              <w:t>13(a)$</w:t>
            </w: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172</w:t>
            </w:r>
          </w:p>
        </w:tc>
      </w:tr>
      <w:tr>
        <w:trPr>
          <w:trHeight w:val="243"/>
        </w:trPr>
        <w:tc>
          <w:tcPr>
            <w:tcW w:w="4520" w:type="dxa"/>
            <w:vAlign w:val="bottom"/>
            <w:gridSpan w:val="2"/>
          </w:tcPr>
          <w:p>
            <w:pPr>
              <w:ind w:left="340"/>
              <w:spacing w:after="0"/>
              <w:rPr>
                <w:sz w:val="20"/>
                <w:szCs w:val="20"/>
                <w:color w:val="auto"/>
              </w:rPr>
            </w:pPr>
            <w:r>
              <w:rPr>
                <w:rFonts w:ascii="Arial" w:cs="Arial" w:eastAsia="Arial" w:hAnsi="Arial"/>
                <w:sz w:val="18"/>
                <w:szCs w:val="18"/>
                <w:color w:val="auto"/>
              </w:rPr>
              <w:t>Inventory reserves</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3,495</w:t>
            </w:r>
          </w:p>
        </w:tc>
        <w:tc>
          <w:tcPr>
            <w:tcW w:w="60" w:type="dxa"/>
            <w:vAlign w:val="bottom"/>
          </w:tcPr>
          <w:p>
            <w:pPr>
              <w:spacing w:after="0"/>
              <w:rPr>
                <w:sz w:val="21"/>
                <w:szCs w:val="21"/>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726</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68(c,d)</w:t>
            </w:r>
          </w:p>
        </w:tc>
        <w:tc>
          <w:tcPr>
            <w:tcW w:w="140" w:type="dxa"/>
            <w:vAlign w:val="bottom"/>
          </w:tcPr>
          <w:p>
            <w:pPr>
              <w:spacing w:after="0"/>
              <w:rPr>
                <w:sz w:val="21"/>
                <w:szCs w:val="21"/>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4,289</w:t>
            </w:r>
          </w:p>
        </w:tc>
        <w:tc>
          <w:tcPr>
            <w:tcW w:w="120" w:type="dxa"/>
            <w:vAlign w:val="bottom"/>
          </w:tcPr>
          <w:p>
            <w:pPr>
              <w:spacing w:after="0"/>
              <w:rPr>
                <w:sz w:val="21"/>
                <w:szCs w:val="21"/>
                <w:color w:val="auto"/>
              </w:rPr>
            </w:pPr>
          </w:p>
        </w:tc>
      </w:tr>
    </w:tbl>
    <w:p>
      <w:pPr>
        <w:spacing w:after="0" w:line="256"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Accounts written off</w:t>
      </w:r>
    </w:p>
    <w:p>
      <w:pPr>
        <w:spacing w:after="0" w:line="279" w:lineRule="exact"/>
        <w:rPr>
          <w:rFonts w:ascii="Arial" w:cs="Arial" w:eastAsia="Arial" w:hAnsi="Arial"/>
          <w:sz w:val="18"/>
          <w:szCs w:val="18"/>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Inventory disposed or written off</w:t>
      </w:r>
    </w:p>
    <w:p>
      <w:pPr>
        <w:spacing w:after="0" w:line="279" w:lineRule="exact"/>
        <w:rPr>
          <w:rFonts w:ascii="Arial" w:cs="Arial" w:eastAsia="Arial" w:hAnsi="Arial"/>
          <w:sz w:val="18"/>
          <w:szCs w:val="18"/>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Foreign currency translation adjustments</w:t>
      </w:r>
    </w:p>
    <w:p>
      <w:pPr>
        <w:spacing w:after="0" w:line="279" w:lineRule="exact"/>
        <w:rPr>
          <w:rFonts w:ascii="Arial" w:cs="Arial" w:eastAsia="Arial" w:hAnsi="Arial"/>
          <w:sz w:val="18"/>
          <w:szCs w:val="18"/>
          <w:color w:val="auto"/>
        </w:rPr>
      </w:pPr>
    </w:p>
    <w:p>
      <w:pPr>
        <w:ind w:left="500" w:hanging="492"/>
        <w:spacing w:after="0"/>
        <w:tabs>
          <w:tab w:leader="none" w:pos="5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Includes $30 reclassification of other liabilities to inventory reserves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auto"/>
        </w:rPr>
        <w:t>Item 9. Changes in and Disagreements with Accountants on Accounting and Financial Disclosure</w:t>
      </w:r>
    </w:p>
    <w:p>
      <w:pPr>
        <w:spacing w:after="0" w:line="2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NONE</w:t>
      </w:r>
    </w:p>
    <w:p>
      <w:pPr>
        <w:spacing w:after="0" w:line="279"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Item 9A(T) Controls and Procedures</w:t>
      </w:r>
    </w:p>
    <w:p>
      <w:pPr>
        <w:spacing w:after="0" w:line="27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u w:val="single" w:color="auto"/>
          <w:color w:val="auto"/>
        </w:rPr>
        <w:t>Disclosure Controls and Procedures</w:t>
      </w:r>
      <w:r>
        <w:rPr>
          <w:rFonts w:ascii="Arial" w:cs="Arial" w:eastAsia="Arial" w:hAnsi="Arial"/>
          <w:sz w:val="18"/>
          <w:szCs w:val="18"/>
          <w:color w:val="auto"/>
        </w:rPr>
        <w:t>. 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chief executive officer and chief financial officer have concluded that, as of the end of such period, the Company’s disclosure controls and procedures are effective in recording, processing, summarizing and reporting, on a timely basis, information required to be disclosed by the Company in the reports that it files or submits under the Exchange Act.</w:t>
      </w:r>
    </w:p>
    <w:p>
      <w:pPr>
        <w:spacing w:after="0" w:line="24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This annual report does not include an attestation report of the Company’s registered public accounting firm regarding internal control over financial reporting. Management’s report was not subject to attestation by the Company’s registered public accounting firm pursuant to temporary rules of the Securities and Exchange Commission that permit the Company to provide only management’s report in this annual report.</w:t>
      </w:r>
    </w:p>
    <w:p>
      <w:pPr>
        <w:spacing w:after="0" w:line="22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u w:val="single" w:color="auto"/>
          <w:color w:val="auto"/>
        </w:rPr>
        <w:t>Internal Control Over Financial Reporting</w:t>
      </w:r>
      <w:r>
        <w:rPr>
          <w:rFonts w:ascii="Arial" w:cs="Arial" w:eastAsia="Arial" w:hAnsi="Arial"/>
          <w:sz w:val="18"/>
          <w:szCs w:val="18"/>
          <w:color w:val="auto"/>
        </w:rPr>
        <w:t>. There have not been any changes in the Company’s internal control over financial reporting (as such term is defined in Rules 13a-15(f) and 15d-15(f) under the Exchange Act) during the fourth fiscal quarter to which this report relates that have materially affected, or are reasonably likely to materially affect, the Company’s internal control over financial reporting.</w:t>
      </w:r>
    </w:p>
    <w:p>
      <w:pPr>
        <w:spacing w:after="0" w:line="235" w:lineRule="exact"/>
        <w:rPr>
          <w:sz w:val="20"/>
          <w:szCs w:val="20"/>
          <w:color w:val="auto"/>
        </w:rPr>
      </w:pPr>
    </w:p>
    <w:p>
      <w:pPr>
        <w:ind w:left="500"/>
        <w:spacing w:after="0"/>
        <w:rPr>
          <w:sz w:val="20"/>
          <w:szCs w:val="20"/>
          <w:color w:val="auto"/>
        </w:rPr>
      </w:pPr>
      <w:r>
        <w:rPr>
          <w:rFonts w:ascii="Arial" w:cs="Arial" w:eastAsia="Arial" w:hAnsi="Arial"/>
          <w:sz w:val="18"/>
          <w:szCs w:val="18"/>
          <w:u w:val="single" w:color="auto"/>
          <w:color w:val="auto"/>
        </w:rPr>
        <w:t>Item 9B Other Information</w:t>
      </w:r>
    </w:p>
    <w:p>
      <w:pPr>
        <w:spacing w:after="0" w:line="27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NONE</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III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Directors and Executive Officers of the Company</w:t>
      </w:r>
    </w:p>
    <w:p>
      <w:pPr>
        <w:spacing w:after="0" w:line="27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information required to be furnished pursuant to this item with respect to Directors of the Company, in compliance with Section 16(a) of the Securities Exchange Act of 1934, as amended, and the Company’s code of ethics is incorporated herein by reference from the Company’s definitive proxy statement for the annual meeting of stockholders to be held on or about September 26, 2007. The information required to be furnished pursuant to this item with respect to Executive Officers is set forth, pursuant to General Instruction G of Form 10-K, under Part I of this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11. Executive Compensation</w:t>
      </w:r>
    </w:p>
    <w:p>
      <w:pPr>
        <w:spacing w:after="0" w:line="2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item is incorporated herein by reference from the Company's definitive proxy statement for the annual meeting of stockholders to be held on or about September 26, 2007.</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12. Security Ownership of Certain Beneficial Owners and Management and Related Stockholder Matters</w:t>
      </w:r>
    </w:p>
    <w:p>
      <w:pPr>
        <w:spacing w:after="0" w:line="2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item is incorporated herein by reference from the Company's definitive proxy statement for the annual meeting of stockholders to be held on or about September 26, 2007.</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13. Certain Relationships and Related Transactions</w:t>
      </w:r>
    </w:p>
    <w:p>
      <w:pPr>
        <w:spacing w:after="0" w:line="2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item is incorporated herein by reference from the Company's definitive proxy statement for the annual meeting of stockholders to be held on or about September 26, 2007.</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14. Principal Accountant Fees and Services</w:t>
      </w:r>
    </w:p>
    <w:p>
      <w:pPr>
        <w:spacing w:after="0" w:line="27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This item is incorporated herein by reference from the Company's definitive proxy statement for the annual meeting of stockholders to be held on or about September 26, 2007.</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38" w:right="239" w:bottom="1440" w:gutter="0" w:footer="0" w:header="0"/>
        </w:sectPr>
      </w:pPr>
    </w:p>
    <w:bookmarkStart w:id="58" w:name="page59"/>
    <w:bookmarkEnd w:id="58"/>
    <w:p>
      <w:pPr>
        <w:jc w:val="center"/>
        <w:spacing w:after="0"/>
        <w:rPr>
          <w:sz w:val="20"/>
          <w:szCs w:val="20"/>
          <w:color w:val="auto"/>
        </w:rPr>
      </w:pPr>
      <w:r>
        <w:rPr>
          <w:rFonts w:ascii="Arial" w:cs="Arial" w:eastAsia="Arial" w:hAnsi="Arial"/>
          <w:sz w:val="18"/>
          <w:szCs w:val="18"/>
          <w:color w:val="auto"/>
        </w:rPr>
        <w:t>PART IV</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15. Exhibits and Financial Statement Schedules</w:t>
      </w:r>
    </w:p>
    <w:p>
      <w:pPr>
        <w:spacing w:after="0" w:line="279" w:lineRule="exact"/>
        <w:rPr>
          <w:sz w:val="20"/>
          <w:szCs w:val="20"/>
          <w:color w:val="auto"/>
        </w:rPr>
      </w:pPr>
    </w:p>
    <w:p>
      <w:pPr>
        <w:ind w:left="820" w:hanging="812"/>
        <w:spacing w:after="0"/>
        <w:tabs>
          <w:tab w:leader="none" w:pos="82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Index to Financial Statements, Financial Statement Schedule and Exhibits</w:t>
      </w:r>
    </w:p>
    <w:p>
      <w:pPr>
        <w:spacing w:after="0" w:line="279" w:lineRule="exact"/>
        <w:rPr>
          <w:rFonts w:ascii="Arial" w:cs="Arial" w:eastAsia="Arial" w:hAnsi="Arial"/>
          <w:sz w:val="18"/>
          <w:szCs w:val="18"/>
          <w:color w:val="auto"/>
        </w:rPr>
      </w:pPr>
    </w:p>
    <w:p>
      <w:pPr>
        <w:ind w:left="820"/>
        <w:spacing w:after="0"/>
        <w:rPr>
          <w:rFonts w:ascii="Arial" w:cs="Arial" w:eastAsia="Arial" w:hAnsi="Arial"/>
          <w:sz w:val="18"/>
          <w:szCs w:val="18"/>
          <w:color w:val="auto"/>
        </w:rPr>
      </w:pPr>
      <w:r>
        <w:rPr>
          <w:rFonts w:ascii="Arial" w:cs="Arial" w:eastAsia="Arial" w:hAnsi="Arial"/>
          <w:sz w:val="18"/>
          <w:szCs w:val="18"/>
          <w:color w:val="auto"/>
        </w:rPr>
        <w:t>The financial statements, financial statement schedule and exhibits are listed below and are filed as part of this report.</w:t>
      </w:r>
    </w:p>
    <w:p>
      <w:pPr>
        <w:spacing w:after="0" w:line="306" w:lineRule="exact"/>
        <w:rPr>
          <w:rFonts w:ascii="Arial" w:cs="Arial" w:eastAsia="Arial" w:hAnsi="Arial"/>
          <w:sz w:val="18"/>
          <w:szCs w:val="18"/>
          <w:color w:val="auto"/>
        </w:rPr>
      </w:pPr>
    </w:p>
    <w:p>
      <w:pPr>
        <w:ind w:left="320" w:hanging="258"/>
        <w:spacing w:after="0"/>
        <w:tabs>
          <w:tab w:leader="none" w:pos="320" w:val="left"/>
        </w:tabs>
        <w:numPr>
          <w:ilvl w:val="1"/>
          <w:numId w:val="28"/>
        </w:numPr>
        <w:rPr>
          <w:rFonts w:ascii="Arial" w:cs="Arial" w:eastAsia="Arial" w:hAnsi="Arial"/>
          <w:sz w:val="18"/>
          <w:szCs w:val="18"/>
          <w:color w:val="auto"/>
        </w:rPr>
      </w:pPr>
      <w:r>
        <w:rPr>
          <w:rFonts w:ascii="Arial" w:cs="Arial" w:eastAsia="Arial" w:hAnsi="Arial"/>
          <w:sz w:val="18"/>
          <w:szCs w:val="18"/>
          <w:color w:val="auto"/>
        </w:rPr>
        <w:t>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Included in Part II of this report: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1840" w:type="dxa"/>
            <w:vAlign w:val="bottom"/>
            <w:gridSpan w:val="2"/>
          </w:tcPr>
          <w:p>
            <w:pPr>
              <w:ind w:left="640"/>
              <w:spacing w:after="0"/>
              <w:rPr>
                <w:sz w:val="20"/>
                <w:szCs w:val="20"/>
                <w:color w:val="auto"/>
              </w:rPr>
            </w:pPr>
            <w:r>
              <w:rPr>
                <w:rFonts w:ascii="Arial" w:cs="Arial" w:eastAsia="Arial" w:hAnsi="Arial"/>
                <w:sz w:val="18"/>
                <w:szCs w:val="18"/>
                <w:color w:val="auto"/>
              </w:rPr>
              <w:t>Page(s)</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320" w:type="dxa"/>
            <w:vAlign w:val="bottom"/>
            <w:gridSpan w:val="2"/>
          </w:tcPr>
          <w:p>
            <w:pPr>
              <w:spacing w:after="0"/>
              <w:rPr>
                <w:sz w:val="3"/>
                <w:szCs w:val="3"/>
                <w:color w:val="auto"/>
              </w:rPr>
            </w:pPr>
          </w:p>
        </w:tc>
        <w:tc>
          <w:tcPr>
            <w:tcW w:w="3260" w:type="dxa"/>
            <w:vAlign w:val="bottom"/>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Reports of Independent Registered Public Accounting Firm</w:t>
            </w:r>
          </w:p>
        </w:tc>
        <w:tc>
          <w:tcPr>
            <w:tcW w:w="3260" w:type="dxa"/>
            <w:vAlign w:val="bottom"/>
            <w:shd w:val="clear" w:color="auto" w:fill="CCFFCC"/>
          </w:tcPr>
          <w:p>
            <w:pPr>
              <w:spacing w:after="0"/>
              <w:rPr>
                <w:sz w:val="18"/>
                <w:szCs w:val="18"/>
                <w:color w:val="auto"/>
              </w:rPr>
            </w:pPr>
          </w:p>
        </w:tc>
        <w:tc>
          <w:tcPr>
            <w:tcW w:w="1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320" w:type="dxa"/>
            <w:vAlign w:val="bottom"/>
            <w:gridSpan w:val="2"/>
          </w:tcPr>
          <w:p>
            <w:pPr>
              <w:spacing w:after="0"/>
              <w:rPr>
                <w:sz w:val="21"/>
                <w:szCs w:val="21"/>
                <w:color w:val="auto"/>
              </w:rPr>
            </w:pPr>
          </w:p>
        </w:tc>
        <w:tc>
          <w:tcPr>
            <w:tcW w:w="32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Consolidated Balance Sheets April 30, 2007 and 2006</w:t>
            </w:r>
          </w:p>
        </w:tc>
        <w:tc>
          <w:tcPr>
            <w:tcW w:w="3260" w:type="dxa"/>
            <w:vAlign w:val="bottom"/>
            <w:shd w:val="clear" w:color="auto" w:fill="CCFFCC"/>
          </w:tcPr>
          <w:p>
            <w:pPr>
              <w:spacing w:after="0"/>
              <w:rPr>
                <w:sz w:val="18"/>
                <w:szCs w:val="18"/>
                <w:color w:val="auto"/>
              </w:rPr>
            </w:pPr>
          </w:p>
        </w:tc>
        <w:tc>
          <w:tcPr>
            <w:tcW w:w="1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320" w:type="dxa"/>
            <w:vAlign w:val="bottom"/>
            <w:gridSpan w:val="2"/>
          </w:tcPr>
          <w:p>
            <w:pPr>
              <w:spacing w:after="0"/>
              <w:rPr>
                <w:sz w:val="21"/>
                <w:szCs w:val="21"/>
                <w:color w:val="auto"/>
              </w:rPr>
            </w:pPr>
          </w:p>
        </w:tc>
        <w:tc>
          <w:tcPr>
            <w:tcW w:w="32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gridSpan w:val="2"/>
            <w:shd w:val="clear" w:color="auto" w:fill="CCFFCC"/>
          </w:tcPr>
          <w:p>
            <w:pPr>
              <w:spacing w:after="0"/>
              <w:rPr>
                <w:sz w:val="20"/>
                <w:szCs w:val="20"/>
                <w:color w:val="auto"/>
              </w:rPr>
            </w:pPr>
            <w:r>
              <w:rPr>
                <w:rFonts w:ascii="Arial" w:cs="Arial" w:eastAsia="Arial" w:hAnsi="Arial"/>
                <w:sz w:val="18"/>
                <w:szCs w:val="18"/>
                <w:color w:val="auto"/>
                <w:w w:val="94"/>
              </w:rPr>
              <w:t>Consolidated Statements of Operations-years ended April 30, 2007, 2006 and 2005</w:t>
            </w:r>
          </w:p>
        </w:tc>
        <w:tc>
          <w:tcPr>
            <w:tcW w:w="3260" w:type="dxa"/>
            <w:vAlign w:val="bottom"/>
            <w:shd w:val="clear" w:color="auto" w:fill="CCFFCC"/>
          </w:tcPr>
          <w:p>
            <w:pPr>
              <w:spacing w:after="0"/>
              <w:rPr>
                <w:sz w:val="18"/>
                <w:szCs w:val="18"/>
                <w:color w:val="auto"/>
              </w:rPr>
            </w:pPr>
          </w:p>
        </w:tc>
        <w:tc>
          <w:tcPr>
            <w:tcW w:w="1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320" w:type="dxa"/>
            <w:vAlign w:val="bottom"/>
            <w:gridSpan w:val="2"/>
          </w:tcPr>
          <w:p>
            <w:pPr>
              <w:spacing w:after="0"/>
              <w:rPr>
                <w:sz w:val="21"/>
                <w:szCs w:val="21"/>
                <w:color w:val="auto"/>
              </w:rPr>
            </w:pPr>
          </w:p>
        </w:tc>
        <w:tc>
          <w:tcPr>
            <w:tcW w:w="32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gridSpan w:val="2"/>
            <w:shd w:val="clear" w:color="auto" w:fill="CCFFCC"/>
          </w:tcPr>
          <w:p>
            <w:pPr>
              <w:spacing w:after="0"/>
              <w:rPr>
                <w:sz w:val="20"/>
                <w:szCs w:val="20"/>
                <w:color w:val="auto"/>
              </w:rPr>
            </w:pPr>
            <w:r>
              <w:rPr>
                <w:rFonts w:ascii="Arial" w:cs="Arial" w:eastAsia="Arial" w:hAnsi="Arial"/>
                <w:sz w:val="18"/>
                <w:szCs w:val="18"/>
                <w:color w:val="auto"/>
                <w:w w:val="92"/>
              </w:rPr>
              <w:t>Consolidated Statements of Cash Flows - years ended April 30, 2007, 2006 and 2005</w:t>
            </w:r>
          </w:p>
        </w:tc>
        <w:tc>
          <w:tcPr>
            <w:tcW w:w="3260" w:type="dxa"/>
            <w:vAlign w:val="bottom"/>
            <w:shd w:val="clear" w:color="auto" w:fill="CCFFCC"/>
          </w:tcPr>
          <w:p>
            <w:pPr>
              <w:spacing w:after="0"/>
              <w:rPr>
                <w:sz w:val="18"/>
                <w:szCs w:val="18"/>
                <w:color w:val="auto"/>
              </w:rPr>
            </w:pPr>
          </w:p>
        </w:tc>
        <w:tc>
          <w:tcPr>
            <w:tcW w:w="1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36-37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9580" w:type="dxa"/>
            <w:vAlign w:val="bottom"/>
            <w:gridSpan w:val="3"/>
          </w:tcPr>
          <w:p>
            <w:pPr>
              <w:spacing w:after="0"/>
              <w:rPr>
                <w:sz w:val="21"/>
                <w:szCs w:val="21"/>
                <w:color w:val="auto"/>
              </w:rPr>
            </w:pPr>
          </w:p>
        </w:tc>
        <w:tc>
          <w:tcPr>
            <w:tcW w:w="182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58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Consolidated Statements of Changes in Stockholders' Equity - years ended April 30, 2007, 2006 and 2005</w:t>
            </w:r>
          </w:p>
        </w:tc>
        <w:tc>
          <w:tcPr>
            <w:tcW w:w="1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320" w:type="dxa"/>
            <w:vAlign w:val="bottom"/>
            <w:gridSpan w:val="2"/>
          </w:tcPr>
          <w:p>
            <w:pPr>
              <w:spacing w:after="0"/>
              <w:rPr>
                <w:sz w:val="21"/>
                <w:szCs w:val="21"/>
                <w:color w:val="auto"/>
              </w:rPr>
            </w:pPr>
          </w:p>
        </w:tc>
        <w:tc>
          <w:tcPr>
            <w:tcW w:w="32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Notes to Consolidated Financial Statements</w:t>
            </w:r>
          </w:p>
        </w:tc>
        <w:tc>
          <w:tcPr>
            <w:tcW w:w="3260" w:type="dxa"/>
            <w:vAlign w:val="bottom"/>
            <w:shd w:val="clear" w:color="auto" w:fill="CCFFCC"/>
          </w:tcPr>
          <w:p>
            <w:pPr>
              <w:spacing w:after="0"/>
              <w:rPr>
                <w:sz w:val="18"/>
                <w:szCs w:val="18"/>
                <w:color w:val="auto"/>
              </w:rPr>
            </w:pPr>
          </w:p>
        </w:tc>
        <w:tc>
          <w:tcPr>
            <w:tcW w:w="1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39-54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320" w:type="dxa"/>
            <w:vAlign w:val="bottom"/>
            <w:gridSpan w:val="2"/>
          </w:tcPr>
          <w:p>
            <w:pPr>
              <w:spacing w:after="0"/>
              <w:rPr>
                <w:sz w:val="21"/>
                <w:szCs w:val="21"/>
                <w:color w:val="auto"/>
              </w:rPr>
            </w:pPr>
          </w:p>
        </w:tc>
        <w:tc>
          <w:tcPr>
            <w:tcW w:w="32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3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(2) FINANCIAL STATEMENT SCHEDULE</w:t>
            </w:r>
          </w:p>
        </w:tc>
        <w:tc>
          <w:tcPr>
            <w:tcW w:w="3260" w:type="dxa"/>
            <w:vAlign w:val="bottom"/>
            <w:shd w:val="clear" w:color="auto" w:fill="CCFFCC"/>
          </w:tcPr>
          <w:p>
            <w:pPr>
              <w:spacing w:after="0"/>
              <w:rPr>
                <w:sz w:val="21"/>
                <w:szCs w:val="21"/>
                <w:color w:val="auto"/>
              </w:rPr>
            </w:pPr>
          </w:p>
        </w:tc>
        <w:tc>
          <w:tcPr>
            <w:tcW w:w="1820" w:type="dxa"/>
            <w:vAlign w:val="bottom"/>
            <w:shd w:val="clear" w:color="auto" w:fill="CCFFC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320" w:type="dxa"/>
            <w:vAlign w:val="bottom"/>
            <w:gridSpan w:val="2"/>
          </w:tcPr>
          <w:p>
            <w:pPr>
              <w:spacing w:after="0"/>
              <w:rPr>
                <w:sz w:val="21"/>
                <w:szCs w:val="21"/>
                <w:color w:val="auto"/>
              </w:rPr>
            </w:pPr>
          </w:p>
        </w:tc>
        <w:tc>
          <w:tcPr>
            <w:tcW w:w="32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3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Included in Part II of this report:</w:t>
            </w:r>
          </w:p>
        </w:tc>
        <w:tc>
          <w:tcPr>
            <w:tcW w:w="3260" w:type="dxa"/>
            <w:vAlign w:val="bottom"/>
            <w:shd w:val="clear" w:color="auto" w:fill="CCFFCC"/>
          </w:tcPr>
          <w:p>
            <w:pPr>
              <w:spacing w:after="0"/>
              <w:rPr>
                <w:sz w:val="21"/>
                <w:szCs w:val="21"/>
                <w:color w:val="auto"/>
              </w:rPr>
            </w:pPr>
          </w:p>
        </w:tc>
        <w:tc>
          <w:tcPr>
            <w:tcW w:w="1820" w:type="dxa"/>
            <w:vAlign w:val="bottom"/>
            <w:shd w:val="clear" w:color="auto" w:fill="CCFFC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320" w:type="dxa"/>
            <w:vAlign w:val="bottom"/>
            <w:gridSpan w:val="2"/>
          </w:tcPr>
          <w:p>
            <w:pPr>
              <w:spacing w:after="0"/>
              <w:rPr>
                <w:sz w:val="21"/>
                <w:szCs w:val="21"/>
                <w:color w:val="auto"/>
              </w:rPr>
            </w:pPr>
          </w:p>
        </w:tc>
        <w:tc>
          <w:tcPr>
            <w:tcW w:w="32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Schedule II - Valuation and Qualifying Accounts</w:t>
            </w:r>
          </w:p>
        </w:tc>
        <w:tc>
          <w:tcPr>
            <w:tcW w:w="3260" w:type="dxa"/>
            <w:vAlign w:val="bottom"/>
            <w:shd w:val="clear" w:color="auto" w:fill="CCFFCC"/>
          </w:tcPr>
          <w:p>
            <w:pPr>
              <w:spacing w:after="0"/>
              <w:rPr>
                <w:sz w:val="18"/>
                <w:szCs w:val="18"/>
                <w:color w:val="auto"/>
              </w:rPr>
            </w:pPr>
          </w:p>
        </w:tc>
        <w:tc>
          <w:tcPr>
            <w:tcW w:w="182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9580" w:type="dxa"/>
            <w:vAlign w:val="bottom"/>
            <w:gridSpan w:val="3"/>
          </w:tcPr>
          <w:p>
            <w:pPr>
              <w:spacing w:after="0"/>
              <w:rPr>
                <w:sz w:val="21"/>
                <w:szCs w:val="21"/>
                <w:color w:val="auto"/>
              </w:rPr>
            </w:pPr>
          </w:p>
        </w:tc>
        <w:tc>
          <w:tcPr>
            <w:tcW w:w="1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580" w:type="dxa"/>
            <w:vAlign w:val="bottom"/>
            <w:gridSpan w:val="3"/>
            <w:shd w:val="clear" w:color="auto" w:fill="CCFFCC"/>
          </w:tcPr>
          <w:p>
            <w:pPr>
              <w:spacing w:after="0" w:line="201" w:lineRule="exact"/>
              <w:rPr>
                <w:sz w:val="20"/>
                <w:szCs w:val="20"/>
                <w:color w:val="auto"/>
              </w:rPr>
            </w:pPr>
            <w:r>
              <w:rPr>
                <w:rFonts w:ascii="Arial" w:cs="Arial" w:eastAsia="Arial" w:hAnsi="Arial"/>
                <w:sz w:val="18"/>
                <w:szCs w:val="18"/>
                <w:color w:val="auto"/>
                <w:w w:val="92"/>
              </w:rPr>
              <w:t>Other financial statement schedules are omitted because they are not required, or the information is presented in the consolidated</w:t>
            </w:r>
          </w:p>
        </w:tc>
        <w:tc>
          <w:tcPr>
            <w:tcW w:w="1820" w:type="dxa"/>
            <w:vAlign w:val="bottom"/>
            <w:shd w:val="clear" w:color="auto" w:fill="CCFFC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financial statements or notes thereto.</w:t>
            </w:r>
          </w:p>
        </w:tc>
        <w:tc>
          <w:tcPr>
            <w:tcW w:w="3260" w:type="dxa"/>
            <w:vAlign w:val="bottom"/>
            <w:shd w:val="clear" w:color="auto" w:fill="CCFFCC"/>
          </w:tcPr>
          <w:p>
            <w:pPr>
              <w:spacing w:after="0"/>
              <w:rPr>
                <w:sz w:val="20"/>
                <w:szCs w:val="20"/>
                <w:color w:val="auto"/>
              </w:rPr>
            </w:pPr>
          </w:p>
        </w:tc>
        <w:tc>
          <w:tcPr>
            <w:tcW w:w="1820" w:type="dxa"/>
            <w:vAlign w:val="bottom"/>
            <w:shd w:val="clear" w:color="auto" w:fill="CCFFC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6320" w:type="dxa"/>
            <w:vAlign w:val="bottom"/>
            <w:gridSpan w:val="2"/>
          </w:tcPr>
          <w:p>
            <w:pPr>
              <w:spacing w:after="0"/>
              <w:rPr>
                <w:sz w:val="21"/>
                <w:szCs w:val="21"/>
                <w:color w:val="auto"/>
              </w:rPr>
            </w:pPr>
          </w:p>
        </w:tc>
        <w:tc>
          <w:tcPr>
            <w:tcW w:w="32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3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(3) EXHIBITS</w:t>
            </w:r>
          </w:p>
        </w:tc>
        <w:tc>
          <w:tcPr>
            <w:tcW w:w="3260" w:type="dxa"/>
            <w:vAlign w:val="bottom"/>
            <w:shd w:val="clear" w:color="auto" w:fill="CCFFCC"/>
          </w:tcPr>
          <w:p>
            <w:pPr>
              <w:spacing w:after="0"/>
              <w:rPr>
                <w:sz w:val="21"/>
                <w:szCs w:val="21"/>
                <w:color w:val="auto"/>
              </w:rPr>
            </w:pPr>
          </w:p>
        </w:tc>
        <w:tc>
          <w:tcPr>
            <w:tcW w:w="1820" w:type="dxa"/>
            <w:vAlign w:val="bottom"/>
            <w:shd w:val="clear" w:color="auto" w:fill="CCFFC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20" w:type="dxa"/>
            <w:vAlign w:val="bottom"/>
            <w:gridSpan w:val="2"/>
          </w:tcPr>
          <w:p>
            <w:pPr>
              <w:spacing w:after="0"/>
              <w:rPr>
                <w:sz w:val="20"/>
                <w:szCs w:val="20"/>
                <w:color w:val="auto"/>
              </w:rPr>
            </w:pPr>
            <w:r>
              <w:rPr>
                <w:rFonts w:ascii="Arial" w:cs="Arial" w:eastAsia="Arial" w:hAnsi="Arial"/>
                <w:sz w:val="18"/>
                <w:szCs w:val="18"/>
                <w:color w:val="auto"/>
              </w:rPr>
              <w:t>Exhibit 21 List of Subsidiaries of Registrant</w:t>
            </w:r>
          </w:p>
        </w:tc>
        <w:tc>
          <w:tcPr>
            <w:tcW w:w="32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920" w:type="dxa"/>
            <w:vAlign w:val="bottom"/>
            <w:gridSpan w:val="2"/>
          </w:tcPr>
          <w:p>
            <w:pPr>
              <w:spacing w:after="0"/>
              <w:rPr>
                <w:sz w:val="3"/>
                <w:szCs w:val="3"/>
                <w:color w:val="auto"/>
              </w:rPr>
            </w:pPr>
          </w:p>
        </w:tc>
        <w:tc>
          <w:tcPr>
            <w:tcW w:w="5420" w:type="dxa"/>
            <w:vAlign w:val="bottom"/>
          </w:tcPr>
          <w:p>
            <w:pPr>
              <w:spacing w:after="0"/>
              <w:rPr>
                <w:sz w:val="3"/>
                <w:szCs w:val="3"/>
                <w:color w:val="auto"/>
              </w:rPr>
            </w:pPr>
          </w:p>
        </w:tc>
        <w:tc>
          <w:tcPr>
            <w:tcW w:w="32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restart"/>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5420" w:type="dxa"/>
            <w:vAlign w:val="bottom"/>
            <w:shd w:val="clear" w:color="auto" w:fill="CCFFCC"/>
          </w:tcPr>
          <w:p>
            <w:pPr>
              <w:spacing w:after="0"/>
              <w:rPr>
                <w:sz w:val="21"/>
                <w:szCs w:val="21"/>
                <w:color w:val="auto"/>
              </w:rPr>
            </w:pPr>
          </w:p>
        </w:tc>
        <w:tc>
          <w:tcPr>
            <w:tcW w:w="3260" w:type="dxa"/>
            <w:vAlign w:val="bottom"/>
            <w:shd w:val="clear" w:color="auto" w:fill="CCFFCC"/>
          </w:tcPr>
          <w:p>
            <w:pPr>
              <w:spacing w:after="0"/>
              <w:rPr>
                <w:sz w:val="21"/>
                <w:szCs w:val="21"/>
                <w:color w:val="auto"/>
              </w:rPr>
            </w:pPr>
          </w:p>
        </w:tc>
        <w:tc>
          <w:tcPr>
            <w:tcW w:w="1820" w:type="dxa"/>
            <w:vAlign w:val="bottom"/>
            <w:shd w:val="clear" w:color="auto" w:fill="CCFFC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93"/>
              </w:rPr>
              <w:t>Exhibit 23.1</w:t>
            </w:r>
          </w:p>
        </w:tc>
        <w:tc>
          <w:tcPr>
            <w:tcW w:w="5420" w:type="dxa"/>
            <w:vAlign w:val="bottom"/>
          </w:tcPr>
          <w:p>
            <w:pPr>
              <w:ind w:left="20"/>
              <w:spacing w:after="0"/>
              <w:rPr>
                <w:sz w:val="20"/>
                <w:szCs w:val="20"/>
                <w:color w:val="auto"/>
              </w:rPr>
            </w:pPr>
            <w:r>
              <w:rPr>
                <w:rFonts w:ascii="Arial" w:cs="Arial" w:eastAsia="Arial" w:hAnsi="Arial"/>
                <w:sz w:val="18"/>
                <w:szCs w:val="18"/>
                <w:color w:val="auto"/>
              </w:rPr>
              <w:t>Consent of Independent Registered Public Accounting Firm</w:t>
            </w:r>
          </w:p>
        </w:tc>
        <w:tc>
          <w:tcPr>
            <w:tcW w:w="326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920" w:type="dxa"/>
            <w:vAlign w:val="bottom"/>
            <w:gridSpan w:val="2"/>
          </w:tcPr>
          <w:p>
            <w:pPr>
              <w:spacing w:after="0"/>
              <w:rPr>
                <w:sz w:val="3"/>
                <w:szCs w:val="3"/>
                <w:color w:val="auto"/>
              </w:rPr>
            </w:pPr>
          </w:p>
        </w:tc>
        <w:tc>
          <w:tcPr>
            <w:tcW w:w="5420" w:type="dxa"/>
            <w:vAlign w:val="bottom"/>
          </w:tcPr>
          <w:p>
            <w:pPr>
              <w:spacing w:after="0"/>
              <w:rPr>
                <w:sz w:val="3"/>
                <w:szCs w:val="3"/>
                <w:color w:val="auto"/>
              </w:rPr>
            </w:pPr>
          </w:p>
        </w:tc>
        <w:tc>
          <w:tcPr>
            <w:tcW w:w="32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vMerge w:val="restart"/>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5420" w:type="dxa"/>
            <w:vAlign w:val="bottom"/>
            <w:shd w:val="clear" w:color="auto" w:fill="CCFFCC"/>
          </w:tcPr>
          <w:p>
            <w:pPr>
              <w:spacing w:after="0"/>
              <w:rPr>
                <w:sz w:val="21"/>
                <w:szCs w:val="21"/>
                <w:color w:val="auto"/>
              </w:rPr>
            </w:pPr>
          </w:p>
        </w:tc>
        <w:tc>
          <w:tcPr>
            <w:tcW w:w="3260" w:type="dxa"/>
            <w:vAlign w:val="bottom"/>
            <w:shd w:val="clear" w:color="auto" w:fill="CCFFCC"/>
          </w:tcPr>
          <w:p>
            <w:pPr>
              <w:spacing w:after="0"/>
              <w:rPr>
                <w:sz w:val="21"/>
                <w:szCs w:val="21"/>
                <w:color w:val="auto"/>
              </w:rPr>
            </w:pPr>
          </w:p>
        </w:tc>
        <w:tc>
          <w:tcPr>
            <w:tcW w:w="1820" w:type="dxa"/>
            <w:vAlign w:val="bottom"/>
            <w:shd w:val="clear" w:color="auto" w:fill="CCFFC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8"/>
                <w:szCs w:val="18"/>
                <w:color w:val="auto"/>
                <w:w w:val="93"/>
              </w:rPr>
              <w:t>Exhibit 31.1</w:t>
            </w:r>
          </w:p>
        </w:tc>
        <w:tc>
          <w:tcPr>
            <w:tcW w:w="5420" w:type="dxa"/>
            <w:vAlign w:val="bottom"/>
          </w:tcPr>
          <w:p>
            <w:pPr>
              <w:ind w:left="20"/>
              <w:spacing w:after="0"/>
              <w:rPr>
                <w:sz w:val="20"/>
                <w:szCs w:val="20"/>
                <w:color w:val="auto"/>
              </w:rPr>
            </w:pPr>
            <w:r>
              <w:rPr>
                <w:rFonts w:ascii="Arial" w:cs="Arial" w:eastAsia="Arial" w:hAnsi="Arial"/>
                <w:sz w:val="18"/>
                <w:szCs w:val="18"/>
                <w:color w:val="auto"/>
                <w:w w:val="93"/>
              </w:rPr>
              <w:t>Certification of the Chief Executive Officer pursuant to Section 302 of the</w:t>
            </w:r>
          </w:p>
        </w:tc>
        <w:tc>
          <w:tcPr>
            <w:tcW w:w="3260" w:type="dxa"/>
            <w:vAlign w:val="bottom"/>
          </w:tcPr>
          <w:p>
            <w:pPr>
              <w:ind w:left="40"/>
              <w:spacing w:after="0"/>
              <w:rPr>
                <w:sz w:val="20"/>
                <w:szCs w:val="20"/>
                <w:color w:val="auto"/>
              </w:rPr>
            </w:pPr>
            <w:r>
              <w:rPr>
                <w:rFonts w:ascii="Arial" w:cs="Arial" w:eastAsia="Arial" w:hAnsi="Arial"/>
                <w:sz w:val="18"/>
                <w:szCs w:val="18"/>
                <w:color w:val="auto"/>
              </w:rPr>
              <w:t>Sarbanes-Oxley Act of 2002</w:t>
            </w:r>
          </w:p>
        </w:tc>
        <w:tc>
          <w:tcPr>
            <w:tcW w:w="1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920" w:type="dxa"/>
            <w:vAlign w:val="bottom"/>
            <w:gridSpan w:val="2"/>
          </w:tcPr>
          <w:p>
            <w:pPr>
              <w:spacing w:after="0"/>
              <w:rPr>
                <w:sz w:val="3"/>
                <w:szCs w:val="3"/>
                <w:color w:val="auto"/>
              </w:rPr>
            </w:pPr>
          </w:p>
        </w:tc>
        <w:tc>
          <w:tcPr>
            <w:tcW w:w="8680" w:type="dxa"/>
            <w:vAlign w:val="bottom"/>
            <w:gridSpan w:val="2"/>
          </w:tcPr>
          <w:p>
            <w:pPr>
              <w:spacing w:after="0"/>
              <w:rPr>
                <w:sz w:val="3"/>
                <w:szCs w:val="3"/>
                <w:color w:val="auto"/>
              </w:rPr>
            </w:pPr>
          </w:p>
        </w:tc>
        <w:tc>
          <w:tcPr>
            <w:tcW w:w="18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8680" w:type="dxa"/>
            <w:vAlign w:val="bottom"/>
            <w:gridSpan w:val="2"/>
            <w:shd w:val="clear" w:color="auto" w:fill="CCFFCC"/>
          </w:tcPr>
          <w:p>
            <w:pPr>
              <w:spacing w:after="0"/>
              <w:rPr>
                <w:sz w:val="21"/>
                <w:szCs w:val="21"/>
                <w:color w:val="auto"/>
              </w:rPr>
            </w:pPr>
          </w:p>
        </w:tc>
        <w:tc>
          <w:tcPr>
            <w:tcW w:w="1820" w:type="dxa"/>
            <w:vAlign w:val="bottom"/>
            <w:shd w:val="clear" w:color="auto" w:fill="CCFFC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w w:val="95"/>
              </w:rPr>
              <w:t>Exhibit 31.2</w:t>
            </w:r>
          </w:p>
        </w:tc>
        <w:tc>
          <w:tcPr>
            <w:tcW w:w="8680" w:type="dxa"/>
            <w:vAlign w:val="bottom"/>
            <w:gridSpan w:val="2"/>
          </w:tcPr>
          <w:p>
            <w:pPr>
              <w:ind w:left="20"/>
              <w:spacing w:after="0"/>
              <w:rPr>
                <w:sz w:val="20"/>
                <w:szCs w:val="20"/>
                <w:color w:val="auto"/>
              </w:rPr>
            </w:pPr>
            <w:r>
              <w:rPr>
                <w:rFonts w:ascii="Arial" w:cs="Arial" w:eastAsia="Arial" w:hAnsi="Arial"/>
                <w:sz w:val="18"/>
                <w:szCs w:val="18"/>
                <w:color w:val="auto"/>
              </w:rPr>
              <w:t xml:space="preserve">Certification of the Chief Financial Officer pursuant to Section 302 of the </w:t>
            </w:r>
            <w:r>
              <w:rPr>
                <w:rFonts w:ascii="Arial" w:cs="Arial" w:eastAsia="Arial" w:hAnsi="Arial"/>
                <w:sz w:val="21"/>
                <w:szCs w:val="21"/>
                <w:color w:val="auto"/>
              </w:rPr>
              <w:t>Sarbanes-</w:t>
            </w:r>
            <w:r>
              <w:rPr>
                <w:rFonts w:ascii="Arial" w:cs="Arial" w:eastAsia="Arial" w:hAnsi="Arial"/>
                <w:sz w:val="18"/>
                <w:szCs w:val="18"/>
                <w:color w:val="auto"/>
              </w:rPr>
              <w:t>Oxley Act of 2002</w:t>
            </w:r>
          </w:p>
        </w:tc>
        <w:tc>
          <w:tcPr>
            <w:tcW w:w="1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5420" w:type="dxa"/>
            <w:vAlign w:val="bottom"/>
            <w:shd w:val="clear" w:color="auto" w:fill="CCFFCC"/>
          </w:tcPr>
          <w:p>
            <w:pPr>
              <w:spacing w:after="0"/>
              <w:rPr>
                <w:sz w:val="21"/>
                <w:szCs w:val="21"/>
                <w:color w:val="auto"/>
              </w:rPr>
            </w:pPr>
          </w:p>
        </w:tc>
        <w:tc>
          <w:tcPr>
            <w:tcW w:w="3260" w:type="dxa"/>
            <w:vAlign w:val="bottom"/>
            <w:shd w:val="clear" w:color="auto" w:fill="CCFFCC"/>
          </w:tcPr>
          <w:p>
            <w:pPr>
              <w:spacing w:after="0"/>
              <w:rPr>
                <w:sz w:val="21"/>
                <w:szCs w:val="21"/>
                <w:color w:val="auto"/>
              </w:rPr>
            </w:pPr>
          </w:p>
        </w:tc>
        <w:tc>
          <w:tcPr>
            <w:tcW w:w="1820" w:type="dxa"/>
            <w:vAlign w:val="bottom"/>
            <w:shd w:val="clear" w:color="auto" w:fill="CCFFC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920" w:type="dxa"/>
            <w:vAlign w:val="bottom"/>
            <w:gridSpan w:val="2"/>
          </w:tcPr>
          <w:p>
            <w:pPr>
              <w:spacing w:after="0"/>
              <w:rPr>
                <w:sz w:val="20"/>
                <w:szCs w:val="20"/>
                <w:color w:val="auto"/>
              </w:rPr>
            </w:pPr>
            <w:r>
              <w:rPr>
                <w:rFonts w:ascii="Arial" w:cs="Arial" w:eastAsia="Arial" w:hAnsi="Arial"/>
                <w:sz w:val="18"/>
                <w:szCs w:val="18"/>
                <w:color w:val="auto"/>
                <w:w w:val="95"/>
              </w:rPr>
              <w:t>Exhibit 32.1</w:t>
            </w:r>
          </w:p>
        </w:tc>
        <w:tc>
          <w:tcPr>
            <w:tcW w:w="5420" w:type="dxa"/>
            <w:vAlign w:val="bottom"/>
          </w:tcPr>
          <w:p>
            <w:pPr>
              <w:ind w:left="20"/>
              <w:spacing w:after="0"/>
              <w:rPr>
                <w:sz w:val="20"/>
                <w:szCs w:val="20"/>
                <w:color w:val="auto"/>
              </w:rPr>
            </w:pPr>
            <w:r>
              <w:rPr>
                <w:rFonts w:ascii="Arial" w:cs="Arial" w:eastAsia="Arial" w:hAnsi="Arial"/>
                <w:sz w:val="18"/>
                <w:szCs w:val="18"/>
                <w:color w:val="auto"/>
                <w:w w:val="93"/>
              </w:rPr>
              <w:t>Certification of the Chief Executive Officer pursuant to Section 906 of the</w:t>
            </w:r>
          </w:p>
        </w:tc>
        <w:tc>
          <w:tcPr>
            <w:tcW w:w="3260" w:type="dxa"/>
            <w:vAlign w:val="bottom"/>
          </w:tcPr>
          <w:p>
            <w:pPr>
              <w:ind w:left="60"/>
              <w:spacing w:after="0"/>
              <w:rPr>
                <w:sz w:val="20"/>
                <w:szCs w:val="20"/>
                <w:color w:val="auto"/>
              </w:rPr>
            </w:pPr>
            <w:r>
              <w:rPr>
                <w:rFonts w:ascii="Arial" w:cs="Arial" w:eastAsia="Arial" w:hAnsi="Arial"/>
                <w:sz w:val="22"/>
                <w:szCs w:val="22"/>
                <w:color w:val="auto"/>
              </w:rPr>
              <w:t>Sarbanes-</w:t>
            </w:r>
            <w:r>
              <w:rPr>
                <w:rFonts w:ascii="Arial" w:cs="Arial" w:eastAsia="Arial" w:hAnsi="Arial"/>
                <w:sz w:val="18"/>
                <w:szCs w:val="18"/>
                <w:color w:val="auto"/>
              </w:rPr>
              <w:t>Oxley Act of 2002</w:t>
            </w:r>
          </w:p>
        </w:tc>
        <w:tc>
          <w:tcPr>
            <w:tcW w:w="18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5420" w:type="dxa"/>
            <w:vAlign w:val="bottom"/>
            <w:shd w:val="clear" w:color="auto" w:fill="CCFFCC"/>
          </w:tcPr>
          <w:p>
            <w:pPr>
              <w:spacing w:after="0"/>
              <w:rPr>
                <w:sz w:val="21"/>
                <w:szCs w:val="21"/>
                <w:color w:val="auto"/>
              </w:rPr>
            </w:pPr>
          </w:p>
        </w:tc>
        <w:tc>
          <w:tcPr>
            <w:tcW w:w="3260" w:type="dxa"/>
            <w:vAlign w:val="bottom"/>
            <w:shd w:val="clear" w:color="auto" w:fill="CCFFCC"/>
          </w:tcPr>
          <w:p>
            <w:pPr>
              <w:spacing w:after="0"/>
              <w:rPr>
                <w:sz w:val="21"/>
                <w:szCs w:val="21"/>
                <w:color w:val="auto"/>
              </w:rPr>
            </w:pPr>
          </w:p>
        </w:tc>
        <w:tc>
          <w:tcPr>
            <w:tcW w:w="1820" w:type="dxa"/>
            <w:vAlign w:val="bottom"/>
            <w:shd w:val="clear" w:color="auto" w:fill="CCFFCC"/>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 xml:space="preserve">Exhibit 32.2 Certification of the Chief Financial Officer pursuant to Section 906 of the </w:t>
      </w:r>
      <w:r>
        <w:rPr>
          <w:rFonts w:ascii="Arial" w:cs="Arial" w:eastAsia="Arial" w:hAnsi="Arial"/>
          <w:sz w:val="21"/>
          <w:szCs w:val="21"/>
          <w:color w:val="auto"/>
        </w:rPr>
        <w:t>Sarbanes-</w:t>
      </w:r>
      <w:r>
        <w:rPr>
          <w:rFonts w:ascii="Arial" w:cs="Arial" w:eastAsia="Arial" w:hAnsi="Arial"/>
          <w:sz w:val="18"/>
          <w:szCs w:val="18"/>
          <w:color w:val="auto"/>
        </w:rPr>
        <w:t>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724662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Exhibit 99 Audited Financial Statements of Morion, Inc. for year ended December 31,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on the accompanying Index to Exhibits beginning on page 59 are filed as part of this annual report.</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65" w:right="239" w:bottom="1440" w:gutter="0" w:footer="0" w:header="0"/>
        </w:sectPr>
      </w:pPr>
    </w:p>
    <w:bookmarkStart w:id="59" w:name="page60"/>
    <w:bookmarkEnd w:id="59"/>
    <w:p>
      <w:pPr>
        <w:jc w:val="center"/>
        <w:ind w:left="340"/>
        <w:spacing w:after="0"/>
        <w:rPr>
          <w:sz w:val="20"/>
          <w:szCs w:val="20"/>
          <w:color w:val="auto"/>
        </w:rPr>
      </w:pPr>
      <w:r>
        <w:rPr>
          <w:rFonts w:ascii="Arial" w:cs="Arial" w:eastAsia="Arial" w:hAnsi="Arial"/>
          <w:sz w:val="18"/>
          <w:szCs w:val="18"/>
          <w:u w:val="single" w:color="auto"/>
          <w:color w:val="auto"/>
        </w:rPr>
        <w:t>SIGNATURES</w:t>
      </w:r>
    </w:p>
    <w:p>
      <w:pPr>
        <w:spacing w:after="0" w:line="279" w:lineRule="exact"/>
        <w:rPr>
          <w:sz w:val="20"/>
          <w:szCs w:val="20"/>
          <w:color w:val="auto"/>
        </w:rPr>
      </w:pPr>
    </w:p>
    <w:p>
      <w:pPr>
        <w:ind w:left="340" w:right="20" w:firstLine="648"/>
        <w:spacing w:after="0" w:line="277" w:lineRule="auto"/>
        <w:rPr>
          <w:sz w:val="20"/>
          <w:szCs w:val="20"/>
          <w:color w:val="auto"/>
        </w:rPr>
      </w:pPr>
      <w:r>
        <w:rPr>
          <w:rFonts w:ascii="Arial" w:cs="Arial" w:eastAsia="Arial" w:hAnsi="Arial"/>
          <w:sz w:val="18"/>
          <w:szCs w:val="18"/>
          <w:color w:val="auto"/>
        </w:rPr>
        <w:t>Pursuant to the requirements of Section 13 or 15 (d)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FREQUENCY ELECTRONICS, INC.</w:t>
      </w:r>
    </w:p>
    <w:p>
      <w:pPr>
        <w:spacing w:after="0" w:line="200" w:lineRule="exact"/>
        <w:rPr>
          <w:sz w:val="20"/>
          <w:szCs w:val="20"/>
          <w:color w:val="auto"/>
        </w:rPr>
      </w:pPr>
    </w:p>
    <w:p>
      <w:pPr>
        <w:spacing w:after="0" w:line="241"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By /s/ Martin B. Bloch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98425</wp:posOffset>
            </wp:positionV>
            <wp:extent cx="281686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16860" cy="21590"/>
                    </a:xfrm>
                    <a:prstGeom prst="rect">
                      <a:avLst/>
                    </a:prstGeom>
                    <a:noFill/>
                  </pic:spPr>
                </pic:pic>
              </a:graphicData>
            </a:graphic>
          </wp:anchor>
        </w:drawing>
      </w:r>
    </w:p>
    <w:p>
      <w:pPr>
        <w:spacing w:after="0" w:line="259"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Martin B. Bloch</w:t>
      </w:r>
    </w:p>
    <w:p>
      <w:pPr>
        <w:spacing w:after="0" w:line="23"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President and CEO</w:t>
      </w:r>
    </w:p>
    <w:p>
      <w:pPr>
        <w:spacing w:after="0" w:line="200" w:lineRule="exact"/>
        <w:rPr>
          <w:sz w:val="20"/>
          <w:szCs w:val="20"/>
          <w:color w:val="auto"/>
        </w:rPr>
      </w:pPr>
    </w:p>
    <w:p>
      <w:pPr>
        <w:spacing w:after="0" w:line="28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By: /s/ Alan L.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3759200</wp:posOffset>
            </wp:positionH>
            <wp:positionV relativeFrom="paragraph">
              <wp:posOffset>98425</wp:posOffset>
            </wp:positionV>
            <wp:extent cx="281686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16860" cy="21590"/>
                    </a:xfrm>
                    <a:prstGeom prst="rect">
                      <a:avLst/>
                    </a:prstGeom>
                    <a:noFill/>
                  </pic:spPr>
                </pic:pic>
              </a:graphicData>
            </a:graphic>
          </wp:anchor>
        </w:drawing>
      </w:r>
    </w:p>
    <w:p>
      <w:pPr>
        <w:spacing w:after="0" w:line="25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Alan L. Miller</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and Treasurer</w:t>
      </w:r>
    </w:p>
    <w:p>
      <w:pPr>
        <w:spacing w:after="0" w:line="2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Dated: July 27, 2007</w:t>
      </w:r>
    </w:p>
    <w:p>
      <w:pPr>
        <w:spacing w:after="0" w:line="279" w:lineRule="exact"/>
        <w:rPr>
          <w:sz w:val="20"/>
          <w:szCs w:val="20"/>
          <w:color w:val="auto"/>
        </w:rPr>
      </w:pPr>
    </w:p>
    <w:p>
      <w:pPr>
        <w:ind w:left="34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40" w:type="dxa"/>
            <w:vAlign w:val="bottom"/>
            <w:gridSpan w:val="2"/>
          </w:tcPr>
          <w:p>
            <w:pPr>
              <w:ind w:left="1840"/>
              <w:spacing w:after="0"/>
              <w:rPr>
                <w:sz w:val="20"/>
                <w:szCs w:val="20"/>
                <w:color w:val="auto"/>
              </w:rPr>
            </w:pPr>
            <w:r>
              <w:rPr>
                <w:rFonts w:ascii="Arial" w:cs="Arial" w:eastAsia="Arial" w:hAnsi="Arial"/>
                <w:sz w:val="18"/>
                <w:szCs w:val="18"/>
                <w:color w:val="auto"/>
              </w:rPr>
              <w:t>Signature</w:t>
            </w:r>
          </w:p>
        </w:tc>
        <w:tc>
          <w:tcPr>
            <w:tcW w:w="240" w:type="dxa"/>
            <w:vAlign w:val="bottom"/>
          </w:tcPr>
          <w:p>
            <w:pPr>
              <w:spacing w:after="0"/>
              <w:rPr>
                <w:sz w:val="20"/>
                <w:szCs w:val="20"/>
                <w:color w:val="auto"/>
              </w:rPr>
            </w:pPr>
          </w:p>
        </w:tc>
        <w:tc>
          <w:tcPr>
            <w:tcW w:w="4620" w:type="dxa"/>
            <w:vAlign w:val="bottom"/>
          </w:tcPr>
          <w:p>
            <w:pPr>
              <w:ind w:left="2140"/>
              <w:spacing w:after="0"/>
              <w:rPr>
                <w:sz w:val="20"/>
                <w:szCs w:val="20"/>
                <w:color w:val="auto"/>
              </w:rPr>
            </w:pPr>
            <w:r>
              <w:rPr>
                <w:rFonts w:ascii="Arial" w:cs="Arial" w:eastAsia="Arial" w:hAnsi="Arial"/>
                <w:sz w:val="18"/>
                <w:szCs w:val="18"/>
                <w:color w:val="auto"/>
              </w:rPr>
              <w:t>Title</w:t>
            </w:r>
          </w:p>
        </w:tc>
        <w:tc>
          <w:tcPr>
            <w:tcW w:w="240" w:type="dxa"/>
            <w:vAlign w:val="bottom"/>
          </w:tcPr>
          <w:p>
            <w:pPr>
              <w:spacing w:after="0"/>
              <w:rPr>
                <w:sz w:val="20"/>
                <w:szCs w:val="20"/>
                <w:color w:val="auto"/>
              </w:rPr>
            </w:pPr>
          </w:p>
        </w:tc>
        <w:tc>
          <w:tcPr>
            <w:tcW w:w="1980" w:type="dxa"/>
            <w:vAlign w:val="bottom"/>
          </w:tcPr>
          <w:p>
            <w:pPr>
              <w:jc w:val="right"/>
              <w:ind w:right="73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54"/>
        </w:trPr>
        <w:tc>
          <w:tcPr>
            <w:tcW w:w="35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462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1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453"/>
        </w:trPr>
        <w:tc>
          <w:tcPr>
            <w:tcW w:w="4340" w:type="dxa"/>
            <w:vAlign w:val="bottom"/>
            <w:gridSpan w:val="2"/>
          </w:tcPr>
          <w:p>
            <w:pPr>
              <w:spacing w:after="0"/>
              <w:rPr>
                <w:sz w:val="20"/>
                <w:szCs w:val="20"/>
                <w:color w:val="auto"/>
              </w:rPr>
            </w:pPr>
            <w:r>
              <w:rPr>
                <w:rFonts w:ascii="Arial" w:cs="Arial" w:eastAsia="Arial" w:hAnsi="Arial"/>
                <w:sz w:val="18"/>
                <w:szCs w:val="18"/>
                <w:color w:val="auto"/>
              </w:rPr>
              <w:t>/s/ Joseph P. Franklin</w:t>
            </w:r>
          </w:p>
        </w:tc>
        <w:tc>
          <w:tcPr>
            <w:tcW w:w="240" w:type="dxa"/>
            <w:vAlign w:val="bottom"/>
          </w:tcPr>
          <w:p>
            <w:pPr>
              <w:spacing w:after="0"/>
              <w:rPr>
                <w:sz w:val="24"/>
                <w:szCs w:val="24"/>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Chairman of the Board</w:t>
            </w:r>
          </w:p>
        </w:tc>
        <w:tc>
          <w:tcPr>
            <w:tcW w:w="2220" w:type="dxa"/>
            <w:vAlign w:val="bottom"/>
            <w:gridSpan w:val="2"/>
          </w:tcPr>
          <w:p>
            <w:pPr>
              <w:jc w:val="right"/>
              <w:ind w:right="1350"/>
              <w:spacing w:after="0"/>
              <w:rPr>
                <w:sz w:val="20"/>
                <w:szCs w:val="20"/>
                <w:color w:val="auto"/>
              </w:rPr>
            </w:pPr>
            <w:r>
              <w:rPr>
                <w:rFonts w:ascii="Arial" w:cs="Arial" w:eastAsia="Arial" w:hAnsi="Arial"/>
                <w:sz w:val="18"/>
                <w:szCs w:val="18"/>
                <w:color w:val="auto"/>
              </w:rPr>
              <w:t>7/27/07</w:t>
            </w:r>
          </w:p>
        </w:tc>
        <w:tc>
          <w:tcPr>
            <w:tcW w:w="0" w:type="dxa"/>
            <w:vAlign w:val="bottom"/>
          </w:tcPr>
          <w:p>
            <w:pPr>
              <w:spacing w:after="0"/>
              <w:rPr>
                <w:sz w:val="1"/>
                <w:szCs w:val="1"/>
                <w:color w:val="auto"/>
              </w:rPr>
            </w:pPr>
          </w:p>
        </w:tc>
      </w:tr>
      <w:tr>
        <w:trPr>
          <w:trHeight w:val="118"/>
        </w:trPr>
        <w:tc>
          <w:tcPr>
            <w:tcW w:w="3500" w:type="dxa"/>
            <w:vAlign w:val="bottom"/>
            <w:tcBorders>
              <w:bottom w:val="single" w:sz="8" w:color="808080"/>
            </w:tcBorders>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1"/>
        </w:trPr>
        <w:tc>
          <w:tcPr>
            <w:tcW w:w="4340" w:type="dxa"/>
            <w:vAlign w:val="bottom"/>
            <w:gridSpan w:val="2"/>
          </w:tcPr>
          <w:p>
            <w:pPr>
              <w:spacing w:after="0"/>
              <w:rPr>
                <w:sz w:val="20"/>
                <w:szCs w:val="20"/>
                <w:color w:val="auto"/>
              </w:rPr>
            </w:pPr>
            <w:r>
              <w:rPr>
                <w:rFonts w:ascii="Arial" w:cs="Arial" w:eastAsia="Arial" w:hAnsi="Arial"/>
                <w:sz w:val="18"/>
                <w:szCs w:val="18"/>
                <w:color w:val="auto"/>
              </w:rPr>
              <w:t>Joseph P. Franklin</w:t>
            </w:r>
          </w:p>
        </w:tc>
        <w:tc>
          <w:tcPr>
            <w:tcW w:w="2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340" w:type="dxa"/>
            <w:vAlign w:val="bottom"/>
            <w:gridSpan w:val="2"/>
          </w:tcPr>
          <w:p>
            <w:pPr>
              <w:spacing w:after="0"/>
              <w:rPr>
                <w:sz w:val="20"/>
                <w:szCs w:val="20"/>
                <w:color w:val="auto"/>
              </w:rPr>
            </w:pPr>
            <w:r>
              <w:rPr>
                <w:rFonts w:ascii="Arial" w:cs="Arial" w:eastAsia="Arial" w:hAnsi="Arial"/>
                <w:sz w:val="18"/>
                <w:szCs w:val="18"/>
                <w:color w:val="auto"/>
              </w:rPr>
              <w:t>/s/ Joel Girsky</w:t>
            </w:r>
          </w:p>
        </w:tc>
        <w:tc>
          <w:tcPr>
            <w:tcW w:w="240" w:type="dxa"/>
            <w:vAlign w:val="bottom"/>
          </w:tcPr>
          <w:p>
            <w:pPr>
              <w:spacing w:after="0"/>
              <w:rPr>
                <w:sz w:val="24"/>
                <w:szCs w:val="24"/>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Director</w:t>
            </w:r>
          </w:p>
        </w:tc>
        <w:tc>
          <w:tcPr>
            <w:tcW w:w="2220" w:type="dxa"/>
            <w:vAlign w:val="bottom"/>
            <w:gridSpan w:val="2"/>
          </w:tcPr>
          <w:p>
            <w:pPr>
              <w:jc w:val="right"/>
              <w:ind w:right="1350"/>
              <w:spacing w:after="0"/>
              <w:rPr>
                <w:sz w:val="20"/>
                <w:szCs w:val="20"/>
                <w:color w:val="auto"/>
              </w:rPr>
            </w:pPr>
            <w:r>
              <w:rPr>
                <w:rFonts w:ascii="Arial" w:cs="Arial" w:eastAsia="Arial" w:hAnsi="Arial"/>
                <w:sz w:val="18"/>
                <w:szCs w:val="18"/>
                <w:color w:val="auto"/>
              </w:rPr>
              <w:t>7/27/07</w:t>
            </w:r>
          </w:p>
        </w:tc>
        <w:tc>
          <w:tcPr>
            <w:tcW w:w="0" w:type="dxa"/>
            <w:vAlign w:val="bottom"/>
          </w:tcPr>
          <w:p>
            <w:pPr>
              <w:spacing w:after="0"/>
              <w:rPr>
                <w:sz w:val="1"/>
                <w:szCs w:val="1"/>
                <w:color w:val="auto"/>
              </w:rPr>
            </w:pPr>
          </w:p>
        </w:tc>
      </w:tr>
      <w:tr>
        <w:trPr>
          <w:trHeight w:val="118"/>
        </w:trPr>
        <w:tc>
          <w:tcPr>
            <w:tcW w:w="3500" w:type="dxa"/>
            <w:vAlign w:val="bottom"/>
            <w:tcBorders>
              <w:bottom w:val="single" w:sz="8" w:color="808080"/>
            </w:tcBorders>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1"/>
        </w:trPr>
        <w:tc>
          <w:tcPr>
            <w:tcW w:w="4340" w:type="dxa"/>
            <w:vAlign w:val="bottom"/>
            <w:gridSpan w:val="2"/>
          </w:tcPr>
          <w:p>
            <w:pPr>
              <w:spacing w:after="0"/>
              <w:rPr>
                <w:sz w:val="20"/>
                <w:szCs w:val="20"/>
                <w:color w:val="auto"/>
              </w:rPr>
            </w:pPr>
            <w:r>
              <w:rPr>
                <w:rFonts w:ascii="Arial" w:cs="Arial" w:eastAsia="Arial" w:hAnsi="Arial"/>
                <w:sz w:val="18"/>
                <w:szCs w:val="18"/>
                <w:color w:val="auto"/>
              </w:rPr>
              <w:t>Joel Girsky</w:t>
            </w:r>
          </w:p>
        </w:tc>
        <w:tc>
          <w:tcPr>
            <w:tcW w:w="2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340" w:type="dxa"/>
            <w:vAlign w:val="bottom"/>
            <w:gridSpan w:val="2"/>
          </w:tcPr>
          <w:p>
            <w:pPr>
              <w:spacing w:after="0"/>
              <w:rPr>
                <w:sz w:val="20"/>
                <w:szCs w:val="20"/>
                <w:color w:val="auto"/>
              </w:rPr>
            </w:pPr>
            <w:r>
              <w:rPr>
                <w:rFonts w:ascii="Arial" w:cs="Arial" w:eastAsia="Arial" w:hAnsi="Arial"/>
                <w:sz w:val="18"/>
                <w:szCs w:val="18"/>
                <w:color w:val="auto"/>
              </w:rPr>
              <w:t>/s/ E. Donald Shapiro</w:t>
            </w:r>
          </w:p>
        </w:tc>
        <w:tc>
          <w:tcPr>
            <w:tcW w:w="240" w:type="dxa"/>
            <w:vAlign w:val="bottom"/>
          </w:tcPr>
          <w:p>
            <w:pPr>
              <w:spacing w:after="0"/>
              <w:rPr>
                <w:sz w:val="24"/>
                <w:szCs w:val="24"/>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Director</w:t>
            </w:r>
          </w:p>
        </w:tc>
        <w:tc>
          <w:tcPr>
            <w:tcW w:w="2220" w:type="dxa"/>
            <w:vAlign w:val="bottom"/>
            <w:gridSpan w:val="2"/>
          </w:tcPr>
          <w:p>
            <w:pPr>
              <w:jc w:val="right"/>
              <w:ind w:right="1350"/>
              <w:spacing w:after="0"/>
              <w:rPr>
                <w:sz w:val="20"/>
                <w:szCs w:val="20"/>
                <w:color w:val="auto"/>
              </w:rPr>
            </w:pPr>
            <w:r>
              <w:rPr>
                <w:rFonts w:ascii="Arial" w:cs="Arial" w:eastAsia="Arial" w:hAnsi="Arial"/>
                <w:sz w:val="18"/>
                <w:szCs w:val="18"/>
                <w:color w:val="auto"/>
              </w:rPr>
              <w:t>7/27/07</w:t>
            </w:r>
          </w:p>
        </w:tc>
        <w:tc>
          <w:tcPr>
            <w:tcW w:w="0" w:type="dxa"/>
            <w:vAlign w:val="bottom"/>
          </w:tcPr>
          <w:p>
            <w:pPr>
              <w:spacing w:after="0"/>
              <w:rPr>
                <w:sz w:val="1"/>
                <w:szCs w:val="1"/>
                <w:color w:val="auto"/>
              </w:rPr>
            </w:pPr>
          </w:p>
        </w:tc>
      </w:tr>
      <w:tr>
        <w:trPr>
          <w:trHeight w:val="118"/>
        </w:trPr>
        <w:tc>
          <w:tcPr>
            <w:tcW w:w="3500" w:type="dxa"/>
            <w:vAlign w:val="bottom"/>
            <w:tcBorders>
              <w:bottom w:val="single" w:sz="8" w:color="808080"/>
            </w:tcBorders>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1"/>
        </w:trPr>
        <w:tc>
          <w:tcPr>
            <w:tcW w:w="4340" w:type="dxa"/>
            <w:vAlign w:val="bottom"/>
            <w:gridSpan w:val="2"/>
          </w:tcPr>
          <w:p>
            <w:pPr>
              <w:spacing w:after="0"/>
              <w:rPr>
                <w:sz w:val="20"/>
                <w:szCs w:val="20"/>
                <w:color w:val="auto"/>
              </w:rPr>
            </w:pPr>
            <w:r>
              <w:rPr>
                <w:rFonts w:ascii="Arial" w:cs="Arial" w:eastAsia="Arial" w:hAnsi="Arial"/>
                <w:sz w:val="18"/>
                <w:szCs w:val="18"/>
                <w:color w:val="auto"/>
              </w:rPr>
              <w:t>E. Donald Shapiro</w:t>
            </w:r>
          </w:p>
        </w:tc>
        <w:tc>
          <w:tcPr>
            <w:tcW w:w="2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340" w:type="dxa"/>
            <w:vAlign w:val="bottom"/>
            <w:gridSpan w:val="2"/>
          </w:tcPr>
          <w:p>
            <w:pPr>
              <w:spacing w:after="0"/>
              <w:rPr>
                <w:sz w:val="20"/>
                <w:szCs w:val="20"/>
                <w:color w:val="auto"/>
              </w:rPr>
            </w:pPr>
            <w:r>
              <w:rPr>
                <w:rFonts w:ascii="Arial" w:cs="Arial" w:eastAsia="Arial" w:hAnsi="Arial"/>
                <w:sz w:val="18"/>
                <w:szCs w:val="18"/>
                <w:color w:val="auto"/>
              </w:rPr>
              <w:t>/s/ S. Robert Foley</w:t>
            </w:r>
          </w:p>
        </w:tc>
        <w:tc>
          <w:tcPr>
            <w:tcW w:w="240" w:type="dxa"/>
            <w:vAlign w:val="bottom"/>
          </w:tcPr>
          <w:p>
            <w:pPr>
              <w:spacing w:after="0"/>
              <w:rPr>
                <w:sz w:val="24"/>
                <w:szCs w:val="24"/>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Director</w:t>
            </w:r>
          </w:p>
        </w:tc>
        <w:tc>
          <w:tcPr>
            <w:tcW w:w="2220" w:type="dxa"/>
            <w:vAlign w:val="bottom"/>
            <w:gridSpan w:val="2"/>
          </w:tcPr>
          <w:p>
            <w:pPr>
              <w:jc w:val="right"/>
              <w:ind w:right="1350"/>
              <w:spacing w:after="0"/>
              <w:rPr>
                <w:sz w:val="20"/>
                <w:szCs w:val="20"/>
                <w:color w:val="auto"/>
              </w:rPr>
            </w:pPr>
            <w:r>
              <w:rPr>
                <w:rFonts w:ascii="Arial" w:cs="Arial" w:eastAsia="Arial" w:hAnsi="Arial"/>
                <w:sz w:val="18"/>
                <w:szCs w:val="18"/>
                <w:color w:val="auto"/>
              </w:rPr>
              <w:t>7/27/07</w:t>
            </w:r>
          </w:p>
        </w:tc>
        <w:tc>
          <w:tcPr>
            <w:tcW w:w="0" w:type="dxa"/>
            <w:vAlign w:val="bottom"/>
          </w:tcPr>
          <w:p>
            <w:pPr>
              <w:spacing w:after="0"/>
              <w:rPr>
                <w:sz w:val="1"/>
                <w:szCs w:val="1"/>
                <w:color w:val="auto"/>
              </w:rPr>
            </w:pPr>
          </w:p>
        </w:tc>
      </w:tr>
      <w:tr>
        <w:trPr>
          <w:trHeight w:val="118"/>
        </w:trPr>
        <w:tc>
          <w:tcPr>
            <w:tcW w:w="3500" w:type="dxa"/>
            <w:vAlign w:val="bottom"/>
            <w:tcBorders>
              <w:bottom w:val="single" w:sz="8" w:color="808080"/>
            </w:tcBorders>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1"/>
        </w:trPr>
        <w:tc>
          <w:tcPr>
            <w:tcW w:w="4340" w:type="dxa"/>
            <w:vAlign w:val="bottom"/>
            <w:gridSpan w:val="2"/>
          </w:tcPr>
          <w:p>
            <w:pPr>
              <w:spacing w:after="0"/>
              <w:rPr>
                <w:sz w:val="20"/>
                <w:szCs w:val="20"/>
                <w:color w:val="auto"/>
              </w:rPr>
            </w:pPr>
            <w:r>
              <w:rPr>
                <w:rFonts w:ascii="Arial" w:cs="Arial" w:eastAsia="Arial" w:hAnsi="Arial"/>
                <w:sz w:val="18"/>
                <w:szCs w:val="18"/>
                <w:color w:val="auto"/>
              </w:rPr>
              <w:t>S. Robert Foley</w:t>
            </w:r>
          </w:p>
        </w:tc>
        <w:tc>
          <w:tcPr>
            <w:tcW w:w="2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340" w:type="dxa"/>
            <w:vAlign w:val="bottom"/>
            <w:gridSpan w:val="2"/>
          </w:tcPr>
          <w:p>
            <w:pPr>
              <w:spacing w:after="0"/>
              <w:rPr>
                <w:sz w:val="20"/>
                <w:szCs w:val="20"/>
                <w:color w:val="auto"/>
              </w:rPr>
            </w:pPr>
            <w:r>
              <w:rPr>
                <w:rFonts w:ascii="Arial" w:cs="Arial" w:eastAsia="Arial" w:hAnsi="Arial"/>
                <w:sz w:val="18"/>
                <w:szCs w:val="18"/>
                <w:color w:val="auto"/>
              </w:rPr>
              <w:t>/s/ Richard Schwartz</w:t>
            </w:r>
          </w:p>
        </w:tc>
        <w:tc>
          <w:tcPr>
            <w:tcW w:w="240" w:type="dxa"/>
            <w:vAlign w:val="bottom"/>
          </w:tcPr>
          <w:p>
            <w:pPr>
              <w:spacing w:after="0"/>
              <w:rPr>
                <w:sz w:val="24"/>
                <w:szCs w:val="24"/>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Director</w:t>
            </w:r>
          </w:p>
        </w:tc>
        <w:tc>
          <w:tcPr>
            <w:tcW w:w="2220" w:type="dxa"/>
            <w:vAlign w:val="bottom"/>
            <w:gridSpan w:val="2"/>
          </w:tcPr>
          <w:p>
            <w:pPr>
              <w:jc w:val="right"/>
              <w:ind w:right="1350"/>
              <w:spacing w:after="0"/>
              <w:rPr>
                <w:sz w:val="20"/>
                <w:szCs w:val="20"/>
                <w:color w:val="auto"/>
              </w:rPr>
            </w:pPr>
            <w:r>
              <w:rPr>
                <w:rFonts w:ascii="Arial" w:cs="Arial" w:eastAsia="Arial" w:hAnsi="Arial"/>
                <w:sz w:val="18"/>
                <w:szCs w:val="18"/>
                <w:color w:val="auto"/>
              </w:rPr>
              <w:t>7/27/07</w:t>
            </w:r>
          </w:p>
        </w:tc>
        <w:tc>
          <w:tcPr>
            <w:tcW w:w="0" w:type="dxa"/>
            <w:vAlign w:val="bottom"/>
          </w:tcPr>
          <w:p>
            <w:pPr>
              <w:spacing w:after="0"/>
              <w:rPr>
                <w:sz w:val="1"/>
                <w:szCs w:val="1"/>
                <w:color w:val="auto"/>
              </w:rPr>
            </w:pPr>
          </w:p>
        </w:tc>
      </w:tr>
      <w:tr>
        <w:trPr>
          <w:trHeight w:val="118"/>
        </w:trPr>
        <w:tc>
          <w:tcPr>
            <w:tcW w:w="3500" w:type="dxa"/>
            <w:vAlign w:val="bottom"/>
            <w:tcBorders>
              <w:bottom w:val="single" w:sz="8" w:color="808080"/>
            </w:tcBorders>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6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21"/>
        </w:trPr>
        <w:tc>
          <w:tcPr>
            <w:tcW w:w="4340" w:type="dxa"/>
            <w:vAlign w:val="bottom"/>
            <w:gridSpan w:val="2"/>
          </w:tcPr>
          <w:p>
            <w:pPr>
              <w:spacing w:after="0"/>
              <w:rPr>
                <w:sz w:val="20"/>
                <w:szCs w:val="20"/>
                <w:color w:val="auto"/>
              </w:rPr>
            </w:pPr>
            <w:r>
              <w:rPr>
                <w:rFonts w:ascii="Arial" w:cs="Arial" w:eastAsia="Arial" w:hAnsi="Arial"/>
                <w:sz w:val="18"/>
                <w:szCs w:val="18"/>
                <w:color w:val="auto"/>
              </w:rPr>
              <w:t>Richard Schwartz</w:t>
            </w:r>
          </w:p>
        </w:tc>
        <w:tc>
          <w:tcPr>
            <w:tcW w:w="240" w:type="dxa"/>
            <w:vAlign w:val="bottom"/>
          </w:tcPr>
          <w:p>
            <w:pPr>
              <w:spacing w:after="0"/>
              <w:rPr>
                <w:sz w:val="24"/>
                <w:szCs w:val="24"/>
                <w:color w:val="auto"/>
              </w:rPr>
            </w:pPr>
          </w:p>
        </w:tc>
        <w:tc>
          <w:tcPr>
            <w:tcW w:w="4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340" w:type="dxa"/>
            <w:vAlign w:val="bottom"/>
            <w:gridSpan w:val="2"/>
          </w:tcPr>
          <w:p>
            <w:pPr>
              <w:spacing w:after="0"/>
              <w:rPr>
                <w:sz w:val="20"/>
                <w:szCs w:val="20"/>
                <w:color w:val="auto"/>
              </w:rPr>
            </w:pPr>
            <w:r>
              <w:rPr>
                <w:rFonts w:ascii="Arial" w:cs="Arial" w:eastAsia="Arial" w:hAnsi="Arial"/>
                <w:sz w:val="18"/>
                <w:szCs w:val="18"/>
                <w:color w:val="auto"/>
              </w:rPr>
              <w:t>/s/ Martin B. Bloch</w:t>
            </w:r>
          </w:p>
        </w:tc>
        <w:tc>
          <w:tcPr>
            <w:tcW w:w="240" w:type="dxa"/>
            <w:vAlign w:val="bottom"/>
          </w:tcPr>
          <w:p>
            <w:pPr>
              <w:spacing w:after="0"/>
              <w:rPr>
                <w:sz w:val="24"/>
                <w:szCs w:val="24"/>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President and CEO</w:t>
            </w:r>
          </w:p>
        </w:tc>
        <w:tc>
          <w:tcPr>
            <w:tcW w:w="2220" w:type="dxa"/>
            <w:vAlign w:val="bottom"/>
            <w:gridSpan w:val="2"/>
          </w:tcPr>
          <w:p>
            <w:pPr>
              <w:jc w:val="right"/>
              <w:ind w:right="1350"/>
              <w:spacing w:after="0"/>
              <w:rPr>
                <w:sz w:val="20"/>
                <w:szCs w:val="20"/>
                <w:color w:val="auto"/>
              </w:rPr>
            </w:pPr>
            <w:r>
              <w:rPr>
                <w:rFonts w:ascii="Arial" w:cs="Arial" w:eastAsia="Arial" w:hAnsi="Arial"/>
                <w:sz w:val="18"/>
                <w:szCs w:val="18"/>
                <w:color w:val="auto"/>
              </w:rPr>
              <w:t>7/27/07</w:t>
            </w:r>
          </w:p>
        </w:tc>
        <w:tc>
          <w:tcPr>
            <w:tcW w:w="0" w:type="dxa"/>
            <w:vAlign w:val="bottom"/>
          </w:tcPr>
          <w:p>
            <w:pPr>
              <w:spacing w:after="0"/>
              <w:rPr>
                <w:sz w:val="1"/>
                <w:szCs w:val="1"/>
                <w:color w:val="auto"/>
              </w:rPr>
            </w:pPr>
          </w:p>
        </w:tc>
      </w:tr>
      <w:tr>
        <w:trPr>
          <w:trHeight w:val="133"/>
        </w:trPr>
        <w:tc>
          <w:tcPr>
            <w:tcW w:w="3500" w:type="dxa"/>
            <w:vAlign w:val="bottom"/>
            <w:tcBorders>
              <w:bottom w:val="single" w:sz="8" w:color="808080"/>
            </w:tcBorders>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20" w:type="dxa"/>
            <w:vAlign w:val="bottom"/>
            <w:vMerge w:val="restart"/>
          </w:tcPr>
          <w:p>
            <w:pPr>
              <w:spacing w:after="0"/>
              <w:rPr>
                <w:sz w:val="20"/>
                <w:szCs w:val="20"/>
                <w:color w:val="auto"/>
              </w:rPr>
            </w:pPr>
            <w:r>
              <w:rPr>
                <w:rFonts w:ascii="Arial" w:cs="Arial" w:eastAsia="Arial" w:hAnsi="Arial"/>
                <w:sz w:val="18"/>
                <w:szCs w:val="18"/>
                <w:color w:val="auto"/>
              </w:rPr>
              <w:t>(Principal Executive Officer)</w:t>
            </w:r>
          </w:p>
        </w:tc>
        <w:tc>
          <w:tcPr>
            <w:tcW w:w="2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4340" w:type="dxa"/>
            <w:vAlign w:val="bottom"/>
            <w:gridSpan w:val="2"/>
            <w:vMerge w:val="restart"/>
          </w:tcPr>
          <w:p>
            <w:pPr>
              <w:spacing w:after="0"/>
              <w:rPr>
                <w:sz w:val="20"/>
                <w:szCs w:val="20"/>
                <w:color w:val="auto"/>
              </w:rPr>
            </w:pPr>
            <w:r>
              <w:rPr>
                <w:rFonts w:ascii="Arial" w:cs="Arial" w:eastAsia="Arial" w:hAnsi="Arial"/>
                <w:sz w:val="18"/>
                <w:szCs w:val="18"/>
                <w:color w:val="auto"/>
              </w:rPr>
              <w:t>Martin B. Bloch</w:t>
            </w:r>
          </w:p>
        </w:tc>
        <w:tc>
          <w:tcPr>
            <w:tcW w:w="240" w:type="dxa"/>
            <w:vAlign w:val="bottom"/>
          </w:tcPr>
          <w:p>
            <w:pPr>
              <w:spacing w:after="0"/>
              <w:rPr>
                <w:sz w:val="6"/>
                <w:szCs w:val="6"/>
                <w:color w:val="auto"/>
              </w:rPr>
            </w:pPr>
          </w:p>
        </w:tc>
        <w:tc>
          <w:tcPr>
            <w:tcW w:w="46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19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434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46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5"/>
        </w:trPr>
        <w:tc>
          <w:tcPr>
            <w:tcW w:w="4340" w:type="dxa"/>
            <w:vAlign w:val="bottom"/>
            <w:gridSpan w:val="2"/>
          </w:tcPr>
          <w:p>
            <w:pPr>
              <w:spacing w:after="0"/>
              <w:rPr>
                <w:sz w:val="20"/>
                <w:szCs w:val="20"/>
                <w:color w:val="auto"/>
              </w:rPr>
            </w:pPr>
            <w:r>
              <w:rPr>
                <w:rFonts w:ascii="Arial" w:cs="Arial" w:eastAsia="Arial" w:hAnsi="Arial"/>
                <w:sz w:val="18"/>
                <w:szCs w:val="18"/>
                <w:color w:val="auto"/>
              </w:rPr>
              <w:t>/s/ Alan L. Miller</w:t>
            </w:r>
          </w:p>
        </w:tc>
        <w:tc>
          <w:tcPr>
            <w:tcW w:w="240" w:type="dxa"/>
            <w:vAlign w:val="bottom"/>
          </w:tcPr>
          <w:p>
            <w:pPr>
              <w:spacing w:after="0"/>
              <w:rPr>
                <w:sz w:val="24"/>
                <w:szCs w:val="24"/>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2220" w:type="dxa"/>
            <w:vAlign w:val="bottom"/>
            <w:gridSpan w:val="2"/>
          </w:tcPr>
          <w:p>
            <w:pPr>
              <w:jc w:val="right"/>
              <w:ind w:right="1350"/>
              <w:spacing w:after="0"/>
              <w:rPr>
                <w:sz w:val="20"/>
                <w:szCs w:val="20"/>
                <w:color w:val="auto"/>
              </w:rPr>
            </w:pPr>
            <w:r>
              <w:rPr>
                <w:rFonts w:ascii="Arial" w:cs="Arial" w:eastAsia="Arial" w:hAnsi="Arial"/>
                <w:sz w:val="18"/>
                <w:szCs w:val="18"/>
                <w:color w:val="auto"/>
              </w:rPr>
              <w:t>7/27/07</w:t>
            </w:r>
          </w:p>
        </w:tc>
        <w:tc>
          <w:tcPr>
            <w:tcW w:w="0" w:type="dxa"/>
            <w:vAlign w:val="bottom"/>
          </w:tcPr>
          <w:p>
            <w:pPr>
              <w:spacing w:after="0"/>
              <w:rPr>
                <w:sz w:val="1"/>
                <w:szCs w:val="1"/>
                <w:color w:val="auto"/>
              </w:rPr>
            </w:pPr>
          </w:p>
        </w:tc>
      </w:tr>
      <w:tr>
        <w:trPr>
          <w:trHeight w:val="133"/>
        </w:trPr>
        <w:tc>
          <w:tcPr>
            <w:tcW w:w="3500" w:type="dxa"/>
            <w:vAlign w:val="bottom"/>
            <w:tcBorders>
              <w:bottom w:val="single" w:sz="8" w:color="808080"/>
            </w:tcBorders>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20" w:type="dxa"/>
            <w:vAlign w:val="bottom"/>
            <w:vMerge w:val="restart"/>
          </w:tcPr>
          <w:p>
            <w:pPr>
              <w:spacing w:after="0"/>
              <w:rPr>
                <w:sz w:val="20"/>
                <w:szCs w:val="20"/>
                <w:color w:val="auto"/>
              </w:rPr>
            </w:pPr>
            <w:r>
              <w:rPr>
                <w:rFonts w:ascii="Arial" w:cs="Arial" w:eastAsia="Arial" w:hAnsi="Arial"/>
                <w:sz w:val="18"/>
                <w:szCs w:val="18"/>
                <w:color w:val="auto"/>
              </w:rPr>
              <w:t>and Treasurer</w:t>
            </w:r>
          </w:p>
        </w:tc>
        <w:tc>
          <w:tcPr>
            <w:tcW w:w="24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35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340" w:type="dxa"/>
            <w:vAlign w:val="bottom"/>
            <w:gridSpan w:val="2"/>
          </w:tcPr>
          <w:p>
            <w:pPr>
              <w:spacing w:after="0"/>
              <w:rPr>
                <w:sz w:val="20"/>
                <w:szCs w:val="20"/>
                <w:color w:val="auto"/>
              </w:rPr>
            </w:pPr>
            <w:r>
              <w:rPr>
                <w:rFonts w:ascii="Arial" w:cs="Arial" w:eastAsia="Arial" w:hAnsi="Arial"/>
                <w:sz w:val="18"/>
                <w:szCs w:val="18"/>
                <w:color w:val="auto"/>
              </w:rPr>
              <w:t>Alan L. Miller</w:t>
            </w:r>
          </w:p>
        </w:tc>
        <w:tc>
          <w:tcPr>
            <w:tcW w:w="240" w:type="dxa"/>
            <w:vAlign w:val="bottom"/>
          </w:tcPr>
          <w:p>
            <w:pPr>
              <w:spacing w:after="0"/>
              <w:rPr>
                <w:sz w:val="22"/>
                <w:szCs w:val="22"/>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(Principal Financial Officer)</w:t>
            </w:r>
          </w:p>
        </w:tc>
        <w:tc>
          <w:tcPr>
            <w:tcW w:w="240" w:type="dxa"/>
            <w:vAlign w:val="bottom"/>
          </w:tcPr>
          <w:p>
            <w:pPr>
              <w:spacing w:after="0"/>
              <w:rPr>
                <w:sz w:val="22"/>
                <w:szCs w:val="22"/>
                <w:color w:val="auto"/>
              </w:rPr>
            </w:pPr>
          </w:p>
        </w:tc>
        <w:tc>
          <w:tcPr>
            <w:tcW w:w="1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6"/>
        </w:trPr>
        <w:tc>
          <w:tcPr>
            <w:tcW w:w="3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60" w:type="dxa"/>
            <w:vAlign w:val="bottom"/>
            <w:gridSpan w:val="2"/>
          </w:tcPr>
          <w:p>
            <w:pPr>
              <w:jc w:val="right"/>
              <w:ind w:right="3310"/>
              <w:spacing w:after="0"/>
              <w:rPr>
                <w:sz w:val="20"/>
                <w:szCs w:val="20"/>
                <w:color w:val="auto"/>
              </w:rPr>
            </w:pPr>
            <w:r>
              <w:rPr>
                <w:rFonts w:ascii="Arial" w:cs="Arial" w:eastAsia="Arial" w:hAnsi="Arial"/>
                <w:sz w:val="18"/>
                <w:szCs w:val="18"/>
                <w:color w:val="auto"/>
              </w:rPr>
              <w:t>58</w:t>
            </w:r>
          </w:p>
        </w:tc>
        <w:tc>
          <w:tcPr>
            <w:tcW w:w="2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350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62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98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2215515</wp:posOffset>
            </wp:positionH>
            <wp:positionV relativeFrom="paragraph">
              <wp:posOffset>-4113530</wp:posOffset>
            </wp:positionV>
            <wp:extent cx="127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-4113530</wp:posOffset>
            </wp:positionV>
            <wp:extent cx="127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2215515</wp:posOffset>
            </wp:positionH>
            <wp:positionV relativeFrom="paragraph">
              <wp:posOffset>-3530600</wp:posOffset>
            </wp:positionV>
            <wp:extent cx="127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-3530600</wp:posOffset>
            </wp:positionV>
            <wp:extent cx="127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2215515</wp:posOffset>
            </wp:positionH>
            <wp:positionV relativeFrom="paragraph">
              <wp:posOffset>-2947035</wp:posOffset>
            </wp:positionV>
            <wp:extent cx="127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-2947035</wp:posOffset>
            </wp:positionV>
            <wp:extent cx="127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2215515</wp:posOffset>
            </wp:positionH>
            <wp:positionV relativeFrom="paragraph">
              <wp:posOffset>-2364105</wp:posOffset>
            </wp:positionV>
            <wp:extent cx="127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-2364105</wp:posOffset>
            </wp:positionV>
            <wp:extent cx="127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2215515</wp:posOffset>
            </wp:positionH>
            <wp:positionV relativeFrom="paragraph">
              <wp:posOffset>-1781175</wp:posOffset>
            </wp:positionV>
            <wp:extent cx="127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-1781175</wp:posOffset>
            </wp:positionV>
            <wp:extent cx="127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2215515</wp:posOffset>
            </wp:positionH>
            <wp:positionV relativeFrom="paragraph">
              <wp:posOffset>-1197610</wp:posOffset>
            </wp:positionV>
            <wp:extent cx="127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-1197610</wp:posOffset>
            </wp:positionV>
            <wp:extent cx="1270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2215515</wp:posOffset>
            </wp:positionH>
            <wp:positionV relativeFrom="paragraph">
              <wp:posOffset>-614680</wp:posOffset>
            </wp:positionV>
            <wp:extent cx="1270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-614680</wp:posOffset>
            </wp:positionV>
            <wp:extent cx="127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60" w:name="page61"/>
    <w:bookmarkEnd w:id="60"/>
    <w:p>
      <w:pPr>
        <w:jc w:val="center"/>
        <w:spacing w:after="0"/>
        <w:rPr>
          <w:sz w:val="20"/>
          <w:szCs w:val="20"/>
          <w:color w:val="auto"/>
        </w:rPr>
      </w:pPr>
      <w:r>
        <w:rPr>
          <w:rFonts w:ascii="Arial" w:cs="Arial" w:eastAsia="Arial" w:hAnsi="Arial"/>
          <w:sz w:val="18"/>
          <w:szCs w:val="18"/>
          <w:color w:val="auto"/>
        </w:rPr>
        <w:t>INDEX TO EXHIBITS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ITEM 15(a)(3)</w:t>
      </w:r>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Certain of the following exhibits were filed with the Securities and Exchange Commission as exhibits, numbered as indicated below, to the Registration Statement or report specified below, which exhibits are incorporated herein by reference: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60" w:type="dxa"/>
            <w:vAlign w:val="bottom"/>
          </w:tcPr>
          <w:p>
            <w:pPr>
              <w:ind w:left="60"/>
              <w:spacing w:after="0"/>
              <w:rPr>
                <w:sz w:val="20"/>
                <w:szCs w:val="20"/>
                <w:color w:val="auto"/>
              </w:rPr>
            </w:pPr>
            <w:r>
              <w:rPr>
                <w:rFonts w:ascii="Arial" w:cs="Arial" w:eastAsia="Arial" w:hAnsi="Arial"/>
                <w:sz w:val="18"/>
                <w:szCs w:val="18"/>
                <w:color w:val="auto"/>
                <w:w w:val="95"/>
              </w:rPr>
              <w:t>Exhibit No. in this Form</w:t>
            </w:r>
          </w:p>
        </w:tc>
        <w:tc>
          <w:tcPr>
            <w:tcW w:w="220" w:type="dxa"/>
            <w:vAlign w:val="bottom"/>
          </w:tcPr>
          <w:p>
            <w:pPr>
              <w:spacing w:after="0"/>
              <w:rPr>
                <w:sz w:val="18"/>
                <w:szCs w:val="18"/>
                <w:color w:val="auto"/>
              </w:rPr>
            </w:pPr>
          </w:p>
        </w:tc>
        <w:tc>
          <w:tcPr>
            <w:tcW w:w="7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0"/>
        </w:trPr>
        <w:tc>
          <w:tcPr>
            <w:tcW w:w="186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10-K</w:t>
            </w:r>
          </w:p>
        </w:tc>
        <w:tc>
          <w:tcPr>
            <w:tcW w:w="220" w:type="dxa"/>
            <w:vAlign w:val="bottom"/>
          </w:tcPr>
          <w:p>
            <w:pPr>
              <w:spacing w:after="0"/>
              <w:rPr>
                <w:sz w:val="20"/>
                <w:szCs w:val="20"/>
                <w:color w:val="auto"/>
              </w:rPr>
            </w:pPr>
          </w:p>
        </w:tc>
        <w:tc>
          <w:tcPr>
            <w:tcW w:w="7480" w:type="dxa"/>
            <w:vAlign w:val="bottom"/>
            <w:tcBorders>
              <w:bottom w:val="single" w:sz="8" w:color="auto"/>
            </w:tcBorders>
          </w:tcPr>
          <w:p>
            <w:pPr>
              <w:jc w:val="right"/>
              <w:ind w:right="2830"/>
              <w:spacing w:after="0"/>
              <w:rPr>
                <w:sz w:val="20"/>
                <w:szCs w:val="20"/>
                <w:color w:val="auto"/>
              </w:rPr>
            </w:pPr>
            <w:r>
              <w:rPr>
                <w:rFonts w:ascii="Arial" w:cs="Arial" w:eastAsia="Arial" w:hAnsi="Arial"/>
                <w:sz w:val="18"/>
                <w:szCs w:val="18"/>
                <w:color w:val="auto"/>
              </w:rPr>
              <w:t>Description of Exhibit</w:t>
            </w:r>
          </w:p>
        </w:tc>
        <w:tc>
          <w:tcPr>
            <w:tcW w:w="240" w:type="dxa"/>
            <w:vAlign w:val="bottom"/>
          </w:tcPr>
          <w:p>
            <w:pPr>
              <w:spacing w:after="0"/>
              <w:rPr>
                <w:sz w:val="20"/>
                <w:szCs w:val="20"/>
                <w:color w:val="auto"/>
              </w:rPr>
            </w:pPr>
          </w:p>
        </w:tc>
        <w:tc>
          <w:tcPr>
            <w:tcW w:w="162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NOTE</w:t>
            </w:r>
          </w:p>
        </w:tc>
      </w:tr>
      <w:tr>
        <w:trPr>
          <w:trHeight w:val="453"/>
        </w:trPr>
        <w:tc>
          <w:tcPr>
            <w:tcW w:w="1860" w:type="dxa"/>
            <w:vAlign w:val="bottom"/>
          </w:tcPr>
          <w:p>
            <w:pPr>
              <w:spacing w:after="0"/>
              <w:rPr>
                <w:sz w:val="20"/>
                <w:szCs w:val="20"/>
                <w:color w:val="auto"/>
              </w:rPr>
            </w:pPr>
            <w:r>
              <w:rPr>
                <w:rFonts w:ascii="Arial" w:cs="Arial" w:eastAsia="Arial" w:hAnsi="Arial"/>
                <w:sz w:val="18"/>
                <w:szCs w:val="18"/>
                <w:color w:val="auto"/>
              </w:rPr>
              <w:t>3.1</w:t>
            </w:r>
          </w:p>
        </w:tc>
        <w:tc>
          <w:tcPr>
            <w:tcW w:w="7700" w:type="dxa"/>
            <w:vAlign w:val="bottom"/>
            <w:gridSpan w:val="2"/>
          </w:tcPr>
          <w:p>
            <w:pPr>
              <w:ind w:left="220"/>
              <w:spacing w:after="0"/>
              <w:rPr>
                <w:sz w:val="20"/>
                <w:szCs w:val="20"/>
                <w:color w:val="auto"/>
              </w:rPr>
            </w:pPr>
            <w:r>
              <w:rPr>
                <w:rFonts w:ascii="Arial" w:cs="Arial" w:eastAsia="Arial" w:hAnsi="Arial"/>
                <w:sz w:val="18"/>
                <w:szCs w:val="18"/>
                <w:color w:val="auto"/>
                <w:w w:val="96"/>
              </w:rPr>
              <w:t>Copy of Certificate of Incorporation of the Registrant filed with the Secretary of State of Delaware</w:t>
            </w:r>
          </w:p>
        </w:tc>
        <w:tc>
          <w:tcPr>
            <w:tcW w:w="186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(1)</w:t>
            </w:r>
          </w:p>
        </w:tc>
      </w:tr>
      <w:tr>
        <w:trPr>
          <w:trHeight w:val="472"/>
        </w:trPr>
        <w:tc>
          <w:tcPr>
            <w:tcW w:w="1860" w:type="dxa"/>
            <w:vAlign w:val="bottom"/>
          </w:tcPr>
          <w:p>
            <w:pPr>
              <w:spacing w:after="0"/>
              <w:rPr>
                <w:sz w:val="20"/>
                <w:szCs w:val="20"/>
                <w:color w:val="auto"/>
              </w:rPr>
            </w:pPr>
            <w:r>
              <w:rPr>
                <w:rFonts w:ascii="Arial" w:cs="Arial" w:eastAsia="Arial" w:hAnsi="Arial"/>
                <w:sz w:val="18"/>
                <w:szCs w:val="18"/>
                <w:color w:val="auto"/>
              </w:rPr>
              <w:t>3.2</w:t>
            </w:r>
          </w:p>
        </w:tc>
        <w:tc>
          <w:tcPr>
            <w:tcW w:w="7700" w:type="dxa"/>
            <w:vAlign w:val="bottom"/>
            <w:gridSpan w:val="2"/>
          </w:tcPr>
          <w:p>
            <w:pPr>
              <w:ind w:left="220"/>
              <w:spacing w:after="0"/>
              <w:rPr>
                <w:sz w:val="20"/>
                <w:szCs w:val="20"/>
                <w:color w:val="auto"/>
              </w:rPr>
            </w:pPr>
            <w:r>
              <w:rPr>
                <w:rFonts w:ascii="Arial" w:cs="Arial" w:eastAsia="Arial" w:hAnsi="Arial"/>
                <w:sz w:val="18"/>
                <w:szCs w:val="18"/>
                <w:color w:val="auto"/>
              </w:rPr>
              <w:t>Amendment to Certificate of Incorporation of the Registrant filed with the Secretary of State of</w:t>
            </w: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30"/>
        </w:trPr>
        <w:tc>
          <w:tcPr>
            <w:tcW w:w="1860" w:type="dxa"/>
            <w:vAlign w:val="bottom"/>
          </w:tcPr>
          <w:p>
            <w:pPr>
              <w:spacing w:after="0"/>
              <w:rPr>
                <w:sz w:val="20"/>
                <w:szCs w:val="20"/>
                <w:color w:val="auto"/>
              </w:rPr>
            </w:pPr>
          </w:p>
        </w:tc>
        <w:tc>
          <w:tcPr>
            <w:tcW w:w="7700" w:type="dxa"/>
            <w:vAlign w:val="bottom"/>
            <w:gridSpan w:val="2"/>
          </w:tcPr>
          <w:p>
            <w:pPr>
              <w:ind w:left="220"/>
              <w:spacing w:after="0"/>
              <w:rPr>
                <w:sz w:val="20"/>
                <w:szCs w:val="20"/>
                <w:color w:val="auto"/>
              </w:rPr>
            </w:pPr>
            <w:r>
              <w:rPr>
                <w:rFonts w:ascii="Arial" w:cs="Arial" w:eastAsia="Arial" w:hAnsi="Arial"/>
                <w:sz w:val="18"/>
                <w:szCs w:val="18"/>
                <w:color w:val="auto"/>
              </w:rPr>
              <w:t>Delaware on March 27, 1981</w:t>
            </w:r>
          </w:p>
        </w:tc>
        <w:tc>
          <w:tcPr>
            <w:tcW w:w="186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(2)</w:t>
            </w:r>
          </w:p>
        </w:tc>
      </w:tr>
      <w:tr>
        <w:trPr>
          <w:trHeight w:val="445"/>
        </w:trPr>
        <w:tc>
          <w:tcPr>
            <w:tcW w:w="1860" w:type="dxa"/>
            <w:vAlign w:val="bottom"/>
          </w:tcPr>
          <w:p>
            <w:pPr>
              <w:spacing w:after="0"/>
              <w:rPr>
                <w:sz w:val="20"/>
                <w:szCs w:val="20"/>
                <w:color w:val="auto"/>
              </w:rPr>
            </w:pPr>
            <w:r>
              <w:rPr>
                <w:rFonts w:ascii="Arial" w:cs="Arial" w:eastAsia="Arial" w:hAnsi="Arial"/>
                <w:sz w:val="18"/>
                <w:szCs w:val="18"/>
                <w:color w:val="auto"/>
              </w:rPr>
              <w:t>3.3</w:t>
            </w:r>
          </w:p>
        </w:tc>
        <w:tc>
          <w:tcPr>
            <w:tcW w:w="7700" w:type="dxa"/>
            <w:vAlign w:val="bottom"/>
            <w:gridSpan w:val="2"/>
          </w:tcPr>
          <w:p>
            <w:pPr>
              <w:ind w:left="220"/>
              <w:spacing w:after="0"/>
              <w:rPr>
                <w:sz w:val="20"/>
                <w:szCs w:val="20"/>
                <w:color w:val="auto"/>
              </w:rPr>
            </w:pPr>
            <w:r>
              <w:rPr>
                <w:rFonts w:ascii="Arial" w:cs="Arial" w:eastAsia="Arial" w:hAnsi="Arial"/>
                <w:sz w:val="18"/>
                <w:szCs w:val="18"/>
                <w:color w:val="auto"/>
                <w:w w:val="93"/>
              </w:rPr>
              <w:t>Amendment to Certificate of Incorporation of the Registrant filed with Secretary of State of Delaware</w:t>
            </w: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30"/>
        </w:trPr>
        <w:tc>
          <w:tcPr>
            <w:tcW w:w="1860" w:type="dxa"/>
            <w:vAlign w:val="bottom"/>
          </w:tcPr>
          <w:p>
            <w:pPr>
              <w:spacing w:after="0"/>
              <w:rPr>
                <w:sz w:val="20"/>
                <w:szCs w:val="20"/>
                <w:color w:val="auto"/>
              </w:rPr>
            </w:pPr>
          </w:p>
        </w:tc>
        <w:tc>
          <w:tcPr>
            <w:tcW w:w="7700" w:type="dxa"/>
            <w:vAlign w:val="bottom"/>
            <w:gridSpan w:val="2"/>
          </w:tcPr>
          <w:p>
            <w:pPr>
              <w:ind w:left="220"/>
              <w:spacing w:after="0"/>
              <w:rPr>
                <w:sz w:val="20"/>
                <w:szCs w:val="20"/>
                <w:color w:val="auto"/>
              </w:rPr>
            </w:pPr>
            <w:r>
              <w:rPr>
                <w:rFonts w:ascii="Arial" w:cs="Arial" w:eastAsia="Arial" w:hAnsi="Arial"/>
                <w:sz w:val="18"/>
                <w:szCs w:val="18"/>
                <w:color w:val="auto"/>
              </w:rPr>
              <w:t>on October 26, 1984</w:t>
            </w:r>
          </w:p>
        </w:tc>
        <w:tc>
          <w:tcPr>
            <w:tcW w:w="186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(5)</w:t>
            </w:r>
          </w:p>
        </w:tc>
      </w:tr>
      <w:tr>
        <w:trPr>
          <w:trHeight w:val="445"/>
        </w:trPr>
        <w:tc>
          <w:tcPr>
            <w:tcW w:w="1860" w:type="dxa"/>
            <w:vAlign w:val="bottom"/>
          </w:tcPr>
          <w:p>
            <w:pPr>
              <w:spacing w:after="0"/>
              <w:rPr>
                <w:sz w:val="20"/>
                <w:szCs w:val="20"/>
                <w:color w:val="auto"/>
              </w:rPr>
            </w:pPr>
            <w:r>
              <w:rPr>
                <w:rFonts w:ascii="Arial" w:cs="Arial" w:eastAsia="Arial" w:hAnsi="Arial"/>
                <w:sz w:val="18"/>
                <w:szCs w:val="18"/>
                <w:color w:val="auto"/>
              </w:rPr>
              <w:t>3.4</w:t>
            </w:r>
          </w:p>
        </w:tc>
        <w:tc>
          <w:tcPr>
            <w:tcW w:w="7700" w:type="dxa"/>
            <w:vAlign w:val="bottom"/>
            <w:gridSpan w:val="2"/>
          </w:tcPr>
          <w:p>
            <w:pPr>
              <w:ind w:left="220"/>
              <w:spacing w:after="0"/>
              <w:rPr>
                <w:sz w:val="20"/>
                <w:szCs w:val="20"/>
                <w:color w:val="auto"/>
              </w:rPr>
            </w:pPr>
            <w:r>
              <w:rPr>
                <w:rFonts w:ascii="Arial" w:cs="Arial" w:eastAsia="Arial" w:hAnsi="Arial"/>
                <w:sz w:val="18"/>
                <w:szCs w:val="18"/>
                <w:color w:val="auto"/>
              </w:rPr>
              <w:t>Amendment to Certificate of Incorporation of the Registrant filed with the Secretary of State of</w:t>
            </w: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57"/>
        </w:trPr>
        <w:tc>
          <w:tcPr>
            <w:tcW w:w="1860" w:type="dxa"/>
            <w:vAlign w:val="bottom"/>
          </w:tcPr>
          <w:p>
            <w:pPr>
              <w:spacing w:after="0"/>
              <w:rPr>
                <w:sz w:val="22"/>
                <w:szCs w:val="22"/>
                <w:color w:val="auto"/>
              </w:rPr>
            </w:pPr>
          </w:p>
        </w:tc>
        <w:tc>
          <w:tcPr>
            <w:tcW w:w="7700" w:type="dxa"/>
            <w:vAlign w:val="bottom"/>
            <w:gridSpan w:val="2"/>
          </w:tcPr>
          <w:p>
            <w:pPr>
              <w:ind w:left="220"/>
              <w:spacing w:after="0"/>
              <w:rPr>
                <w:sz w:val="20"/>
                <w:szCs w:val="20"/>
                <w:color w:val="auto"/>
              </w:rPr>
            </w:pPr>
            <w:r>
              <w:rPr>
                <w:rFonts w:ascii="Arial" w:cs="Arial" w:eastAsia="Arial" w:hAnsi="Arial"/>
                <w:sz w:val="18"/>
                <w:szCs w:val="18"/>
                <w:color w:val="auto"/>
              </w:rPr>
              <w:t>Delaware on October 22, 1986</w:t>
            </w:r>
          </w:p>
        </w:tc>
        <w:tc>
          <w:tcPr>
            <w:tcW w:w="186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(7)</w:t>
            </w:r>
          </w:p>
        </w:tc>
      </w:tr>
      <w:tr>
        <w:trPr>
          <w:trHeight w:val="445"/>
        </w:trPr>
        <w:tc>
          <w:tcPr>
            <w:tcW w:w="1860" w:type="dxa"/>
            <w:vAlign w:val="bottom"/>
          </w:tcPr>
          <w:p>
            <w:pPr>
              <w:spacing w:after="0"/>
              <w:rPr>
                <w:sz w:val="20"/>
                <w:szCs w:val="20"/>
                <w:color w:val="auto"/>
              </w:rPr>
            </w:pPr>
            <w:r>
              <w:rPr>
                <w:rFonts w:ascii="Arial" w:cs="Arial" w:eastAsia="Arial" w:hAnsi="Arial"/>
                <w:sz w:val="18"/>
                <w:szCs w:val="18"/>
                <w:color w:val="auto"/>
              </w:rPr>
              <w:t>3.5</w:t>
            </w:r>
          </w:p>
        </w:tc>
        <w:tc>
          <w:tcPr>
            <w:tcW w:w="7700" w:type="dxa"/>
            <w:vAlign w:val="bottom"/>
            <w:gridSpan w:val="2"/>
          </w:tcPr>
          <w:p>
            <w:pPr>
              <w:ind w:left="220"/>
              <w:spacing w:after="0"/>
              <w:rPr>
                <w:sz w:val="20"/>
                <w:szCs w:val="20"/>
                <w:color w:val="auto"/>
              </w:rPr>
            </w:pPr>
            <w:r>
              <w:rPr>
                <w:rFonts w:ascii="Arial" w:cs="Arial" w:eastAsia="Arial" w:hAnsi="Arial"/>
                <w:sz w:val="18"/>
                <w:szCs w:val="18"/>
                <w:color w:val="auto"/>
                <w:w w:val="91"/>
              </w:rPr>
              <w:t>Amended and Restated Certificate of Incorporation of the Registrant filed with the Secretary of State of</w:t>
            </w: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57"/>
        </w:trPr>
        <w:tc>
          <w:tcPr>
            <w:tcW w:w="1860" w:type="dxa"/>
            <w:vAlign w:val="bottom"/>
          </w:tcPr>
          <w:p>
            <w:pPr>
              <w:spacing w:after="0"/>
              <w:rPr>
                <w:sz w:val="22"/>
                <w:szCs w:val="22"/>
                <w:color w:val="auto"/>
              </w:rPr>
            </w:pPr>
          </w:p>
        </w:tc>
        <w:tc>
          <w:tcPr>
            <w:tcW w:w="7700" w:type="dxa"/>
            <w:vAlign w:val="bottom"/>
            <w:gridSpan w:val="2"/>
          </w:tcPr>
          <w:p>
            <w:pPr>
              <w:ind w:left="220"/>
              <w:spacing w:after="0"/>
              <w:rPr>
                <w:sz w:val="20"/>
                <w:szCs w:val="20"/>
                <w:color w:val="auto"/>
              </w:rPr>
            </w:pPr>
            <w:r>
              <w:rPr>
                <w:rFonts w:ascii="Arial" w:cs="Arial" w:eastAsia="Arial" w:hAnsi="Arial"/>
                <w:sz w:val="18"/>
                <w:szCs w:val="18"/>
                <w:color w:val="auto"/>
              </w:rPr>
              <w:t>Delaware on October 26, 1987</w:t>
            </w:r>
          </w:p>
        </w:tc>
        <w:tc>
          <w:tcPr>
            <w:tcW w:w="186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(9)</w:t>
            </w:r>
          </w:p>
        </w:tc>
      </w:tr>
      <w:tr>
        <w:trPr>
          <w:trHeight w:val="445"/>
        </w:trPr>
        <w:tc>
          <w:tcPr>
            <w:tcW w:w="1860" w:type="dxa"/>
            <w:vAlign w:val="bottom"/>
          </w:tcPr>
          <w:p>
            <w:pPr>
              <w:spacing w:after="0"/>
              <w:rPr>
                <w:sz w:val="20"/>
                <w:szCs w:val="20"/>
                <w:color w:val="auto"/>
              </w:rPr>
            </w:pPr>
            <w:r>
              <w:rPr>
                <w:rFonts w:ascii="Arial" w:cs="Arial" w:eastAsia="Arial" w:hAnsi="Arial"/>
                <w:sz w:val="18"/>
                <w:szCs w:val="18"/>
                <w:color w:val="auto"/>
              </w:rPr>
              <w:t>3.6</w:t>
            </w:r>
          </w:p>
        </w:tc>
        <w:tc>
          <w:tcPr>
            <w:tcW w:w="7700" w:type="dxa"/>
            <w:vAlign w:val="bottom"/>
            <w:gridSpan w:val="2"/>
          </w:tcPr>
          <w:p>
            <w:pPr>
              <w:ind w:left="220"/>
              <w:spacing w:after="0"/>
              <w:rPr>
                <w:sz w:val="20"/>
                <w:szCs w:val="20"/>
                <w:color w:val="auto"/>
              </w:rPr>
            </w:pPr>
            <w:r>
              <w:rPr>
                <w:rFonts w:ascii="Arial" w:cs="Arial" w:eastAsia="Arial" w:hAnsi="Arial"/>
                <w:sz w:val="18"/>
                <w:szCs w:val="18"/>
                <w:color w:val="auto"/>
                <w:w w:val="92"/>
              </w:rPr>
              <w:t>Amended Certificate of Incorporation of the Company filed with the Secretary of State of Delaware on</w:t>
            </w: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30"/>
        </w:trPr>
        <w:tc>
          <w:tcPr>
            <w:tcW w:w="1860" w:type="dxa"/>
            <w:vAlign w:val="bottom"/>
          </w:tcPr>
          <w:p>
            <w:pPr>
              <w:spacing w:after="0"/>
              <w:rPr>
                <w:sz w:val="20"/>
                <w:szCs w:val="20"/>
                <w:color w:val="auto"/>
              </w:rPr>
            </w:pPr>
          </w:p>
        </w:tc>
        <w:tc>
          <w:tcPr>
            <w:tcW w:w="7700" w:type="dxa"/>
            <w:vAlign w:val="bottom"/>
            <w:gridSpan w:val="2"/>
          </w:tcPr>
          <w:p>
            <w:pPr>
              <w:ind w:left="220"/>
              <w:spacing w:after="0"/>
              <w:rPr>
                <w:sz w:val="20"/>
                <w:szCs w:val="20"/>
                <w:color w:val="auto"/>
              </w:rPr>
            </w:pPr>
            <w:r>
              <w:rPr>
                <w:rFonts w:ascii="Arial" w:cs="Arial" w:eastAsia="Arial" w:hAnsi="Arial"/>
                <w:sz w:val="18"/>
                <w:szCs w:val="18"/>
                <w:color w:val="auto"/>
              </w:rPr>
              <w:t>November 2, 1989</w:t>
            </w:r>
          </w:p>
        </w:tc>
        <w:tc>
          <w:tcPr>
            <w:tcW w:w="186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(9)</w:t>
            </w:r>
          </w:p>
        </w:tc>
      </w:tr>
      <w:tr>
        <w:trPr>
          <w:trHeight w:val="459"/>
        </w:trPr>
        <w:tc>
          <w:tcPr>
            <w:tcW w:w="1860" w:type="dxa"/>
            <w:vAlign w:val="bottom"/>
          </w:tcPr>
          <w:p>
            <w:pPr>
              <w:spacing w:after="0"/>
              <w:rPr>
                <w:sz w:val="20"/>
                <w:szCs w:val="20"/>
                <w:color w:val="auto"/>
              </w:rPr>
            </w:pPr>
            <w:r>
              <w:rPr>
                <w:rFonts w:ascii="Arial" w:cs="Arial" w:eastAsia="Arial" w:hAnsi="Arial"/>
                <w:sz w:val="18"/>
                <w:szCs w:val="18"/>
                <w:color w:val="auto"/>
              </w:rPr>
              <w:t>3.7</w:t>
            </w:r>
          </w:p>
        </w:tc>
        <w:tc>
          <w:tcPr>
            <w:tcW w:w="7700" w:type="dxa"/>
            <w:vAlign w:val="bottom"/>
            <w:gridSpan w:val="2"/>
          </w:tcPr>
          <w:p>
            <w:pPr>
              <w:ind w:left="220"/>
              <w:spacing w:after="0"/>
              <w:rPr>
                <w:sz w:val="20"/>
                <w:szCs w:val="20"/>
                <w:color w:val="auto"/>
              </w:rPr>
            </w:pPr>
            <w:r>
              <w:rPr>
                <w:rFonts w:ascii="Arial" w:cs="Arial" w:eastAsia="Arial" w:hAnsi="Arial"/>
                <w:sz w:val="18"/>
                <w:szCs w:val="18"/>
                <w:color w:val="auto"/>
              </w:rPr>
              <w:t>Copy of By-Laws of the Registrant, as amended to date</w:t>
            </w:r>
          </w:p>
        </w:tc>
        <w:tc>
          <w:tcPr>
            <w:tcW w:w="186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(3)</w:t>
            </w:r>
          </w:p>
        </w:tc>
      </w:tr>
      <w:tr>
        <w:trPr>
          <w:trHeight w:val="486"/>
        </w:trPr>
        <w:tc>
          <w:tcPr>
            <w:tcW w:w="1860" w:type="dxa"/>
            <w:vAlign w:val="bottom"/>
          </w:tcPr>
          <w:p>
            <w:pPr>
              <w:spacing w:after="0"/>
              <w:rPr>
                <w:sz w:val="20"/>
                <w:szCs w:val="20"/>
                <w:color w:val="auto"/>
              </w:rPr>
            </w:pPr>
            <w:r>
              <w:rPr>
                <w:rFonts w:ascii="Arial" w:cs="Arial" w:eastAsia="Arial" w:hAnsi="Arial"/>
                <w:sz w:val="18"/>
                <w:szCs w:val="18"/>
                <w:color w:val="auto"/>
              </w:rPr>
              <w:t>4.1</w:t>
            </w:r>
          </w:p>
        </w:tc>
        <w:tc>
          <w:tcPr>
            <w:tcW w:w="7700" w:type="dxa"/>
            <w:vAlign w:val="bottom"/>
            <w:gridSpan w:val="2"/>
          </w:tcPr>
          <w:p>
            <w:pPr>
              <w:ind w:left="220"/>
              <w:spacing w:after="0"/>
              <w:rPr>
                <w:sz w:val="20"/>
                <w:szCs w:val="20"/>
                <w:color w:val="auto"/>
              </w:rPr>
            </w:pPr>
            <w:r>
              <w:rPr>
                <w:rFonts w:ascii="Arial" w:cs="Arial" w:eastAsia="Arial" w:hAnsi="Arial"/>
                <w:sz w:val="18"/>
                <w:szCs w:val="18"/>
                <w:color w:val="auto"/>
              </w:rPr>
              <w:t>Specimen of Common Stock certificate</w:t>
            </w:r>
          </w:p>
        </w:tc>
        <w:tc>
          <w:tcPr>
            <w:tcW w:w="186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(1)</w:t>
            </w:r>
          </w:p>
        </w:tc>
      </w:tr>
      <w:tr>
        <w:trPr>
          <w:trHeight w:val="486"/>
        </w:trPr>
        <w:tc>
          <w:tcPr>
            <w:tcW w:w="1860" w:type="dxa"/>
            <w:vAlign w:val="bottom"/>
          </w:tcPr>
          <w:p>
            <w:pPr>
              <w:spacing w:after="0"/>
              <w:rPr>
                <w:sz w:val="20"/>
                <w:szCs w:val="20"/>
                <w:color w:val="auto"/>
              </w:rPr>
            </w:pPr>
            <w:r>
              <w:rPr>
                <w:rFonts w:ascii="Arial" w:cs="Arial" w:eastAsia="Arial" w:hAnsi="Arial"/>
                <w:sz w:val="18"/>
                <w:szCs w:val="18"/>
                <w:color w:val="auto"/>
              </w:rPr>
              <w:t>10.1</w:t>
            </w:r>
          </w:p>
        </w:tc>
        <w:tc>
          <w:tcPr>
            <w:tcW w:w="7700" w:type="dxa"/>
            <w:vAlign w:val="bottom"/>
            <w:gridSpan w:val="2"/>
          </w:tcPr>
          <w:p>
            <w:pPr>
              <w:ind w:left="220"/>
              <w:spacing w:after="0"/>
              <w:rPr>
                <w:sz w:val="20"/>
                <w:szCs w:val="20"/>
                <w:color w:val="auto"/>
              </w:rPr>
            </w:pPr>
            <w:r>
              <w:rPr>
                <w:rFonts w:ascii="Arial" w:cs="Arial" w:eastAsia="Arial" w:hAnsi="Arial"/>
                <w:sz w:val="18"/>
                <w:szCs w:val="18"/>
                <w:color w:val="auto"/>
              </w:rPr>
              <w:t>Registrant’s 1997 Independent Contractor Stock Option Plan</w:t>
            </w:r>
          </w:p>
        </w:tc>
        <w:tc>
          <w:tcPr>
            <w:tcW w:w="186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(10)</w:t>
            </w:r>
          </w:p>
        </w:tc>
      </w:tr>
      <w:tr>
        <w:trPr>
          <w:trHeight w:val="486"/>
        </w:trPr>
        <w:tc>
          <w:tcPr>
            <w:tcW w:w="1860" w:type="dxa"/>
            <w:vAlign w:val="bottom"/>
          </w:tcPr>
          <w:p>
            <w:pPr>
              <w:spacing w:after="0"/>
              <w:rPr>
                <w:sz w:val="20"/>
                <w:szCs w:val="20"/>
                <w:color w:val="auto"/>
              </w:rPr>
            </w:pPr>
            <w:r>
              <w:rPr>
                <w:rFonts w:ascii="Arial" w:cs="Arial" w:eastAsia="Arial" w:hAnsi="Arial"/>
                <w:sz w:val="18"/>
                <w:szCs w:val="18"/>
                <w:color w:val="auto"/>
              </w:rPr>
              <w:t>10.8</w:t>
            </w:r>
          </w:p>
        </w:tc>
        <w:tc>
          <w:tcPr>
            <w:tcW w:w="7700" w:type="dxa"/>
            <w:vAlign w:val="bottom"/>
            <w:gridSpan w:val="2"/>
          </w:tcPr>
          <w:p>
            <w:pPr>
              <w:ind w:left="220"/>
              <w:spacing w:after="0"/>
              <w:rPr>
                <w:sz w:val="20"/>
                <w:szCs w:val="20"/>
                <w:color w:val="auto"/>
              </w:rPr>
            </w:pPr>
            <w:r>
              <w:rPr>
                <w:rFonts w:ascii="Arial" w:cs="Arial" w:eastAsia="Arial" w:hAnsi="Arial"/>
                <w:sz w:val="18"/>
                <w:szCs w:val="18"/>
                <w:color w:val="auto"/>
              </w:rPr>
              <w:t>Employment agreement between Registrant and Harry Newman</w:t>
            </w:r>
          </w:p>
        </w:tc>
        <w:tc>
          <w:tcPr>
            <w:tcW w:w="186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(4)</w:t>
            </w:r>
          </w:p>
        </w:tc>
      </w:tr>
      <w:tr>
        <w:trPr>
          <w:trHeight w:val="486"/>
        </w:trPr>
        <w:tc>
          <w:tcPr>
            <w:tcW w:w="1860" w:type="dxa"/>
            <w:vAlign w:val="bottom"/>
          </w:tcPr>
          <w:p>
            <w:pPr>
              <w:spacing w:after="0"/>
              <w:rPr>
                <w:sz w:val="20"/>
                <w:szCs w:val="20"/>
                <w:color w:val="auto"/>
              </w:rPr>
            </w:pPr>
            <w:r>
              <w:rPr>
                <w:rFonts w:ascii="Arial" w:cs="Arial" w:eastAsia="Arial" w:hAnsi="Arial"/>
                <w:sz w:val="18"/>
                <w:szCs w:val="18"/>
                <w:color w:val="auto"/>
              </w:rPr>
              <w:t>10.9</w:t>
            </w:r>
          </w:p>
        </w:tc>
        <w:tc>
          <w:tcPr>
            <w:tcW w:w="7700" w:type="dxa"/>
            <w:vAlign w:val="bottom"/>
            <w:gridSpan w:val="2"/>
          </w:tcPr>
          <w:p>
            <w:pPr>
              <w:ind w:left="220"/>
              <w:spacing w:after="0"/>
              <w:rPr>
                <w:sz w:val="20"/>
                <w:szCs w:val="20"/>
                <w:color w:val="auto"/>
              </w:rPr>
            </w:pPr>
            <w:r>
              <w:rPr>
                <w:rFonts w:ascii="Arial" w:cs="Arial" w:eastAsia="Arial" w:hAnsi="Arial"/>
                <w:sz w:val="18"/>
                <w:szCs w:val="18"/>
                <w:color w:val="auto"/>
              </w:rPr>
              <w:t>Employment agreement between Registrant and Marcus Hechler</w:t>
            </w:r>
          </w:p>
        </w:tc>
        <w:tc>
          <w:tcPr>
            <w:tcW w:w="186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(4)</w:t>
            </w:r>
          </w:p>
        </w:tc>
      </w:tr>
      <w:tr>
        <w:trPr>
          <w:trHeight w:val="486"/>
        </w:trPr>
        <w:tc>
          <w:tcPr>
            <w:tcW w:w="1860" w:type="dxa"/>
            <w:vAlign w:val="bottom"/>
          </w:tcPr>
          <w:p>
            <w:pPr>
              <w:spacing w:after="0"/>
              <w:rPr>
                <w:sz w:val="20"/>
                <w:szCs w:val="20"/>
                <w:color w:val="auto"/>
              </w:rPr>
            </w:pPr>
            <w:r>
              <w:rPr>
                <w:rFonts w:ascii="Arial" w:cs="Arial" w:eastAsia="Arial" w:hAnsi="Arial"/>
                <w:sz w:val="18"/>
                <w:szCs w:val="18"/>
                <w:color w:val="auto"/>
              </w:rPr>
              <w:t>10.10</w:t>
            </w:r>
          </w:p>
        </w:tc>
        <w:tc>
          <w:tcPr>
            <w:tcW w:w="7700" w:type="dxa"/>
            <w:vAlign w:val="bottom"/>
            <w:gridSpan w:val="2"/>
          </w:tcPr>
          <w:p>
            <w:pPr>
              <w:ind w:left="220"/>
              <w:spacing w:after="0"/>
              <w:rPr>
                <w:sz w:val="20"/>
                <w:szCs w:val="20"/>
                <w:color w:val="auto"/>
              </w:rPr>
            </w:pPr>
            <w:r>
              <w:rPr>
                <w:rFonts w:ascii="Arial" w:cs="Arial" w:eastAsia="Arial" w:hAnsi="Arial"/>
                <w:sz w:val="18"/>
                <w:szCs w:val="18"/>
                <w:color w:val="auto"/>
              </w:rPr>
              <w:t>Employment agreement between Registrant and Charles Stone</w:t>
            </w:r>
          </w:p>
        </w:tc>
        <w:tc>
          <w:tcPr>
            <w:tcW w:w="186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(8)</w:t>
            </w:r>
          </w:p>
        </w:tc>
      </w:tr>
      <w:tr>
        <w:trPr>
          <w:trHeight w:val="513"/>
        </w:trPr>
        <w:tc>
          <w:tcPr>
            <w:tcW w:w="1860" w:type="dxa"/>
            <w:vAlign w:val="bottom"/>
          </w:tcPr>
          <w:p>
            <w:pPr>
              <w:spacing w:after="0"/>
              <w:rPr>
                <w:sz w:val="20"/>
                <w:szCs w:val="20"/>
                <w:color w:val="auto"/>
              </w:rPr>
            </w:pPr>
            <w:r>
              <w:rPr>
                <w:rFonts w:ascii="Arial" w:cs="Arial" w:eastAsia="Arial" w:hAnsi="Arial"/>
                <w:sz w:val="18"/>
                <w:szCs w:val="18"/>
                <w:color w:val="auto"/>
              </w:rPr>
              <w:t>10.13</w:t>
            </w:r>
          </w:p>
        </w:tc>
        <w:tc>
          <w:tcPr>
            <w:tcW w:w="7700" w:type="dxa"/>
            <w:vAlign w:val="bottom"/>
            <w:gridSpan w:val="2"/>
          </w:tcPr>
          <w:p>
            <w:pPr>
              <w:ind w:left="220"/>
              <w:spacing w:after="0"/>
              <w:rPr>
                <w:sz w:val="20"/>
                <w:szCs w:val="20"/>
                <w:color w:val="auto"/>
              </w:rPr>
            </w:pPr>
            <w:r>
              <w:rPr>
                <w:rFonts w:ascii="Arial" w:cs="Arial" w:eastAsia="Arial" w:hAnsi="Arial"/>
                <w:sz w:val="18"/>
                <w:szCs w:val="18"/>
                <w:color w:val="auto"/>
                <w:w w:val="91"/>
              </w:rPr>
              <w:t>Lease agreement between Registrant and Reckson Operating Partnership, L.P. dated January 6, 1998</w:t>
            </w:r>
          </w:p>
        </w:tc>
        <w:tc>
          <w:tcPr>
            <w:tcW w:w="1860" w:type="dxa"/>
            <w:vAlign w:val="bottom"/>
            <w:gridSpan w:val="2"/>
          </w:tcPr>
          <w:p>
            <w:pPr>
              <w:jc w:val="center"/>
              <w:ind w:left="150"/>
              <w:spacing w:after="0"/>
              <w:rPr>
                <w:sz w:val="20"/>
                <w:szCs w:val="20"/>
                <w:color w:val="auto"/>
              </w:rPr>
            </w:pPr>
            <w:r>
              <w:rPr>
                <w:rFonts w:ascii="Arial" w:cs="Arial" w:eastAsia="Arial" w:hAnsi="Arial"/>
                <w:sz w:val="18"/>
                <w:szCs w:val="18"/>
                <w:color w:val="auto"/>
                <w:w w:val="93"/>
              </w:rPr>
              <w:t>(11)</w:t>
            </w:r>
          </w:p>
        </w:tc>
      </w:tr>
      <w:tr>
        <w:trPr>
          <w:trHeight w:val="445"/>
        </w:trPr>
        <w:tc>
          <w:tcPr>
            <w:tcW w:w="1860" w:type="dxa"/>
            <w:vAlign w:val="bottom"/>
          </w:tcPr>
          <w:p>
            <w:pPr>
              <w:spacing w:after="0"/>
              <w:rPr>
                <w:sz w:val="20"/>
                <w:szCs w:val="20"/>
                <w:color w:val="auto"/>
              </w:rPr>
            </w:pPr>
            <w:r>
              <w:rPr>
                <w:rFonts w:ascii="Arial" w:cs="Arial" w:eastAsia="Arial" w:hAnsi="Arial"/>
                <w:sz w:val="18"/>
                <w:szCs w:val="18"/>
                <w:color w:val="auto"/>
              </w:rPr>
              <w:t>10.16</w:t>
            </w:r>
          </w:p>
        </w:tc>
        <w:tc>
          <w:tcPr>
            <w:tcW w:w="7700" w:type="dxa"/>
            <w:vAlign w:val="bottom"/>
            <w:gridSpan w:val="2"/>
          </w:tcPr>
          <w:p>
            <w:pPr>
              <w:ind w:left="220"/>
              <w:spacing w:after="0"/>
              <w:rPr>
                <w:sz w:val="20"/>
                <w:szCs w:val="20"/>
                <w:color w:val="auto"/>
              </w:rPr>
            </w:pPr>
            <w:r>
              <w:rPr>
                <w:rFonts w:ascii="Arial" w:cs="Arial" w:eastAsia="Arial" w:hAnsi="Arial"/>
                <w:sz w:val="18"/>
                <w:szCs w:val="18"/>
                <w:color w:val="auto"/>
                <w:w w:val="91"/>
              </w:rPr>
              <w:t>Registrant’s Cash or Deferral Profit Sharing Plan and Trust under Internal Revenue Code Section 401,</w:t>
            </w: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30"/>
        </w:trPr>
        <w:tc>
          <w:tcPr>
            <w:tcW w:w="1860" w:type="dxa"/>
            <w:vAlign w:val="bottom"/>
          </w:tcPr>
          <w:p>
            <w:pPr>
              <w:spacing w:after="0"/>
              <w:rPr>
                <w:sz w:val="20"/>
                <w:szCs w:val="20"/>
                <w:color w:val="auto"/>
              </w:rPr>
            </w:pPr>
          </w:p>
        </w:tc>
        <w:tc>
          <w:tcPr>
            <w:tcW w:w="7700" w:type="dxa"/>
            <w:vAlign w:val="bottom"/>
            <w:gridSpan w:val="2"/>
          </w:tcPr>
          <w:p>
            <w:pPr>
              <w:ind w:left="220"/>
              <w:spacing w:after="0"/>
              <w:rPr>
                <w:sz w:val="20"/>
                <w:szCs w:val="20"/>
                <w:color w:val="auto"/>
              </w:rPr>
            </w:pPr>
            <w:r>
              <w:rPr>
                <w:rFonts w:ascii="Arial" w:cs="Arial" w:eastAsia="Arial" w:hAnsi="Arial"/>
                <w:sz w:val="18"/>
                <w:szCs w:val="18"/>
                <w:color w:val="auto"/>
              </w:rPr>
              <w:t>dated April 1, 1985</w:t>
            </w:r>
          </w:p>
        </w:tc>
        <w:tc>
          <w:tcPr>
            <w:tcW w:w="186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(6)</w:t>
            </w:r>
          </w:p>
        </w:tc>
      </w:tr>
      <w:tr>
        <w:trPr>
          <w:trHeight w:val="459"/>
        </w:trPr>
        <w:tc>
          <w:tcPr>
            <w:tcW w:w="1860" w:type="dxa"/>
            <w:vAlign w:val="bottom"/>
          </w:tcPr>
          <w:p>
            <w:pPr>
              <w:spacing w:after="0"/>
              <w:rPr>
                <w:sz w:val="20"/>
                <w:szCs w:val="20"/>
                <w:color w:val="auto"/>
              </w:rPr>
            </w:pPr>
            <w:r>
              <w:rPr>
                <w:rFonts w:ascii="Arial" w:cs="Arial" w:eastAsia="Arial" w:hAnsi="Arial"/>
                <w:sz w:val="18"/>
                <w:szCs w:val="18"/>
                <w:color w:val="auto"/>
              </w:rPr>
              <w:t>10.21</w:t>
            </w:r>
          </w:p>
        </w:tc>
        <w:tc>
          <w:tcPr>
            <w:tcW w:w="7700" w:type="dxa"/>
            <w:vAlign w:val="bottom"/>
            <w:gridSpan w:val="2"/>
          </w:tcPr>
          <w:p>
            <w:pPr>
              <w:ind w:left="220"/>
              <w:spacing w:after="0"/>
              <w:rPr>
                <w:sz w:val="20"/>
                <w:szCs w:val="20"/>
                <w:color w:val="auto"/>
              </w:rPr>
            </w:pPr>
            <w:r>
              <w:rPr>
                <w:rFonts w:ascii="Arial" w:cs="Arial" w:eastAsia="Arial" w:hAnsi="Arial"/>
                <w:sz w:val="18"/>
                <w:szCs w:val="18"/>
                <w:color w:val="auto"/>
              </w:rPr>
              <w:t>Form of Agreement concerning Executive Compensation</w:t>
            </w:r>
          </w:p>
        </w:tc>
        <w:tc>
          <w:tcPr>
            <w:tcW w:w="186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(2)</w:t>
            </w:r>
          </w:p>
        </w:tc>
      </w:tr>
      <w:tr>
        <w:trPr>
          <w:trHeight w:val="486"/>
        </w:trPr>
        <w:tc>
          <w:tcPr>
            <w:tcW w:w="1860" w:type="dxa"/>
            <w:vAlign w:val="bottom"/>
          </w:tcPr>
          <w:p>
            <w:pPr>
              <w:spacing w:after="0"/>
              <w:rPr>
                <w:sz w:val="20"/>
                <w:szCs w:val="20"/>
                <w:color w:val="auto"/>
              </w:rPr>
            </w:pPr>
            <w:r>
              <w:rPr>
                <w:rFonts w:ascii="Arial" w:cs="Arial" w:eastAsia="Arial" w:hAnsi="Arial"/>
                <w:sz w:val="18"/>
                <w:szCs w:val="18"/>
                <w:color w:val="auto"/>
              </w:rPr>
              <w:t>10.23</w:t>
            </w:r>
          </w:p>
        </w:tc>
        <w:tc>
          <w:tcPr>
            <w:tcW w:w="7700" w:type="dxa"/>
            <w:vAlign w:val="bottom"/>
            <w:gridSpan w:val="2"/>
          </w:tcPr>
          <w:p>
            <w:pPr>
              <w:ind w:left="220"/>
              <w:spacing w:after="0"/>
              <w:rPr>
                <w:sz w:val="20"/>
                <w:szCs w:val="20"/>
                <w:color w:val="auto"/>
              </w:rPr>
            </w:pPr>
            <w:r>
              <w:rPr>
                <w:rFonts w:ascii="Arial" w:cs="Arial" w:eastAsia="Arial" w:hAnsi="Arial"/>
                <w:sz w:val="18"/>
                <w:szCs w:val="18"/>
                <w:color w:val="auto"/>
              </w:rPr>
              <w:t>Registrant’s Senior Executive Stock Option Plan</w:t>
            </w:r>
          </w:p>
        </w:tc>
        <w:tc>
          <w:tcPr>
            <w:tcW w:w="186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(8)</w:t>
            </w:r>
          </w:p>
        </w:tc>
      </w:tr>
      <w:tr>
        <w:trPr>
          <w:trHeight w:val="472"/>
        </w:trPr>
        <w:tc>
          <w:tcPr>
            <w:tcW w:w="1860" w:type="dxa"/>
            <w:vAlign w:val="bottom"/>
          </w:tcPr>
          <w:p>
            <w:pPr>
              <w:spacing w:after="0"/>
              <w:rPr>
                <w:sz w:val="20"/>
                <w:szCs w:val="20"/>
                <w:color w:val="auto"/>
              </w:rPr>
            </w:pPr>
            <w:r>
              <w:rPr>
                <w:rFonts w:ascii="Arial" w:cs="Arial" w:eastAsia="Arial" w:hAnsi="Arial"/>
                <w:sz w:val="18"/>
                <w:szCs w:val="18"/>
                <w:color w:val="auto"/>
              </w:rPr>
              <w:t>10.24</w:t>
            </w:r>
          </w:p>
        </w:tc>
        <w:tc>
          <w:tcPr>
            <w:tcW w:w="7700" w:type="dxa"/>
            <w:vAlign w:val="bottom"/>
            <w:gridSpan w:val="2"/>
          </w:tcPr>
          <w:p>
            <w:pPr>
              <w:ind w:left="220"/>
              <w:spacing w:after="0"/>
              <w:rPr>
                <w:sz w:val="20"/>
                <w:szCs w:val="20"/>
                <w:color w:val="auto"/>
              </w:rPr>
            </w:pPr>
            <w:r>
              <w:rPr>
                <w:rFonts w:ascii="Arial" w:cs="Arial" w:eastAsia="Arial" w:hAnsi="Arial"/>
                <w:sz w:val="18"/>
                <w:szCs w:val="18"/>
                <w:color w:val="auto"/>
                <w:w w:val="93"/>
              </w:rPr>
              <w:t>Amendment dated Jan. 1, 1988 to Registrant’s Cash or Deferred Profit Sharing Plan and Trust under</w:t>
            </w: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16"/>
        </w:trPr>
        <w:tc>
          <w:tcPr>
            <w:tcW w:w="1860" w:type="dxa"/>
            <w:vAlign w:val="bottom"/>
          </w:tcPr>
          <w:p>
            <w:pPr>
              <w:spacing w:after="0"/>
              <w:rPr>
                <w:sz w:val="18"/>
                <w:szCs w:val="18"/>
                <w:color w:val="auto"/>
              </w:rPr>
            </w:pPr>
          </w:p>
        </w:tc>
        <w:tc>
          <w:tcPr>
            <w:tcW w:w="7700" w:type="dxa"/>
            <w:vAlign w:val="bottom"/>
            <w:gridSpan w:val="2"/>
          </w:tcPr>
          <w:p>
            <w:pPr>
              <w:ind w:left="220"/>
              <w:spacing w:after="0"/>
              <w:rPr>
                <w:sz w:val="20"/>
                <w:szCs w:val="20"/>
                <w:color w:val="auto"/>
              </w:rPr>
            </w:pPr>
            <w:r>
              <w:rPr>
                <w:rFonts w:ascii="Arial" w:cs="Arial" w:eastAsia="Arial" w:hAnsi="Arial"/>
                <w:sz w:val="18"/>
                <w:szCs w:val="18"/>
                <w:color w:val="auto"/>
              </w:rPr>
              <w:t>Section 401</w:t>
            </w:r>
          </w:p>
        </w:tc>
        <w:tc>
          <w:tcPr>
            <w:tcW w:w="186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(8)</w:t>
            </w:r>
          </w:p>
        </w:tc>
      </w:tr>
      <w:tr>
        <w:trPr>
          <w:trHeight w:val="230"/>
        </w:trPr>
        <w:tc>
          <w:tcPr>
            <w:tcW w:w="1860" w:type="dxa"/>
            <w:vAlign w:val="bottom"/>
          </w:tcPr>
          <w:p>
            <w:pPr>
              <w:spacing w:after="0"/>
              <w:rPr>
                <w:sz w:val="20"/>
                <w:szCs w:val="20"/>
                <w:color w:val="auto"/>
              </w:rPr>
            </w:pPr>
          </w:p>
        </w:tc>
        <w:tc>
          <w:tcPr>
            <w:tcW w:w="7700" w:type="dxa"/>
            <w:vAlign w:val="bottom"/>
            <w:gridSpan w:val="2"/>
          </w:tcPr>
          <w:p>
            <w:pPr>
              <w:ind w:left="220"/>
              <w:spacing w:after="0"/>
              <w:rPr>
                <w:sz w:val="20"/>
                <w:szCs w:val="20"/>
                <w:color w:val="auto"/>
              </w:rPr>
            </w:pPr>
            <w:r>
              <w:rPr>
                <w:rFonts w:ascii="Arial" w:cs="Arial" w:eastAsia="Arial" w:hAnsi="Arial"/>
                <w:sz w:val="18"/>
                <w:szCs w:val="18"/>
                <w:color w:val="auto"/>
              </w:rPr>
              <w:t>of Internal Revenue Code</w:t>
            </w:r>
          </w:p>
        </w:tc>
        <w:tc>
          <w:tcPr>
            <w:tcW w:w="24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486"/>
        </w:trPr>
        <w:tc>
          <w:tcPr>
            <w:tcW w:w="1860" w:type="dxa"/>
            <w:vAlign w:val="bottom"/>
          </w:tcPr>
          <w:p>
            <w:pPr>
              <w:spacing w:after="0"/>
              <w:rPr>
                <w:sz w:val="24"/>
                <w:szCs w:val="24"/>
                <w:color w:val="auto"/>
              </w:rPr>
            </w:pPr>
          </w:p>
        </w:tc>
        <w:tc>
          <w:tcPr>
            <w:tcW w:w="7700" w:type="dxa"/>
            <w:vAlign w:val="bottom"/>
            <w:gridSpan w:val="2"/>
          </w:tcPr>
          <w:p>
            <w:pPr>
              <w:jc w:val="right"/>
              <w:ind w:right="3670"/>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118"/>
        </w:trPr>
        <w:tc>
          <w:tcPr>
            <w:tcW w:w="186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74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264"/>
        </w:trPr>
        <w:tc>
          <w:tcPr>
            <w:tcW w:w="1860" w:type="dxa"/>
            <w:vAlign w:val="bottom"/>
          </w:tcPr>
          <w:p>
            <w:pPr>
              <w:ind w:left="20"/>
              <w:spacing w:after="0"/>
              <w:rPr>
                <w:sz w:val="20"/>
                <w:szCs w:val="20"/>
                <w:color w:val="auto"/>
              </w:rPr>
            </w:pPr>
            <w:r>
              <w:rPr>
                <w:rFonts w:ascii="Arial" w:cs="Arial" w:eastAsia="Arial" w:hAnsi="Arial"/>
                <w:sz w:val="18"/>
                <w:szCs w:val="18"/>
                <w:color w:val="auto"/>
                <w:w w:val="95"/>
              </w:rPr>
              <w:t xml:space="preserve">Exhibit No. in </w:t>
            </w:r>
            <w:r>
              <w:rPr>
                <w:rFonts w:ascii="Arial" w:cs="Arial" w:eastAsia="Arial" w:hAnsi="Arial"/>
                <w:sz w:val="21"/>
                <w:szCs w:val="21"/>
                <w:color w:val="auto"/>
                <w:w w:val="95"/>
              </w:rPr>
              <w:t>this</w:t>
            </w:r>
            <w:r>
              <w:rPr>
                <w:rFonts w:ascii="Arial" w:cs="Arial" w:eastAsia="Arial" w:hAnsi="Arial"/>
                <w:sz w:val="18"/>
                <w:szCs w:val="18"/>
                <w:color w:val="auto"/>
                <w:w w:val="95"/>
              </w:rPr>
              <w:t xml:space="preserve"> Form</w:t>
            </w:r>
          </w:p>
        </w:tc>
        <w:tc>
          <w:tcPr>
            <w:tcW w:w="220" w:type="dxa"/>
            <w:vAlign w:val="bottom"/>
          </w:tcPr>
          <w:p>
            <w:pPr>
              <w:spacing w:after="0"/>
              <w:rPr>
                <w:sz w:val="22"/>
                <w:szCs w:val="22"/>
                <w:color w:val="auto"/>
              </w:rPr>
            </w:pPr>
          </w:p>
        </w:tc>
        <w:tc>
          <w:tcPr>
            <w:tcW w:w="7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30"/>
        </w:trPr>
        <w:tc>
          <w:tcPr>
            <w:tcW w:w="186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10-K</w:t>
            </w:r>
          </w:p>
        </w:tc>
        <w:tc>
          <w:tcPr>
            <w:tcW w:w="220" w:type="dxa"/>
            <w:vAlign w:val="bottom"/>
          </w:tcPr>
          <w:p>
            <w:pPr>
              <w:spacing w:after="0"/>
              <w:rPr>
                <w:sz w:val="20"/>
                <w:szCs w:val="20"/>
                <w:color w:val="auto"/>
              </w:rPr>
            </w:pPr>
          </w:p>
        </w:tc>
        <w:tc>
          <w:tcPr>
            <w:tcW w:w="7480" w:type="dxa"/>
            <w:vAlign w:val="bottom"/>
            <w:tcBorders>
              <w:bottom w:val="single" w:sz="8" w:color="auto"/>
            </w:tcBorders>
          </w:tcPr>
          <w:p>
            <w:pPr>
              <w:ind w:left="2940"/>
              <w:spacing w:after="0"/>
              <w:rPr>
                <w:sz w:val="20"/>
                <w:szCs w:val="20"/>
                <w:color w:val="auto"/>
              </w:rPr>
            </w:pPr>
            <w:r>
              <w:rPr>
                <w:rFonts w:ascii="Arial" w:cs="Arial" w:eastAsia="Arial" w:hAnsi="Arial"/>
                <w:sz w:val="18"/>
                <w:szCs w:val="18"/>
                <w:color w:val="auto"/>
              </w:rPr>
              <w:t>Description of Exhibit</w:t>
            </w:r>
          </w:p>
        </w:tc>
        <w:tc>
          <w:tcPr>
            <w:tcW w:w="240" w:type="dxa"/>
            <w:vAlign w:val="bottom"/>
          </w:tcPr>
          <w:p>
            <w:pPr>
              <w:spacing w:after="0"/>
              <w:rPr>
                <w:sz w:val="20"/>
                <w:szCs w:val="20"/>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NOTE</w:t>
            </w:r>
          </w:p>
        </w:tc>
      </w:tr>
      <w:tr>
        <w:trPr>
          <w:trHeight w:val="453"/>
        </w:trPr>
        <w:tc>
          <w:tcPr>
            <w:tcW w:w="1860" w:type="dxa"/>
            <w:vAlign w:val="bottom"/>
          </w:tcPr>
          <w:p>
            <w:pPr>
              <w:spacing w:after="0"/>
              <w:rPr>
                <w:sz w:val="20"/>
                <w:szCs w:val="20"/>
                <w:color w:val="auto"/>
              </w:rPr>
            </w:pPr>
            <w:r>
              <w:rPr>
                <w:rFonts w:ascii="Arial" w:cs="Arial" w:eastAsia="Arial" w:hAnsi="Arial"/>
                <w:sz w:val="18"/>
                <w:szCs w:val="18"/>
                <w:color w:val="auto"/>
              </w:rPr>
              <w:t>10.25</w:t>
            </w:r>
          </w:p>
        </w:tc>
        <w:tc>
          <w:tcPr>
            <w:tcW w:w="7700" w:type="dxa"/>
            <w:vAlign w:val="bottom"/>
            <w:gridSpan w:val="2"/>
          </w:tcPr>
          <w:p>
            <w:pPr>
              <w:ind w:left="220"/>
              <w:spacing w:after="0"/>
              <w:rPr>
                <w:sz w:val="20"/>
                <w:szCs w:val="20"/>
                <w:color w:val="auto"/>
              </w:rPr>
            </w:pPr>
            <w:r>
              <w:rPr>
                <w:rFonts w:ascii="Arial" w:cs="Arial" w:eastAsia="Arial" w:hAnsi="Arial"/>
                <w:sz w:val="18"/>
                <w:szCs w:val="18"/>
                <w:color w:val="auto"/>
              </w:rPr>
              <w:t>Executive Incentive Compensation Plan between Registrant and various employees</w:t>
            </w:r>
          </w:p>
        </w:tc>
        <w:tc>
          <w:tcPr>
            <w:tcW w:w="186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(8)</w:t>
            </w:r>
          </w:p>
        </w:tc>
      </w:tr>
      <w:tr>
        <w:trPr>
          <w:trHeight w:val="486"/>
        </w:trPr>
        <w:tc>
          <w:tcPr>
            <w:tcW w:w="1860" w:type="dxa"/>
            <w:vAlign w:val="bottom"/>
          </w:tcPr>
          <w:p>
            <w:pPr>
              <w:spacing w:after="0"/>
              <w:rPr>
                <w:sz w:val="20"/>
                <w:szCs w:val="20"/>
                <w:color w:val="auto"/>
              </w:rPr>
            </w:pPr>
            <w:r>
              <w:rPr>
                <w:rFonts w:ascii="Arial" w:cs="Arial" w:eastAsia="Arial" w:hAnsi="Arial"/>
                <w:sz w:val="18"/>
                <w:szCs w:val="18"/>
                <w:color w:val="auto"/>
              </w:rPr>
              <w:t>21</w:t>
            </w:r>
          </w:p>
        </w:tc>
        <w:tc>
          <w:tcPr>
            <w:tcW w:w="7700" w:type="dxa"/>
            <w:vAlign w:val="bottom"/>
            <w:gridSpan w:val="2"/>
          </w:tcPr>
          <w:p>
            <w:pPr>
              <w:ind w:left="220"/>
              <w:spacing w:after="0"/>
              <w:rPr>
                <w:sz w:val="20"/>
                <w:szCs w:val="20"/>
                <w:color w:val="auto"/>
              </w:rPr>
            </w:pPr>
            <w:r>
              <w:rPr>
                <w:rFonts w:ascii="Arial" w:cs="Arial" w:eastAsia="Arial" w:hAnsi="Arial"/>
                <w:sz w:val="18"/>
                <w:szCs w:val="18"/>
                <w:color w:val="auto"/>
              </w:rPr>
              <w:t>List of Subsidiaries of Registrant</w:t>
            </w:r>
          </w:p>
        </w:tc>
        <w:tc>
          <w:tcPr>
            <w:tcW w:w="24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4"/>
              </w:rPr>
              <w:t>Filed herewith</w:t>
            </w:r>
          </w:p>
        </w:tc>
      </w:tr>
      <w:tr>
        <w:trPr>
          <w:trHeight w:val="472"/>
        </w:trPr>
        <w:tc>
          <w:tcPr>
            <w:tcW w:w="1860" w:type="dxa"/>
            <w:vAlign w:val="bottom"/>
          </w:tcPr>
          <w:p>
            <w:pPr>
              <w:spacing w:after="0"/>
              <w:rPr>
                <w:sz w:val="20"/>
                <w:szCs w:val="20"/>
                <w:color w:val="auto"/>
              </w:rPr>
            </w:pPr>
            <w:r>
              <w:rPr>
                <w:rFonts w:ascii="Arial" w:cs="Arial" w:eastAsia="Arial" w:hAnsi="Arial"/>
                <w:sz w:val="18"/>
                <w:szCs w:val="18"/>
                <w:color w:val="auto"/>
              </w:rPr>
              <w:t>23 .1</w:t>
            </w:r>
          </w:p>
        </w:tc>
        <w:tc>
          <w:tcPr>
            <w:tcW w:w="7700" w:type="dxa"/>
            <w:vAlign w:val="bottom"/>
            <w:gridSpan w:val="2"/>
          </w:tcPr>
          <w:p>
            <w:pPr>
              <w:ind w:left="220"/>
              <w:spacing w:after="0"/>
              <w:rPr>
                <w:sz w:val="20"/>
                <w:szCs w:val="20"/>
                <w:color w:val="auto"/>
              </w:rPr>
            </w:pPr>
            <w:r>
              <w:rPr>
                <w:rFonts w:ascii="Arial" w:cs="Arial" w:eastAsia="Arial" w:hAnsi="Arial"/>
                <w:sz w:val="18"/>
                <w:szCs w:val="18"/>
                <w:color w:val="auto"/>
                <w:w w:val="91"/>
              </w:rPr>
              <w:t>Consent of Independent Registered Public Accounting Firm to incorporation by reference of 2007 audit</w:t>
            </w: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57"/>
        </w:trPr>
        <w:tc>
          <w:tcPr>
            <w:tcW w:w="1860" w:type="dxa"/>
            <w:vAlign w:val="bottom"/>
          </w:tcPr>
          <w:p>
            <w:pPr>
              <w:spacing w:after="0"/>
              <w:rPr>
                <w:sz w:val="22"/>
                <w:szCs w:val="22"/>
                <w:color w:val="auto"/>
              </w:rPr>
            </w:pPr>
          </w:p>
        </w:tc>
        <w:tc>
          <w:tcPr>
            <w:tcW w:w="7700" w:type="dxa"/>
            <w:vAlign w:val="bottom"/>
            <w:gridSpan w:val="2"/>
          </w:tcPr>
          <w:p>
            <w:pPr>
              <w:ind w:left="220"/>
              <w:spacing w:after="0"/>
              <w:rPr>
                <w:sz w:val="20"/>
                <w:szCs w:val="20"/>
                <w:color w:val="auto"/>
              </w:rPr>
            </w:pPr>
            <w:r>
              <w:rPr>
                <w:rFonts w:ascii="Arial" w:cs="Arial" w:eastAsia="Arial" w:hAnsi="Arial"/>
                <w:sz w:val="18"/>
                <w:szCs w:val="18"/>
                <w:color w:val="auto"/>
              </w:rPr>
              <w:t>report in Registrant’s Form S-8 Registration Statement.</w:t>
            </w:r>
          </w:p>
        </w:tc>
        <w:tc>
          <w:tcPr>
            <w:tcW w:w="240" w:type="dxa"/>
            <w:vAlign w:val="bottom"/>
          </w:tcPr>
          <w:p>
            <w:pPr>
              <w:spacing w:after="0"/>
              <w:rPr>
                <w:sz w:val="22"/>
                <w:szCs w:val="22"/>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4"/>
              </w:rPr>
              <w:t>Filed herewith</w:t>
            </w:r>
          </w:p>
        </w:tc>
      </w:tr>
      <w:tr>
        <w:trPr>
          <w:trHeight w:val="459"/>
        </w:trPr>
        <w:tc>
          <w:tcPr>
            <w:tcW w:w="1860" w:type="dxa"/>
            <w:vAlign w:val="bottom"/>
          </w:tcPr>
          <w:p>
            <w:pPr>
              <w:spacing w:after="0"/>
              <w:rPr>
                <w:sz w:val="20"/>
                <w:szCs w:val="20"/>
                <w:color w:val="auto"/>
              </w:rPr>
            </w:pPr>
            <w:r>
              <w:rPr>
                <w:rFonts w:ascii="Arial" w:cs="Arial" w:eastAsia="Arial" w:hAnsi="Arial"/>
                <w:sz w:val="18"/>
                <w:szCs w:val="18"/>
                <w:color w:val="auto"/>
              </w:rPr>
              <w:t>31.1</w:t>
            </w:r>
          </w:p>
        </w:tc>
        <w:tc>
          <w:tcPr>
            <w:tcW w:w="7700" w:type="dxa"/>
            <w:vAlign w:val="bottom"/>
            <w:gridSpan w:val="2"/>
          </w:tcPr>
          <w:p>
            <w:pPr>
              <w:ind w:left="220"/>
              <w:spacing w:after="0"/>
              <w:rPr>
                <w:sz w:val="20"/>
                <w:szCs w:val="20"/>
                <w:color w:val="auto"/>
              </w:rPr>
            </w:pPr>
            <w:r>
              <w:rPr>
                <w:rFonts w:ascii="Arial" w:cs="Arial" w:eastAsia="Arial" w:hAnsi="Arial"/>
                <w:sz w:val="18"/>
                <w:szCs w:val="18"/>
                <w:color w:val="auto"/>
                <w:w w:val="92"/>
              </w:rPr>
              <w:t>Certification of the Chief Executive Officer pursuant to Section 302 of the Sarbanes-Oxley Act of 2002</w:t>
            </w:r>
          </w:p>
        </w:tc>
        <w:tc>
          <w:tcPr>
            <w:tcW w:w="24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4"/>
              </w:rPr>
              <w:t>Filed herewith</w:t>
            </w:r>
          </w:p>
        </w:tc>
      </w:tr>
      <w:tr>
        <w:trPr>
          <w:trHeight w:val="486"/>
        </w:trPr>
        <w:tc>
          <w:tcPr>
            <w:tcW w:w="1860" w:type="dxa"/>
            <w:vAlign w:val="bottom"/>
          </w:tcPr>
          <w:p>
            <w:pPr>
              <w:spacing w:after="0"/>
              <w:rPr>
                <w:sz w:val="20"/>
                <w:szCs w:val="20"/>
                <w:color w:val="auto"/>
              </w:rPr>
            </w:pPr>
            <w:r>
              <w:rPr>
                <w:rFonts w:ascii="Arial" w:cs="Arial" w:eastAsia="Arial" w:hAnsi="Arial"/>
                <w:sz w:val="18"/>
                <w:szCs w:val="18"/>
                <w:color w:val="auto"/>
              </w:rPr>
              <w:t>31.2</w:t>
            </w:r>
          </w:p>
        </w:tc>
        <w:tc>
          <w:tcPr>
            <w:tcW w:w="7700" w:type="dxa"/>
            <w:vAlign w:val="bottom"/>
            <w:gridSpan w:val="2"/>
          </w:tcPr>
          <w:p>
            <w:pPr>
              <w:ind w:left="220"/>
              <w:spacing w:after="0"/>
              <w:rPr>
                <w:sz w:val="20"/>
                <w:szCs w:val="20"/>
                <w:color w:val="auto"/>
              </w:rPr>
            </w:pPr>
            <w:r>
              <w:rPr>
                <w:rFonts w:ascii="Arial" w:cs="Arial" w:eastAsia="Arial" w:hAnsi="Arial"/>
                <w:sz w:val="18"/>
                <w:szCs w:val="18"/>
                <w:color w:val="auto"/>
                <w:w w:val="92"/>
              </w:rPr>
              <w:t>Certification of the Chief Financial Officer pursuant to Section 302 of the Sarbanes-Oxley Act of 2002</w:t>
            </w:r>
          </w:p>
        </w:tc>
        <w:tc>
          <w:tcPr>
            <w:tcW w:w="24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4"/>
              </w:rPr>
              <w:t>Filed herewith</w:t>
            </w:r>
          </w:p>
        </w:tc>
      </w:tr>
      <w:tr>
        <w:trPr>
          <w:trHeight w:val="486"/>
        </w:trPr>
        <w:tc>
          <w:tcPr>
            <w:tcW w:w="1860" w:type="dxa"/>
            <w:vAlign w:val="bottom"/>
          </w:tcPr>
          <w:p>
            <w:pPr>
              <w:spacing w:after="0"/>
              <w:rPr>
                <w:sz w:val="20"/>
                <w:szCs w:val="20"/>
                <w:color w:val="auto"/>
              </w:rPr>
            </w:pPr>
            <w:r>
              <w:rPr>
                <w:rFonts w:ascii="Arial" w:cs="Arial" w:eastAsia="Arial" w:hAnsi="Arial"/>
                <w:sz w:val="18"/>
                <w:szCs w:val="18"/>
                <w:color w:val="auto"/>
              </w:rPr>
              <w:t>32.1</w:t>
            </w:r>
          </w:p>
        </w:tc>
        <w:tc>
          <w:tcPr>
            <w:tcW w:w="7700" w:type="dxa"/>
            <w:vAlign w:val="bottom"/>
            <w:gridSpan w:val="2"/>
          </w:tcPr>
          <w:p>
            <w:pPr>
              <w:ind w:left="220"/>
              <w:spacing w:after="0"/>
              <w:rPr>
                <w:sz w:val="20"/>
                <w:szCs w:val="20"/>
                <w:color w:val="auto"/>
              </w:rPr>
            </w:pPr>
            <w:r>
              <w:rPr>
                <w:rFonts w:ascii="Arial" w:cs="Arial" w:eastAsia="Arial" w:hAnsi="Arial"/>
                <w:sz w:val="18"/>
                <w:szCs w:val="18"/>
                <w:color w:val="auto"/>
                <w:w w:val="92"/>
              </w:rPr>
              <w:t>Certification of the Chief Executive Officer pursuant to Section 906 of the Sarbanes-Oxley Act of 2002</w:t>
            </w:r>
          </w:p>
        </w:tc>
        <w:tc>
          <w:tcPr>
            <w:tcW w:w="24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4"/>
              </w:rPr>
              <w:t>Filed herewith</w:t>
            </w:r>
          </w:p>
        </w:tc>
      </w:tr>
      <w:tr>
        <w:trPr>
          <w:trHeight w:val="486"/>
        </w:trPr>
        <w:tc>
          <w:tcPr>
            <w:tcW w:w="1860" w:type="dxa"/>
            <w:vAlign w:val="bottom"/>
          </w:tcPr>
          <w:p>
            <w:pPr>
              <w:spacing w:after="0"/>
              <w:rPr>
                <w:sz w:val="20"/>
                <w:szCs w:val="20"/>
                <w:color w:val="auto"/>
              </w:rPr>
            </w:pPr>
            <w:r>
              <w:rPr>
                <w:rFonts w:ascii="Arial" w:cs="Arial" w:eastAsia="Arial" w:hAnsi="Arial"/>
                <w:sz w:val="18"/>
                <w:szCs w:val="18"/>
                <w:color w:val="auto"/>
              </w:rPr>
              <w:t>32.2</w:t>
            </w:r>
          </w:p>
        </w:tc>
        <w:tc>
          <w:tcPr>
            <w:tcW w:w="7700" w:type="dxa"/>
            <w:vAlign w:val="bottom"/>
            <w:gridSpan w:val="2"/>
          </w:tcPr>
          <w:p>
            <w:pPr>
              <w:ind w:left="220"/>
              <w:spacing w:after="0"/>
              <w:rPr>
                <w:sz w:val="20"/>
                <w:szCs w:val="20"/>
                <w:color w:val="auto"/>
              </w:rPr>
            </w:pPr>
            <w:r>
              <w:rPr>
                <w:rFonts w:ascii="Arial" w:cs="Arial" w:eastAsia="Arial" w:hAnsi="Arial"/>
                <w:sz w:val="18"/>
                <w:szCs w:val="18"/>
                <w:color w:val="auto"/>
                <w:w w:val="92"/>
              </w:rPr>
              <w:t>Certification of the Chief Financial Officer pursuant to Section 906 of the Sarbanes-Oxley Act of 2002</w:t>
            </w:r>
          </w:p>
        </w:tc>
        <w:tc>
          <w:tcPr>
            <w:tcW w:w="24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4"/>
              </w:rPr>
              <w:t>Filed herewith</w:t>
            </w:r>
          </w:p>
        </w:tc>
      </w:tr>
      <w:tr>
        <w:trPr>
          <w:trHeight w:val="472"/>
        </w:trPr>
        <w:tc>
          <w:tcPr>
            <w:tcW w:w="1860" w:type="dxa"/>
            <w:vAlign w:val="bottom"/>
          </w:tcPr>
          <w:p>
            <w:pPr>
              <w:spacing w:after="0"/>
              <w:rPr>
                <w:sz w:val="20"/>
                <w:szCs w:val="20"/>
                <w:color w:val="auto"/>
              </w:rPr>
            </w:pPr>
            <w:r>
              <w:rPr>
                <w:rFonts w:ascii="Arial" w:cs="Arial" w:eastAsia="Arial" w:hAnsi="Arial"/>
                <w:sz w:val="18"/>
                <w:szCs w:val="18"/>
                <w:color w:val="auto"/>
              </w:rPr>
              <w:t>99</w:t>
            </w:r>
          </w:p>
        </w:tc>
        <w:tc>
          <w:tcPr>
            <w:tcW w:w="7700" w:type="dxa"/>
            <w:vAlign w:val="bottom"/>
            <w:gridSpan w:val="2"/>
          </w:tcPr>
          <w:p>
            <w:pPr>
              <w:ind w:left="220"/>
              <w:spacing w:after="0"/>
              <w:rPr>
                <w:sz w:val="20"/>
                <w:szCs w:val="20"/>
                <w:color w:val="auto"/>
              </w:rPr>
            </w:pPr>
            <w:r>
              <w:rPr>
                <w:rFonts w:ascii="Arial" w:cs="Arial" w:eastAsia="Arial" w:hAnsi="Arial"/>
                <w:sz w:val="18"/>
                <w:szCs w:val="18"/>
                <w:color w:val="auto"/>
                <w:w w:val="93"/>
              </w:rPr>
              <w:t>Audited financial statements of Morion, Inc. for the year ended December 31, 2006, pursuant to Rule</w:t>
            </w: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230"/>
        </w:trPr>
        <w:tc>
          <w:tcPr>
            <w:tcW w:w="1860" w:type="dxa"/>
            <w:vAlign w:val="bottom"/>
          </w:tcPr>
          <w:p>
            <w:pPr>
              <w:spacing w:after="0"/>
              <w:rPr>
                <w:sz w:val="20"/>
                <w:szCs w:val="20"/>
                <w:color w:val="auto"/>
              </w:rPr>
            </w:pPr>
          </w:p>
        </w:tc>
        <w:tc>
          <w:tcPr>
            <w:tcW w:w="7700" w:type="dxa"/>
            <w:vAlign w:val="bottom"/>
            <w:gridSpan w:val="2"/>
          </w:tcPr>
          <w:p>
            <w:pPr>
              <w:ind w:left="220"/>
              <w:spacing w:after="0"/>
              <w:rPr>
                <w:sz w:val="20"/>
                <w:szCs w:val="20"/>
                <w:color w:val="auto"/>
              </w:rPr>
            </w:pPr>
            <w:r>
              <w:rPr>
                <w:rFonts w:ascii="Arial" w:cs="Arial" w:eastAsia="Arial" w:hAnsi="Arial"/>
                <w:sz w:val="18"/>
                <w:szCs w:val="18"/>
                <w:color w:val="auto"/>
              </w:rPr>
              <w:t>3-09 of Regulation S-X</w:t>
            </w:r>
          </w:p>
        </w:tc>
        <w:tc>
          <w:tcPr>
            <w:tcW w:w="240" w:type="dxa"/>
            <w:vAlign w:val="bottom"/>
          </w:tcPr>
          <w:p>
            <w:pPr>
              <w:spacing w:after="0"/>
              <w:rPr>
                <w:sz w:val="20"/>
                <w:szCs w:val="20"/>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4"/>
              </w:rPr>
              <w:t>Filed herewith</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279" w:lineRule="exact"/>
        <w:rPr>
          <w:sz w:val="20"/>
          <w:szCs w:val="20"/>
          <w:color w:val="auto"/>
        </w:rPr>
      </w:pPr>
    </w:p>
    <w:p>
      <w:pPr>
        <w:ind w:left="820" w:hanging="488"/>
        <w:spacing w:after="0" w:line="277" w:lineRule="auto"/>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registration statement of Registrant on Form S-1, File No. 2-29609, which exhibit is incorporated herein by reference.</w:t>
      </w:r>
    </w:p>
    <w:p>
      <w:pPr>
        <w:spacing w:after="0" w:line="224" w:lineRule="exact"/>
        <w:rPr>
          <w:rFonts w:ascii="Arial" w:cs="Arial" w:eastAsia="Arial" w:hAnsi="Arial"/>
          <w:sz w:val="18"/>
          <w:szCs w:val="18"/>
          <w:color w:val="auto"/>
        </w:rPr>
      </w:pPr>
    </w:p>
    <w:p>
      <w:pPr>
        <w:ind w:left="820" w:hanging="488"/>
        <w:spacing w:after="0" w:line="277" w:lineRule="auto"/>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registration statement of Registrant on Form S-1, File No. 2-71727, which exhibit is incorporated herein by reference.</w:t>
      </w:r>
    </w:p>
    <w:p>
      <w:pPr>
        <w:spacing w:after="0" w:line="224" w:lineRule="exact"/>
        <w:rPr>
          <w:rFonts w:ascii="Arial" w:cs="Arial" w:eastAsia="Arial" w:hAnsi="Arial"/>
          <w:sz w:val="18"/>
          <w:szCs w:val="18"/>
          <w:color w:val="auto"/>
        </w:rPr>
      </w:pPr>
    </w:p>
    <w:p>
      <w:pPr>
        <w:ind w:left="820" w:right="20" w:hanging="488"/>
        <w:spacing w:after="0" w:line="277" w:lineRule="auto"/>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annual report of Registrant on Form 10-K, File No. 1-8061 for the year ended April 30, 1981, which exhibit is incorporated herein by reference.</w:t>
      </w:r>
    </w:p>
    <w:p>
      <w:pPr>
        <w:spacing w:after="0" w:line="224" w:lineRule="exact"/>
        <w:rPr>
          <w:rFonts w:ascii="Arial" w:cs="Arial" w:eastAsia="Arial" w:hAnsi="Arial"/>
          <w:sz w:val="18"/>
          <w:szCs w:val="18"/>
          <w:color w:val="auto"/>
        </w:rPr>
      </w:pPr>
    </w:p>
    <w:p>
      <w:pPr>
        <w:ind w:left="820" w:hanging="488"/>
        <w:spacing w:after="0" w:line="277" w:lineRule="auto"/>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registration statement of Registrant on Form S-1, File No. 2-69527, which exhibit is incorporated herein by reference.</w:t>
      </w:r>
    </w:p>
    <w:p>
      <w:pPr>
        <w:spacing w:after="0" w:line="224" w:lineRule="exact"/>
        <w:rPr>
          <w:rFonts w:ascii="Arial" w:cs="Arial" w:eastAsia="Arial" w:hAnsi="Arial"/>
          <w:sz w:val="18"/>
          <w:szCs w:val="18"/>
          <w:color w:val="auto"/>
        </w:rPr>
      </w:pPr>
    </w:p>
    <w:p>
      <w:pPr>
        <w:ind w:left="820" w:hanging="488"/>
        <w:spacing w:after="0" w:line="277" w:lineRule="auto"/>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annual report of Registrant on Form 10-K, File No. 1-8061, for the year ended April 30, 1985, which exhibit is incorporated herein by reference.</w:t>
      </w:r>
    </w:p>
    <w:p>
      <w:pPr>
        <w:spacing w:after="0" w:line="224" w:lineRule="exact"/>
        <w:rPr>
          <w:rFonts w:ascii="Arial" w:cs="Arial" w:eastAsia="Arial" w:hAnsi="Arial"/>
          <w:sz w:val="18"/>
          <w:szCs w:val="18"/>
          <w:color w:val="auto"/>
        </w:rPr>
      </w:pPr>
    </w:p>
    <w:p>
      <w:pPr>
        <w:ind w:left="820" w:hanging="488"/>
        <w:spacing w:after="0" w:line="277" w:lineRule="auto"/>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Filed with the SEC as exhibit, numbered as indicated above, to the annual report of Registrant on Form 10-K, File No. 1-8061, for the year ended April 30, 1986, which exhibit is incorporated herein by reference.</w:t>
      </w:r>
    </w:p>
    <w:p>
      <w:pPr>
        <w:spacing w:after="0" w:line="224" w:lineRule="exact"/>
        <w:rPr>
          <w:rFonts w:ascii="Arial" w:cs="Arial" w:eastAsia="Arial" w:hAnsi="Arial"/>
          <w:sz w:val="18"/>
          <w:szCs w:val="18"/>
          <w:color w:val="auto"/>
        </w:rPr>
      </w:pPr>
    </w:p>
    <w:p>
      <w:pPr>
        <w:ind w:left="820" w:hanging="488"/>
        <w:spacing w:after="0" w:line="277" w:lineRule="auto"/>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annual report of Registrant on Form 10-K, File No. 1-8061, for the year ended April 30, 1987, which exhibit is incorporated herein by reference.</w:t>
      </w:r>
    </w:p>
    <w:p>
      <w:pPr>
        <w:spacing w:after="0" w:line="224" w:lineRule="exact"/>
        <w:rPr>
          <w:rFonts w:ascii="Arial" w:cs="Arial" w:eastAsia="Arial" w:hAnsi="Arial"/>
          <w:sz w:val="18"/>
          <w:szCs w:val="18"/>
          <w:color w:val="auto"/>
        </w:rPr>
      </w:pPr>
    </w:p>
    <w:p>
      <w:pPr>
        <w:ind w:left="820" w:hanging="488"/>
        <w:spacing w:after="0" w:line="277" w:lineRule="auto"/>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annual report of Registrant on Form 10-K, File No. 1-8061, for the year ended April 30, 1989, which exhibit is incorporated herein by reference.</w:t>
      </w:r>
    </w:p>
    <w:p>
      <w:pPr>
        <w:spacing w:after="0" w:line="224" w:lineRule="exact"/>
        <w:rPr>
          <w:rFonts w:ascii="Arial" w:cs="Arial" w:eastAsia="Arial" w:hAnsi="Arial"/>
          <w:sz w:val="18"/>
          <w:szCs w:val="18"/>
          <w:color w:val="auto"/>
        </w:rPr>
      </w:pPr>
    </w:p>
    <w:p>
      <w:pPr>
        <w:ind w:left="820" w:hanging="488"/>
        <w:spacing w:after="0" w:line="277" w:lineRule="auto"/>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annual report of Registrant on Form 10-K, File No. 1-8061, for the year ended April 30, 1990, which exhibit is incorporated herein by reference.</w:t>
      </w:r>
    </w:p>
    <w:p>
      <w:pPr>
        <w:spacing w:after="0" w:line="224" w:lineRule="exact"/>
        <w:rPr>
          <w:rFonts w:ascii="Arial" w:cs="Arial" w:eastAsia="Arial" w:hAnsi="Arial"/>
          <w:sz w:val="18"/>
          <w:szCs w:val="18"/>
          <w:color w:val="auto"/>
        </w:rPr>
      </w:pPr>
    </w:p>
    <w:p>
      <w:pPr>
        <w:ind w:left="820" w:right="20" w:hanging="488"/>
        <w:spacing w:after="0" w:line="277" w:lineRule="auto"/>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registration statement of Registrant on Form S-8, File No. 333-42233, which exhibit is incorporated herein by reference.</w:t>
      </w:r>
    </w:p>
    <w:p>
      <w:pPr>
        <w:spacing w:after="0" w:line="224" w:lineRule="exact"/>
        <w:rPr>
          <w:rFonts w:ascii="Arial" w:cs="Arial" w:eastAsia="Arial" w:hAnsi="Arial"/>
          <w:sz w:val="18"/>
          <w:szCs w:val="18"/>
          <w:color w:val="auto"/>
        </w:rPr>
      </w:pPr>
    </w:p>
    <w:p>
      <w:pPr>
        <w:ind w:left="820" w:hanging="488"/>
        <w:spacing w:after="0" w:line="277" w:lineRule="auto"/>
        <w:tabs>
          <w:tab w:leader="none" w:pos="8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Filed with the SEC as an exhibit, numbered as indicated above, to the annual report of Registrant on Form 10-K, File No. 1-8061, for the year ended April 30, 1998, which exhibit is incorporated herein by reference.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02"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color w:val="auto"/>
        </w:rPr>
        <w:t>Exhibit 21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FREQUENCY ELECTRONICS, INC. and SUBSIDIARIES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60" w:type="dxa"/>
            <w:vAlign w:val="bottom"/>
          </w:tcPr>
          <w:p>
            <w:pPr>
              <w:spacing w:after="0"/>
              <w:rPr>
                <w:sz w:val="20"/>
                <w:szCs w:val="20"/>
                <w:color w:val="auto"/>
              </w:rPr>
            </w:pPr>
          </w:p>
        </w:tc>
        <w:tc>
          <w:tcPr>
            <w:tcW w:w="7160" w:type="dxa"/>
            <w:vAlign w:val="bottom"/>
            <w:gridSpan w:val="3"/>
          </w:tcPr>
          <w:p>
            <w:pPr>
              <w:ind w:left="260"/>
              <w:spacing w:after="0"/>
              <w:rPr>
                <w:sz w:val="20"/>
                <w:szCs w:val="20"/>
                <w:color w:val="auto"/>
              </w:rPr>
            </w:pPr>
            <w:r>
              <w:rPr>
                <w:rFonts w:ascii="Arial" w:cs="Arial" w:eastAsia="Arial" w:hAnsi="Arial"/>
                <w:sz w:val="18"/>
                <w:szCs w:val="18"/>
                <w:color w:val="auto"/>
              </w:rPr>
              <w:t>List of Subsidiaries of Registrant</w:t>
            </w:r>
          </w:p>
        </w:tc>
      </w:tr>
      <w:tr>
        <w:trPr>
          <w:trHeight w:val="432"/>
        </w:trPr>
        <w:tc>
          <w:tcPr>
            <w:tcW w:w="4260" w:type="dxa"/>
            <w:vAlign w:val="bottom"/>
          </w:tcPr>
          <w:p>
            <w:pPr>
              <w:ind w:left="2020"/>
              <w:spacing w:after="0"/>
              <w:rPr>
                <w:sz w:val="20"/>
                <w:szCs w:val="20"/>
                <w:color w:val="auto"/>
              </w:rPr>
            </w:pPr>
            <w:r>
              <w:rPr>
                <w:rFonts w:ascii="Arial" w:cs="Arial" w:eastAsia="Arial" w:hAnsi="Arial"/>
                <w:sz w:val="18"/>
                <w:szCs w:val="18"/>
                <w:color w:val="auto"/>
              </w:rPr>
              <w:t>Subsidiary &amp; Name under</w:t>
            </w:r>
          </w:p>
        </w:tc>
        <w:tc>
          <w:tcPr>
            <w:tcW w:w="1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243"/>
        </w:trPr>
        <w:tc>
          <w:tcPr>
            <w:tcW w:w="4260" w:type="dxa"/>
            <w:vAlign w:val="bottom"/>
          </w:tcPr>
          <w:p>
            <w:pPr>
              <w:ind w:left="1940"/>
              <w:spacing w:after="0"/>
              <w:rPr>
                <w:sz w:val="20"/>
                <w:szCs w:val="20"/>
                <w:color w:val="auto"/>
              </w:rPr>
            </w:pPr>
            <w:r>
              <w:rPr>
                <w:rFonts w:ascii="Arial" w:cs="Arial" w:eastAsia="Arial" w:hAnsi="Arial"/>
                <w:sz w:val="18"/>
                <w:szCs w:val="18"/>
                <w:color w:val="auto"/>
              </w:rPr>
              <w:t>which business is performed</w:t>
            </w:r>
          </w:p>
        </w:tc>
        <w:tc>
          <w:tcPr>
            <w:tcW w:w="16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100" w:type="dxa"/>
            <w:vAlign w:val="bottom"/>
          </w:tcPr>
          <w:p>
            <w:pPr>
              <w:jc w:val="center"/>
              <w:spacing w:after="0"/>
              <w:rPr>
                <w:sz w:val="20"/>
                <w:szCs w:val="20"/>
                <w:color w:val="auto"/>
              </w:rPr>
            </w:pPr>
            <w:r>
              <w:rPr>
                <w:rFonts w:ascii="Arial" w:cs="Arial" w:eastAsia="Arial" w:hAnsi="Arial"/>
                <w:sz w:val="18"/>
                <w:szCs w:val="18"/>
                <w:color w:val="auto"/>
                <w:w w:val="93"/>
              </w:rPr>
              <w:t>Jurisdiction of Incorporation</w:t>
            </w:r>
          </w:p>
        </w:tc>
      </w:tr>
      <w:tr>
        <w:trPr>
          <w:trHeight w:val="27"/>
        </w:trPr>
        <w:tc>
          <w:tcPr>
            <w:tcW w:w="4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r>
      <w:tr>
        <w:trPr>
          <w:trHeight w:val="453"/>
        </w:trPr>
        <w:tc>
          <w:tcPr>
            <w:tcW w:w="4260" w:type="dxa"/>
            <w:vAlign w:val="bottom"/>
          </w:tcPr>
          <w:p>
            <w:pPr>
              <w:spacing w:after="0"/>
              <w:rPr>
                <w:sz w:val="20"/>
                <w:szCs w:val="20"/>
                <w:color w:val="auto"/>
              </w:rPr>
            </w:pPr>
            <w:r>
              <w:rPr>
                <w:rFonts w:ascii="Arial" w:cs="Arial" w:eastAsia="Arial" w:hAnsi="Arial"/>
                <w:sz w:val="18"/>
                <w:szCs w:val="18"/>
                <w:color w:val="auto"/>
              </w:rPr>
              <w:t>Frequency Electronics, Inc.</w:t>
            </w:r>
          </w:p>
        </w:tc>
        <w:tc>
          <w:tcPr>
            <w:tcW w:w="1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10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486"/>
        </w:trPr>
        <w:tc>
          <w:tcPr>
            <w:tcW w:w="4260" w:type="dxa"/>
            <w:vAlign w:val="bottom"/>
          </w:tcPr>
          <w:p>
            <w:pPr>
              <w:spacing w:after="0"/>
              <w:rPr>
                <w:sz w:val="20"/>
                <w:szCs w:val="20"/>
                <w:color w:val="auto"/>
              </w:rPr>
            </w:pPr>
            <w:r>
              <w:rPr>
                <w:rFonts w:ascii="Arial" w:cs="Arial" w:eastAsia="Arial" w:hAnsi="Arial"/>
                <w:sz w:val="18"/>
                <w:szCs w:val="18"/>
                <w:color w:val="auto"/>
              </w:rPr>
              <w:t>FEI Communications, Inc.</w:t>
            </w:r>
          </w:p>
        </w:tc>
        <w:tc>
          <w:tcPr>
            <w:tcW w:w="1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10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486"/>
        </w:trPr>
        <w:tc>
          <w:tcPr>
            <w:tcW w:w="4260" w:type="dxa"/>
            <w:vAlign w:val="bottom"/>
          </w:tcPr>
          <w:p>
            <w:pPr>
              <w:spacing w:after="0"/>
              <w:rPr>
                <w:sz w:val="20"/>
                <w:szCs w:val="20"/>
                <w:color w:val="auto"/>
              </w:rPr>
            </w:pPr>
            <w:r>
              <w:rPr>
                <w:rFonts w:ascii="Arial" w:cs="Arial" w:eastAsia="Arial" w:hAnsi="Arial"/>
                <w:sz w:val="18"/>
                <w:szCs w:val="18"/>
                <w:color w:val="auto"/>
              </w:rPr>
              <w:t>FEI Government Systems, Inc.</w:t>
            </w:r>
          </w:p>
        </w:tc>
        <w:tc>
          <w:tcPr>
            <w:tcW w:w="1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10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486"/>
        </w:trPr>
        <w:tc>
          <w:tcPr>
            <w:tcW w:w="4260" w:type="dxa"/>
            <w:vAlign w:val="bottom"/>
          </w:tcPr>
          <w:p>
            <w:pPr>
              <w:spacing w:after="0"/>
              <w:rPr>
                <w:sz w:val="20"/>
                <w:szCs w:val="20"/>
                <w:color w:val="auto"/>
              </w:rPr>
            </w:pPr>
            <w:r>
              <w:rPr>
                <w:rFonts w:ascii="Arial" w:cs="Arial" w:eastAsia="Arial" w:hAnsi="Arial"/>
                <w:sz w:val="18"/>
                <w:szCs w:val="18"/>
                <w:color w:val="auto"/>
              </w:rPr>
              <w:t>FEI Realty, Inc. (Inactive)</w:t>
            </w:r>
          </w:p>
        </w:tc>
        <w:tc>
          <w:tcPr>
            <w:tcW w:w="1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10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486"/>
        </w:trPr>
        <w:tc>
          <w:tcPr>
            <w:tcW w:w="4260" w:type="dxa"/>
            <w:vAlign w:val="bottom"/>
          </w:tcPr>
          <w:p>
            <w:pPr>
              <w:spacing w:after="0"/>
              <w:rPr>
                <w:sz w:val="20"/>
                <w:szCs w:val="20"/>
                <w:color w:val="auto"/>
              </w:rPr>
            </w:pPr>
            <w:r>
              <w:rPr>
                <w:rFonts w:ascii="Arial" w:cs="Arial" w:eastAsia="Arial" w:hAnsi="Arial"/>
                <w:sz w:val="18"/>
                <w:szCs w:val="18"/>
                <w:color w:val="auto"/>
              </w:rPr>
              <w:t>Monitor Corp. (Inactive)</w:t>
            </w:r>
          </w:p>
        </w:tc>
        <w:tc>
          <w:tcPr>
            <w:tcW w:w="1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10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486"/>
        </w:trPr>
        <w:tc>
          <w:tcPr>
            <w:tcW w:w="4260" w:type="dxa"/>
            <w:vAlign w:val="bottom"/>
          </w:tcPr>
          <w:p>
            <w:pPr>
              <w:spacing w:after="0"/>
              <w:rPr>
                <w:sz w:val="20"/>
                <w:szCs w:val="20"/>
                <w:color w:val="auto"/>
              </w:rPr>
            </w:pPr>
            <w:r>
              <w:rPr>
                <w:rFonts w:ascii="Arial" w:cs="Arial" w:eastAsia="Arial" w:hAnsi="Arial"/>
                <w:sz w:val="18"/>
                <w:szCs w:val="18"/>
                <w:color w:val="auto"/>
              </w:rPr>
              <w:t>FEI Zyfer, Inc.</w:t>
            </w:r>
          </w:p>
        </w:tc>
        <w:tc>
          <w:tcPr>
            <w:tcW w:w="1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100" w:type="dxa"/>
            <w:vAlign w:val="bottom"/>
          </w:tcPr>
          <w:p>
            <w:pPr>
              <w:jc w:val="center"/>
              <w:spacing w:after="0"/>
              <w:rPr>
                <w:sz w:val="20"/>
                <w:szCs w:val="20"/>
                <w:color w:val="auto"/>
              </w:rPr>
            </w:pPr>
            <w:r>
              <w:rPr>
                <w:rFonts w:ascii="Arial" w:cs="Arial" w:eastAsia="Arial" w:hAnsi="Arial"/>
                <w:sz w:val="18"/>
                <w:szCs w:val="18"/>
                <w:color w:val="auto"/>
                <w:w w:val="92"/>
              </w:rPr>
              <w:t>Delaware</w:t>
            </w:r>
          </w:p>
        </w:tc>
      </w:tr>
      <w:tr>
        <w:trPr>
          <w:trHeight w:val="486"/>
        </w:trPr>
        <w:tc>
          <w:tcPr>
            <w:tcW w:w="4260" w:type="dxa"/>
            <w:vAlign w:val="bottom"/>
          </w:tcPr>
          <w:p>
            <w:pPr>
              <w:spacing w:after="0"/>
              <w:rPr>
                <w:sz w:val="20"/>
                <w:szCs w:val="20"/>
                <w:color w:val="auto"/>
              </w:rPr>
            </w:pPr>
            <w:r>
              <w:rPr>
                <w:rFonts w:ascii="Arial" w:cs="Arial" w:eastAsia="Arial" w:hAnsi="Arial"/>
                <w:sz w:val="18"/>
                <w:szCs w:val="18"/>
                <w:color w:val="auto"/>
              </w:rPr>
              <w:t>Gillam-FEI, s.a.</w:t>
            </w:r>
          </w:p>
        </w:tc>
        <w:tc>
          <w:tcPr>
            <w:tcW w:w="1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100" w:type="dxa"/>
            <w:vAlign w:val="bottom"/>
          </w:tcPr>
          <w:p>
            <w:pPr>
              <w:jc w:val="center"/>
              <w:spacing w:after="0"/>
              <w:rPr>
                <w:sz w:val="20"/>
                <w:szCs w:val="20"/>
                <w:color w:val="auto"/>
              </w:rPr>
            </w:pPr>
            <w:r>
              <w:rPr>
                <w:rFonts w:ascii="Arial" w:cs="Arial" w:eastAsia="Arial" w:hAnsi="Arial"/>
                <w:sz w:val="18"/>
                <w:szCs w:val="18"/>
                <w:color w:val="auto"/>
                <w:w w:val="95"/>
              </w:rPr>
              <w:t>Belgium</w:t>
            </w:r>
          </w:p>
        </w:tc>
      </w:tr>
      <w:tr>
        <w:trPr>
          <w:trHeight w:val="486"/>
        </w:trPr>
        <w:tc>
          <w:tcPr>
            <w:tcW w:w="4260" w:type="dxa"/>
            <w:vAlign w:val="bottom"/>
          </w:tcPr>
          <w:p>
            <w:pPr>
              <w:spacing w:after="0"/>
              <w:rPr>
                <w:sz w:val="20"/>
                <w:szCs w:val="20"/>
                <w:color w:val="auto"/>
              </w:rPr>
            </w:pPr>
            <w:r>
              <w:rPr>
                <w:rFonts w:ascii="Arial" w:cs="Arial" w:eastAsia="Arial" w:hAnsi="Arial"/>
                <w:sz w:val="18"/>
                <w:szCs w:val="18"/>
                <w:color w:val="auto"/>
              </w:rPr>
              <w:t>Satel-FEI, s.a.</w:t>
            </w:r>
          </w:p>
        </w:tc>
        <w:tc>
          <w:tcPr>
            <w:tcW w:w="1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100" w:type="dxa"/>
            <w:vAlign w:val="bottom"/>
          </w:tcPr>
          <w:p>
            <w:pPr>
              <w:jc w:val="center"/>
              <w:spacing w:after="0"/>
              <w:rPr>
                <w:sz w:val="20"/>
                <w:szCs w:val="20"/>
                <w:color w:val="auto"/>
              </w:rPr>
            </w:pPr>
            <w:r>
              <w:rPr>
                <w:rFonts w:ascii="Arial" w:cs="Arial" w:eastAsia="Arial" w:hAnsi="Arial"/>
                <w:sz w:val="18"/>
                <w:szCs w:val="18"/>
                <w:color w:val="auto"/>
                <w:w w:val="89"/>
              </w:rPr>
              <w:t>France</w:t>
            </w:r>
          </w:p>
        </w:tc>
      </w:tr>
      <w:tr>
        <w:trPr>
          <w:trHeight w:val="486"/>
        </w:trPr>
        <w:tc>
          <w:tcPr>
            <w:tcW w:w="4260" w:type="dxa"/>
            <w:vAlign w:val="bottom"/>
          </w:tcPr>
          <w:p>
            <w:pPr>
              <w:spacing w:after="0"/>
              <w:rPr>
                <w:sz w:val="20"/>
                <w:szCs w:val="20"/>
                <w:color w:val="auto"/>
              </w:rPr>
            </w:pPr>
            <w:r>
              <w:rPr>
                <w:rFonts w:ascii="Arial" w:cs="Arial" w:eastAsia="Arial" w:hAnsi="Arial"/>
                <w:sz w:val="18"/>
                <w:szCs w:val="18"/>
                <w:color w:val="auto"/>
              </w:rPr>
              <w:t>Frequency Electronics, Inc. Asia</w:t>
            </w:r>
          </w:p>
        </w:tc>
        <w:tc>
          <w:tcPr>
            <w:tcW w:w="1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100" w:type="dxa"/>
            <w:vAlign w:val="bottom"/>
          </w:tcPr>
          <w:p>
            <w:pPr>
              <w:jc w:val="center"/>
              <w:spacing w:after="0"/>
              <w:rPr>
                <w:sz w:val="20"/>
                <w:szCs w:val="20"/>
                <w:color w:val="auto"/>
              </w:rPr>
            </w:pPr>
            <w:r>
              <w:rPr>
                <w:rFonts w:ascii="Arial" w:cs="Arial" w:eastAsia="Arial" w:hAnsi="Arial"/>
                <w:sz w:val="18"/>
                <w:szCs w:val="18"/>
                <w:color w:val="auto"/>
                <w:w w:val="91"/>
              </w:rPr>
              <w:t>People’s Republic of China</w:t>
            </w:r>
          </w:p>
        </w:tc>
      </w:tr>
      <w:tr>
        <w:trPr>
          <w:trHeight w:val="415"/>
        </w:trPr>
        <w:tc>
          <w:tcPr>
            <w:tcW w:w="4260" w:type="dxa"/>
            <w:vAlign w:val="bottom"/>
            <w:tcBorders>
              <w:bottom w:val="single" w:sz="8" w:color="808080"/>
            </w:tcBorders>
          </w:tcPr>
          <w:p>
            <w:pPr>
              <w:spacing w:after="0"/>
              <w:rPr>
                <w:sz w:val="24"/>
                <w:szCs w:val="24"/>
                <w:color w:val="auto"/>
              </w:rPr>
            </w:pPr>
          </w:p>
        </w:tc>
        <w:tc>
          <w:tcPr>
            <w:tcW w:w="166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51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color w:val="auto"/>
        </w:rPr>
        <w:t>Exhibit 23.1a</w:t>
      </w:r>
    </w:p>
    <w:p>
      <w:pPr>
        <w:spacing w:after="0" w:line="279" w:lineRule="exact"/>
        <w:rPr>
          <w:sz w:val="20"/>
          <w:szCs w:val="20"/>
          <w:color w:val="auto"/>
        </w:rPr>
      </w:pPr>
    </w:p>
    <w:p>
      <w:pPr>
        <w:ind w:left="2900"/>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Shareholders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Frequency Electronics, Inc. 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Mitchel Field, New York</w:t>
      </w:r>
    </w:p>
    <w:p>
      <w:pPr>
        <w:spacing w:after="0" w:line="26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We hereby consent to the incorporation by reference in the Registration Statement on Form S-8 (No. 333-42233) of Frequency Electronics, Inc. of our report dated July 13, 2007 relating to the consolidated financial statements and financial statement schedule, which appears in this Form 10-K.</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/s/ Holtz Rubenstein Reminick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2593975"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593975"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Holtz Rubenstein Reminick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Melville,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July 27,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243840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color w:val="auto"/>
        </w:rPr>
        <w:t>Exhibit 31.1</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 Martin B. Bloch, Chief Executive Officer, certify that:</w:t>
      </w:r>
    </w:p>
    <w:p>
      <w:pPr>
        <w:spacing w:after="0" w:line="279" w:lineRule="exact"/>
        <w:rPr>
          <w:sz w:val="20"/>
          <w:szCs w:val="20"/>
          <w:color w:val="auto"/>
        </w:rPr>
      </w:pPr>
    </w:p>
    <w:p>
      <w:pPr>
        <w:ind w:left="180" w:hanging="172"/>
        <w:spacing w:after="0"/>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Frequency Electronics, Inc.;</w:t>
      </w:r>
    </w:p>
    <w:p>
      <w:pPr>
        <w:spacing w:after="0" w:line="279" w:lineRule="exact"/>
        <w:rPr>
          <w:rFonts w:ascii="Arial" w:cs="Arial" w:eastAsia="Arial" w:hAnsi="Arial"/>
          <w:sz w:val="18"/>
          <w:szCs w:val="18"/>
          <w:color w:val="auto"/>
        </w:rPr>
      </w:pPr>
    </w:p>
    <w:p>
      <w:pPr>
        <w:ind w:firstLine="8"/>
        <w:spacing w:after="0" w:line="342" w:lineRule="auto"/>
        <w:tabs>
          <w:tab w:leader="none" w:pos="207"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Arial" w:cs="Arial" w:eastAsia="Arial" w:hAnsi="Arial"/>
          <w:sz w:val="16"/>
          <w:szCs w:val="16"/>
          <w:color w:val="auto"/>
        </w:rPr>
      </w:pPr>
    </w:p>
    <w:p>
      <w:pPr>
        <w:ind w:right="20" w:firstLine="8"/>
        <w:spacing w:after="0" w:line="277" w:lineRule="auto"/>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8"/>
          <w:szCs w:val="18"/>
          <w:color w:val="auto"/>
        </w:rPr>
      </w:pPr>
    </w:p>
    <w:p>
      <w:pPr>
        <w:ind w:firstLine="8"/>
        <w:spacing w:after="0" w:line="277" w:lineRule="auto"/>
        <w:tabs>
          <w:tab w:leader="none" w:pos="1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24" w:lineRule="exact"/>
        <w:rPr>
          <w:rFonts w:ascii="Arial" w:cs="Arial" w:eastAsia="Arial" w:hAnsi="Arial"/>
          <w:sz w:val="18"/>
          <w:szCs w:val="18"/>
          <w:color w:val="auto"/>
        </w:rPr>
      </w:pPr>
    </w:p>
    <w:p>
      <w:pPr>
        <w:jc w:val="both"/>
        <w:ind w:left="660" w:hanging="4"/>
        <w:spacing w:after="0" w:line="264" w:lineRule="auto"/>
        <w:tabs>
          <w:tab w:leader="none" w:pos="918"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660" w:hanging="4"/>
        <w:spacing w:after="0" w:line="308" w:lineRule="auto"/>
        <w:tabs>
          <w:tab w:leader="none" w:pos="955" w:val="left"/>
        </w:tabs>
        <w:numPr>
          <w:ilvl w:val="1"/>
          <w:numId w:val="3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200" w:lineRule="exact"/>
        <w:rPr>
          <w:rFonts w:ascii="Arial" w:cs="Arial" w:eastAsia="Arial" w:hAnsi="Arial"/>
          <w:sz w:val="17"/>
          <w:szCs w:val="17"/>
          <w:color w:val="auto"/>
        </w:rPr>
      </w:pPr>
    </w:p>
    <w:p>
      <w:pPr>
        <w:jc w:val="both"/>
        <w:ind w:left="660" w:hanging="4"/>
        <w:spacing w:after="0" w:line="264" w:lineRule="auto"/>
        <w:tabs>
          <w:tab w:leader="none" w:pos="918"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5" w:lineRule="exact"/>
        <w:rPr>
          <w:rFonts w:ascii="Arial" w:cs="Arial" w:eastAsia="Arial" w:hAnsi="Arial"/>
          <w:sz w:val="18"/>
          <w:szCs w:val="18"/>
          <w:color w:val="auto"/>
        </w:rPr>
      </w:pPr>
    </w:p>
    <w:p>
      <w:pPr>
        <w:ind w:firstLine="8"/>
        <w:spacing w:after="0" w:line="277" w:lineRule="auto"/>
        <w:tabs>
          <w:tab w:leader="none" w:pos="207"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4" w:lineRule="exact"/>
        <w:rPr>
          <w:rFonts w:ascii="Arial" w:cs="Arial" w:eastAsia="Arial" w:hAnsi="Arial"/>
          <w:sz w:val="18"/>
          <w:szCs w:val="18"/>
          <w:color w:val="auto"/>
        </w:rPr>
      </w:pPr>
    </w:p>
    <w:p>
      <w:pPr>
        <w:ind w:left="660" w:hanging="4"/>
        <w:spacing w:after="0" w:line="277" w:lineRule="auto"/>
        <w:tabs>
          <w:tab w:leader="none" w:pos="905"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left="660" w:hanging="4"/>
        <w:spacing w:after="0" w:line="277" w:lineRule="auto"/>
        <w:tabs>
          <w:tab w:leader="none" w:pos="915"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2007</w:t>
      </w:r>
    </w:p>
    <w:p>
      <w:pPr>
        <w:spacing w:after="0" w:line="200" w:lineRule="exact"/>
        <w:rPr>
          <w:sz w:val="20"/>
          <w:szCs w:val="20"/>
          <w:color w:val="auto"/>
        </w:rPr>
      </w:pPr>
    </w:p>
    <w:p>
      <w:pPr>
        <w:spacing w:after="0" w:line="328"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Martin B. Bloch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wp:posOffset>
            </wp:positionH>
            <wp:positionV relativeFrom="paragraph">
              <wp:posOffset>94615</wp:posOffset>
            </wp:positionV>
            <wp:extent cx="2491105"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491105" cy="21590"/>
                    </a:xfrm>
                    <a:prstGeom prst="rect">
                      <a:avLst/>
                    </a:prstGeom>
                    <a:noFill/>
                  </pic:spPr>
                </pic:pic>
              </a:graphicData>
            </a:graphic>
          </wp:anchor>
        </w:drawing>
      </w:r>
    </w:p>
    <w:p>
      <w:pPr>
        <w:spacing w:after="0" w:line="25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Martin B. Bloch</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226695</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color w:val="auto"/>
        </w:rPr>
        <w:t>Exhibit 31.2</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 Alan L. Miller, Chief Financial Officer, certify that:</w:t>
      </w:r>
    </w:p>
    <w:p>
      <w:pPr>
        <w:spacing w:after="0" w:line="279" w:lineRule="exact"/>
        <w:rPr>
          <w:sz w:val="20"/>
          <w:szCs w:val="20"/>
          <w:color w:val="auto"/>
        </w:rPr>
      </w:pPr>
    </w:p>
    <w:p>
      <w:pPr>
        <w:ind w:left="180" w:hanging="172"/>
        <w:spacing w:after="0"/>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Frequency Electronics, Inc.;</w:t>
      </w:r>
    </w:p>
    <w:p>
      <w:pPr>
        <w:spacing w:after="0" w:line="279" w:lineRule="exact"/>
        <w:rPr>
          <w:rFonts w:ascii="Arial" w:cs="Arial" w:eastAsia="Arial" w:hAnsi="Arial"/>
          <w:sz w:val="18"/>
          <w:szCs w:val="18"/>
          <w:color w:val="auto"/>
        </w:rPr>
      </w:pPr>
    </w:p>
    <w:p>
      <w:pPr>
        <w:ind w:firstLine="8"/>
        <w:spacing w:after="0" w:line="342" w:lineRule="auto"/>
        <w:tabs>
          <w:tab w:leader="none" w:pos="207"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Arial" w:cs="Arial" w:eastAsia="Arial" w:hAnsi="Arial"/>
          <w:sz w:val="16"/>
          <w:szCs w:val="16"/>
          <w:color w:val="auto"/>
        </w:rPr>
      </w:pPr>
    </w:p>
    <w:p>
      <w:pPr>
        <w:ind w:right="20" w:firstLine="8"/>
        <w:spacing w:after="0" w:line="277" w:lineRule="auto"/>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24" w:lineRule="exact"/>
        <w:rPr>
          <w:rFonts w:ascii="Arial" w:cs="Arial" w:eastAsia="Arial" w:hAnsi="Arial"/>
          <w:sz w:val="18"/>
          <w:szCs w:val="18"/>
          <w:color w:val="auto"/>
        </w:rPr>
      </w:pPr>
    </w:p>
    <w:p>
      <w:pPr>
        <w:ind w:firstLine="8"/>
        <w:spacing w:after="0" w:line="277" w:lineRule="auto"/>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224" w:lineRule="exact"/>
        <w:rPr>
          <w:rFonts w:ascii="Arial" w:cs="Arial" w:eastAsia="Arial" w:hAnsi="Arial"/>
          <w:sz w:val="18"/>
          <w:szCs w:val="18"/>
          <w:color w:val="auto"/>
        </w:rPr>
      </w:pPr>
    </w:p>
    <w:p>
      <w:pPr>
        <w:jc w:val="both"/>
        <w:ind w:left="660" w:hanging="4"/>
        <w:spacing w:after="0" w:line="264" w:lineRule="auto"/>
        <w:tabs>
          <w:tab w:leader="none" w:pos="918" w:val="left"/>
        </w:tabs>
        <w:numPr>
          <w:ilvl w:val="1"/>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5" w:lineRule="exact"/>
        <w:rPr>
          <w:rFonts w:ascii="Arial" w:cs="Arial" w:eastAsia="Arial" w:hAnsi="Arial"/>
          <w:sz w:val="18"/>
          <w:szCs w:val="18"/>
          <w:color w:val="auto"/>
        </w:rPr>
      </w:pPr>
    </w:p>
    <w:p>
      <w:pPr>
        <w:ind w:left="660" w:hanging="4"/>
        <w:spacing w:after="0" w:line="308" w:lineRule="auto"/>
        <w:tabs>
          <w:tab w:leader="none" w:pos="955" w:val="left"/>
        </w:tabs>
        <w:numPr>
          <w:ilvl w:val="1"/>
          <w:numId w:val="3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200" w:lineRule="exact"/>
        <w:rPr>
          <w:rFonts w:ascii="Arial" w:cs="Arial" w:eastAsia="Arial" w:hAnsi="Arial"/>
          <w:sz w:val="17"/>
          <w:szCs w:val="17"/>
          <w:color w:val="auto"/>
        </w:rPr>
      </w:pPr>
    </w:p>
    <w:p>
      <w:pPr>
        <w:jc w:val="both"/>
        <w:ind w:left="660" w:hanging="4"/>
        <w:spacing w:after="0" w:line="264" w:lineRule="auto"/>
        <w:tabs>
          <w:tab w:leader="none" w:pos="918" w:val="left"/>
        </w:tabs>
        <w:numPr>
          <w:ilvl w:val="1"/>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35" w:lineRule="exact"/>
        <w:rPr>
          <w:rFonts w:ascii="Arial" w:cs="Arial" w:eastAsia="Arial" w:hAnsi="Arial"/>
          <w:sz w:val="18"/>
          <w:szCs w:val="18"/>
          <w:color w:val="auto"/>
        </w:rPr>
      </w:pPr>
    </w:p>
    <w:p>
      <w:pPr>
        <w:ind w:firstLine="8"/>
        <w:spacing w:after="0" w:line="277" w:lineRule="auto"/>
        <w:tabs>
          <w:tab w:leader="none" w:pos="207"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4" w:lineRule="exact"/>
        <w:rPr>
          <w:rFonts w:ascii="Arial" w:cs="Arial" w:eastAsia="Arial" w:hAnsi="Arial"/>
          <w:sz w:val="18"/>
          <w:szCs w:val="18"/>
          <w:color w:val="auto"/>
        </w:rPr>
      </w:pPr>
    </w:p>
    <w:p>
      <w:pPr>
        <w:ind w:left="660" w:hanging="4"/>
        <w:spacing w:after="0" w:line="277" w:lineRule="auto"/>
        <w:tabs>
          <w:tab w:leader="none" w:pos="905"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left="660" w:hanging="4"/>
        <w:spacing w:after="0" w:line="277" w:lineRule="auto"/>
        <w:tabs>
          <w:tab w:leader="none" w:pos="915"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2007</w:t>
      </w:r>
    </w:p>
    <w:p>
      <w:pPr>
        <w:spacing w:after="0" w:line="200" w:lineRule="exact"/>
        <w:rPr>
          <w:sz w:val="20"/>
          <w:szCs w:val="20"/>
          <w:color w:val="auto"/>
        </w:rPr>
      </w:pPr>
    </w:p>
    <w:p>
      <w:pPr>
        <w:spacing w:after="0" w:line="328"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Alan L.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wp:posOffset>
            </wp:positionH>
            <wp:positionV relativeFrom="paragraph">
              <wp:posOffset>94615</wp:posOffset>
            </wp:positionV>
            <wp:extent cx="2491105"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491105" cy="21590"/>
                    </a:xfrm>
                    <a:prstGeom prst="rect">
                      <a:avLst/>
                    </a:prstGeom>
                    <a:noFill/>
                  </pic:spPr>
                </pic:pic>
              </a:graphicData>
            </a:graphic>
          </wp:anchor>
        </w:drawing>
      </w:r>
    </w:p>
    <w:p>
      <w:pPr>
        <w:spacing w:after="0" w:line="25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Alan L. Miller</w:t>
      </w:r>
    </w:p>
    <w:p>
      <w:pPr>
        <w:spacing w:after="0" w:line="2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243840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color w:val="auto"/>
        </w:rPr>
        <w:t>Exhibit 32.1</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CEO</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Annual Report of Frequency Electronics, Inc. (the “Company”) on Form 10-K for the year ended April 30, 2007 as filed with the Securities and Exchange Commission on the date hereof (the “Report”), I, Martin B. Bloch, Chief Executive Officer of the Company, certify, pursuant to Section 18 U.S.C. 1350, as adopted pursuant to Section 906 of the Sarbanes-Oxley Act of 2002, that:</w:t>
      </w:r>
    </w:p>
    <w:p>
      <w:pPr>
        <w:spacing w:after="0" w:line="214" w:lineRule="exact"/>
        <w:rPr>
          <w:sz w:val="20"/>
          <w:szCs w:val="20"/>
          <w:color w:val="auto"/>
        </w:rPr>
      </w:pPr>
    </w:p>
    <w:p>
      <w:pPr>
        <w:ind w:left="820" w:hanging="326"/>
        <w:spacing w:after="0"/>
        <w:tabs>
          <w:tab w:leader="none" w:pos="8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and 15(d) of the Securities Exchange Act of 1934; and</w:t>
      </w:r>
    </w:p>
    <w:p>
      <w:pPr>
        <w:spacing w:after="0" w:line="300" w:lineRule="exact"/>
        <w:rPr>
          <w:rFonts w:ascii="Arial" w:cs="Arial" w:eastAsia="Arial" w:hAnsi="Arial"/>
          <w:sz w:val="18"/>
          <w:szCs w:val="18"/>
          <w:color w:val="auto"/>
        </w:rPr>
      </w:pPr>
    </w:p>
    <w:p>
      <w:pPr>
        <w:ind w:left="820" w:hanging="326"/>
        <w:spacing w:after="0"/>
        <w:tabs>
          <w:tab w:leader="none" w:pos="82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5" w:lineRule="exact"/>
        <w:rPr>
          <w:sz w:val="20"/>
          <w:szCs w:val="20"/>
          <w:color w:val="auto"/>
        </w:rPr>
      </w:pPr>
    </w:p>
    <w:p>
      <w:pPr>
        <w:spacing w:after="0"/>
        <w:tabs>
          <w:tab w:leader="none" w:pos="6300" w:val="left"/>
        </w:tabs>
        <w:rPr>
          <w:sz w:val="20"/>
          <w:szCs w:val="20"/>
          <w:color w:val="auto"/>
        </w:rPr>
      </w:pPr>
      <w:r>
        <w:rPr>
          <w:rFonts w:ascii="Arial" w:cs="Arial" w:eastAsia="Arial" w:hAnsi="Arial"/>
          <w:sz w:val="18"/>
          <w:szCs w:val="18"/>
          <w:color w:val="auto"/>
        </w:rPr>
        <w:t>/s/ Martin B. Bloch</w:t>
      </w:r>
      <w:r>
        <w:rPr>
          <w:sz w:val="20"/>
          <w:szCs w:val="20"/>
          <w:color w:val="auto"/>
        </w:rPr>
        <w:tab/>
      </w:r>
      <w:r>
        <w:rPr>
          <w:rFonts w:ascii="Arial" w:cs="Arial" w:eastAsia="Arial" w:hAnsi="Arial"/>
          <w:sz w:val="15"/>
          <w:szCs w:val="15"/>
          <w:color w:val="auto"/>
        </w:rPr>
        <w:t>July 27,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2593975"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593975"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Martin B. Bloch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65"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215265</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color w:val="auto"/>
        </w:rPr>
        <w:t>Exhibit 32.2</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 of CFO</w:t>
      </w:r>
    </w:p>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Annual Report of Frequency Electronics, Inc. (the “Company”) on Form 10-K for the year ended April 30, 2007 as filed with the Securities and Exchange Commission on the date hereof (the “Report”), I, Alan L. Miller, Chief Financial Officer of the Company, certify, pursuant to Section 18 U.S.C. 1350, as adopted pursuant to Section 906 of the Sarbanes-Oxley Act of 2002, that:</w:t>
      </w:r>
    </w:p>
    <w:p>
      <w:pPr>
        <w:spacing w:after="0" w:line="235" w:lineRule="exact"/>
        <w:rPr>
          <w:sz w:val="20"/>
          <w:szCs w:val="20"/>
          <w:color w:val="auto"/>
        </w:rPr>
      </w:pPr>
    </w:p>
    <w:p>
      <w:pPr>
        <w:ind w:left="820" w:hanging="326"/>
        <w:spacing w:after="0"/>
        <w:tabs>
          <w:tab w:leader="none" w:pos="8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and 15(d) of the Securities Exchange Act of 1934; and</w:t>
      </w:r>
    </w:p>
    <w:p>
      <w:pPr>
        <w:spacing w:after="0" w:line="333" w:lineRule="exact"/>
        <w:rPr>
          <w:rFonts w:ascii="Arial" w:cs="Arial" w:eastAsia="Arial" w:hAnsi="Arial"/>
          <w:sz w:val="18"/>
          <w:szCs w:val="18"/>
          <w:color w:val="auto"/>
        </w:rPr>
      </w:pPr>
    </w:p>
    <w:p>
      <w:pPr>
        <w:ind w:left="820" w:hanging="326"/>
        <w:spacing w:after="0"/>
        <w:tabs>
          <w:tab w:leader="none" w:pos="82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2" w:lineRule="exact"/>
        <w:rPr>
          <w:sz w:val="20"/>
          <w:szCs w:val="20"/>
          <w:color w:val="auto"/>
        </w:rPr>
      </w:pPr>
    </w:p>
    <w:p>
      <w:pPr>
        <w:spacing w:after="0"/>
        <w:tabs>
          <w:tab w:leader="none" w:pos="6300" w:val="left"/>
        </w:tabs>
        <w:rPr>
          <w:sz w:val="20"/>
          <w:szCs w:val="20"/>
          <w:color w:val="auto"/>
        </w:rPr>
      </w:pPr>
      <w:r>
        <w:rPr>
          <w:rFonts w:ascii="Arial" w:cs="Arial" w:eastAsia="Arial" w:hAnsi="Arial"/>
          <w:sz w:val="18"/>
          <w:szCs w:val="18"/>
          <w:color w:val="auto"/>
        </w:rPr>
        <w:t>/s/ Alan L. Miller</w:t>
      </w:r>
      <w:r>
        <w:rPr>
          <w:sz w:val="20"/>
          <w:szCs w:val="20"/>
          <w:color w:val="auto"/>
        </w:rPr>
        <w:tab/>
      </w:r>
      <w:r>
        <w:rPr>
          <w:rFonts w:ascii="Arial" w:cs="Arial" w:eastAsia="Arial" w:hAnsi="Arial"/>
          <w:sz w:val="15"/>
          <w:szCs w:val="15"/>
          <w:color w:val="auto"/>
        </w:rPr>
        <w:t>July 27,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2593975"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593975" cy="2159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Alan L. Miller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65"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215265</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color w:val="auto"/>
        </w:rPr>
        <w:t>Exhibit 99</w:t>
      </w:r>
    </w:p>
    <w:p>
      <w:pPr>
        <w:spacing w:after="0" w:line="284" w:lineRule="exact"/>
        <w:rPr>
          <w:sz w:val="20"/>
          <w:szCs w:val="20"/>
          <w:color w:val="auto"/>
        </w:rPr>
      </w:pPr>
    </w:p>
    <w:p>
      <w:pPr>
        <w:ind w:left="3560"/>
        <w:spacing w:after="0"/>
        <w:rPr>
          <w:sz w:val="20"/>
          <w:szCs w:val="20"/>
          <w:color w:val="auto"/>
        </w:rPr>
      </w:pPr>
      <w:r>
        <w:rPr>
          <w:rFonts w:ascii="Arial" w:cs="Arial" w:eastAsia="Arial" w:hAnsi="Arial"/>
          <w:sz w:val="25"/>
          <w:szCs w:val="25"/>
          <w:b w:val="1"/>
          <w:bCs w:val="1"/>
          <w:color w:val="auto"/>
        </w:rPr>
        <w:t>OAO Morion, Inc</w:t>
      </w:r>
    </w:p>
    <w:p>
      <w:pPr>
        <w:spacing w:after="0" w:line="200" w:lineRule="exact"/>
        <w:rPr>
          <w:sz w:val="20"/>
          <w:szCs w:val="20"/>
          <w:color w:val="auto"/>
        </w:rPr>
      </w:pPr>
    </w:p>
    <w:p>
      <w:pPr>
        <w:spacing w:after="0" w:line="359" w:lineRule="exact"/>
        <w:rPr>
          <w:sz w:val="20"/>
          <w:szCs w:val="20"/>
          <w:color w:val="auto"/>
        </w:rPr>
      </w:pPr>
    </w:p>
    <w:p>
      <w:pPr>
        <w:ind w:left="3660"/>
        <w:spacing w:after="0"/>
        <w:rPr>
          <w:sz w:val="20"/>
          <w:szCs w:val="20"/>
          <w:color w:val="auto"/>
        </w:rPr>
      </w:pPr>
      <w:r>
        <w:rPr>
          <w:rFonts w:ascii="Arial" w:cs="Arial" w:eastAsia="Arial" w:hAnsi="Arial"/>
          <w:sz w:val="22"/>
          <w:szCs w:val="22"/>
          <w:b w:val="1"/>
          <w:bCs w:val="1"/>
          <w:u w:val="single" w:color="auto"/>
          <w:color w:val="auto"/>
        </w:rPr>
        <w:t>Annual Report 2006</w:t>
      </w:r>
    </w:p>
    <w:p>
      <w:pPr>
        <w:spacing w:after="0" w:line="28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6520" w:type="dxa"/>
            <w:vAlign w:val="bottom"/>
            <w:gridSpan w:val="2"/>
          </w:tcPr>
          <w:p>
            <w:pPr>
              <w:jc w:val="center"/>
              <w:ind w:right="4880"/>
              <w:spacing w:after="0"/>
              <w:rPr>
                <w:sz w:val="20"/>
                <w:szCs w:val="20"/>
                <w:color w:val="auto"/>
              </w:rPr>
            </w:pPr>
            <w:r>
              <w:rPr>
                <w:rFonts w:ascii="Arial" w:cs="Arial" w:eastAsia="Arial" w:hAnsi="Arial"/>
                <w:sz w:val="18"/>
                <w:szCs w:val="18"/>
                <w:b w:val="1"/>
                <w:bCs w:val="1"/>
                <w:color w:val="auto"/>
                <w:w w:val="98"/>
              </w:rPr>
              <w:t>OAO Morion</w:t>
            </w:r>
          </w:p>
        </w:tc>
      </w:tr>
      <w:tr>
        <w:trPr>
          <w:trHeight w:val="486"/>
        </w:trPr>
        <w:tc>
          <w:tcPr>
            <w:tcW w:w="4900" w:type="dxa"/>
            <w:vAlign w:val="bottom"/>
          </w:tcPr>
          <w:p>
            <w:pPr>
              <w:spacing w:after="0"/>
              <w:rPr>
                <w:sz w:val="24"/>
                <w:szCs w:val="24"/>
                <w:color w:val="auto"/>
              </w:rPr>
            </w:pPr>
          </w:p>
        </w:tc>
        <w:tc>
          <w:tcPr>
            <w:tcW w:w="6520" w:type="dxa"/>
            <w:vAlign w:val="bottom"/>
            <w:gridSpan w:val="2"/>
          </w:tcPr>
          <w:p>
            <w:pPr>
              <w:jc w:val="center"/>
              <w:ind w:right="4900"/>
              <w:spacing w:after="0"/>
              <w:rPr>
                <w:sz w:val="20"/>
                <w:szCs w:val="20"/>
                <w:color w:val="auto"/>
              </w:rPr>
            </w:pPr>
            <w:r>
              <w:rPr>
                <w:rFonts w:ascii="Arial" w:cs="Arial" w:eastAsia="Arial" w:hAnsi="Arial"/>
                <w:sz w:val="22"/>
                <w:szCs w:val="22"/>
                <w:b w:val="1"/>
                <w:bCs w:val="1"/>
                <w:color w:val="auto"/>
                <w:w w:val="87"/>
              </w:rPr>
              <w:t>Table of Contents</w:t>
            </w:r>
          </w:p>
        </w:tc>
      </w:tr>
      <w:tr>
        <w:trPr>
          <w:trHeight w:val="304"/>
        </w:trPr>
        <w:tc>
          <w:tcPr>
            <w:tcW w:w="4900" w:type="dxa"/>
            <w:vAlign w:val="bottom"/>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4900" w:type="dxa"/>
            <w:vAlign w:val="bottom"/>
          </w:tcPr>
          <w:p>
            <w:pPr>
              <w:spacing w:after="0"/>
              <w:rPr>
                <w:sz w:val="24"/>
                <w:szCs w:val="24"/>
                <w:color w:val="auto"/>
              </w:rPr>
            </w:pPr>
          </w:p>
        </w:tc>
      </w:tr>
      <w:tr>
        <w:trPr>
          <w:trHeight w:val="243"/>
        </w:trPr>
        <w:tc>
          <w:tcPr>
            <w:tcW w:w="4900" w:type="dxa"/>
            <w:vAlign w:val="bottom"/>
            <w:shd w:val="clear" w:color="auto" w:fill="CCFFCC"/>
          </w:tcPr>
          <w:p>
            <w:pPr>
              <w:spacing w:after="0"/>
              <w:rPr>
                <w:sz w:val="20"/>
                <w:szCs w:val="20"/>
                <w:color w:val="auto"/>
              </w:rPr>
            </w:pPr>
            <w:r>
              <w:rPr>
                <w:rFonts w:ascii="Arial" w:cs="Arial" w:eastAsia="Arial" w:hAnsi="Arial"/>
                <w:sz w:val="18"/>
                <w:szCs w:val="18"/>
                <w:color w:val="auto"/>
              </w:rPr>
              <w:t>Management’s Discussion &amp; Analysis</w:t>
            </w:r>
          </w:p>
        </w:tc>
        <w:tc>
          <w:tcPr>
            <w:tcW w:w="65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w:t>
            </w:r>
          </w:p>
        </w:tc>
      </w:tr>
      <w:tr>
        <w:trPr>
          <w:trHeight w:val="243"/>
        </w:trPr>
        <w:tc>
          <w:tcPr>
            <w:tcW w:w="49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4900" w:type="dxa"/>
            <w:vAlign w:val="bottom"/>
          </w:tcPr>
          <w:p>
            <w:pPr>
              <w:spacing w:after="0"/>
              <w:rPr>
                <w:sz w:val="21"/>
                <w:szCs w:val="21"/>
                <w:color w:val="auto"/>
              </w:rPr>
            </w:pPr>
          </w:p>
        </w:tc>
      </w:tr>
      <w:tr>
        <w:trPr>
          <w:trHeight w:val="243"/>
        </w:trPr>
        <w:tc>
          <w:tcPr>
            <w:tcW w:w="4900" w:type="dxa"/>
            <w:vAlign w:val="bottom"/>
            <w:shd w:val="clear" w:color="auto" w:fill="CCFFCC"/>
          </w:tcPr>
          <w:p>
            <w:pPr>
              <w:spacing w:after="0"/>
              <w:rPr>
                <w:sz w:val="20"/>
                <w:szCs w:val="20"/>
                <w:color w:val="auto"/>
              </w:rPr>
            </w:pPr>
            <w:r>
              <w:rPr>
                <w:rFonts w:ascii="Arial" w:cs="Arial" w:eastAsia="Arial" w:hAnsi="Arial"/>
                <w:sz w:val="18"/>
                <w:szCs w:val="18"/>
                <w:color w:val="auto"/>
              </w:rPr>
              <w:t>Balance Sheets</w:t>
            </w:r>
          </w:p>
        </w:tc>
        <w:tc>
          <w:tcPr>
            <w:tcW w:w="65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w:t>
            </w:r>
          </w:p>
        </w:tc>
      </w:tr>
      <w:tr>
        <w:trPr>
          <w:trHeight w:val="243"/>
        </w:trPr>
        <w:tc>
          <w:tcPr>
            <w:tcW w:w="49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4900" w:type="dxa"/>
            <w:vAlign w:val="bottom"/>
          </w:tcPr>
          <w:p>
            <w:pPr>
              <w:spacing w:after="0"/>
              <w:rPr>
                <w:sz w:val="21"/>
                <w:szCs w:val="21"/>
                <w:color w:val="auto"/>
              </w:rPr>
            </w:pPr>
          </w:p>
        </w:tc>
      </w:tr>
      <w:tr>
        <w:trPr>
          <w:trHeight w:val="243"/>
        </w:trPr>
        <w:tc>
          <w:tcPr>
            <w:tcW w:w="4900" w:type="dxa"/>
            <w:vAlign w:val="bottom"/>
            <w:shd w:val="clear" w:color="auto" w:fill="CCFFCC"/>
          </w:tcPr>
          <w:p>
            <w:pPr>
              <w:spacing w:after="0"/>
              <w:rPr>
                <w:sz w:val="20"/>
                <w:szCs w:val="20"/>
                <w:color w:val="auto"/>
              </w:rPr>
            </w:pPr>
            <w:r>
              <w:rPr>
                <w:rFonts w:ascii="Arial" w:cs="Arial" w:eastAsia="Arial" w:hAnsi="Arial"/>
                <w:sz w:val="18"/>
                <w:szCs w:val="18"/>
                <w:color w:val="auto"/>
              </w:rPr>
              <w:t>Statements of Income</w:t>
            </w:r>
          </w:p>
        </w:tc>
        <w:tc>
          <w:tcPr>
            <w:tcW w:w="65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w:t>
            </w:r>
          </w:p>
        </w:tc>
      </w:tr>
      <w:tr>
        <w:trPr>
          <w:trHeight w:val="243"/>
        </w:trPr>
        <w:tc>
          <w:tcPr>
            <w:tcW w:w="49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4900" w:type="dxa"/>
            <w:vAlign w:val="bottom"/>
          </w:tcPr>
          <w:p>
            <w:pPr>
              <w:spacing w:after="0"/>
              <w:rPr>
                <w:sz w:val="21"/>
                <w:szCs w:val="21"/>
                <w:color w:val="auto"/>
              </w:rPr>
            </w:pPr>
          </w:p>
        </w:tc>
      </w:tr>
      <w:tr>
        <w:trPr>
          <w:trHeight w:val="243"/>
        </w:trPr>
        <w:tc>
          <w:tcPr>
            <w:tcW w:w="4900" w:type="dxa"/>
            <w:vAlign w:val="bottom"/>
            <w:shd w:val="clear" w:color="auto" w:fill="CCFFCC"/>
          </w:tcPr>
          <w:p>
            <w:pPr>
              <w:spacing w:after="0"/>
              <w:rPr>
                <w:sz w:val="20"/>
                <w:szCs w:val="20"/>
                <w:color w:val="auto"/>
              </w:rPr>
            </w:pPr>
            <w:r>
              <w:rPr>
                <w:rFonts w:ascii="Arial" w:cs="Arial" w:eastAsia="Arial" w:hAnsi="Arial"/>
                <w:sz w:val="18"/>
                <w:szCs w:val="18"/>
                <w:color w:val="auto"/>
              </w:rPr>
              <w:t>Statements of Cash Flows</w:t>
            </w:r>
          </w:p>
        </w:tc>
        <w:tc>
          <w:tcPr>
            <w:tcW w:w="65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w:t>
            </w:r>
          </w:p>
        </w:tc>
      </w:tr>
      <w:tr>
        <w:trPr>
          <w:trHeight w:val="243"/>
        </w:trPr>
        <w:tc>
          <w:tcPr>
            <w:tcW w:w="49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4900" w:type="dxa"/>
            <w:vAlign w:val="bottom"/>
          </w:tcPr>
          <w:p>
            <w:pPr>
              <w:spacing w:after="0"/>
              <w:rPr>
                <w:sz w:val="21"/>
                <w:szCs w:val="21"/>
                <w:color w:val="auto"/>
              </w:rPr>
            </w:pPr>
          </w:p>
        </w:tc>
      </w:tr>
      <w:tr>
        <w:trPr>
          <w:trHeight w:val="243"/>
        </w:trPr>
        <w:tc>
          <w:tcPr>
            <w:tcW w:w="4900" w:type="dxa"/>
            <w:vAlign w:val="bottom"/>
            <w:shd w:val="clear" w:color="auto" w:fill="CCFFCC"/>
          </w:tcPr>
          <w:p>
            <w:pPr>
              <w:spacing w:after="0"/>
              <w:rPr>
                <w:sz w:val="20"/>
                <w:szCs w:val="20"/>
                <w:color w:val="auto"/>
              </w:rPr>
            </w:pPr>
            <w:r>
              <w:rPr>
                <w:rFonts w:ascii="Arial" w:cs="Arial" w:eastAsia="Arial" w:hAnsi="Arial"/>
                <w:sz w:val="18"/>
                <w:szCs w:val="18"/>
                <w:color w:val="auto"/>
              </w:rPr>
              <w:t>Notes to Financial Statements</w:t>
            </w:r>
          </w:p>
        </w:tc>
        <w:tc>
          <w:tcPr>
            <w:tcW w:w="65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7 - 16</w:t>
            </w:r>
          </w:p>
        </w:tc>
      </w:tr>
      <w:tr>
        <w:trPr>
          <w:trHeight w:val="243"/>
        </w:trPr>
        <w:tc>
          <w:tcPr>
            <w:tcW w:w="49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4900" w:type="dxa"/>
            <w:vAlign w:val="bottom"/>
          </w:tcPr>
          <w:p>
            <w:pPr>
              <w:spacing w:after="0"/>
              <w:rPr>
                <w:sz w:val="21"/>
                <w:szCs w:val="21"/>
                <w:color w:val="auto"/>
              </w:rPr>
            </w:pPr>
          </w:p>
        </w:tc>
      </w:tr>
      <w:tr>
        <w:trPr>
          <w:trHeight w:val="243"/>
        </w:trPr>
        <w:tc>
          <w:tcPr>
            <w:tcW w:w="4900" w:type="dxa"/>
            <w:vAlign w:val="bottom"/>
            <w:shd w:val="clear" w:color="auto" w:fill="CCFFCC"/>
          </w:tcPr>
          <w:p>
            <w:pPr>
              <w:spacing w:after="0"/>
              <w:rPr>
                <w:sz w:val="20"/>
                <w:szCs w:val="20"/>
                <w:color w:val="auto"/>
              </w:rPr>
            </w:pPr>
            <w:r>
              <w:rPr>
                <w:rFonts w:ascii="Arial" w:cs="Arial" w:eastAsia="Arial" w:hAnsi="Arial"/>
                <w:sz w:val="18"/>
                <w:szCs w:val="18"/>
                <w:color w:val="auto"/>
              </w:rPr>
              <w:t>Report of Management</w:t>
            </w:r>
          </w:p>
        </w:tc>
        <w:tc>
          <w:tcPr>
            <w:tcW w:w="65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17</w:t>
            </w:r>
          </w:p>
        </w:tc>
      </w:tr>
      <w:tr>
        <w:trPr>
          <w:trHeight w:val="243"/>
        </w:trPr>
        <w:tc>
          <w:tcPr>
            <w:tcW w:w="49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4900" w:type="dxa"/>
            <w:vAlign w:val="bottom"/>
          </w:tcPr>
          <w:p>
            <w:pPr>
              <w:spacing w:after="0"/>
              <w:rPr>
                <w:sz w:val="21"/>
                <w:szCs w:val="21"/>
                <w:color w:val="auto"/>
              </w:rPr>
            </w:pPr>
          </w:p>
        </w:tc>
      </w:tr>
      <w:tr>
        <w:trPr>
          <w:trHeight w:val="243"/>
        </w:trPr>
        <w:tc>
          <w:tcPr>
            <w:tcW w:w="4900" w:type="dxa"/>
            <w:vAlign w:val="bottom"/>
            <w:shd w:val="clear" w:color="auto" w:fill="CCFFCC"/>
          </w:tcPr>
          <w:p>
            <w:pPr>
              <w:spacing w:after="0"/>
              <w:rPr>
                <w:sz w:val="20"/>
                <w:szCs w:val="20"/>
                <w:color w:val="auto"/>
              </w:rPr>
            </w:pPr>
            <w:r>
              <w:rPr>
                <w:rFonts w:ascii="Arial" w:cs="Arial" w:eastAsia="Arial" w:hAnsi="Arial"/>
                <w:sz w:val="18"/>
                <w:szCs w:val="18"/>
                <w:color w:val="auto"/>
              </w:rPr>
              <w:t>Report of Auditors</w:t>
            </w:r>
          </w:p>
        </w:tc>
        <w:tc>
          <w:tcPr>
            <w:tcW w:w="65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w:t>
            </w:r>
          </w:p>
        </w:tc>
      </w:tr>
      <w:tr>
        <w:trPr>
          <w:trHeight w:val="459"/>
        </w:trPr>
        <w:tc>
          <w:tcPr>
            <w:tcW w:w="490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4900" w:type="dxa"/>
            <w:vAlign w:val="bottom"/>
          </w:tcPr>
          <w:p>
            <w:pPr>
              <w:spacing w:after="0"/>
              <w:rPr>
                <w:sz w:val="24"/>
                <w:szCs w:val="24"/>
                <w:color w:val="auto"/>
              </w:rPr>
            </w:pPr>
          </w:p>
        </w:tc>
      </w:tr>
      <w:tr>
        <w:trPr>
          <w:trHeight w:val="118"/>
        </w:trPr>
        <w:tc>
          <w:tcPr>
            <w:tcW w:w="490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49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70" w:name="page71"/>
    <w:bookmarkEnd w:id="70"/>
    <w:p>
      <w:pPr>
        <w:jc w:val="center"/>
        <w:ind w:left="660"/>
        <w:spacing w:after="0"/>
        <w:rPr>
          <w:sz w:val="20"/>
          <w:szCs w:val="20"/>
          <w:color w:val="auto"/>
        </w:rPr>
      </w:pPr>
      <w:r>
        <w:rPr>
          <w:rFonts w:ascii="Arial" w:cs="Arial" w:eastAsia="Arial" w:hAnsi="Arial"/>
          <w:sz w:val="22"/>
          <w:szCs w:val="22"/>
          <w:b w:val="1"/>
          <w:bCs w:val="1"/>
          <w:color w:val="auto"/>
        </w:rPr>
        <w:t>OAO Morion</w:t>
      </w:r>
    </w:p>
    <w:p>
      <w:pPr>
        <w:spacing w:after="0" w:line="283"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u w:val="single" w:color="auto"/>
          <w:color w:val="auto"/>
        </w:rPr>
        <w:t>Managements Discussion</w:t>
      </w:r>
    </w:p>
    <w:p>
      <w:pPr>
        <w:spacing w:after="0" w:line="283" w:lineRule="exact"/>
        <w:rPr>
          <w:sz w:val="20"/>
          <w:szCs w:val="20"/>
          <w:color w:val="auto"/>
        </w:rPr>
      </w:pPr>
    </w:p>
    <w:p>
      <w:pPr>
        <w:ind w:left="328" w:hanging="328"/>
        <w:spacing w:after="0"/>
        <w:tabs>
          <w:tab w:leader="none" w:pos="328"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Market and operational situation for Morion, Inc. during year 2006:</w:t>
      </w:r>
    </w:p>
    <w:p>
      <w:pPr>
        <w:spacing w:after="0" w:line="333" w:lineRule="exact"/>
        <w:rPr>
          <w:rFonts w:ascii="Arial" w:cs="Arial" w:eastAsia="Arial" w:hAnsi="Arial"/>
          <w:sz w:val="18"/>
          <w:szCs w:val="18"/>
          <w:color w:val="auto"/>
        </w:rPr>
      </w:pPr>
    </w:p>
    <w:p>
      <w:pPr>
        <w:ind w:left="488" w:hanging="326"/>
        <w:spacing w:after="0"/>
        <w:tabs>
          <w:tab w:leader="none" w:pos="488" w:val="left"/>
        </w:tabs>
        <w:numPr>
          <w:ilvl w:val="1"/>
          <w:numId w:val="34"/>
        </w:numPr>
        <w:rPr>
          <w:rFonts w:ascii="Arial" w:cs="Arial" w:eastAsia="Arial" w:hAnsi="Arial"/>
          <w:sz w:val="18"/>
          <w:szCs w:val="18"/>
          <w:color w:val="auto"/>
        </w:rPr>
      </w:pPr>
      <w:r>
        <w:rPr>
          <w:rFonts w:ascii="Arial" w:cs="Arial" w:eastAsia="Arial" w:hAnsi="Arial"/>
          <w:sz w:val="18"/>
          <w:szCs w:val="18"/>
          <w:color w:val="auto"/>
        </w:rPr>
        <w:t>Significant inflation rate in Russia (9 % in year 2006)</w:t>
      </w:r>
    </w:p>
    <w:p>
      <w:pPr>
        <w:spacing w:after="0" w:line="333" w:lineRule="exact"/>
        <w:rPr>
          <w:rFonts w:ascii="Arial" w:cs="Arial" w:eastAsia="Arial" w:hAnsi="Arial"/>
          <w:sz w:val="18"/>
          <w:szCs w:val="18"/>
          <w:color w:val="auto"/>
        </w:rPr>
      </w:pPr>
    </w:p>
    <w:p>
      <w:pPr>
        <w:ind w:left="488" w:right="580" w:hanging="326"/>
        <w:spacing w:after="0" w:line="277" w:lineRule="auto"/>
        <w:tabs>
          <w:tab w:leader="none" w:pos="488" w:val="left"/>
        </w:tabs>
        <w:numPr>
          <w:ilvl w:val="1"/>
          <w:numId w:val="34"/>
        </w:numPr>
        <w:rPr>
          <w:rFonts w:ascii="Arial" w:cs="Arial" w:eastAsia="Arial" w:hAnsi="Arial"/>
          <w:sz w:val="18"/>
          <w:szCs w:val="18"/>
          <w:color w:val="auto"/>
        </w:rPr>
      </w:pPr>
      <w:r>
        <w:rPr>
          <w:rFonts w:ascii="Arial" w:cs="Arial" w:eastAsia="Arial" w:hAnsi="Arial"/>
          <w:sz w:val="18"/>
          <w:szCs w:val="18"/>
          <w:color w:val="auto"/>
        </w:rPr>
        <w:t>Significant reduction of USD value in general and in Russia in particular (8,5 % drop in USD/RUR exchange rate). This made operation of Morion in USD oriented countries (China, USA, etc.) more complicated if compared with year 2005.</w:t>
      </w:r>
    </w:p>
    <w:p>
      <w:pPr>
        <w:spacing w:after="0" w:line="224" w:lineRule="exact"/>
        <w:rPr>
          <w:rFonts w:ascii="Arial" w:cs="Arial" w:eastAsia="Arial" w:hAnsi="Arial"/>
          <w:sz w:val="18"/>
          <w:szCs w:val="18"/>
          <w:color w:val="auto"/>
        </w:rPr>
      </w:pPr>
    </w:p>
    <w:p>
      <w:pPr>
        <w:ind w:left="488" w:hanging="326"/>
        <w:spacing w:after="0"/>
        <w:tabs>
          <w:tab w:leader="none" w:pos="488" w:val="left"/>
        </w:tabs>
        <w:numPr>
          <w:ilvl w:val="1"/>
          <w:numId w:val="34"/>
        </w:numPr>
        <w:rPr>
          <w:rFonts w:ascii="Arial" w:cs="Arial" w:eastAsia="Arial" w:hAnsi="Arial"/>
          <w:sz w:val="18"/>
          <w:szCs w:val="18"/>
          <w:color w:val="auto"/>
        </w:rPr>
      </w:pPr>
      <w:r>
        <w:rPr>
          <w:rFonts w:ascii="Arial" w:cs="Arial" w:eastAsia="Arial" w:hAnsi="Arial"/>
          <w:sz w:val="18"/>
          <w:szCs w:val="18"/>
          <w:color w:val="auto"/>
        </w:rPr>
        <w:t>Visible reduction of available qualified workforce and general increase in cost of workforce in St. Petersburg.</w:t>
      </w:r>
    </w:p>
    <w:p>
      <w:pPr>
        <w:spacing w:after="0" w:line="333" w:lineRule="exact"/>
        <w:rPr>
          <w:rFonts w:ascii="Arial" w:cs="Arial" w:eastAsia="Arial" w:hAnsi="Arial"/>
          <w:sz w:val="18"/>
          <w:szCs w:val="18"/>
          <w:color w:val="auto"/>
        </w:rPr>
      </w:pPr>
    </w:p>
    <w:p>
      <w:pPr>
        <w:ind w:left="488" w:hanging="326"/>
        <w:spacing w:after="0"/>
        <w:tabs>
          <w:tab w:leader="none" w:pos="488" w:val="left"/>
        </w:tabs>
        <w:numPr>
          <w:ilvl w:val="1"/>
          <w:numId w:val="34"/>
        </w:numPr>
        <w:rPr>
          <w:rFonts w:ascii="Arial" w:cs="Arial" w:eastAsia="Arial" w:hAnsi="Arial"/>
          <w:sz w:val="18"/>
          <w:szCs w:val="18"/>
          <w:color w:val="auto"/>
        </w:rPr>
      </w:pPr>
      <w:r>
        <w:rPr>
          <w:rFonts w:ascii="Arial" w:cs="Arial" w:eastAsia="Arial" w:hAnsi="Arial"/>
          <w:sz w:val="18"/>
          <w:szCs w:val="18"/>
          <w:color w:val="auto"/>
        </w:rPr>
        <w:t>Presence of serious competition. Especially for foreign markets.</w:t>
      </w:r>
    </w:p>
    <w:p>
      <w:pPr>
        <w:spacing w:after="0" w:line="333" w:lineRule="exact"/>
        <w:rPr>
          <w:rFonts w:ascii="Arial" w:cs="Arial" w:eastAsia="Arial" w:hAnsi="Arial"/>
          <w:sz w:val="18"/>
          <w:szCs w:val="18"/>
          <w:color w:val="auto"/>
        </w:rPr>
      </w:pPr>
    </w:p>
    <w:p>
      <w:pPr>
        <w:ind w:left="488" w:hanging="326"/>
        <w:spacing w:after="0" w:line="259" w:lineRule="auto"/>
        <w:tabs>
          <w:tab w:leader="none" w:pos="488" w:val="left"/>
        </w:tabs>
        <w:numPr>
          <w:ilvl w:val="1"/>
          <w:numId w:val="34"/>
        </w:numPr>
        <w:rPr>
          <w:rFonts w:ascii="Arial" w:cs="Arial" w:eastAsia="Arial" w:hAnsi="Arial"/>
          <w:sz w:val="18"/>
          <w:szCs w:val="18"/>
          <w:color w:val="auto"/>
        </w:rPr>
      </w:pPr>
      <w:r>
        <w:rPr>
          <w:rFonts w:ascii="Arial" w:cs="Arial" w:eastAsia="Arial" w:hAnsi="Arial"/>
          <w:sz w:val="18"/>
          <w:szCs w:val="18"/>
          <w:color w:val="auto"/>
        </w:rPr>
        <w:t>Significantly increased demand (if compared with year 2005) in all products (excluding quartz blanks). Such demand was driven by overall growth of economy in Russia and successful development and implementation of new telecommunication and broadcasting systems worldwide (3G mobile communication standards: WCDMA, TD-SCDMA, CDMA 2000; mobile internet systems: WiMAX, Wibro; digital TV broadcasting: fixed &amp; mobile).</w:t>
      </w:r>
    </w:p>
    <w:p>
      <w:pPr>
        <w:spacing w:after="0" w:line="240" w:lineRule="exact"/>
        <w:rPr>
          <w:rFonts w:ascii="Arial" w:cs="Arial" w:eastAsia="Arial" w:hAnsi="Arial"/>
          <w:sz w:val="18"/>
          <w:szCs w:val="18"/>
          <w:color w:val="auto"/>
        </w:rPr>
      </w:pPr>
    </w:p>
    <w:p>
      <w:pPr>
        <w:ind w:left="328" w:hanging="328"/>
        <w:spacing w:after="0"/>
        <w:tabs>
          <w:tab w:leader="none" w:pos="328" w:val="left"/>
        </w:tabs>
        <w:numPr>
          <w:ilvl w:val="0"/>
          <w:numId w:val="34"/>
        </w:numPr>
        <w:rPr>
          <w:rFonts w:ascii="Arial" w:cs="Arial" w:eastAsia="Arial" w:hAnsi="Arial"/>
          <w:sz w:val="18"/>
          <w:szCs w:val="18"/>
          <w:color w:val="auto"/>
        </w:rPr>
      </w:pPr>
      <w:r>
        <w:rPr>
          <w:rFonts w:ascii="Arial" w:cs="Arial" w:eastAsia="Arial" w:hAnsi="Arial"/>
          <w:sz w:val="18"/>
          <w:szCs w:val="18"/>
          <w:color w:val="auto"/>
        </w:rPr>
        <w:t>Technology &amp; production achievements:</w:t>
      </w:r>
    </w:p>
    <w:p>
      <w:pPr>
        <w:spacing w:after="0" w:line="333" w:lineRule="exact"/>
        <w:rPr>
          <w:rFonts w:ascii="Arial" w:cs="Arial" w:eastAsia="Arial" w:hAnsi="Arial"/>
          <w:sz w:val="18"/>
          <w:szCs w:val="18"/>
          <w:color w:val="auto"/>
        </w:rPr>
      </w:pPr>
    </w:p>
    <w:p>
      <w:pPr>
        <w:ind w:left="488" w:hanging="326"/>
        <w:spacing w:after="0"/>
        <w:tabs>
          <w:tab w:leader="none" w:pos="488" w:val="left"/>
        </w:tabs>
        <w:numPr>
          <w:ilvl w:val="1"/>
          <w:numId w:val="34"/>
        </w:numPr>
        <w:rPr>
          <w:rFonts w:ascii="Arial" w:cs="Arial" w:eastAsia="Arial" w:hAnsi="Arial"/>
          <w:sz w:val="18"/>
          <w:szCs w:val="18"/>
          <w:color w:val="auto"/>
        </w:rPr>
      </w:pPr>
      <w:r>
        <w:rPr>
          <w:rFonts w:ascii="Arial" w:cs="Arial" w:eastAsia="Arial" w:hAnsi="Arial"/>
          <w:sz w:val="18"/>
          <w:szCs w:val="18"/>
          <w:color w:val="auto"/>
        </w:rPr>
        <w:t>Significant improvement of production yields for all production leading to reduced costs and increased quantity of production made.</w:t>
      </w:r>
    </w:p>
    <w:p>
      <w:pPr>
        <w:spacing w:after="0" w:line="333" w:lineRule="exact"/>
        <w:rPr>
          <w:rFonts w:ascii="Arial" w:cs="Arial" w:eastAsia="Arial" w:hAnsi="Arial"/>
          <w:sz w:val="18"/>
          <w:szCs w:val="18"/>
          <w:color w:val="auto"/>
        </w:rPr>
      </w:pPr>
    </w:p>
    <w:p>
      <w:pPr>
        <w:ind w:left="488" w:hanging="326"/>
        <w:spacing w:after="0"/>
        <w:tabs>
          <w:tab w:leader="none" w:pos="488" w:val="left"/>
        </w:tabs>
        <w:numPr>
          <w:ilvl w:val="1"/>
          <w:numId w:val="34"/>
        </w:numPr>
        <w:rPr>
          <w:rFonts w:ascii="Arial" w:cs="Arial" w:eastAsia="Arial" w:hAnsi="Arial"/>
          <w:sz w:val="18"/>
          <w:szCs w:val="18"/>
          <w:color w:val="auto"/>
        </w:rPr>
      </w:pPr>
      <w:r>
        <w:rPr>
          <w:rFonts w:ascii="Arial" w:cs="Arial" w:eastAsia="Arial" w:hAnsi="Arial"/>
          <w:sz w:val="18"/>
          <w:szCs w:val="18"/>
          <w:color w:val="auto"/>
        </w:rPr>
        <w:t>Volume production of own precision crystals allowed to minimize supply of this critical components from other sources.</w:t>
      </w:r>
    </w:p>
    <w:p>
      <w:pPr>
        <w:spacing w:after="0" w:line="333" w:lineRule="exact"/>
        <w:rPr>
          <w:rFonts w:ascii="Arial" w:cs="Arial" w:eastAsia="Arial" w:hAnsi="Arial"/>
          <w:sz w:val="18"/>
          <w:szCs w:val="18"/>
          <w:color w:val="auto"/>
        </w:rPr>
      </w:pPr>
    </w:p>
    <w:p>
      <w:pPr>
        <w:ind w:left="488" w:hanging="326"/>
        <w:spacing w:after="0"/>
        <w:tabs>
          <w:tab w:leader="none" w:pos="488" w:val="left"/>
        </w:tabs>
        <w:numPr>
          <w:ilvl w:val="1"/>
          <w:numId w:val="34"/>
        </w:numPr>
        <w:rPr>
          <w:rFonts w:ascii="Arial" w:cs="Arial" w:eastAsia="Arial" w:hAnsi="Arial"/>
          <w:sz w:val="18"/>
          <w:szCs w:val="18"/>
          <w:color w:val="auto"/>
        </w:rPr>
      </w:pPr>
      <w:r>
        <w:rPr>
          <w:rFonts w:ascii="Arial" w:cs="Arial" w:eastAsia="Arial" w:hAnsi="Arial"/>
          <w:sz w:val="18"/>
          <w:szCs w:val="18"/>
          <w:color w:val="auto"/>
        </w:rPr>
        <w:t>A wide range of new products was developed and introduced in production in year 2006.</w:t>
      </w:r>
    </w:p>
    <w:p>
      <w:pPr>
        <w:spacing w:after="0" w:line="333" w:lineRule="exact"/>
        <w:rPr>
          <w:rFonts w:ascii="Arial" w:cs="Arial" w:eastAsia="Arial" w:hAnsi="Arial"/>
          <w:sz w:val="18"/>
          <w:szCs w:val="18"/>
          <w:color w:val="auto"/>
        </w:rPr>
      </w:pPr>
    </w:p>
    <w:p>
      <w:pPr>
        <w:ind w:left="488" w:hanging="326"/>
        <w:spacing w:after="0"/>
        <w:tabs>
          <w:tab w:leader="none" w:pos="488" w:val="left"/>
        </w:tabs>
        <w:numPr>
          <w:ilvl w:val="1"/>
          <w:numId w:val="34"/>
        </w:numPr>
        <w:rPr>
          <w:rFonts w:ascii="Arial" w:cs="Arial" w:eastAsia="Arial" w:hAnsi="Arial"/>
          <w:sz w:val="18"/>
          <w:szCs w:val="18"/>
          <w:color w:val="auto"/>
        </w:rPr>
      </w:pPr>
      <w:r>
        <w:rPr>
          <w:rFonts w:ascii="Arial" w:cs="Arial" w:eastAsia="Arial" w:hAnsi="Arial"/>
          <w:sz w:val="18"/>
          <w:szCs w:val="18"/>
          <w:color w:val="auto"/>
        </w:rPr>
        <w:t>Significant increase in production capacity for all products in year 2006 and build up of the basis for further increase in year 2007.</w:t>
      </w:r>
    </w:p>
    <w:p>
      <w:pPr>
        <w:spacing w:after="0" w:line="333" w:lineRule="exact"/>
        <w:rPr>
          <w:rFonts w:ascii="Arial" w:cs="Arial" w:eastAsia="Arial" w:hAnsi="Arial"/>
          <w:sz w:val="18"/>
          <w:szCs w:val="18"/>
          <w:color w:val="auto"/>
        </w:rPr>
      </w:pPr>
    </w:p>
    <w:p>
      <w:pPr>
        <w:ind w:left="328" w:hanging="328"/>
        <w:spacing w:after="0"/>
        <w:tabs>
          <w:tab w:leader="none" w:pos="328" w:val="left"/>
        </w:tabs>
        <w:numPr>
          <w:ilvl w:val="0"/>
          <w:numId w:val="34"/>
        </w:numPr>
        <w:rPr>
          <w:rFonts w:ascii="Arial" w:cs="Arial" w:eastAsia="Arial" w:hAnsi="Arial"/>
          <w:sz w:val="18"/>
          <w:szCs w:val="18"/>
          <w:color w:val="auto"/>
        </w:rPr>
      </w:pPr>
      <w:r>
        <w:rPr>
          <w:rFonts w:ascii="Arial" w:cs="Arial" w:eastAsia="Arial" w:hAnsi="Arial"/>
          <w:sz w:val="18"/>
          <w:szCs w:val="18"/>
          <w:color w:val="auto"/>
        </w:rPr>
        <w:t>Sales &amp; Marketing achievements:</w:t>
      </w:r>
    </w:p>
    <w:p>
      <w:pPr>
        <w:spacing w:after="0" w:line="333" w:lineRule="exact"/>
        <w:rPr>
          <w:rFonts w:ascii="Arial" w:cs="Arial" w:eastAsia="Arial" w:hAnsi="Arial"/>
          <w:sz w:val="18"/>
          <w:szCs w:val="18"/>
          <w:color w:val="auto"/>
        </w:rPr>
      </w:pPr>
    </w:p>
    <w:p>
      <w:pPr>
        <w:ind w:left="488" w:hanging="326"/>
        <w:spacing w:after="0"/>
        <w:tabs>
          <w:tab w:leader="none" w:pos="488"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highest in history of Morion sales level of 14500 kUSD was achieved in year 2006 (~ 27% growth if compared with year 2005).</w:t>
      </w:r>
    </w:p>
    <w:p>
      <w:pPr>
        <w:spacing w:after="0" w:line="333" w:lineRule="exact"/>
        <w:rPr>
          <w:rFonts w:ascii="Arial" w:cs="Arial" w:eastAsia="Arial" w:hAnsi="Arial"/>
          <w:sz w:val="18"/>
          <w:szCs w:val="18"/>
          <w:color w:val="auto"/>
        </w:rPr>
      </w:pPr>
    </w:p>
    <w:p>
      <w:pPr>
        <w:ind w:left="488" w:hanging="326"/>
        <w:spacing w:after="0"/>
        <w:tabs>
          <w:tab w:leader="none" w:pos="488" w:val="left"/>
        </w:tabs>
        <w:numPr>
          <w:ilvl w:val="1"/>
          <w:numId w:val="34"/>
        </w:numPr>
        <w:rPr>
          <w:rFonts w:ascii="Arial" w:cs="Arial" w:eastAsia="Arial" w:hAnsi="Arial"/>
          <w:sz w:val="18"/>
          <w:szCs w:val="18"/>
          <w:color w:val="auto"/>
        </w:rPr>
      </w:pPr>
      <w:r>
        <w:rPr>
          <w:rFonts w:ascii="Arial" w:cs="Arial" w:eastAsia="Arial" w:hAnsi="Arial"/>
          <w:sz w:val="18"/>
          <w:szCs w:val="18"/>
          <w:color w:val="auto"/>
        </w:rPr>
        <w:t>Morion became supplier No.1 for such key customers like Rohde &amp; Schwarz (Germany) and ZTE (China).</w:t>
      </w:r>
    </w:p>
    <w:p>
      <w:pPr>
        <w:spacing w:after="0" w:line="333" w:lineRule="exact"/>
        <w:rPr>
          <w:rFonts w:ascii="Arial" w:cs="Arial" w:eastAsia="Arial" w:hAnsi="Arial"/>
          <w:sz w:val="18"/>
          <w:szCs w:val="18"/>
          <w:color w:val="auto"/>
        </w:rPr>
      </w:pPr>
    </w:p>
    <w:p>
      <w:pPr>
        <w:ind w:left="488" w:hanging="326"/>
        <w:spacing w:after="0"/>
        <w:tabs>
          <w:tab w:leader="none" w:pos="488" w:val="left"/>
        </w:tabs>
        <w:numPr>
          <w:ilvl w:val="1"/>
          <w:numId w:val="34"/>
        </w:numPr>
        <w:rPr>
          <w:rFonts w:ascii="Arial" w:cs="Arial" w:eastAsia="Arial" w:hAnsi="Arial"/>
          <w:sz w:val="18"/>
          <w:szCs w:val="18"/>
          <w:color w:val="auto"/>
        </w:rPr>
      </w:pPr>
      <w:r>
        <w:rPr>
          <w:rFonts w:ascii="Arial" w:cs="Arial" w:eastAsia="Arial" w:hAnsi="Arial"/>
          <w:sz w:val="18"/>
          <w:szCs w:val="18"/>
          <w:color w:val="auto"/>
        </w:rPr>
        <w:t>Morion started sales on such new markets like Japan &amp; New Zealand.</w:t>
      </w:r>
    </w:p>
    <w:p>
      <w:pPr>
        <w:spacing w:after="0" w:line="333" w:lineRule="exact"/>
        <w:rPr>
          <w:rFonts w:ascii="Arial" w:cs="Arial" w:eastAsia="Arial" w:hAnsi="Arial"/>
          <w:sz w:val="18"/>
          <w:szCs w:val="18"/>
          <w:color w:val="auto"/>
        </w:rPr>
      </w:pPr>
    </w:p>
    <w:p>
      <w:pPr>
        <w:ind w:left="488" w:hanging="326"/>
        <w:spacing w:after="0"/>
        <w:tabs>
          <w:tab w:leader="none" w:pos="488" w:val="left"/>
        </w:tabs>
        <w:numPr>
          <w:ilvl w:val="1"/>
          <w:numId w:val="34"/>
        </w:numPr>
        <w:rPr>
          <w:rFonts w:ascii="Arial" w:cs="Arial" w:eastAsia="Arial" w:hAnsi="Arial"/>
          <w:sz w:val="18"/>
          <w:szCs w:val="18"/>
          <w:color w:val="auto"/>
        </w:rPr>
      </w:pPr>
      <w:r>
        <w:rPr>
          <w:rFonts w:ascii="Arial" w:cs="Arial" w:eastAsia="Arial" w:hAnsi="Arial"/>
          <w:sz w:val="18"/>
          <w:szCs w:val="18"/>
          <w:color w:val="auto"/>
        </w:rPr>
        <w:t>Morion remains No.1 supplier of precision quartz frequency control products in Russia and CIS.</w:t>
      </w:r>
    </w:p>
    <w:p>
      <w:pPr>
        <w:spacing w:after="0" w:line="333" w:lineRule="exact"/>
        <w:rPr>
          <w:rFonts w:ascii="Arial" w:cs="Arial" w:eastAsia="Arial" w:hAnsi="Arial"/>
          <w:sz w:val="18"/>
          <w:szCs w:val="18"/>
          <w:color w:val="auto"/>
        </w:rPr>
      </w:pPr>
    </w:p>
    <w:p>
      <w:pPr>
        <w:ind w:left="328" w:hanging="328"/>
        <w:spacing w:after="0"/>
        <w:tabs>
          <w:tab w:leader="none" w:pos="328"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Resume:</w:t>
      </w:r>
    </w:p>
    <w:p>
      <w:pPr>
        <w:spacing w:after="0" w:line="333" w:lineRule="exact"/>
        <w:rPr>
          <w:sz w:val="20"/>
          <w:szCs w:val="20"/>
          <w:color w:val="auto"/>
        </w:rPr>
      </w:pPr>
    </w:p>
    <w:p>
      <w:pPr>
        <w:ind w:left="8"/>
        <w:spacing w:after="0" w:line="291" w:lineRule="auto"/>
        <w:rPr>
          <w:sz w:val="20"/>
          <w:szCs w:val="20"/>
          <w:color w:val="auto"/>
        </w:rPr>
      </w:pPr>
      <w:r>
        <w:rPr>
          <w:rFonts w:ascii="Arial" w:cs="Arial" w:eastAsia="Arial" w:hAnsi="Arial"/>
          <w:sz w:val="16"/>
          <w:szCs w:val="16"/>
          <w:color w:val="auto"/>
        </w:rPr>
        <w:t>Continuous marketing, R&amp;D, production effort combined with increased demands in production developed and manufactured by Morion allowed Morion to achieve unprecedented level of performance in very competitive market environment. Strong orientation for highest level of products allowed Morion</w:t>
      </w:r>
    </w:p>
    <w:p>
      <w:pPr>
        <w:ind w:left="8" w:right="20"/>
        <w:spacing w:after="0" w:line="205" w:lineRule="auto"/>
        <w:rPr>
          <w:sz w:val="20"/>
          <w:szCs w:val="20"/>
          <w:color w:val="auto"/>
        </w:rPr>
      </w:pPr>
      <w:r>
        <w:rPr>
          <w:rFonts w:ascii="Arial" w:cs="Arial" w:eastAsia="Arial" w:hAnsi="Arial"/>
          <w:sz w:val="18"/>
          <w:szCs w:val="18"/>
          <w:color w:val="auto"/>
        </w:rPr>
        <w:t>to go up to 3rd or even 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place in the world in supply of precision oscillators with stability of E-9 level and better. Again serious basis was prepared for further growth of sales in profits in year 2007.</w:t>
      </w:r>
    </w:p>
    <w:p>
      <w:pPr>
        <w:spacing w:after="0" w:line="257"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81280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8"/>
          </w:cols>
          <w:pgMar w:left="572" w:top="396" w:right="2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00" w:type="dxa"/>
            <w:vAlign w:val="bottom"/>
            <w:gridSpan w:val="3"/>
          </w:tcPr>
          <w:p>
            <w:pPr>
              <w:jc w:val="center"/>
              <w:ind w:right="670"/>
              <w:spacing w:after="0"/>
              <w:rPr>
                <w:sz w:val="20"/>
                <w:szCs w:val="20"/>
                <w:color w:val="auto"/>
              </w:rPr>
            </w:pPr>
            <w:r>
              <w:rPr>
                <w:rFonts w:ascii="Arial" w:cs="Arial" w:eastAsia="Arial" w:hAnsi="Arial"/>
                <w:sz w:val="18"/>
                <w:szCs w:val="18"/>
                <w:b w:val="1"/>
                <w:bCs w:val="1"/>
                <w:color w:val="auto"/>
                <w:w w:val="98"/>
              </w:rPr>
              <w:t>OAO Morion</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8"/>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0" w:type="dxa"/>
            <w:vAlign w:val="bottom"/>
            <w:gridSpan w:val="3"/>
          </w:tcPr>
          <w:p>
            <w:pPr>
              <w:jc w:val="center"/>
              <w:ind w:right="670"/>
              <w:spacing w:after="0"/>
              <w:rPr>
                <w:sz w:val="20"/>
                <w:szCs w:val="20"/>
                <w:color w:val="auto"/>
              </w:rPr>
            </w:pPr>
            <w:r>
              <w:rPr>
                <w:rFonts w:ascii="Arial" w:cs="Arial" w:eastAsia="Arial" w:hAnsi="Arial"/>
                <w:sz w:val="18"/>
                <w:szCs w:val="18"/>
                <w:b w:val="1"/>
                <w:bCs w:val="1"/>
                <w:color w:val="auto"/>
                <w:w w:val="87"/>
              </w:rPr>
              <w:t>Balance Sheets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00" w:type="dxa"/>
            <w:vAlign w:val="bottom"/>
            <w:gridSpan w:val="4"/>
          </w:tcPr>
          <w:p>
            <w:pPr>
              <w:jc w:val="center"/>
              <w:ind w:left="150"/>
              <w:spacing w:after="0"/>
              <w:rPr>
                <w:sz w:val="20"/>
                <w:szCs w:val="20"/>
                <w:color w:val="auto"/>
              </w:rPr>
            </w:pPr>
            <w:r>
              <w:rPr>
                <w:rFonts w:ascii="Arial" w:cs="Arial" w:eastAsia="Arial" w:hAnsi="Arial"/>
                <w:sz w:val="18"/>
                <w:szCs w:val="18"/>
                <w:b w:val="1"/>
                <w:bCs w:val="1"/>
                <w:color w:val="auto"/>
                <w:w w:val="89"/>
              </w:rPr>
              <w:t>As at December 31, 2006 and December 31, 2005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00" w:type="dxa"/>
            <w:vAlign w:val="bottom"/>
            <w:gridSpan w:val="4"/>
          </w:tcPr>
          <w:p>
            <w:pPr>
              <w:jc w:val="center"/>
              <w:ind w:left="150"/>
              <w:spacing w:after="0" w:line="194" w:lineRule="exact"/>
              <w:rPr>
                <w:sz w:val="20"/>
                <w:szCs w:val="20"/>
                <w:color w:val="auto"/>
              </w:rPr>
            </w:pPr>
            <w:r>
              <w:rPr>
                <w:rFonts w:ascii="Arial" w:cs="Arial" w:eastAsia="Arial" w:hAnsi="Arial"/>
                <w:sz w:val="18"/>
                <w:szCs w:val="18"/>
                <w:b w:val="1"/>
                <w:bCs w:val="1"/>
                <w:color w:val="auto"/>
                <w:w w:val="89"/>
              </w:rPr>
              <w:t>(in thousands of U.S. dollars)</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34"/>
        </w:trPr>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420" w:type="dxa"/>
            <w:vAlign w:val="bottom"/>
            <w:tcBorders>
              <w:top w:val="single" w:sz="8" w:color="auto"/>
              <w:bottom w:val="single" w:sz="8" w:color="auto"/>
            </w:tcBorders>
          </w:tcPr>
          <w:p>
            <w:pPr>
              <w:spacing w:after="0"/>
              <w:rPr>
                <w:sz w:val="24"/>
                <w:szCs w:val="24"/>
                <w:color w:val="auto"/>
              </w:rPr>
            </w:pPr>
          </w:p>
        </w:tc>
        <w:tc>
          <w:tcPr>
            <w:tcW w:w="7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Note</w:t>
            </w:r>
          </w:p>
        </w:tc>
        <w:tc>
          <w:tcPr>
            <w:tcW w:w="2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b w:val="1"/>
                <w:bCs w:val="1"/>
                <w:color w:val="auto"/>
                <w:w w:val="91"/>
              </w:rPr>
              <w:t>ASSETS</w:t>
            </w:r>
          </w:p>
        </w:tc>
        <w:tc>
          <w:tcPr>
            <w:tcW w:w="7240" w:type="dxa"/>
            <w:vAlign w:val="bottom"/>
            <w:gridSpan w:val="8"/>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7"/>
        </w:trPr>
        <w:tc>
          <w:tcPr>
            <w:tcW w:w="7920" w:type="dxa"/>
            <w:vAlign w:val="bottom"/>
            <w:gridSpan w:val="10"/>
          </w:tcPr>
          <w:p>
            <w:pPr>
              <w:spacing w:after="0"/>
              <w:rPr>
                <w:sz w:val="20"/>
                <w:szCs w:val="20"/>
                <w:color w:val="auto"/>
              </w:rPr>
            </w:pPr>
            <w:r>
              <w:rPr>
                <w:rFonts w:ascii="Arial" w:cs="Arial" w:eastAsia="Arial" w:hAnsi="Arial"/>
                <w:sz w:val="18"/>
                <w:szCs w:val="18"/>
                <w:b w:val="1"/>
                <w:bCs w:val="1"/>
                <w:color w:val="auto"/>
              </w:rPr>
              <w:t>Current assets: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900" w:type="dxa"/>
            <w:vAlign w:val="bottom"/>
            <w:gridSpan w:val="9"/>
            <w:shd w:val="clear" w:color="auto" w:fill="CCFFCC"/>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3</w:t>
            </w:r>
          </w:p>
        </w:tc>
        <w:tc>
          <w:tcPr>
            <w:tcW w:w="440" w:type="dxa"/>
            <w:vAlign w:val="bottom"/>
            <w:gridSpan w:val="2"/>
            <w:shd w:val="clear" w:color="auto" w:fill="CCFFCC"/>
          </w:tcPr>
          <w:p>
            <w:pPr>
              <w:jc w:val="right"/>
              <w:ind w:right="2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1,892</w:t>
            </w:r>
          </w:p>
        </w:tc>
        <w:tc>
          <w:tcPr>
            <w:tcW w:w="220" w:type="dxa"/>
            <w:vAlign w:val="bottom"/>
            <w:shd w:val="clear" w:color="auto" w:fill="CCFFCC"/>
          </w:tcPr>
          <w:p>
            <w:pPr>
              <w:spacing w:after="0"/>
              <w:rPr>
                <w:sz w:val="23"/>
                <w:szCs w:val="23"/>
                <w:color w:val="auto"/>
              </w:rPr>
            </w:pPr>
          </w:p>
        </w:tc>
        <w:tc>
          <w:tcPr>
            <w:tcW w:w="300" w:type="dxa"/>
            <w:vAlign w:val="bottom"/>
            <w:shd w:val="clear" w:color="auto" w:fill="CCFFCC"/>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2,186</w:t>
            </w:r>
          </w:p>
        </w:tc>
        <w:tc>
          <w:tcPr>
            <w:tcW w:w="0" w:type="dxa"/>
            <w:vAlign w:val="bottom"/>
          </w:tcPr>
          <w:p>
            <w:pPr>
              <w:spacing w:after="0"/>
              <w:rPr>
                <w:sz w:val="1"/>
                <w:szCs w:val="1"/>
                <w:color w:val="auto"/>
              </w:rPr>
            </w:pPr>
          </w:p>
        </w:tc>
      </w:tr>
      <w:tr>
        <w:trPr>
          <w:trHeight w:val="243"/>
        </w:trPr>
        <w:tc>
          <w:tcPr>
            <w:tcW w:w="7920" w:type="dxa"/>
            <w:vAlign w:val="bottom"/>
            <w:gridSpan w:val="10"/>
          </w:tcPr>
          <w:p>
            <w:pPr>
              <w:spacing w:after="0"/>
              <w:rPr>
                <w:sz w:val="20"/>
                <w:szCs w:val="20"/>
                <w:color w:val="auto"/>
              </w:rPr>
            </w:pPr>
            <w:r>
              <w:rPr>
                <w:rFonts w:ascii="Arial" w:cs="Arial" w:eastAsia="Arial" w:hAnsi="Arial"/>
                <w:sz w:val="18"/>
                <w:szCs w:val="18"/>
                <w:color w:val="auto"/>
              </w:rPr>
              <w:t>Trade receivables net of allowance</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2,234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1,327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00" w:type="dxa"/>
            <w:vAlign w:val="bottom"/>
            <w:gridSpan w:val="9"/>
            <w:shd w:val="clear" w:color="auto" w:fill="CCFFCC"/>
          </w:tcPr>
          <w:p>
            <w:pPr>
              <w:spacing w:after="0"/>
              <w:rPr>
                <w:sz w:val="20"/>
                <w:szCs w:val="20"/>
                <w:color w:val="auto"/>
              </w:rPr>
            </w:pPr>
            <w:r>
              <w:rPr>
                <w:rFonts w:ascii="Arial" w:cs="Arial" w:eastAsia="Arial" w:hAnsi="Arial"/>
                <w:sz w:val="18"/>
                <w:szCs w:val="18"/>
                <w:color w:val="auto"/>
              </w:rPr>
              <w:t>Other receivables and prepayments, net of allowance</w:t>
            </w:r>
          </w:p>
        </w:tc>
        <w:tc>
          <w:tcPr>
            <w:tcW w:w="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1,101</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43"/>
        </w:trPr>
        <w:tc>
          <w:tcPr>
            <w:tcW w:w="7920" w:type="dxa"/>
            <w:vAlign w:val="bottom"/>
            <w:gridSpan w:val="10"/>
          </w:tcPr>
          <w:p>
            <w:pPr>
              <w:spacing w:after="0"/>
              <w:rPr>
                <w:sz w:val="20"/>
                <w:szCs w:val="20"/>
                <w:color w:val="auto"/>
              </w:rPr>
            </w:pPr>
            <w:r>
              <w:rPr>
                <w:rFonts w:ascii="Arial" w:cs="Arial" w:eastAsia="Arial" w:hAnsi="Arial"/>
                <w:sz w:val="18"/>
                <w:szCs w:val="18"/>
                <w:color w:val="auto"/>
              </w:rPr>
              <w:t>VAT receivable</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868</w:t>
            </w: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00" w:type="dxa"/>
            <w:vAlign w:val="bottom"/>
            <w:gridSpan w:val="9"/>
            <w:shd w:val="clear" w:color="auto" w:fill="CCFFCC"/>
          </w:tcPr>
          <w:p>
            <w:pPr>
              <w:spacing w:after="0"/>
              <w:rPr>
                <w:sz w:val="20"/>
                <w:szCs w:val="20"/>
                <w:color w:val="auto"/>
              </w:rPr>
            </w:pPr>
            <w:r>
              <w:rPr>
                <w:rFonts w:ascii="Arial" w:cs="Arial" w:eastAsia="Arial" w:hAnsi="Arial"/>
                <w:sz w:val="18"/>
                <w:szCs w:val="18"/>
                <w:color w:val="auto"/>
              </w:rPr>
              <w:t>Due from related parties</w:t>
            </w:r>
          </w:p>
        </w:tc>
        <w:tc>
          <w:tcPr>
            <w:tcW w:w="320" w:type="dxa"/>
            <w:vAlign w:val="bottom"/>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85</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7920" w:type="dxa"/>
            <w:vAlign w:val="bottom"/>
            <w:gridSpan w:val="10"/>
          </w:tcPr>
          <w:p>
            <w:pPr>
              <w:spacing w:after="0"/>
              <w:rPr>
                <w:sz w:val="20"/>
                <w:szCs w:val="20"/>
                <w:color w:val="auto"/>
              </w:rPr>
            </w:pPr>
            <w:r>
              <w:rPr>
                <w:rFonts w:ascii="Arial" w:cs="Arial" w:eastAsia="Arial" w:hAnsi="Arial"/>
                <w:sz w:val="18"/>
                <w:szCs w:val="18"/>
                <w:color w:val="auto"/>
              </w:rPr>
              <w:t>Inventory</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2,563</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1876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00" w:type="dxa"/>
            <w:vAlign w:val="bottom"/>
            <w:tcBorders>
              <w:bottom w:val="single" w:sz="8" w:color="CCFFCC"/>
            </w:tcBorders>
            <w:gridSpan w:val="9"/>
            <w:shd w:val="clear" w:color="auto" w:fill="CCFFCC"/>
          </w:tcPr>
          <w:p>
            <w:pPr>
              <w:spacing w:after="0"/>
              <w:rPr>
                <w:sz w:val="20"/>
                <w:szCs w:val="20"/>
                <w:color w:val="auto"/>
              </w:rPr>
            </w:pPr>
            <w:r>
              <w:rPr>
                <w:rFonts w:ascii="Arial" w:cs="Arial" w:eastAsia="Arial" w:hAnsi="Arial"/>
                <w:sz w:val="18"/>
                <w:szCs w:val="18"/>
                <w:color w:val="auto"/>
              </w:rPr>
              <w:t>Taxes receivable</w:t>
            </w:r>
          </w:p>
        </w:tc>
        <w:tc>
          <w:tcPr>
            <w:tcW w:w="320" w:type="dxa"/>
            <w:vAlign w:val="bottom"/>
            <w:tcBorders>
              <w:bottom w:val="single" w:sz="8" w:color="CCFFCC"/>
            </w:tcBorders>
            <w:gridSpan w:val="2"/>
            <w:shd w:val="clear" w:color="auto" w:fill="CCFFCC"/>
          </w:tcPr>
          <w:p>
            <w:pPr>
              <w:jc w:val="right"/>
              <w:ind w:right="120"/>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12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177</w:t>
            </w:r>
          </w:p>
        </w:tc>
        <w:tc>
          <w:tcPr>
            <w:tcW w:w="30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CCFFCC"/>
          </w:tcPr>
          <w:p>
            <w:pPr>
              <w:spacing w:after="0" w:line="20" w:lineRule="exact"/>
              <w:rPr>
                <w:sz w:val="1"/>
                <w:szCs w:val="1"/>
                <w:color w:val="auto"/>
              </w:rPr>
            </w:pPr>
          </w:p>
        </w:tc>
        <w:tc>
          <w:tcPr>
            <w:tcW w:w="760" w:type="dxa"/>
            <w:vAlign w:val="bottom"/>
            <w:shd w:val="clear" w:color="auto" w:fill="CCFFCC"/>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1400" w:type="dxa"/>
            <w:vAlign w:val="bottom"/>
            <w:shd w:val="clear" w:color="auto" w:fill="CCFFCC"/>
          </w:tcPr>
          <w:p>
            <w:pPr>
              <w:spacing w:after="0" w:line="20" w:lineRule="exact"/>
              <w:rPr>
                <w:sz w:val="1"/>
                <w:szCs w:val="1"/>
                <w:color w:val="auto"/>
              </w:rPr>
            </w:pPr>
          </w:p>
        </w:tc>
        <w:tc>
          <w:tcPr>
            <w:tcW w:w="820" w:type="dxa"/>
            <w:vAlign w:val="bottom"/>
            <w:shd w:val="clear" w:color="auto" w:fill="CCFFCC"/>
          </w:tcPr>
          <w:p>
            <w:pPr>
              <w:spacing w:after="0" w:line="20" w:lineRule="exact"/>
              <w:rPr>
                <w:sz w:val="1"/>
                <w:szCs w:val="1"/>
                <w:color w:val="auto"/>
              </w:rPr>
            </w:pPr>
          </w:p>
        </w:tc>
        <w:tc>
          <w:tcPr>
            <w:tcW w:w="1000" w:type="dxa"/>
            <w:vAlign w:val="bottom"/>
            <w:shd w:val="clear" w:color="auto" w:fill="CCFFCC"/>
          </w:tcPr>
          <w:p>
            <w:pPr>
              <w:spacing w:after="0" w:line="20" w:lineRule="exact"/>
              <w:rPr>
                <w:sz w:val="1"/>
                <w:szCs w:val="1"/>
                <w:color w:val="auto"/>
              </w:rPr>
            </w:pPr>
          </w:p>
        </w:tc>
        <w:tc>
          <w:tcPr>
            <w:tcW w:w="1820" w:type="dxa"/>
            <w:vAlign w:val="bottom"/>
            <w:shd w:val="clear" w:color="auto" w:fill="CCFFCC"/>
          </w:tcPr>
          <w:p>
            <w:pPr>
              <w:spacing w:after="0" w:line="20" w:lineRule="exact"/>
              <w:rPr>
                <w:sz w:val="1"/>
                <w:szCs w:val="1"/>
                <w:color w:val="auto"/>
              </w:rPr>
            </w:pPr>
          </w:p>
        </w:tc>
        <w:tc>
          <w:tcPr>
            <w:tcW w:w="420" w:type="dxa"/>
            <w:vAlign w:val="bottom"/>
            <w:shd w:val="clear" w:color="auto" w:fill="CCFFCC"/>
          </w:tcPr>
          <w:p>
            <w:pPr>
              <w:spacing w:after="0" w:line="20" w:lineRule="exact"/>
              <w:rPr>
                <w:sz w:val="1"/>
                <w:szCs w:val="1"/>
                <w:color w:val="auto"/>
              </w:rPr>
            </w:pPr>
          </w:p>
        </w:tc>
        <w:tc>
          <w:tcPr>
            <w:tcW w:w="76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920" w:type="dxa"/>
            <w:vAlign w:val="bottom"/>
            <w:gridSpan w:val="10"/>
          </w:tcPr>
          <w:p>
            <w:pPr>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8,920</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6,468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140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182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920" w:type="dxa"/>
            <w:vAlign w:val="bottom"/>
            <w:gridSpan w:val="10"/>
          </w:tcPr>
          <w:p>
            <w:pPr>
              <w:spacing w:after="0" w:line="202" w:lineRule="exact"/>
              <w:rPr>
                <w:sz w:val="20"/>
                <w:szCs w:val="20"/>
                <w:color w:val="auto"/>
              </w:rPr>
            </w:pPr>
            <w:r>
              <w:rPr>
                <w:rFonts w:ascii="Arial" w:cs="Arial" w:eastAsia="Arial" w:hAnsi="Arial"/>
                <w:sz w:val="18"/>
                <w:szCs w:val="18"/>
                <w:b w:val="1"/>
                <w:bCs w:val="1"/>
                <w:color w:val="auto"/>
              </w:rPr>
              <w:t>Non current assets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7900" w:type="dxa"/>
            <w:vAlign w:val="bottom"/>
            <w:gridSpan w:val="9"/>
            <w:shd w:val="clear" w:color="auto" w:fill="CCFFCC"/>
          </w:tcPr>
          <w:p>
            <w:pPr>
              <w:spacing w:after="0"/>
              <w:rPr>
                <w:sz w:val="20"/>
                <w:szCs w:val="20"/>
                <w:color w:val="auto"/>
              </w:rPr>
            </w:pPr>
            <w:r>
              <w:rPr>
                <w:rFonts w:ascii="Arial" w:cs="Arial" w:eastAsia="Arial" w:hAnsi="Arial"/>
                <w:sz w:val="18"/>
                <w:szCs w:val="18"/>
                <w:color w:val="auto"/>
              </w:rPr>
              <w:t>Property, plant and equipment, net of accumulated depreciation</w:t>
            </w:r>
          </w:p>
        </w:tc>
        <w:tc>
          <w:tcPr>
            <w:tcW w:w="2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9"/>
              </w:rPr>
              <w:t>10</w:t>
            </w:r>
          </w:p>
        </w:tc>
        <w:tc>
          <w:tcPr>
            <w:tcW w:w="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4,798</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3,892</w:t>
            </w:r>
          </w:p>
        </w:tc>
        <w:tc>
          <w:tcPr>
            <w:tcW w:w="0" w:type="dxa"/>
            <w:vAlign w:val="bottom"/>
          </w:tcPr>
          <w:p>
            <w:pPr>
              <w:spacing w:after="0"/>
              <w:rPr>
                <w:sz w:val="1"/>
                <w:szCs w:val="1"/>
                <w:color w:val="auto"/>
              </w:rPr>
            </w:pPr>
          </w:p>
        </w:tc>
      </w:tr>
      <w:tr>
        <w:trPr>
          <w:trHeight w:val="243"/>
        </w:trPr>
        <w:tc>
          <w:tcPr>
            <w:tcW w:w="7920" w:type="dxa"/>
            <w:vAlign w:val="bottom"/>
            <w:gridSpan w:val="10"/>
          </w:tcPr>
          <w:p>
            <w:pPr>
              <w:spacing w:after="0"/>
              <w:rPr>
                <w:sz w:val="20"/>
                <w:szCs w:val="20"/>
                <w:color w:val="auto"/>
              </w:rPr>
            </w:pPr>
            <w:r>
              <w:rPr>
                <w:rFonts w:ascii="Arial" w:cs="Arial" w:eastAsia="Arial" w:hAnsi="Arial"/>
                <w:sz w:val="18"/>
                <w:szCs w:val="18"/>
                <w:color w:val="auto"/>
              </w:rPr>
              <w:t>Intangible assets, net of amortization</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w w:val="89"/>
              </w:rPr>
              <w:t>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00" w:type="dxa"/>
            <w:vAlign w:val="bottom"/>
            <w:tcBorders>
              <w:bottom w:val="single" w:sz="8" w:color="CCFFCC"/>
            </w:tcBorders>
            <w:gridSpan w:val="9"/>
            <w:shd w:val="clear" w:color="auto" w:fill="CCFFCC"/>
          </w:tcPr>
          <w:p>
            <w:pPr>
              <w:spacing w:after="0"/>
              <w:rPr>
                <w:sz w:val="20"/>
                <w:szCs w:val="20"/>
                <w:color w:val="auto"/>
              </w:rPr>
            </w:pPr>
            <w:r>
              <w:rPr>
                <w:rFonts w:ascii="Arial" w:cs="Arial" w:eastAsia="Arial" w:hAnsi="Arial"/>
                <w:sz w:val="18"/>
                <w:szCs w:val="18"/>
                <w:color w:val="auto"/>
              </w:rPr>
              <w:t>Long term investments</w:t>
            </w:r>
          </w:p>
        </w:tc>
        <w:tc>
          <w:tcPr>
            <w:tcW w:w="2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89"/>
              </w:rPr>
              <w:t>12</w:t>
            </w: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12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0</w:t>
            </w:r>
          </w:p>
        </w:tc>
        <w:tc>
          <w:tcPr>
            <w:tcW w:w="30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CCFFCC"/>
          </w:tcPr>
          <w:p>
            <w:pPr>
              <w:spacing w:after="0" w:line="20" w:lineRule="exact"/>
              <w:rPr>
                <w:sz w:val="1"/>
                <w:szCs w:val="1"/>
                <w:color w:val="auto"/>
              </w:rPr>
            </w:pPr>
          </w:p>
        </w:tc>
        <w:tc>
          <w:tcPr>
            <w:tcW w:w="760" w:type="dxa"/>
            <w:vAlign w:val="bottom"/>
            <w:shd w:val="clear" w:color="auto" w:fill="CCFFCC"/>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1400" w:type="dxa"/>
            <w:vAlign w:val="bottom"/>
            <w:shd w:val="clear" w:color="auto" w:fill="CCFFCC"/>
          </w:tcPr>
          <w:p>
            <w:pPr>
              <w:spacing w:after="0" w:line="20" w:lineRule="exact"/>
              <w:rPr>
                <w:sz w:val="1"/>
                <w:szCs w:val="1"/>
                <w:color w:val="auto"/>
              </w:rPr>
            </w:pPr>
          </w:p>
        </w:tc>
        <w:tc>
          <w:tcPr>
            <w:tcW w:w="820" w:type="dxa"/>
            <w:vAlign w:val="bottom"/>
            <w:shd w:val="clear" w:color="auto" w:fill="CCFFCC"/>
          </w:tcPr>
          <w:p>
            <w:pPr>
              <w:spacing w:after="0" w:line="20" w:lineRule="exact"/>
              <w:rPr>
                <w:sz w:val="1"/>
                <w:szCs w:val="1"/>
                <w:color w:val="auto"/>
              </w:rPr>
            </w:pPr>
          </w:p>
        </w:tc>
        <w:tc>
          <w:tcPr>
            <w:tcW w:w="1000" w:type="dxa"/>
            <w:vAlign w:val="bottom"/>
            <w:shd w:val="clear" w:color="auto" w:fill="CCFFCC"/>
          </w:tcPr>
          <w:p>
            <w:pPr>
              <w:spacing w:after="0" w:line="20" w:lineRule="exact"/>
              <w:rPr>
                <w:sz w:val="1"/>
                <w:szCs w:val="1"/>
                <w:color w:val="auto"/>
              </w:rPr>
            </w:pPr>
          </w:p>
        </w:tc>
        <w:tc>
          <w:tcPr>
            <w:tcW w:w="1820" w:type="dxa"/>
            <w:vAlign w:val="bottom"/>
            <w:shd w:val="clear" w:color="auto" w:fill="CCFFCC"/>
          </w:tcPr>
          <w:p>
            <w:pPr>
              <w:spacing w:after="0" w:line="20" w:lineRule="exact"/>
              <w:rPr>
                <w:sz w:val="1"/>
                <w:szCs w:val="1"/>
                <w:color w:val="auto"/>
              </w:rPr>
            </w:pPr>
          </w:p>
        </w:tc>
        <w:tc>
          <w:tcPr>
            <w:tcW w:w="420" w:type="dxa"/>
            <w:vAlign w:val="bottom"/>
            <w:shd w:val="clear" w:color="auto" w:fill="CCFFCC"/>
          </w:tcPr>
          <w:p>
            <w:pPr>
              <w:spacing w:after="0" w:line="20" w:lineRule="exact"/>
              <w:rPr>
                <w:sz w:val="1"/>
                <w:szCs w:val="1"/>
                <w:color w:val="auto"/>
              </w:rPr>
            </w:pPr>
          </w:p>
        </w:tc>
        <w:tc>
          <w:tcPr>
            <w:tcW w:w="76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920" w:type="dxa"/>
            <w:vAlign w:val="bottom"/>
            <w:gridSpan w:val="10"/>
          </w:tcPr>
          <w:p>
            <w:pPr>
              <w:spacing w:after="0"/>
              <w:rPr>
                <w:sz w:val="20"/>
                <w:szCs w:val="20"/>
                <w:color w:val="auto"/>
              </w:rPr>
            </w:pPr>
            <w:r>
              <w:rPr>
                <w:rFonts w:ascii="Arial" w:cs="Arial" w:eastAsia="Arial" w:hAnsi="Arial"/>
                <w:sz w:val="18"/>
                <w:szCs w:val="18"/>
                <w:color w:val="auto"/>
              </w:rPr>
              <w:t>Total non current assets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4,802</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3,897</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140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182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920" w:type="dxa"/>
            <w:vAlign w:val="bottom"/>
            <w:gridSpan w:val="10"/>
          </w:tcPr>
          <w:p>
            <w:pPr>
              <w:spacing w:after="0"/>
              <w:rPr>
                <w:sz w:val="20"/>
                <w:szCs w:val="20"/>
                <w:color w:val="auto"/>
              </w:rPr>
            </w:pPr>
            <w:r>
              <w:rPr>
                <w:rFonts w:ascii="Arial" w:cs="Arial" w:eastAsia="Arial" w:hAnsi="Arial"/>
                <w:sz w:val="18"/>
                <w:szCs w:val="18"/>
                <w:b w:val="1"/>
                <w:bCs w:val="1"/>
                <w:color w:val="auto"/>
              </w:rPr>
              <w:t>Total assets</w:t>
            </w:r>
          </w:p>
        </w:tc>
        <w:tc>
          <w:tcPr>
            <w:tcW w:w="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13,722</w:t>
            </w:r>
          </w:p>
        </w:tc>
        <w:tc>
          <w:tcPr>
            <w:tcW w:w="30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10,365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60" w:type="dxa"/>
            <w:vAlign w:val="bottom"/>
            <w:shd w:val="clear" w:color="auto" w:fill="CCFFCC"/>
          </w:tcPr>
          <w:p>
            <w:pPr>
              <w:spacing w:after="0"/>
              <w:rPr>
                <w:sz w:val="20"/>
                <w:szCs w:val="20"/>
                <w:color w:val="auto"/>
              </w:rPr>
            </w:pPr>
          </w:p>
        </w:tc>
        <w:tc>
          <w:tcPr>
            <w:tcW w:w="760" w:type="dxa"/>
            <w:vAlign w:val="bottom"/>
            <w:shd w:val="clear" w:color="auto" w:fill="CCFFCC"/>
          </w:tcPr>
          <w:p>
            <w:pPr>
              <w:spacing w:after="0"/>
              <w:rPr>
                <w:sz w:val="20"/>
                <w:szCs w:val="20"/>
                <w:color w:val="auto"/>
              </w:rPr>
            </w:pPr>
          </w:p>
        </w:tc>
        <w:tc>
          <w:tcPr>
            <w:tcW w:w="260" w:type="dxa"/>
            <w:vAlign w:val="bottom"/>
            <w:shd w:val="clear" w:color="auto" w:fill="CCFFCC"/>
          </w:tcPr>
          <w:p>
            <w:pPr>
              <w:spacing w:after="0"/>
              <w:rPr>
                <w:sz w:val="20"/>
                <w:szCs w:val="20"/>
                <w:color w:val="auto"/>
              </w:rPr>
            </w:pPr>
          </w:p>
        </w:tc>
        <w:tc>
          <w:tcPr>
            <w:tcW w:w="1400" w:type="dxa"/>
            <w:vAlign w:val="bottom"/>
            <w:shd w:val="clear" w:color="auto" w:fill="CCFFCC"/>
          </w:tcPr>
          <w:p>
            <w:pPr>
              <w:spacing w:after="0"/>
              <w:rPr>
                <w:sz w:val="20"/>
                <w:szCs w:val="20"/>
                <w:color w:val="auto"/>
              </w:rPr>
            </w:pPr>
          </w:p>
        </w:tc>
        <w:tc>
          <w:tcPr>
            <w:tcW w:w="820" w:type="dxa"/>
            <w:vAlign w:val="bottom"/>
            <w:shd w:val="clear" w:color="auto" w:fill="CCFFCC"/>
          </w:tcPr>
          <w:p>
            <w:pPr>
              <w:spacing w:after="0"/>
              <w:rPr>
                <w:sz w:val="20"/>
                <w:szCs w:val="20"/>
                <w:color w:val="auto"/>
              </w:rPr>
            </w:pPr>
          </w:p>
        </w:tc>
        <w:tc>
          <w:tcPr>
            <w:tcW w:w="1000" w:type="dxa"/>
            <w:vAlign w:val="bottom"/>
            <w:shd w:val="clear" w:color="auto" w:fill="CCFFCC"/>
          </w:tcPr>
          <w:p>
            <w:pPr>
              <w:spacing w:after="0"/>
              <w:rPr>
                <w:sz w:val="20"/>
                <w:szCs w:val="20"/>
                <w:color w:val="auto"/>
              </w:rPr>
            </w:pPr>
          </w:p>
        </w:tc>
        <w:tc>
          <w:tcPr>
            <w:tcW w:w="1820" w:type="dxa"/>
            <w:vAlign w:val="bottom"/>
            <w:shd w:val="clear" w:color="auto" w:fill="CCFFCC"/>
          </w:tcPr>
          <w:p>
            <w:pPr>
              <w:spacing w:after="0"/>
              <w:rPr>
                <w:sz w:val="20"/>
                <w:szCs w:val="20"/>
                <w:color w:val="auto"/>
              </w:rPr>
            </w:pPr>
          </w:p>
        </w:tc>
        <w:tc>
          <w:tcPr>
            <w:tcW w:w="420" w:type="dxa"/>
            <w:vAlign w:val="bottom"/>
            <w:shd w:val="clear" w:color="auto" w:fill="CCFFCC"/>
          </w:tcPr>
          <w:p>
            <w:pPr>
              <w:spacing w:after="0"/>
              <w:rPr>
                <w:sz w:val="20"/>
                <w:szCs w:val="20"/>
                <w:color w:val="auto"/>
              </w:rPr>
            </w:pPr>
          </w:p>
        </w:tc>
        <w:tc>
          <w:tcPr>
            <w:tcW w:w="760" w:type="dxa"/>
            <w:vAlign w:val="bottom"/>
            <w:shd w:val="clear" w:color="auto" w:fill="CCFFCC"/>
          </w:tcPr>
          <w:p>
            <w:pPr>
              <w:spacing w:after="0"/>
              <w:rPr>
                <w:sz w:val="20"/>
                <w:szCs w:val="20"/>
                <w:color w:val="auto"/>
              </w:rPr>
            </w:pPr>
          </w:p>
        </w:tc>
        <w:tc>
          <w:tcPr>
            <w:tcW w:w="2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320" w:type="dxa"/>
            <w:vAlign w:val="bottom"/>
            <w:tcBorders>
              <w:top w:val="single" w:sz="8" w:color="auto"/>
            </w:tcBorders>
            <w:shd w:val="clear" w:color="auto" w:fill="CCFFCC"/>
          </w:tcPr>
          <w:p>
            <w:pPr>
              <w:spacing w:after="0"/>
              <w:rPr>
                <w:sz w:val="20"/>
                <w:szCs w:val="20"/>
                <w:color w:val="auto"/>
              </w:rPr>
            </w:pPr>
          </w:p>
        </w:tc>
        <w:tc>
          <w:tcPr>
            <w:tcW w:w="106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300" w:type="dxa"/>
            <w:vAlign w:val="bottom"/>
            <w:tcBorders>
              <w:top w:val="single" w:sz="8" w:color="auto"/>
            </w:tcBorders>
            <w:shd w:val="clear" w:color="auto" w:fill="CCFFCC"/>
          </w:tcPr>
          <w:p>
            <w:pPr>
              <w:spacing w:after="0"/>
              <w:rPr>
                <w:sz w:val="20"/>
                <w:szCs w:val="20"/>
                <w:color w:val="auto"/>
              </w:rPr>
            </w:pPr>
          </w:p>
        </w:tc>
        <w:tc>
          <w:tcPr>
            <w:tcW w:w="106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920" w:type="dxa"/>
            <w:vAlign w:val="bottom"/>
            <w:gridSpan w:val="10"/>
          </w:tcPr>
          <w:p>
            <w:pPr>
              <w:spacing w:after="0" w:line="202" w:lineRule="exact"/>
              <w:rPr>
                <w:sz w:val="20"/>
                <w:szCs w:val="20"/>
                <w:color w:val="auto"/>
              </w:rPr>
            </w:pPr>
            <w:r>
              <w:rPr>
                <w:rFonts w:ascii="Arial" w:cs="Arial" w:eastAsia="Arial" w:hAnsi="Arial"/>
                <w:sz w:val="18"/>
                <w:szCs w:val="18"/>
                <w:b w:val="1"/>
                <w:bCs w:val="1"/>
                <w:color w:val="auto"/>
              </w:rPr>
              <w:t>LIABILITIES AND SHAREHOLDERS’ EQUITY</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40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7900" w:type="dxa"/>
            <w:vAlign w:val="bottom"/>
            <w:gridSpan w:val="9"/>
            <w:shd w:val="clear" w:color="auto" w:fill="CCFFCC"/>
          </w:tcPr>
          <w:p>
            <w:pPr>
              <w:spacing w:after="0"/>
              <w:rPr>
                <w:sz w:val="20"/>
                <w:szCs w:val="20"/>
                <w:color w:val="auto"/>
              </w:rPr>
            </w:pPr>
            <w:r>
              <w:rPr>
                <w:rFonts w:ascii="Arial" w:cs="Arial" w:eastAsia="Arial" w:hAnsi="Arial"/>
                <w:sz w:val="18"/>
                <w:szCs w:val="18"/>
                <w:b w:val="1"/>
                <w:bCs w:val="1"/>
                <w:color w:val="auto"/>
              </w:rPr>
              <w:t>Current liabilities:</w:t>
            </w:r>
          </w:p>
        </w:tc>
        <w:tc>
          <w:tcPr>
            <w:tcW w:w="2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20" w:type="dxa"/>
            <w:vAlign w:val="bottom"/>
            <w:gridSpan w:val="10"/>
          </w:tcPr>
          <w:p>
            <w:pPr>
              <w:spacing w:after="0"/>
              <w:rPr>
                <w:sz w:val="20"/>
                <w:szCs w:val="20"/>
                <w:color w:val="auto"/>
              </w:rPr>
            </w:pPr>
            <w:r>
              <w:rPr>
                <w:rFonts w:ascii="Arial" w:cs="Arial" w:eastAsia="Arial" w:hAnsi="Arial"/>
                <w:sz w:val="18"/>
                <w:szCs w:val="18"/>
                <w:color w:val="auto"/>
              </w:rPr>
              <w:t>Loans</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00" w:type="dxa"/>
            <w:vAlign w:val="bottom"/>
            <w:gridSpan w:val="9"/>
            <w:shd w:val="clear" w:color="auto" w:fill="CCFFCC"/>
          </w:tcPr>
          <w:p>
            <w:pPr>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588</w:t>
            </w:r>
          </w:p>
        </w:tc>
        <w:tc>
          <w:tcPr>
            <w:tcW w:w="30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43"/>
        </w:trPr>
        <w:tc>
          <w:tcPr>
            <w:tcW w:w="7920" w:type="dxa"/>
            <w:vAlign w:val="bottom"/>
            <w:gridSpan w:val="10"/>
          </w:tcPr>
          <w:p>
            <w:pPr>
              <w:spacing w:after="0"/>
              <w:rPr>
                <w:sz w:val="20"/>
                <w:szCs w:val="20"/>
                <w:color w:val="auto"/>
              </w:rPr>
            </w:pPr>
            <w:r>
              <w:rPr>
                <w:rFonts w:ascii="Arial" w:cs="Arial" w:eastAsia="Arial" w:hAnsi="Arial"/>
                <w:sz w:val="18"/>
                <w:szCs w:val="18"/>
                <w:color w:val="auto"/>
              </w:rPr>
              <w:t>Accounts payable due to related parties</w:t>
            </w:r>
          </w:p>
        </w:tc>
        <w:tc>
          <w:tcPr>
            <w:tcW w:w="32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143</w:t>
            </w: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00" w:type="dxa"/>
            <w:vAlign w:val="bottom"/>
            <w:gridSpan w:val="9"/>
            <w:shd w:val="clear" w:color="auto" w:fill="CCFFCC"/>
          </w:tcPr>
          <w:p>
            <w:pPr>
              <w:spacing w:after="0"/>
              <w:rPr>
                <w:sz w:val="20"/>
                <w:szCs w:val="20"/>
                <w:color w:val="auto"/>
              </w:rPr>
            </w:pPr>
            <w:r>
              <w:rPr>
                <w:rFonts w:ascii="Arial" w:cs="Arial" w:eastAsia="Arial" w:hAnsi="Arial"/>
                <w:sz w:val="18"/>
                <w:szCs w:val="18"/>
                <w:color w:val="auto"/>
              </w:rPr>
              <w:t>Accrued liabilities</w:t>
            </w:r>
          </w:p>
        </w:tc>
        <w:tc>
          <w:tcPr>
            <w:tcW w:w="2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9"/>
              </w:rPr>
              <w:t>13</w:t>
            </w:r>
          </w:p>
        </w:tc>
        <w:tc>
          <w:tcPr>
            <w:tcW w:w="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15</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7920" w:type="dxa"/>
            <w:vAlign w:val="bottom"/>
            <w:gridSpan w:val="10"/>
          </w:tcPr>
          <w:p>
            <w:pPr>
              <w:spacing w:after="0"/>
              <w:rPr>
                <w:sz w:val="20"/>
                <w:szCs w:val="20"/>
                <w:color w:val="auto"/>
              </w:rPr>
            </w:pPr>
            <w:r>
              <w:rPr>
                <w:rFonts w:ascii="Arial" w:cs="Arial" w:eastAsia="Arial" w:hAnsi="Arial"/>
                <w:sz w:val="18"/>
                <w:szCs w:val="18"/>
                <w:color w:val="auto"/>
              </w:rPr>
              <w:t>Customer deposits and advances</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1,883</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00" w:type="dxa"/>
            <w:vAlign w:val="bottom"/>
            <w:gridSpan w:val="9"/>
            <w:shd w:val="clear" w:color="auto" w:fill="CCFFCC"/>
          </w:tcPr>
          <w:p>
            <w:pPr>
              <w:spacing w:after="0"/>
              <w:rPr>
                <w:sz w:val="20"/>
                <w:szCs w:val="20"/>
                <w:color w:val="auto"/>
              </w:rPr>
            </w:pPr>
            <w:r>
              <w:rPr>
                <w:rFonts w:ascii="Arial" w:cs="Arial" w:eastAsia="Arial" w:hAnsi="Arial"/>
                <w:sz w:val="18"/>
                <w:szCs w:val="18"/>
                <w:color w:val="auto"/>
              </w:rPr>
              <w:t>Accrued payroll</w:t>
            </w:r>
          </w:p>
        </w:tc>
        <w:tc>
          <w:tcPr>
            <w:tcW w:w="2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9"/>
              </w:rPr>
              <w:t>14</w:t>
            </w:r>
          </w:p>
        </w:tc>
        <w:tc>
          <w:tcPr>
            <w:tcW w:w="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12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502</w:t>
            </w:r>
          </w:p>
        </w:tc>
        <w:tc>
          <w:tcPr>
            <w:tcW w:w="30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43"/>
        </w:trPr>
        <w:tc>
          <w:tcPr>
            <w:tcW w:w="7920" w:type="dxa"/>
            <w:vAlign w:val="bottom"/>
            <w:gridSpan w:val="10"/>
          </w:tcPr>
          <w:p>
            <w:pPr>
              <w:spacing w:after="0"/>
              <w:rPr>
                <w:sz w:val="20"/>
                <w:szCs w:val="20"/>
                <w:color w:val="auto"/>
              </w:rPr>
            </w:pPr>
            <w:r>
              <w:rPr>
                <w:rFonts w:ascii="Arial" w:cs="Arial" w:eastAsia="Arial" w:hAnsi="Arial"/>
                <w:sz w:val="18"/>
                <w:szCs w:val="18"/>
                <w:color w:val="auto"/>
              </w:rPr>
              <w:t>Other taxes payable and withheld</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412</w:t>
            </w: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00" w:type="dxa"/>
            <w:vAlign w:val="bottom"/>
            <w:tcBorders>
              <w:bottom w:val="single" w:sz="8" w:color="CCFFCC"/>
            </w:tcBorders>
            <w:gridSpan w:val="9"/>
            <w:shd w:val="clear" w:color="auto" w:fill="CCFFCC"/>
          </w:tcPr>
          <w:p>
            <w:pPr>
              <w:spacing w:after="0"/>
              <w:rPr>
                <w:sz w:val="20"/>
                <w:szCs w:val="20"/>
                <w:color w:val="auto"/>
              </w:rPr>
            </w:pPr>
            <w:r>
              <w:rPr>
                <w:rFonts w:ascii="Arial" w:cs="Arial" w:eastAsia="Arial" w:hAnsi="Arial"/>
                <w:sz w:val="18"/>
                <w:szCs w:val="18"/>
                <w:color w:val="auto"/>
              </w:rPr>
              <w:t>Other payables</w:t>
            </w:r>
          </w:p>
        </w:tc>
        <w:tc>
          <w:tcPr>
            <w:tcW w:w="2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CCFFCC"/>
            </w:tcBorders>
            <w:shd w:val="clear" w:color="auto" w:fill="CCFFCC"/>
          </w:tcPr>
          <w:p>
            <w:pPr>
              <w:spacing w:after="0"/>
              <w:rPr>
                <w:sz w:val="21"/>
                <w:szCs w:val="21"/>
                <w:color w:val="auto"/>
              </w:rPr>
            </w:pPr>
          </w:p>
        </w:tc>
        <w:tc>
          <w:tcPr>
            <w:tcW w:w="30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CCFFCC"/>
          </w:tcPr>
          <w:p>
            <w:pPr>
              <w:spacing w:after="0" w:line="20" w:lineRule="exact"/>
              <w:rPr>
                <w:sz w:val="1"/>
                <w:szCs w:val="1"/>
                <w:color w:val="auto"/>
              </w:rPr>
            </w:pPr>
          </w:p>
        </w:tc>
        <w:tc>
          <w:tcPr>
            <w:tcW w:w="760" w:type="dxa"/>
            <w:vAlign w:val="bottom"/>
            <w:shd w:val="clear" w:color="auto" w:fill="CCFFCC"/>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1400" w:type="dxa"/>
            <w:vAlign w:val="bottom"/>
            <w:shd w:val="clear" w:color="auto" w:fill="CCFFCC"/>
          </w:tcPr>
          <w:p>
            <w:pPr>
              <w:spacing w:after="0" w:line="20" w:lineRule="exact"/>
              <w:rPr>
                <w:sz w:val="1"/>
                <w:szCs w:val="1"/>
                <w:color w:val="auto"/>
              </w:rPr>
            </w:pPr>
          </w:p>
        </w:tc>
        <w:tc>
          <w:tcPr>
            <w:tcW w:w="820" w:type="dxa"/>
            <w:vAlign w:val="bottom"/>
            <w:shd w:val="clear" w:color="auto" w:fill="CCFFCC"/>
          </w:tcPr>
          <w:p>
            <w:pPr>
              <w:spacing w:after="0" w:line="20" w:lineRule="exact"/>
              <w:rPr>
                <w:sz w:val="1"/>
                <w:szCs w:val="1"/>
                <w:color w:val="auto"/>
              </w:rPr>
            </w:pPr>
          </w:p>
        </w:tc>
        <w:tc>
          <w:tcPr>
            <w:tcW w:w="1000" w:type="dxa"/>
            <w:vAlign w:val="bottom"/>
            <w:shd w:val="clear" w:color="auto" w:fill="CCFFCC"/>
          </w:tcPr>
          <w:p>
            <w:pPr>
              <w:spacing w:after="0" w:line="20" w:lineRule="exact"/>
              <w:rPr>
                <w:sz w:val="1"/>
                <w:szCs w:val="1"/>
                <w:color w:val="auto"/>
              </w:rPr>
            </w:pPr>
          </w:p>
        </w:tc>
        <w:tc>
          <w:tcPr>
            <w:tcW w:w="1820" w:type="dxa"/>
            <w:vAlign w:val="bottom"/>
            <w:shd w:val="clear" w:color="auto" w:fill="CCFFCC"/>
          </w:tcPr>
          <w:p>
            <w:pPr>
              <w:spacing w:after="0" w:line="20" w:lineRule="exact"/>
              <w:rPr>
                <w:sz w:val="1"/>
                <w:szCs w:val="1"/>
                <w:color w:val="auto"/>
              </w:rPr>
            </w:pPr>
          </w:p>
        </w:tc>
        <w:tc>
          <w:tcPr>
            <w:tcW w:w="420" w:type="dxa"/>
            <w:vAlign w:val="bottom"/>
            <w:shd w:val="clear" w:color="auto" w:fill="CCFFCC"/>
          </w:tcPr>
          <w:p>
            <w:pPr>
              <w:spacing w:after="0" w:line="20" w:lineRule="exact"/>
              <w:rPr>
                <w:sz w:val="1"/>
                <w:szCs w:val="1"/>
                <w:color w:val="auto"/>
              </w:rPr>
            </w:pPr>
          </w:p>
        </w:tc>
        <w:tc>
          <w:tcPr>
            <w:tcW w:w="76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920" w:type="dxa"/>
            <w:vAlign w:val="bottom"/>
            <w:gridSpan w:val="10"/>
          </w:tcPr>
          <w:p>
            <w:pPr>
              <w:spacing w:after="0"/>
              <w:rPr>
                <w:sz w:val="20"/>
                <w:szCs w:val="20"/>
                <w:color w:val="auto"/>
              </w:rPr>
            </w:pPr>
            <w:r>
              <w:rPr>
                <w:rFonts w:ascii="Arial" w:cs="Arial" w:eastAsia="Arial" w:hAnsi="Arial"/>
                <w:sz w:val="18"/>
                <w:szCs w:val="18"/>
                <w:color w:val="auto"/>
              </w:rPr>
              <w:t>Total current liabilities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3,563</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1,959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140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182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7920" w:type="dxa"/>
            <w:vAlign w:val="bottom"/>
            <w:gridSpan w:val="10"/>
          </w:tcPr>
          <w:p>
            <w:pPr>
              <w:spacing w:after="0" w:line="202" w:lineRule="exact"/>
              <w:rPr>
                <w:sz w:val="20"/>
                <w:szCs w:val="20"/>
                <w:color w:val="auto"/>
              </w:rPr>
            </w:pPr>
            <w:r>
              <w:rPr>
                <w:rFonts w:ascii="Arial" w:cs="Arial" w:eastAsia="Arial" w:hAnsi="Arial"/>
                <w:sz w:val="18"/>
                <w:szCs w:val="18"/>
                <w:b w:val="1"/>
                <w:bCs w:val="1"/>
                <w:color w:val="auto"/>
              </w:rPr>
              <w:t>Non current liabilities</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900" w:type="dxa"/>
            <w:vAlign w:val="bottom"/>
            <w:tcBorders>
              <w:bottom w:val="single" w:sz="8" w:color="CCFFCC"/>
            </w:tcBorders>
            <w:gridSpan w:val="9"/>
            <w:shd w:val="clear" w:color="auto" w:fill="CCFFCC"/>
          </w:tcPr>
          <w:p>
            <w:pPr>
              <w:spacing w:after="0"/>
              <w:rPr>
                <w:sz w:val="20"/>
                <w:szCs w:val="20"/>
                <w:color w:val="auto"/>
              </w:rPr>
            </w:pPr>
            <w:r>
              <w:rPr>
                <w:rFonts w:ascii="Arial" w:cs="Arial" w:eastAsia="Arial" w:hAnsi="Arial"/>
                <w:sz w:val="18"/>
                <w:szCs w:val="18"/>
                <w:color w:val="auto"/>
              </w:rPr>
              <w:t>Long term debt</w:t>
            </w:r>
          </w:p>
        </w:tc>
        <w:tc>
          <w:tcPr>
            <w:tcW w:w="2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12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0</w:t>
            </w:r>
          </w:p>
        </w:tc>
        <w:tc>
          <w:tcPr>
            <w:tcW w:w="30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CCFFCC"/>
          </w:tcPr>
          <w:p>
            <w:pPr>
              <w:spacing w:after="0" w:line="20" w:lineRule="exact"/>
              <w:rPr>
                <w:sz w:val="1"/>
                <w:szCs w:val="1"/>
                <w:color w:val="auto"/>
              </w:rPr>
            </w:pPr>
          </w:p>
        </w:tc>
        <w:tc>
          <w:tcPr>
            <w:tcW w:w="760" w:type="dxa"/>
            <w:vAlign w:val="bottom"/>
            <w:shd w:val="clear" w:color="auto" w:fill="CCFFCC"/>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1400" w:type="dxa"/>
            <w:vAlign w:val="bottom"/>
            <w:shd w:val="clear" w:color="auto" w:fill="CCFFCC"/>
          </w:tcPr>
          <w:p>
            <w:pPr>
              <w:spacing w:after="0" w:line="20" w:lineRule="exact"/>
              <w:rPr>
                <w:sz w:val="1"/>
                <w:szCs w:val="1"/>
                <w:color w:val="auto"/>
              </w:rPr>
            </w:pPr>
          </w:p>
        </w:tc>
        <w:tc>
          <w:tcPr>
            <w:tcW w:w="820" w:type="dxa"/>
            <w:vAlign w:val="bottom"/>
            <w:shd w:val="clear" w:color="auto" w:fill="CCFFCC"/>
          </w:tcPr>
          <w:p>
            <w:pPr>
              <w:spacing w:after="0" w:line="20" w:lineRule="exact"/>
              <w:rPr>
                <w:sz w:val="1"/>
                <w:szCs w:val="1"/>
                <w:color w:val="auto"/>
              </w:rPr>
            </w:pPr>
          </w:p>
        </w:tc>
        <w:tc>
          <w:tcPr>
            <w:tcW w:w="1000" w:type="dxa"/>
            <w:vAlign w:val="bottom"/>
            <w:shd w:val="clear" w:color="auto" w:fill="CCFFCC"/>
          </w:tcPr>
          <w:p>
            <w:pPr>
              <w:spacing w:after="0" w:line="20" w:lineRule="exact"/>
              <w:rPr>
                <w:sz w:val="1"/>
                <w:szCs w:val="1"/>
                <w:color w:val="auto"/>
              </w:rPr>
            </w:pPr>
          </w:p>
        </w:tc>
        <w:tc>
          <w:tcPr>
            <w:tcW w:w="1820" w:type="dxa"/>
            <w:vAlign w:val="bottom"/>
            <w:shd w:val="clear" w:color="auto" w:fill="CCFFCC"/>
          </w:tcPr>
          <w:p>
            <w:pPr>
              <w:spacing w:after="0" w:line="20" w:lineRule="exact"/>
              <w:rPr>
                <w:sz w:val="1"/>
                <w:szCs w:val="1"/>
                <w:color w:val="auto"/>
              </w:rPr>
            </w:pPr>
          </w:p>
        </w:tc>
        <w:tc>
          <w:tcPr>
            <w:tcW w:w="420" w:type="dxa"/>
            <w:vAlign w:val="bottom"/>
            <w:shd w:val="clear" w:color="auto" w:fill="CCFFCC"/>
          </w:tcPr>
          <w:p>
            <w:pPr>
              <w:spacing w:after="0" w:line="20" w:lineRule="exact"/>
              <w:rPr>
                <w:sz w:val="1"/>
                <w:szCs w:val="1"/>
                <w:color w:val="auto"/>
              </w:rPr>
            </w:pPr>
          </w:p>
        </w:tc>
        <w:tc>
          <w:tcPr>
            <w:tcW w:w="76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920" w:type="dxa"/>
            <w:vAlign w:val="bottom"/>
            <w:gridSpan w:val="10"/>
          </w:tcPr>
          <w:p>
            <w:pPr>
              <w:spacing w:after="0"/>
              <w:rPr>
                <w:sz w:val="20"/>
                <w:szCs w:val="20"/>
                <w:color w:val="auto"/>
              </w:rPr>
            </w:pPr>
            <w:r>
              <w:rPr>
                <w:rFonts w:ascii="Arial" w:cs="Arial" w:eastAsia="Arial" w:hAnsi="Arial"/>
                <w:sz w:val="18"/>
                <w:szCs w:val="18"/>
                <w:color w:val="auto"/>
              </w:rPr>
              <w:t>Total non current liabilities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w:t>
            </w: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140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182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920" w:type="dxa"/>
            <w:vAlign w:val="bottom"/>
            <w:gridSpan w:val="10"/>
          </w:tcPr>
          <w:p>
            <w:pPr>
              <w:spacing w:after="0"/>
              <w:rPr>
                <w:sz w:val="20"/>
                <w:szCs w:val="20"/>
                <w:color w:val="auto"/>
              </w:rPr>
            </w:pPr>
            <w:r>
              <w:rPr>
                <w:rFonts w:ascii="Arial" w:cs="Arial" w:eastAsia="Arial" w:hAnsi="Arial"/>
                <w:sz w:val="18"/>
                <w:szCs w:val="18"/>
                <w:b w:val="1"/>
                <w:bCs w:val="1"/>
                <w:color w:val="auto"/>
              </w:rPr>
              <w:t>Shareholders’ equity :</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900" w:type="dxa"/>
            <w:vAlign w:val="bottom"/>
            <w:gridSpan w:val="9"/>
            <w:shd w:val="clear" w:color="auto" w:fill="CCFFCC"/>
          </w:tcPr>
          <w:p>
            <w:pPr>
              <w:spacing w:after="0"/>
              <w:rPr>
                <w:sz w:val="20"/>
                <w:szCs w:val="20"/>
                <w:color w:val="auto"/>
              </w:rPr>
            </w:pPr>
            <w:r>
              <w:rPr>
                <w:rFonts w:ascii="Arial" w:cs="Arial" w:eastAsia="Arial" w:hAnsi="Arial"/>
                <w:sz w:val="18"/>
                <w:szCs w:val="18"/>
                <w:color w:val="auto"/>
              </w:rPr>
              <w:t>Capital stock</w:t>
            </w:r>
          </w:p>
        </w:tc>
        <w:tc>
          <w:tcPr>
            <w:tcW w:w="200" w:type="dxa"/>
            <w:vAlign w:val="bottom"/>
            <w:shd w:val="clear" w:color="auto" w:fill="CCFFCC"/>
          </w:tcPr>
          <w:p>
            <w:pPr>
              <w:jc w:val="right"/>
              <w:spacing w:after="0"/>
              <w:rPr>
                <w:sz w:val="20"/>
                <w:szCs w:val="20"/>
                <w:color w:val="auto"/>
              </w:rPr>
            </w:pPr>
            <w:r>
              <w:rPr>
                <w:rFonts w:ascii="Arial" w:cs="Arial" w:eastAsia="Arial" w:hAnsi="Arial"/>
                <w:sz w:val="18"/>
                <w:szCs w:val="18"/>
                <w:color w:val="auto"/>
                <w:w w:val="89"/>
              </w:rPr>
              <w:t>16</w:t>
            </w:r>
          </w:p>
        </w:tc>
        <w:tc>
          <w:tcPr>
            <w:tcW w:w="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106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16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7920" w:type="dxa"/>
            <w:vAlign w:val="bottom"/>
            <w:gridSpan w:val="10"/>
          </w:tcPr>
          <w:p>
            <w:pPr>
              <w:spacing w:after="0"/>
              <w:rPr>
                <w:sz w:val="20"/>
                <w:szCs w:val="20"/>
                <w:color w:val="auto"/>
              </w:rPr>
            </w:pPr>
            <w:r>
              <w:rPr>
                <w:rFonts w:ascii="Arial" w:cs="Arial" w:eastAsia="Arial" w:hAnsi="Arial"/>
                <w:sz w:val="18"/>
                <w:szCs w:val="18"/>
                <w:color w:val="auto"/>
              </w:rPr>
              <w:t>Contributed surplus</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16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2,314</w:t>
            </w: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2,314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900" w:type="dxa"/>
            <w:vAlign w:val="bottom"/>
            <w:tcBorders>
              <w:bottom w:val="single" w:sz="8" w:color="CCFFCC"/>
            </w:tcBorders>
            <w:gridSpan w:val="9"/>
            <w:shd w:val="clear" w:color="auto" w:fill="CCFFCC"/>
          </w:tcPr>
          <w:p>
            <w:pPr>
              <w:spacing w:after="0"/>
              <w:rPr>
                <w:sz w:val="20"/>
                <w:szCs w:val="20"/>
                <w:color w:val="auto"/>
              </w:rPr>
            </w:pPr>
            <w:r>
              <w:rPr>
                <w:rFonts w:ascii="Arial" w:cs="Arial" w:eastAsia="Arial" w:hAnsi="Arial"/>
                <w:sz w:val="18"/>
                <w:szCs w:val="18"/>
                <w:color w:val="auto"/>
              </w:rPr>
              <w:t>Retained earnings</w:t>
            </w:r>
          </w:p>
        </w:tc>
        <w:tc>
          <w:tcPr>
            <w:tcW w:w="20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120" w:type="dxa"/>
            <w:vAlign w:val="bottom"/>
            <w:tcBorders>
              <w:bottom w:val="single" w:sz="8" w:color="CCFFCC"/>
            </w:tcBorders>
            <w:shd w:val="clear" w:color="auto" w:fill="CCFFCC"/>
          </w:tcPr>
          <w:p>
            <w:pPr>
              <w:spacing w:after="0"/>
              <w:rPr>
                <w:sz w:val="21"/>
                <w:szCs w:val="21"/>
                <w:color w:val="auto"/>
              </w:rPr>
            </w:pPr>
          </w:p>
        </w:tc>
        <w:tc>
          <w:tcPr>
            <w:tcW w:w="320" w:type="dxa"/>
            <w:vAlign w:val="bottom"/>
            <w:tcBorders>
              <w:bottom w:val="single" w:sz="8" w:color="CCFFCC"/>
            </w:tcBorders>
            <w:shd w:val="clear" w:color="auto" w:fill="CCFFCC"/>
          </w:tcPr>
          <w:p>
            <w:pPr>
              <w:spacing w:after="0"/>
              <w:rPr>
                <w:sz w:val="21"/>
                <w:szCs w:val="21"/>
                <w:color w:val="auto"/>
              </w:rPr>
            </w:pPr>
          </w:p>
        </w:tc>
        <w:tc>
          <w:tcPr>
            <w:tcW w:w="106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7,816</w:t>
            </w:r>
          </w:p>
        </w:tc>
        <w:tc>
          <w:tcPr>
            <w:tcW w:w="220" w:type="dxa"/>
            <w:vAlign w:val="bottom"/>
            <w:tcBorders>
              <w:bottom w:val="single" w:sz="8" w:color="CCFFCC"/>
            </w:tcBorders>
            <w:shd w:val="clear" w:color="auto" w:fill="CCFFCC"/>
          </w:tcPr>
          <w:p>
            <w:pPr>
              <w:spacing w:after="0"/>
              <w:rPr>
                <w:sz w:val="21"/>
                <w:szCs w:val="21"/>
                <w:color w:val="auto"/>
              </w:rPr>
            </w:pPr>
          </w:p>
        </w:tc>
        <w:tc>
          <w:tcPr>
            <w:tcW w:w="300" w:type="dxa"/>
            <w:vAlign w:val="bottom"/>
            <w:tcBorders>
              <w:bottom w:val="single" w:sz="8" w:color="CCFFCC"/>
            </w:tcBorders>
            <w:shd w:val="clear" w:color="auto" w:fill="CCFFCC"/>
          </w:tcPr>
          <w:p>
            <w:pPr>
              <w:spacing w:after="0"/>
              <w:rPr>
                <w:sz w:val="21"/>
                <w:szCs w:val="21"/>
                <w:color w:val="auto"/>
              </w:rPr>
            </w:pPr>
          </w:p>
        </w:tc>
        <w:tc>
          <w:tcPr>
            <w:tcW w:w="116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shd w:val="clear" w:color="auto" w:fill="CCFFCC"/>
          </w:tcPr>
          <w:p>
            <w:pPr>
              <w:spacing w:after="0" w:line="20" w:lineRule="exact"/>
              <w:rPr>
                <w:sz w:val="1"/>
                <w:szCs w:val="1"/>
                <w:color w:val="auto"/>
              </w:rPr>
            </w:pPr>
          </w:p>
        </w:tc>
        <w:tc>
          <w:tcPr>
            <w:tcW w:w="760" w:type="dxa"/>
            <w:vAlign w:val="bottom"/>
            <w:shd w:val="clear" w:color="auto" w:fill="CCFFCC"/>
          </w:tcPr>
          <w:p>
            <w:pPr>
              <w:spacing w:after="0" w:line="20" w:lineRule="exact"/>
              <w:rPr>
                <w:sz w:val="1"/>
                <w:szCs w:val="1"/>
                <w:color w:val="auto"/>
              </w:rPr>
            </w:pPr>
          </w:p>
        </w:tc>
        <w:tc>
          <w:tcPr>
            <w:tcW w:w="260" w:type="dxa"/>
            <w:vAlign w:val="bottom"/>
            <w:shd w:val="clear" w:color="auto" w:fill="CCFFCC"/>
          </w:tcPr>
          <w:p>
            <w:pPr>
              <w:spacing w:after="0" w:line="20" w:lineRule="exact"/>
              <w:rPr>
                <w:sz w:val="1"/>
                <w:szCs w:val="1"/>
                <w:color w:val="auto"/>
              </w:rPr>
            </w:pPr>
          </w:p>
        </w:tc>
        <w:tc>
          <w:tcPr>
            <w:tcW w:w="1400" w:type="dxa"/>
            <w:vAlign w:val="bottom"/>
            <w:shd w:val="clear" w:color="auto" w:fill="CCFFCC"/>
          </w:tcPr>
          <w:p>
            <w:pPr>
              <w:spacing w:after="0" w:line="20" w:lineRule="exact"/>
              <w:rPr>
                <w:sz w:val="1"/>
                <w:szCs w:val="1"/>
                <w:color w:val="auto"/>
              </w:rPr>
            </w:pPr>
          </w:p>
        </w:tc>
        <w:tc>
          <w:tcPr>
            <w:tcW w:w="820" w:type="dxa"/>
            <w:vAlign w:val="bottom"/>
            <w:shd w:val="clear" w:color="auto" w:fill="CCFFCC"/>
          </w:tcPr>
          <w:p>
            <w:pPr>
              <w:spacing w:after="0" w:line="20" w:lineRule="exact"/>
              <w:rPr>
                <w:sz w:val="1"/>
                <w:szCs w:val="1"/>
                <w:color w:val="auto"/>
              </w:rPr>
            </w:pPr>
          </w:p>
        </w:tc>
        <w:tc>
          <w:tcPr>
            <w:tcW w:w="1000" w:type="dxa"/>
            <w:vAlign w:val="bottom"/>
            <w:shd w:val="clear" w:color="auto" w:fill="CCFFCC"/>
          </w:tcPr>
          <w:p>
            <w:pPr>
              <w:spacing w:after="0" w:line="20" w:lineRule="exact"/>
              <w:rPr>
                <w:sz w:val="1"/>
                <w:szCs w:val="1"/>
                <w:color w:val="auto"/>
              </w:rPr>
            </w:pPr>
          </w:p>
        </w:tc>
        <w:tc>
          <w:tcPr>
            <w:tcW w:w="1820" w:type="dxa"/>
            <w:vAlign w:val="bottom"/>
            <w:shd w:val="clear" w:color="auto" w:fill="CCFFCC"/>
          </w:tcPr>
          <w:p>
            <w:pPr>
              <w:spacing w:after="0" w:line="20" w:lineRule="exact"/>
              <w:rPr>
                <w:sz w:val="1"/>
                <w:szCs w:val="1"/>
                <w:color w:val="auto"/>
              </w:rPr>
            </w:pPr>
          </w:p>
        </w:tc>
        <w:tc>
          <w:tcPr>
            <w:tcW w:w="420" w:type="dxa"/>
            <w:vAlign w:val="bottom"/>
            <w:shd w:val="clear" w:color="auto" w:fill="CCFFCC"/>
          </w:tcPr>
          <w:p>
            <w:pPr>
              <w:spacing w:after="0" w:line="20" w:lineRule="exact"/>
              <w:rPr>
                <w:sz w:val="1"/>
                <w:szCs w:val="1"/>
                <w:color w:val="auto"/>
              </w:rPr>
            </w:pPr>
          </w:p>
        </w:tc>
        <w:tc>
          <w:tcPr>
            <w:tcW w:w="760" w:type="dxa"/>
            <w:vAlign w:val="bottom"/>
            <w:shd w:val="clear" w:color="auto" w:fill="CCFFCC"/>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920" w:type="dxa"/>
            <w:vAlign w:val="bottom"/>
            <w:gridSpan w:val="10"/>
          </w:tcPr>
          <w:p>
            <w:pPr>
              <w:spacing w:after="0"/>
              <w:rPr>
                <w:sz w:val="20"/>
                <w:szCs w:val="20"/>
                <w:color w:val="auto"/>
              </w:rPr>
            </w:pPr>
            <w:r>
              <w:rPr>
                <w:rFonts w:ascii="Arial" w:cs="Arial" w:eastAsia="Arial" w:hAnsi="Arial"/>
                <w:sz w:val="18"/>
                <w:szCs w:val="18"/>
                <w:color w:val="auto"/>
              </w:rPr>
              <w:t>Total shareholders’ equity</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10,159</w:t>
            </w: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8,406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6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260" w:type="dxa"/>
            <w:vAlign w:val="bottom"/>
            <w:shd w:val="clear" w:color="auto" w:fill="CCFFCC"/>
          </w:tcPr>
          <w:p>
            <w:pPr>
              <w:spacing w:after="0"/>
              <w:rPr>
                <w:sz w:val="21"/>
                <w:szCs w:val="21"/>
                <w:color w:val="auto"/>
              </w:rPr>
            </w:pPr>
          </w:p>
        </w:tc>
        <w:tc>
          <w:tcPr>
            <w:tcW w:w="1400" w:type="dxa"/>
            <w:vAlign w:val="bottom"/>
            <w:shd w:val="clear" w:color="auto" w:fill="CCFFCC"/>
          </w:tcPr>
          <w:p>
            <w:pPr>
              <w:spacing w:after="0"/>
              <w:rPr>
                <w:sz w:val="21"/>
                <w:szCs w:val="21"/>
                <w:color w:val="auto"/>
              </w:rPr>
            </w:pPr>
          </w:p>
        </w:tc>
        <w:tc>
          <w:tcPr>
            <w:tcW w:w="820" w:type="dxa"/>
            <w:vAlign w:val="bottom"/>
            <w:shd w:val="clear" w:color="auto" w:fill="CCFFCC"/>
          </w:tcPr>
          <w:p>
            <w:pPr>
              <w:spacing w:after="0"/>
              <w:rPr>
                <w:sz w:val="21"/>
                <w:szCs w:val="21"/>
                <w:color w:val="auto"/>
              </w:rPr>
            </w:pPr>
          </w:p>
        </w:tc>
        <w:tc>
          <w:tcPr>
            <w:tcW w:w="1000" w:type="dxa"/>
            <w:vAlign w:val="bottom"/>
            <w:shd w:val="clear" w:color="auto" w:fill="CCFFCC"/>
          </w:tcPr>
          <w:p>
            <w:pPr>
              <w:spacing w:after="0"/>
              <w:rPr>
                <w:sz w:val="21"/>
                <w:szCs w:val="21"/>
                <w:color w:val="auto"/>
              </w:rPr>
            </w:pPr>
          </w:p>
        </w:tc>
        <w:tc>
          <w:tcPr>
            <w:tcW w:w="1820" w:type="dxa"/>
            <w:vAlign w:val="bottom"/>
            <w:shd w:val="clear" w:color="auto" w:fill="CCFFCC"/>
          </w:tcPr>
          <w:p>
            <w:pPr>
              <w:spacing w:after="0"/>
              <w:rPr>
                <w:sz w:val="21"/>
                <w:szCs w:val="21"/>
                <w:color w:val="auto"/>
              </w:rPr>
            </w:pPr>
          </w:p>
        </w:tc>
        <w:tc>
          <w:tcPr>
            <w:tcW w:w="420" w:type="dxa"/>
            <w:vAlign w:val="bottom"/>
            <w:shd w:val="clear" w:color="auto" w:fill="CCFFCC"/>
          </w:tcPr>
          <w:p>
            <w:pPr>
              <w:spacing w:after="0"/>
              <w:rPr>
                <w:sz w:val="21"/>
                <w:szCs w:val="21"/>
                <w:color w:val="auto"/>
              </w:rPr>
            </w:pPr>
          </w:p>
        </w:tc>
        <w:tc>
          <w:tcPr>
            <w:tcW w:w="760" w:type="dxa"/>
            <w:vAlign w:val="bottom"/>
            <w:shd w:val="clear" w:color="auto" w:fill="CCFFCC"/>
          </w:tcPr>
          <w:p>
            <w:pPr>
              <w:spacing w:after="0"/>
              <w:rPr>
                <w:sz w:val="21"/>
                <w:szCs w:val="21"/>
                <w:color w:val="auto"/>
              </w:rPr>
            </w:pPr>
          </w:p>
        </w:tc>
        <w:tc>
          <w:tcPr>
            <w:tcW w:w="2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32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6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80" w:type="dxa"/>
            <w:vAlign w:val="bottom"/>
            <w:tcBorders>
              <w:bottom w:val="single" w:sz="8" w:color="auto"/>
            </w:tcBorders>
            <w:gridSpan w:val="4"/>
          </w:tcPr>
          <w:p>
            <w:pPr>
              <w:spacing w:after="0" w:line="182" w:lineRule="exact"/>
              <w:rPr>
                <w:sz w:val="20"/>
                <w:szCs w:val="20"/>
                <w:color w:val="auto"/>
              </w:rPr>
            </w:pPr>
            <w:r>
              <w:rPr>
                <w:rFonts w:ascii="Arial" w:cs="Arial" w:eastAsia="Arial" w:hAnsi="Arial"/>
                <w:sz w:val="18"/>
                <w:szCs w:val="18"/>
                <w:b w:val="1"/>
                <w:bCs w:val="1"/>
                <w:color w:val="auto"/>
                <w:w w:val="89"/>
              </w:rPr>
              <w:t>Total liabilities and shareholders’ equity</w:t>
            </w:r>
          </w:p>
        </w:tc>
        <w:tc>
          <w:tcPr>
            <w:tcW w:w="4820" w:type="dxa"/>
            <w:vAlign w:val="bottom"/>
            <w:gridSpan w:val="5"/>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gridSpan w:val="2"/>
          </w:tcPr>
          <w:p>
            <w:pPr>
              <w:jc w:val="right"/>
              <w:ind w:right="240"/>
              <w:spacing w:after="0" w:line="196" w:lineRule="exact"/>
              <w:rPr>
                <w:sz w:val="20"/>
                <w:szCs w:val="20"/>
                <w:color w:val="auto"/>
              </w:rPr>
            </w:pPr>
            <w:r>
              <w:rPr>
                <w:rFonts w:ascii="Arial" w:cs="Arial" w:eastAsia="Arial" w:hAnsi="Arial"/>
                <w:sz w:val="18"/>
                <w:szCs w:val="18"/>
                <w:b w:val="1"/>
                <w:bCs w:val="1"/>
                <w:color w:val="auto"/>
              </w:rPr>
              <w:t>$</w:t>
            </w:r>
          </w:p>
        </w:tc>
        <w:tc>
          <w:tcPr>
            <w:tcW w:w="1280" w:type="dxa"/>
            <w:vAlign w:val="bottom"/>
            <w:gridSpan w:val="2"/>
          </w:tcPr>
          <w:p>
            <w:pPr>
              <w:jc w:val="right"/>
              <w:ind w:right="220"/>
              <w:spacing w:after="0" w:line="196" w:lineRule="exact"/>
              <w:rPr>
                <w:sz w:val="20"/>
                <w:szCs w:val="20"/>
                <w:color w:val="auto"/>
              </w:rPr>
            </w:pPr>
            <w:r>
              <w:rPr>
                <w:rFonts w:ascii="Arial" w:cs="Arial" w:eastAsia="Arial" w:hAnsi="Arial"/>
                <w:sz w:val="18"/>
                <w:szCs w:val="18"/>
                <w:b w:val="1"/>
                <w:bCs w:val="1"/>
                <w:color w:val="auto"/>
              </w:rPr>
              <w:t>13,722</w:t>
            </w:r>
          </w:p>
        </w:tc>
        <w:tc>
          <w:tcPr>
            <w:tcW w:w="300" w:type="dxa"/>
            <w:vAlign w:val="bottom"/>
          </w:tcPr>
          <w:p>
            <w:pPr>
              <w:jc w:val="right"/>
              <w:ind w:right="110"/>
              <w:spacing w:after="0" w:line="196" w:lineRule="exact"/>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100"/>
              <w:spacing w:after="0" w:line="196" w:lineRule="exact"/>
              <w:rPr>
                <w:sz w:val="20"/>
                <w:szCs w:val="20"/>
                <w:color w:val="auto"/>
              </w:rPr>
            </w:pPr>
            <w:r>
              <w:rPr>
                <w:rFonts w:ascii="Arial" w:cs="Arial" w:eastAsia="Arial" w:hAnsi="Arial"/>
                <w:sz w:val="18"/>
                <w:szCs w:val="18"/>
                <w:b w:val="1"/>
                <w:bCs w:val="1"/>
                <w:color w:val="auto"/>
              </w:rPr>
              <w:t>10,365</w:t>
            </w:r>
          </w:p>
        </w:tc>
        <w:tc>
          <w:tcPr>
            <w:tcW w:w="0" w:type="dxa"/>
            <w:vAlign w:val="bottom"/>
          </w:tcPr>
          <w:p>
            <w:pPr>
              <w:spacing w:after="0"/>
              <w:rPr>
                <w:sz w:val="1"/>
                <w:szCs w:val="1"/>
                <w:color w:val="auto"/>
              </w:rPr>
            </w:pPr>
          </w:p>
        </w:tc>
      </w:tr>
      <w:tr>
        <w:trPr>
          <w:trHeight w:val="48"/>
        </w:trPr>
        <w:tc>
          <w:tcPr>
            <w:tcW w:w="7920" w:type="dxa"/>
            <w:vAlign w:val="bottom"/>
            <w:gridSpan w:val="10"/>
            <w:vMerge w:val="restart"/>
          </w:tcPr>
          <w:p>
            <w:pPr>
              <w:spacing w:after="0"/>
              <w:rPr>
                <w:sz w:val="20"/>
                <w:szCs w:val="20"/>
                <w:color w:val="auto"/>
              </w:rPr>
            </w:pPr>
            <w:r>
              <w:rPr>
                <w:rFonts w:ascii="Arial" w:cs="Arial" w:eastAsia="Arial" w:hAnsi="Arial"/>
                <w:sz w:val="18"/>
                <w:szCs w:val="18"/>
                <w:color w:val="auto"/>
              </w:rPr>
              <w:t>See accompanying notes to financial statements</w:t>
            </w: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0"/>
        </w:trPr>
        <w:tc>
          <w:tcPr>
            <w:tcW w:w="7920" w:type="dxa"/>
            <w:vAlign w:val="bottom"/>
            <w:gridSpan w:val="10"/>
            <w:vMerge w:val="continue"/>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type w:val="continuous"/>
        </w:sectPr>
      </w:pPr>
    </w:p>
    <w:bookmarkStart w:id="72" w:name="page73"/>
    <w:bookmarkEnd w:id="7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Sales</w:t>
      </w:r>
    </w:p>
    <w:p>
      <w:pPr>
        <w:spacing w:after="0" w:line="2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Direct costs</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Manufacturing costs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of goods sold</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 on sale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Administrative expenses</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Selling expenses</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Depreciation of fixed assets</w:t>
      </w:r>
    </w:p>
    <w:p>
      <w:pPr>
        <w:spacing w:after="0" w:line="3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Amortization of intangible assets</w:t>
      </w:r>
    </w:p>
    <w:p>
      <w:pPr>
        <w:spacing w:after="0" w:line="5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Taxes other than income taxes</w:t>
      </w:r>
    </w:p>
    <w:p>
      <w:pPr>
        <w:spacing w:after="0" w:line="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Engineering expenses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040" w:type="dxa"/>
            <w:vAlign w:val="bottom"/>
            <w:gridSpan w:val="6"/>
          </w:tcPr>
          <w:p>
            <w:pPr>
              <w:jc w:val="center"/>
              <w:ind w:right="480"/>
              <w:spacing w:after="0"/>
              <w:rPr>
                <w:sz w:val="20"/>
                <w:szCs w:val="20"/>
                <w:color w:val="auto"/>
              </w:rPr>
            </w:pPr>
            <w:r>
              <w:rPr>
                <w:rFonts w:ascii="Arial" w:cs="Arial" w:eastAsia="Arial" w:hAnsi="Arial"/>
                <w:sz w:val="18"/>
                <w:szCs w:val="18"/>
                <w:b w:val="1"/>
                <w:bCs w:val="1"/>
                <w:color w:val="auto"/>
                <w:w w:val="98"/>
              </w:rPr>
              <w:t>OAO Morion</w:t>
            </w: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8"/>
        </w:trPr>
        <w:tc>
          <w:tcPr>
            <w:tcW w:w="5040" w:type="dxa"/>
            <w:vAlign w:val="bottom"/>
            <w:gridSpan w:val="6"/>
          </w:tcPr>
          <w:p>
            <w:pPr>
              <w:jc w:val="center"/>
              <w:ind w:right="500"/>
              <w:spacing w:after="0"/>
              <w:rPr>
                <w:sz w:val="20"/>
                <w:szCs w:val="20"/>
                <w:color w:val="auto"/>
              </w:rPr>
            </w:pPr>
            <w:r>
              <w:rPr>
                <w:rFonts w:ascii="Arial" w:cs="Arial" w:eastAsia="Arial" w:hAnsi="Arial"/>
                <w:sz w:val="18"/>
                <w:szCs w:val="18"/>
                <w:b w:val="1"/>
                <w:bCs w:val="1"/>
                <w:color w:val="auto"/>
                <w:w w:val="89"/>
              </w:rPr>
              <w:t>Statements of Income and Comprehensive Income</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040" w:type="dxa"/>
            <w:vAlign w:val="bottom"/>
            <w:gridSpan w:val="6"/>
          </w:tcPr>
          <w:p>
            <w:pPr>
              <w:jc w:val="center"/>
              <w:ind w:right="500"/>
              <w:spacing w:after="0"/>
              <w:rPr>
                <w:sz w:val="20"/>
                <w:szCs w:val="20"/>
                <w:color w:val="auto"/>
              </w:rPr>
            </w:pPr>
            <w:r>
              <w:rPr>
                <w:rFonts w:ascii="Arial" w:cs="Arial" w:eastAsia="Arial" w:hAnsi="Arial"/>
                <w:sz w:val="18"/>
                <w:szCs w:val="18"/>
                <w:b w:val="1"/>
                <w:bCs w:val="1"/>
                <w:color w:val="auto"/>
                <w:w w:val="89"/>
              </w:rPr>
              <w:t>For the Years ended December 31, 2006 and 2005</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040" w:type="dxa"/>
            <w:vAlign w:val="bottom"/>
            <w:gridSpan w:val="6"/>
          </w:tcPr>
          <w:p>
            <w:pPr>
              <w:jc w:val="center"/>
              <w:ind w:right="500"/>
              <w:spacing w:after="0"/>
              <w:rPr>
                <w:sz w:val="20"/>
                <w:szCs w:val="20"/>
                <w:color w:val="auto"/>
              </w:rPr>
            </w:pPr>
            <w:r>
              <w:rPr>
                <w:rFonts w:ascii="Arial" w:cs="Arial" w:eastAsia="Arial" w:hAnsi="Arial"/>
                <w:sz w:val="18"/>
                <w:szCs w:val="18"/>
                <w:b w:val="1"/>
                <w:bCs w:val="1"/>
                <w:color w:val="auto"/>
                <w:w w:val="89"/>
              </w:rPr>
              <w:t>(in thousands of U.S. dollars except Per Share information)</w:t>
            </w: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3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Note</w:t>
            </w: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4"/>
                <w:szCs w:val="24"/>
                <w:color w:val="auto"/>
              </w:rPr>
            </w:pPr>
          </w:p>
        </w:tc>
      </w:tr>
      <w:tr>
        <w:trPr>
          <w:trHeight w:val="520"/>
        </w:trPr>
        <w:tc>
          <w:tcPr>
            <w:tcW w:w="5040" w:type="dxa"/>
            <w:vAlign w:val="bottom"/>
            <w:gridSpan w:val="6"/>
          </w:tcPr>
          <w:p>
            <w:pPr>
              <w:jc w:val="right"/>
              <w:ind w:right="40"/>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14,541</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11,423</w:t>
            </w:r>
          </w:p>
        </w:tc>
      </w:tr>
      <w:tr>
        <w:trPr>
          <w:trHeight w:val="480"/>
        </w:trPr>
        <w:tc>
          <w:tcPr>
            <w:tcW w:w="3080" w:type="dxa"/>
            <w:vAlign w:val="bottom"/>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Borders>
              <w:top w:val="single" w:sz="8" w:color="CCFFCC"/>
            </w:tcBorders>
          </w:tcPr>
          <w:p>
            <w:pPr>
              <w:spacing w:after="0"/>
              <w:rPr>
                <w:sz w:val="24"/>
                <w:szCs w:val="24"/>
                <w:color w:val="auto"/>
              </w:rPr>
            </w:pPr>
          </w:p>
        </w:tc>
        <w:tc>
          <w:tcPr>
            <w:tcW w:w="240" w:type="dxa"/>
            <w:vAlign w:val="bottom"/>
            <w:tcBorders>
              <w:top w:val="single" w:sz="8" w:color="CCFFCC"/>
            </w:tcBorders>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Borders>
              <w:top w:val="single" w:sz="8" w:color="CCFFCC"/>
            </w:tcBorders>
          </w:tcPr>
          <w:p>
            <w:pPr>
              <w:jc w:val="right"/>
              <w:spacing w:after="0"/>
              <w:rPr>
                <w:sz w:val="20"/>
                <w:szCs w:val="20"/>
                <w:color w:val="auto"/>
              </w:rPr>
            </w:pPr>
            <w:r>
              <w:rPr>
                <w:rFonts w:ascii="Arial" w:cs="Arial" w:eastAsia="Arial" w:hAnsi="Arial"/>
                <w:sz w:val="18"/>
                <w:szCs w:val="18"/>
                <w:color w:val="auto"/>
              </w:rPr>
              <w:t>5,903</w:t>
            </w:r>
          </w:p>
        </w:tc>
        <w:tc>
          <w:tcPr>
            <w:tcW w:w="220" w:type="dxa"/>
            <w:vAlign w:val="bottom"/>
            <w:tcBorders>
              <w:top w:val="single" w:sz="8" w:color="CCFFCC"/>
            </w:tcBorders>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Borders>
              <w:top w:val="single" w:sz="8" w:color="CCFFCC"/>
            </w:tcBorders>
            <w:gridSpan w:val="2"/>
          </w:tcPr>
          <w:p>
            <w:pPr>
              <w:jc w:val="right"/>
              <w:ind w:right="100"/>
              <w:spacing w:after="0"/>
              <w:rPr>
                <w:sz w:val="20"/>
                <w:szCs w:val="20"/>
                <w:color w:val="auto"/>
              </w:rPr>
            </w:pPr>
            <w:r>
              <w:rPr>
                <w:rFonts w:ascii="Arial" w:cs="Arial" w:eastAsia="Arial" w:hAnsi="Arial"/>
                <w:sz w:val="18"/>
                <w:szCs w:val="18"/>
                <w:color w:val="auto"/>
              </w:rPr>
              <w:t>4,997</w:t>
            </w:r>
          </w:p>
        </w:tc>
      </w:tr>
      <w:tr>
        <w:trPr>
          <w:trHeight w:val="243"/>
        </w:trPr>
        <w:tc>
          <w:tcPr>
            <w:tcW w:w="3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3,231</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2,381</w:t>
            </w:r>
          </w:p>
        </w:tc>
      </w:tr>
      <w:tr>
        <w:trPr>
          <w:trHeight w:val="270"/>
        </w:trPr>
        <w:tc>
          <w:tcPr>
            <w:tcW w:w="3080" w:type="dxa"/>
            <w:vAlign w:val="bottom"/>
          </w:tcPr>
          <w:p>
            <w:pPr>
              <w:spacing w:after="0"/>
              <w:rPr>
                <w:sz w:val="23"/>
                <w:szCs w:val="23"/>
                <w:color w:val="auto"/>
              </w:rPr>
            </w:pPr>
          </w:p>
        </w:tc>
        <w:tc>
          <w:tcPr>
            <w:tcW w:w="220" w:type="dxa"/>
            <w:vAlign w:val="bottom"/>
            <w:tcBorders>
              <w:bottom w:val="single" w:sz="8" w:color="CCFFCC"/>
            </w:tcBorders>
          </w:tcPr>
          <w:p>
            <w:pPr>
              <w:spacing w:after="0"/>
              <w:rPr>
                <w:sz w:val="23"/>
                <w:szCs w:val="23"/>
                <w:color w:val="auto"/>
              </w:rPr>
            </w:pPr>
          </w:p>
        </w:tc>
        <w:tc>
          <w:tcPr>
            <w:tcW w:w="120" w:type="dxa"/>
            <w:vAlign w:val="bottom"/>
            <w:tcBorders>
              <w:bottom w:val="single" w:sz="8" w:color="CCFFCC"/>
            </w:tcBorders>
          </w:tcPr>
          <w:p>
            <w:pPr>
              <w:spacing w:after="0"/>
              <w:rPr>
                <w:sz w:val="23"/>
                <w:szCs w:val="23"/>
                <w:color w:val="auto"/>
              </w:rPr>
            </w:pPr>
          </w:p>
        </w:tc>
        <w:tc>
          <w:tcPr>
            <w:tcW w:w="1260" w:type="dxa"/>
            <w:vAlign w:val="bottom"/>
            <w:tcBorders>
              <w:bottom w:val="single" w:sz="8" w:color="CCFFCC"/>
            </w:tcBorders>
          </w:tcPr>
          <w:p>
            <w:pPr>
              <w:spacing w:after="0"/>
              <w:rPr>
                <w:sz w:val="23"/>
                <w:szCs w:val="23"/>
                <w:color w:val="auto"/>
              </w:rPr>
            </w:pPr>
          </w:p>
        </w:tc>
        <w:tc>
          <w:tcPr>
            <w:tcW w:w="240" w:type="dxa"/>
            <w:vAlign w:val="bottom"/>
            <w:tcBorders>
              <w:bottom w:val="single" w:sz="8" w:color="CCFFCC"/>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9,134</w:t>
            </w:r>
          </w:p>
        </w:tc>
        <w:tc>
          <w:tcPr>
            <w:tcW w:w="220" w:type="dxa"/>
            <w:vAlign w:val="bottom"/>
            <w:tcBorders>
              <w:bottom w:val="single" w:sz="8" w:color="CCFFCC"/>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7,378</w:t>
            </w:r>
          </w:p>
        </w:tc>
        <w:tc>
          <w:tcPr>
            <w:tcW w:w="100" w:type="dxa"/>
            <w:vAlign w:val="bottom"/>
            <w:tcBorders>
              <w:bottom w:val="single" w:sz="8" w:color="CCFFCC"/>
            </w:tcBorders>
          </w:tcPr>
          <w:p>
            <w:pPr>
              <w:spacing w:after="0"/>
              <w:rPr>
                <w:sz w:val="23"/>
                <w:szCs w:val="23"/>
                <w:color w:val="auto"/>
              </w:rPr>
            </w:pPr>
          </w:p>
        </w:tc>
      </w:tr>
      <w:tr>
        <w:trPr>
          <w:trHeight w:val="480"/>
        </w:trPr>
        <w:tc>
          <w:tcPr>
            <w:tcW w:w="3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5,407</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4,045</w:t>
            </w:r>
          </w:p>
        </w:tc>
      </w:tr>
      <w:tr>
        <w:trPr>
          <w:trHeight w:val="729"/>
        </w:trPr>
        <w:tc>
          <w:tcPr>
            <w:tcW w:w="3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2,008</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1,519</w:t>
            </w:r>
          </w:p>
        </w:tc>
      </w:tr>
      <w:tr>
        <w:trPr>
          <w:trHeight w:val="243"/>
        </w:trPr>
        <w:tc>
          <w:tcPr>
            <w:tcW w:w="3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r>
      <w:tr>
        <w:trPr>
          <w:trHeight w:val="243"/>
        </w:trPr>
        <w:tc>
          <w:tcPr>
            <w:tcW w:w="3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366</w:t>
            </w:r>
          </w:p>
        </w:tc>
      </w:tr>
      <w:tr>
        <w:trPr>
          <w:trHeight w:val="243"/>
        </w:trPr>
        <w:tc>
          <w:tcPr>
            <w:tcW w:w="3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43"/>
        </w:trPr>
        <w:tc>
          <w:tcPr>
            <w:tcW w:w="3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1"/>
                <w:szCs w:val="21"/>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65</w:t>
            </w:r>
          </w:p>
        </w:tc>
      </w:tr>
      <w:tr>
        <w:trPr>
          <w:trHeight w:val="270"/>
        </w:trPr>
        <w:tc>
          <w:tcPr>
            <w:tcW w:w="3080" w:type="dxa"/>
            <w:vAlign w:val="bottom"/>
          </w:tcPr>
          <w:p>
            <w:pPr>
              <w:spacing w:after="0"/>
              <w:rPr>
                <w:sz w:val="23"/>
                <w:szCs w:val="23"/>
                <w:color w:val="auto"/>
              </w:rPr>
            </w:pPr>
          </w:p>
        </w:tc>
        <w:tc>
          <w:tcPr>
            <w:tcW w:w="220" w:type="dxa"/>
            <w:vAlign w:val="bottom"/>
            <w:tcBorders>
              <w:bottom w:val="single" w:sz="8" w:color="CCFFCC"/>
            </w:tcBorders>
          </w:tcPr>
          <w:p>
            <w:pPr>
              <w:spacing w:after="0"/>
              <w:rPr>
                <w:sz w:val="23"/>
                <w:szCs w:val="23"/>
                <w:color w:val="auto"/>
              </w:rPr>
            </w:pPr>
          </w:p>
        </w:tc>
        <w:tc>
          <w:tcPr>
            <w:tcW w:w="120" w:type="dxa"/>
            <w:vAlign w:val="bottom"/>
            <w:tcBorders>
              <w:bottom w:val="single" w:sz="8" w:color="CCFFCC"/>
            </w:tcBorders>
          </w:tcPr>
          <w:p>
            <w:pPr>
              <w:spacing w:after="0"/>
              <w:rPr>
                <w:sz w:val="23"/>
                <w:szCs w:val="23"/>
                <w:color w:val="auto"/>
              </w:rPr>
            </w:pPr>
          </w:p>
        </w:tc>
        <w:tc>
          <w:tcPr>
            <w:tcW w:w="1260" w:type="dxa"/>
            <w:vAlign w:val="bottom"/>
            <w:tcBorders>
              <w:bottom w:val="single" w:sz="8" w:color="CCFFCC"/>
            </w:tcBorders>
          </w:tcPr>
          <w:p>
            <w:pPr>
              <w:spacing w:after="0"/>
              <w:rPr>
                <w:sz w:val="23"/>
                <w:szCs w:val="23"/>
                <w:color w:val="auto"/>
              </w:rPr>
            </w:pPr>
          </w:p>
        </w:tc>
        <w:tc>
          <w:tcPr>
            <w:tcW w:w="240" w:type="dxa"/>
            <w:vAlign w:val="bottom"/>
            <w:tcBorders>
              <w:bottom w:val="single" w:sz="8" w:color="CCFFCC"/>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w:t>
            </w:r>
          </w:p>
        </w:tc>
        <w:tc>
          <w:tcPr>
            <w:tcW w:w="220" w:type="dxa"/>
            <w:vAlign w:val="bottom"/>
            <w:tcBorders>
              <w:bottom w:val="single" w:sz="8" w:color="CCFFCC"/>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FFCC"/>
            </w:tcBorders>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-2178685</wp:posOffset>
            </wp:positionH>
            <wp:positionV relativeFrom="paragraph">
              <wp:posOffset>-2057400</wp:posOffset>
            </wp:positionV>
            <wp:extent cx="7246620" cy="154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-1414145</wp:posOffset>
            </wp:positionV>
            <wp:extent cx="7246620" cy="154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-1105535</wp:posOffset>
            </wp:positionV>
            <wp:extent cx="7246620" cy="154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-796925</wp:posOffset>
            </wp:positionV>
            <wp:extent cx="7246620" cy="1543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-488315</wp:posOffset>
            </wp:positionV>
            <wp:extent cx="7246620" cy="154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154305</wp:posOffset>
            </wp:positionV>
            <wp:extent cx="7246620"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-2374900</wp:posOffset>
            </wp:positionV>
            <wp:extent cx="7246620" cy="16319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-1748790</wp:posOffset>
            </wp:positionV>
            <wp:extent cx="7246620" cy="1803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-2178685</wp:posOffset>
            </wp:positionH>
            <wp:positionV relativeFrom="paragraph">
              <wp:posOffset>-179705</wp:posOffset>
            </wp:positionV>
            <wp:extent cx="7246620" cy="1803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40" w:space="400"/>
            <w:col w:w="7980"/>
          </w:cols>
          <w:pgMar w:left="240" w:top="391" w:right="239" w:bottom="1440" w:gutter="0" w:footer="0" w:header="0"/>
        </w:sect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r>
              <w:rPr>
                <w:rFonts w:ascii="Arial" w:cs="Arial" w:eastAsia="Arial" w:hAnsi="Arial"/>
                <w:sz w:val="18"/>
                <w:szCs w:val="18"/>
                <w:b w:val="1"/>
                <w:bCs w:val="1"/>
                <w:color w:val="auto"/>
              </w:rPr>
              <w:t>Income from Operating</w:t>
            </w:r>
          </w:p>
        </w:tc>
        <w:tc>
          <w:tcPr>
            <w:tcW w:w="2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2,115</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1,602</w:t>
            </w:r>
          </w:p>
        </w:tc>
      </w:tr>
      <w:tr>
        <w:trPr>
          <w:trHeight w:val="243"/>
        </w:trPr>
        <w:tc>
          <w:tcPr>
            <w:tcW w:w="5500" w:type="dxa"/>
            <w:vAlign w:val="bottom"/>
            <w:shd w:val="clear" w:color="auto" w:fill="CCFFCC"/>
          </w:tcPr>
          <w:p>
            <w:pPr>
              <w:spacing w:after="0"/>
              <w:rPr>
                <w:sz w:val="21"/>
                <w:szCs w:val="21"/>
                <w:color w:val="auto"/>
              </w:rPr>
            </w:pPr>
          </w:p>
        </w:tc>
        <w:tc>
          <w:tcPr>
            <w:tcW w:w="2860" w:type="dxa"/>
            <w:vAlign w:val="bottom"/>
            <w:shd w:val="clear" w:color="auto" w:fill="CCFFCC"/>
          </w:tcPr>
          <w:p>
            <w:pPr>
              <w:spacing w:after="0"/>
              <w:rPr>
                <w:sz w:val="21"/>
                <w:szCs w:val="21"/>
                <w:color w:val="auto"/>
              </w:rPr>
            </w:pPr>
          </w:p>
        </w:tc>
        <w:tc>
          <w:tcPr>
            <w:tcW w:w="52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52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5500" w:type="dxa"/>
            <w:vAlign w:val="bottom"/>
          </w:tcPr>
          <w:p>
            <w:pPr>
              <w:spacing w:after="0"/>
              <w:rPr>
                <w:sz w:val="20"/>
                <w:szCs w:val="20"/>
                <w:color w:val="auto"/>
              </w:rPr>
            </w:pPr>
            <w:r>
              <w:rPr>
                <w:rFonts w:ascii="Arial" w:cs="Arial" w:eastAsia="Arial" w:hAnsi="Arial"/>
                <w:sz w:val="18"/>
                <w:szCs w:val="18"/>
                <w:color w:val="auto"/>
              </w:rPr>
              <w:t>Others revenues/gains (expenses/losses):</w:t>
            </w:r>
          </w:p>
        </w:tc>
        <w:tc>
          <w:tcPr>
            <w:tcW w:w="2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500" w:type="dxa"/>
            <w:vAlign w:val="bottom"/>
            <w:shd w:val="clear" w:color="auto" w:fill="CCFFCC"/>
          </w:tcPr>
          <w:p>
            <w:pPr>
              <w:spacing w:after="0"/>
              <w:rPr>
                <w:sz w:val="20"/>
                <w:szCs w:val="20"/>
                <w:color w:val="auto"/>
              </w:rPr>
            </w:pPr>
            <w:r>
              <w:rPr>
                <w:rFonts w:ascii="Arial" w:cs="Arial" w:eastAsia="Arial" w:hAnsi="Arial"/>
                <w:sz w:val="18"/>
                <w:szCs w:val="18"/>
                <w:color w:val="auto"/>
              </w:rPr>
              <w:t>Loss on disposal of property and equipment</w:t>
            </w:r>
          </w:p>
        </w:tc>
        <w:tc>
          <w:tcPr>
            <w:tcW w:w="2860" w:type="dxa"/>
            <w:vAlign w:val="bottom"/>
            <w:shd w:val="clear" w:color="auto" w:fill="CCFFCC"/>
          </w:tcPr>
          <w:p>
            <w:pPr>
              <w:spacing w:after="0"/>
              <w:rPr>
                <w:sz w:val="21"/>
                <w:szCs w:val="21"/>
                <w:color w:val="auto"/>
              </w:rPr>
            </w:pPr>
          </w:p>
        </w:tc>
        <w:tc>
          <w:tcPr>
            <w:tcW w:w="52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(9)</w:t>
            </w:r>
          </w:p>
        </w:tc>
        <w:tc>
          <w:tcPr>
            <w:tcW w:w="520" w:type="dxa"/>
            <w:vAlign w:val="bottom"/>
            <w:shd w:val="clear" w:color="auto" w:fill="CCFFCC"/>
          </w:tcPr>
          <w:p>
            <w:pPr>
              <w:spacing w:after="0"/>
              <w:rPr>
                <w:sz w:val="21"/>
                <w:szCs w:val="21"/>
                <w:color w:val="auto"/>
              </w:rPr>
            </w:pP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w:t>
            </w:r>
          </w:p>
        </w:tc>
      </w:tr>
      <w:tr>
        <w:trPr>
          <w:trHeight w:val="243"/>
        </w:trPr>
        <w:tc>
          <w:tcPr>
            <w:tcW w:w="5500" w:type="dxa"/>
            <w:vAlign w:val="bottom"/>
          </w:tcPr>
          <w:p>
            <w:pPr>
              <w:spacing w:after="0"/>
              <w:rPr>
                <w:sz w:val="20"/>
                <w:szCs w:val="20"/>
                <w:color w:val="auto"/>
              </w:rPr>
            </w:pPr>
            <w:r>
              <w:rPr>
                <w:rFonts w:ascii="Arial" w:cs="Arial" w:eastAsia="Arial" w:hAnsi="Arial"/>
                <w:sz w:val="18"/>
                <w:szCs w:val="18"/>
                <w:color w:val="auto"/>
              </w:rPr>
              <w:t>Interest and other income</w:t>
            </w:r>
          </w:p>
        </w:tc>
        <w:tc>
          <w:tcPr>
            <w:tcW w:w="2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(119)</w:t>
            </w:r>
          </w:p>
        </w:tc>
        <w:tc>
          <w:tcPr>
            <w:tcW w:w="52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r>
      <w:tr>
        <w:trPr>
          <w:trHeight w:val="243"/>
        </w:trPr>
        <w:tc>
          <w:tcPr>
            <w:tcW w:w="5500" w:type="dxa"/>
            <w:vAlign w:val="bottom"/>
            <w:shd w:val="clear" w:color="auto" w:fill="CCFFCC"/>
          </w:tcPr>
          <w:p>
            <w:pPr>
              <w:spacing w:after="0"/>
              <w:rPr>
                <w:sz w:val="20"/>
                <w:szCs w:val="20"/>
                <w:color w:val="auto"/>
              </w:rPr>
            </w:pPr>
            <w:r>
              <w:rPr>
                <w:rFonts w:ascii="Arial" w:cs="Arial" w:eastAsia="Arial" w:hAnsi="Arial"/>
                <w:sz w:val="18"/>
                <w:szCs w:val="18"/>
                <w:color w:val="auto"/>
              </w:rPr>
              <w:t>Gain on translation of foreign currency</w:t>
            </w:r>
          </w:p>
        </w:tc>
        <w:tc>
          <w:tcPr>
            <w:tcW w:w="2860" w:type="dxa"/>
            <w:vAlign w:val="bottom"/>
            <w:shd w:val="clear" w:color="auto" w:fill="CCFFCC"/>
          </w:tcPr>
          <w:p>
            <w:pPr>
              <w:spacing w:after="0"/>
              <w:rPr>
                <w:sz w:val="21"/>
                <w:szCs w:val="21"/>
                <w:color w:val="auto"/>
              </w:rPr>
            </w:pPr>
          </w:p>
        </w:tc>
        <w:tc>
          <w:tcPr>
            <w:tcW w:w="520" w:type="dxa"/>
            <w:vAlign w:val="bottom"/>
            <w:shd w:val="clear" w:color="auto" w:fill="CCFFCC"/>
          </w:tcPr>
          <w:p>
            <w:pPr>
              <w:spacing w:after="0"/>
              <w:rPr>
                <w:sz w:val="21"/>
                <w:szCs w:val="21"/>
                <w:color w:val="auto"/>
              </w:rPr>
            </w:pP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(184)</w:t>
            </w:r>
          </w:p>
        </w:tc>
        <w:tc>
          <w:tcPr>
            <w:tcW w:w="520" w:type="dxa"/>
            <w:vAlign w:val="bottom"/>
            <w:shd w:val="clear" w:color="auto" w:fill="CCFFCC"/>
          </w:tcPr>
          <w:p>
            <w:pPr>
              <w:spacing w:after="0"/>
              <w:rPr>
                <w:sz w:val="21"/>
                <w:szCs w:val="21"/>
                <w:color w:val="auto"/>
              </w:rPr>
            </w:pP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69</w:t>
            </w:r>
          </w:p>
        </w:tc>
      </w:tr>
      <w:tr>
        <w:trPr>
          <w:trHeight w:val="270"/>
        </w:trPr>
        <w:tc>
          <w:tcPr>
            <w:tcW w:w="5500" w:type="dxa"/>
            <w:vAlign w:val="bottom"/>
          </w:tcPr>
          <w:p>
            <w:pPr>
              <w:spacing w:after="0"/>
              <w:rPr>
                <w:sz w:val="20"/>
                <w:szCs w:val="20"/>
                <w:color w:val="auto"/>
              </w:rPr>
            </w:pPr>
            <w:r>
              <w:rPr>
                <w:rFonts w:ascii="Arial" w:cs="Arial" w:eastAsia="Arial" w:hAnsi="Arial"/>
                <w:sz w:val="18"/>
                <w:szCs w:val="18"/>
                <w:color w:val="auto"/>
              </w:rPr>
              <w:t>Income from GKO</w:t>
            </w:r>
          </w:p>
        </w:tc>
        <w:tc>
          <w:tcPr>
            <w:tcW w:w="2860" w:type="dxa"/>
            <w:vAlign w:val="bottom"/>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3"/>
                <w:szCs w:val="23"/>
                <w:color w:val="auto"/>
              </w:rPr>
            </w:pPr>
          </w:p>
        </w:tc>
      </w:tr>
      <w:tr>
        <w:trPr>
          <w:trHeight w:val="237"/>
        </w:trPr>
        <w:tc>
          <w:tcPr>
            <w:tcW w:w="55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Income before unusual or infrequent items</w:t>
            </w:r>
          </w:p>
        </w:tc>
        <w:tc>
          <w:tcPr>
            <w:tcW w:w="2860" w:type="dxa"/>
            <w:vAlign w:val="bottom"/>
            <w:shd w:val="clear" w:color="auto" w:fill="CCFFCC"/>
          </w:tcPr>
          <w:p>
            <w:pPr>
              <w:spacing w:after="0"/>
              <w:rPr>
                <w:sz w:val="20"/>
                <w:szCs w:val="20"/>
                <w:color w:val="auto"/>
              </w:rPr>
            </w:pPr>
          </w:p>
        </w:tc>
        <w:tc>
          <w:tcPr>
            <w:tcW w:w="520" w:type="dxa"/>
            <w:vAlign w:val="bottom"/>
            <w:shd w:val="clear" w:color="auto" w:fill="CCFFCC"/>
          </w:tcPr>
          <w:p>
            <w:pPr>
              <w:spacing w:after="0"/>
              <w:rPr>
                <w:sz w:val="20"/>
                <w:szCs w:val="20"/>
                <w:color w:val="auto"/>
              </w:rPr>
            </w:pPr>
          </w:p>
        </w:tc>
        <w:tc>
          <w:tcPr>
            <w:tcW w:w="1080" w:type="dxa"/>
            <w:vAlign w:val="bottom"/>
            <w:gridSpan w:val="2"/>
            <w:shd w:val="clear" w:color="auto" w:fill="CCFFCC"/>
          </w:tcPr>
          <w:p>
            <w:pPr>
              <w:jc w:val="right"/>
              <w:ind w:right="160"/>
              <w:spacing w:after="0"/>
              <w:rPr>
                <w:sz w:val="20"/>
                <w:szCs w:val="20"/>
                <w:color w:val="auto"/>
              </w:rPr>
            </w:pPr>
            <w:r>
              <w:rPr>
                <w:rFonts w:ascii="Arial" w:cs="Arial" w:eastAsia="Arial" w:hAnsi="Arial"/>
                <w:sz w:val="18"/>
                <w:szCs w:val="18"/>
                <w:b w:val="1"/>
                <w:bCs w:val="1"/>
                <w:color w:val="auto"/>
              </w:rPr>
              <w:t>(312)</w:t>
            </w:r>
          </w:p>
        </w:tc>
        <w:tc>
          <w:tcPr>
            <w:tcW w:w="520" w:type="dxa"/>
            <w:vAlign w:val="bottom"/>
            <w:shd w:val="clear" w:color="auto" w:fill="CCFFCC"/>
          </w:tcPr>
          <w:p>
            <w:pPr>
              <w:spacing w:after="0"/>
              <w:rPr>
                <w:sz w:val="20"/>
                <w:szCs w:val="20"/>
                <w:color w:val="auto"/>
              </w:rPr>
            </w:pPr>
          </w:p>
        </w:tc>
        <w:tc>
          <w:tcPr>
            <w:tcW w:w="94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146</w:t>
            </w:r>
          </w:p>
        </w:tc>
      </w:tr>
      <w:tr>
        <w:trPr>
          <w:trHeight w:val="243"/>
        </w:trPr>
        <w:tc>
          <w:tcPr>
            <w:tcW w:w="550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550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Unusual or infrequent items</w:t>
            </w:r>
          </w:p>
        </w:tc>
        <w:tc>
          <w:tcPr>
            <w:tcW w:w="2860" w:type="dxa"/>
            <w:vAlign w:val="bottom"/>
            <w:shd w:val="clear" w:color="auto" w:fill="CCFFCC"/>
          </w:tcPr>
          <w:p>
            <w:pPr>
              <w:spacing w:after="0"/>
              <w:rPr>
                <w:sz w:val="21"/>
                <w:szCs w:val="21"/>
                <w:color w:val="auto"/>
              </w:rPr>
            </w:pPr>
          </w:p>
        </w:tc>
        <w:tc>
          <w:tcPr>
            <w:tcW w:w="52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52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5500" w:type="dxa"/>
            <w:vAlign w:val="bottom"/>
          </w:tcPr>
          <w:p>
            <w:pPr>
              <w:spacing w:after="0"/>
              <w:rPr>
                <w:sz w:val="20"/>
                <w:szCs w:val="20"/>
                <w:color w:val="auto"/>
              </w:rPr>
            </w:pPr>
            <w:r>
              <w:rPr>
                <w:rFonts w:ascii="Arial" w:cs="Arial" w:eastAsia="Arial" w:hAnsi="Arial"/>
                <w:sz w:val="18"/>
                <w:szCs w:val="18"/>
                <w:color w:val="auto"/>
              </w:rPr>
              <w:t>Gain on Extraordinary items</w:t>
            </w:r>
          </w:p>
        </w:tc>
        <w:tc>
          <w:tcPr>
            <w:tcW w:w="2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w:t>
            </w:r>
          </w:p>
        </w:tc>
        <w:tc>
          <w:tcPr>
            <w:tcW w:w="52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w:t>
            </w:r>
          </w:p>
        </w:tc>
      </w:tr>
      <w:tr>
        <w:trPr>
          <w:trHeight w:val="243"/>
        </w:trPr>
        <w:tc>
          <w:tcPr>
            <w:tcW w:w="5500" w:type="dxa"/>
            <w:vAlign w:val="bottom"/>
            <w:shd w:val="clear" w:color="auto" w:fill="CCFFCC"/>
          </w:tcPr>
          <w:p>
            <w:pPr>
              <w:spacing w:after="0"/>
              <w:rPr>
                <w:sz w:val="21"/>
                <w:szCs w:val="21"/>
                <w:color w:val="auto"/>
              </w:rPr>
            </w:pPr>
          </w:p>
        </w:tc>
        <w:tc>
          <w:tcPr>
            <w:tcW w:w="2860" w:type="dxa"/>
            <w:vAlign w:val="bottom"/>
            <w:shd w:val="clear" w:color="auto" w:fill="CCFFCC"/>
          </w:tcPr>
          <w:p>
            <w:pPr>
              <w:spacing w:after="0"/>
              <w:rPr>
                <w:sz w:val="21"/>
                <w:szCs w:val="21"/>
                <w:color w:val="auto"/>
              </w:rPr>
            </w:pPr>
          </w:p>
        </w:tc>
        <w:tc>
          <w:tcPr>
            <w:tcW w:w="52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52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5500" w:type="dxa"/>
            <w:vAlign w:val="bottom"/>
          </w:tcPr>
          <w:p>
            <w:pPr>
              <w:spacing w:after="0"/>
              <w:rPr>
                <w:sz w:val="20"/>
                <w:szCs w:val="20"/>
                <w:color w:val="auto"/>
              </w:rPr>
            </w:pPr>
            <w:r>
              <w:rPr>
                <w:rFonts w:ascii="Arial" w:cs="Arial" w:eastAsia="Arial" w:hAnsi="Arial"/>
                <w:sz w:val="18"/>
                <w:szCs w:val="18"/>
                <w:b w:val="1"/>
                <w:bCs w:val="1"/>
                <w:color w:val="auto"/>
              </w:rPr>
              <w:t>Income from continuing operations</w:t>
            </w:r>
          </w:p>
        </w:tc>
        <w:tc>
          <w:tcPr>
            <w:tcW w:w="2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2,427</w:t>
            </w: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1,748</w:t>
            </w:r>
          </w:p>
        </w:tc>
      </w:tr>
      <w:tr>
        <w:trPr>
          <w:trHeight w:val="243"/>
        </w:trPr>
        <w:tc>
          <w:tcPr>
            <w:tcW w:w="5500" w:type="dxa"/>
            <w:vAlign w:val="bottom"/>
            <w:shd w:val="clear" w:color="auto" w:fill="CCFFCC"/>
          </w:tcPr>
          <w:p>
            <w:pPr>
              <w:spacing w:after="0"/>
              <w:rPr>
                <w:sz w:val="21"/>
                <w:szCs w:val="21"/>
                <w:color w:val="auto"/>
              </w:rPr>
            </w:pPr>
          </w:p>
        </w:tc>
        <w:tc>
          <w:tcPr>
            <w:tcW w:w="2860" w:type="dxa"/>
            <w:vAlign w:val="bottom"/>
            <w:shd w:val="clear" w:color="auto" w:fill="CCFFCC"/>
          </w:tcPr>
          <w:p>
            <w:pPr>
              <w:spacing w:after="0"/>
              <w:rPr>
                <w:sz w:val="21"/>
                <w:szCs w:val="21"/>
                <w:color w:val="auto"/>
              </w:rPr>
            </w:pPr>
          </w:p>
        </w:tc>
        <w:tc>
          <w:tcPr>
            <w:tcW w:w="520" w:type="dxa"/>
            <w:vAlign w:val="bottom"/>
            <w:shd w:val="clear" w:color="auto" w:fill="CCFFCC"/>
          </w:tcPr>
          <w:p>
            <w:pPr>
              <w:spacing w:after="0"/>
              <w:rPr>
                <w:sz w:val="21"/>
                <w:szCs w:val="21"/>
                <w:color w:val="auto"/>
              </w:rPr>
            </w:pPr>
          </w:p>
        </w:tc>
        <w:tc>
          <w:tcPr>
            <w:tcW w:w="8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520" w:type="dxa"/>
            <w:vAlign w:val="bottom"/>
            <w:shd w:val="clear" w:color="auto" w:fill="CCFFCC"/>
          </w:tcPr>
          <w:p>
            <w:pPr>
              <w:spacing w:after="0"/>
              <w:rPr>
                <w:sz w:val="21"/>
                <w:szCs w:val="21"/>
                <w:color w:val="auto"/>
              </w:rPr>
            </w:pPr>
          </w:p>
        </w:tc>
        <w:tc>
          <w:tcPr>
            <w:tcW w:w="84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70"/>
        </w:trPr>
        <w:tc>
          <w:tcPr>
            <w:tcW w:w="5500" w:type="dxa"/>
            <w:vAlign w:val="bottom"/>
          </w:tcPr>
          <w:p>
            <w:pPr>
              <w:spacing w:after="0"/>
              <w:rPr>
                <w:sz w:val="20"/>
                <w:szCs w:val="20"/>
                <w:color w:val="auto"/>
              </w:rPr>
            </w:pPr>
            <w:r>
              <w:rPr>
                <w:rFonts w:ascii="Arial" w:cs="Arial" w:eastAsia="Arial" w:hAnsi="Arial"/>
                <w:sz w:val="18"/>
                <w:szCs w:val="18"/>
                <w:b w:val="1"/>
                <w:bCs w:val="1"/>
                <w:color w:val="auto"/>
              </w:rPr>
              <w:t>Profit tax expense</w:t>
            </w:r>
          </w:p>
        </w:tc>
        <w:tc>
          <w:tcPr>
            <w:tcW w:w="2860" w:type="dxa"/>
            <w:vAlign w:val="bottom"/>
          </w:tcPr>
          <w:p>
            <w:pPr>
              <w:jc w:val="right"/>
              <w:ind w:right="151"/>
              <w:spacing w:after="0"/>
              <w:rPr>
                <w:sz w:val="20"/>
                <w:szCs w:val="20"/>
                <w:color w:val="auto"/>
              </w:rPr>
            </w:pPr>
            <w:r>
              <w:rPr>
                <w:rFonts w:ascii="Arial" w:cs="Arial" w:eastAsia="Arial" w:hAnsi="Arial"/>
                <w:sz w:val="18"/>
                <w:szCs w:val="18"/>
                <w:b w:val="1"/>
                <w:bCs w:val="1"/>
                <w:color w:val="auto"/>
              </w:rPr>
              <w:t>17,18</w:t>
            </w:r>
          </w:p>
        </w:tc>
        <w:tc>
          <w:tcPr>
            <w:tcW w:w="52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564</w:t>
            </w:r>
          </w:p>
        </w:tc>
        <w:tc>
          <w:tcPr>
            <w:tcW w:w="520" w:type="dxa"/>
            <w:vAlign w:val="bottom"/>
          </w:tcPr>
          <w:p>
            <w:pPr>
              <w:spacing w:after="0"/>
              <w:rPr>
                <w:sz w:val="23"/>
                <w:szCs w:val="23"/>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455</w:t>
            </w:r>
          </w:p>
        </w:tc>
      </w:tr>
      <w:tr>
        <w:trPr>
          <w:trHeight w:val="237"/>
        </w:trPr>
        <w:tc>
          <w:tcPr>
            <w:tcW w:w="5500" w:type="dxa"/>
            <w:vAlign w:val="bottom"/>
            <w:shd w:val="clear" w:color="auto" w:fill="CCFFCC"/>
          </w:tcPr>
          <w:p>
            <w:pPr>
              <w:spacing w:after="0"/>
              <w:rPr>
                <w:sz w:val="20"/>
                <w:szCs w:val="20"/>
                <w:color w:val="auto"/>
              </w:rPr>
            </w:pPr>
          </w:p>
        </w:tc>
        <w:tc>
          <w:tcPr>
            <w:tcW w:w="2860" w:type="dxa"/>
            <w:vAlign w:val="bottom"/>
            <w:shd w:val="clear" w:color="auto" w:fill="CCFFCC"/>
          </w:tcPr>
          <w:p>
            <w:pPr>
              <w:spacing w:after="0"/>
              <w:rPr>
                <w:sz w:val="20"/>
                <w:szCs w:val="20"/>
                <w:color w:val="auto"/>
              </w:rPr>
            </w:pPr>
          </w:p>
        </w:tc>
        <w:tc>
          <w:tcPr>
            <w:tcW w:w="520" w:type="dxa"/>
            <w:vAlign w:val="bottom"/>
            <w:tcBorders>
              <w:top w:val="single" w:sz="8" w:color="auto"/>
            </w:tcBorders>
            <w:shd w:val="clear" w:color="auto" w:fill="CCFFCC"/>
          </w:tcPr>
          <w:p>
            <w:pPr>
              <w:spacing w:after="0"/>
              <w:rPr>
                <w:sz w:val="20"/>
                <w:szCs w:val="20"/>
                <w:color w:val="auto"/>
              </w:rPr>
            </w:pPr>
          </w:p>
        </w:tc>
        <w:tc>
          <w:tcPr>
            <w:tcW w:w="86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520" w:type="dxa"/>
            <w:vAlign w:val="bottom"/>
            <w:tcBorders>
              <w:top w:val="single" w:sz="8" w:color="auto"/>
            </w:tcBorders>
            <w:shd w:val="clear" w:color="auto" w:fill="CCFFCC"/>
          </w:tcPr>
          <w:p>
            <w:pPr>
              <w:spacing w:after="0"/>
              <w:rPr>
                <w:sz w:val="20"/>
                <w:szCs w:val="20"/>
                <w:color w:val="auto"/>
              </w:rPr>
            </w:pPr>
          </w:p>
        </w:tc>
        <w:tc>
          <w:tcPr>
            <w:tcW w:w="84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70"/>
        </w:trPr>
        <w:tc>
          <w:tcPr>
            <w:tcW w:w="550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33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1,863</w:t>
            </w:r>
          </w:p>
        </w:tc>
        <w:tc>
          <w:tcPr>
            <w:tcW w:w="220" w:type="dxa"/>
            <w:vAlign w:val="bottom"/>
          </w:tcPr>
          <w:p>
            <w:pPr>
              <w:spacing w:after="0"/>
              <w:rPr>
                <w:sz w:val="23"/>
                <w:szCs w:val="23"/>
                <w:color w:val="auto"/>
              </w:rPr>
            </w:pPr>
          </w:p>
        </w:tc>
        <w:tc>
          <w:tcPr>
            <w:tcW w:w="520" w:type="dxa"/>
            <w:vAlign w:val="bottom"/>
          </w:tcPr>
          <w:p>
            <w:pPr>
              <w:jc w:val="right"/>
              <w:ind w:right="330"/>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1,293</w:t>
            </w:r>
          </w:p>
        </w:tc>
      </w:tr>
      <w:tr>
        <w:trPr>
          <w:trHeight w:val="237"/>
        </w:trPr>
        <w:tc>
          <w:tcPr>
            <w:tcW w:w="5500" w:type="dxa"/>
            <w:vAlign w:val="bottom"/>
            <w:shd w:val="clear" w:color="auto" w:fill="CCFFCC"/>
          </w:tcPr>
          <w:p>
            <w:pPr>
              <w:spacing w:after="0"/>
              <w:rPr>
                <w:sz w:val="20"/>
                <w:szCs w:val="20"/>
                <w:color w:val="auto"/>
              </w:rPr>
            </w:pPr>
          </w:p>
        </w:tc>
        <w:tc>
          <w:tcPr>
            <w:tcW w:w="2860" w:type="dxa"/>
            <w:vAlign w:val="bottom"/>
            <w:shd w:val="clear" w:color="auto" w:fill="CCFFCC"/>
          </w:tcPr>
          <w:p>
            <w:pPr>
              <w:spacing w:after="0"/>
              <w:rPr>
                <w:sz w:val="20"/>
                <w:szCs w:val="20"/>
                <w:color w:val="auto"/>
              </w:rPr>
            </w:pPr>
          </w:p>
        </w:tc>
        <w:tc>
          <w:tcPr>
            <w:tcW w:w="520" w:type="dxa"/>
            <w:vAlign w:val="bottom"/>
            <w:tcBorders>
              <w:top w:val="single" w:sz="8" w:color="auto"/>
            </w:tcBorders>
            <w:shd w:val="clear" w:color="auto" w:fill="CCFFCC"/>
          </w:tcPr>
          <w:p>
            <w:pPr>
              <w:spacing w:after="0"/>
              <w:rPr>
                <w:sz w:val="20"/>
                <w:szCs w:val="20"/>
                <w:color w:val="auto"/>
              </w:rPr>
            </w:pPr>
          </w:p>
        </w:tc>
        <w:tc>
          <w:tcPr>
            <w:tcW w:w="86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520" w:type="dxa"/>
            <w:vAlign w:val="bottom"/>
            <w:tcBorders>
              <w:top w:val="single" w:sz="8" w:color="auto"/>
            </w:tcBorders>
            <w:shd w:val="clear" w:color="auto" w:fill="CCFFCC"/>
          </w:tcPr>
          <w:p>
            <w:pPr>
              <w:spacing w:after="0"/>
              <w:rPr>
                <w:sz w:val="20"/>
                <w:szCs w:val="20"/>
                <w:color w:val="auto"/>
              </w:rPr>
            </w:pPr>
          </w:p>
        </w:tc>
        <w:tc>
          <w:tcPr>
            <w:tcW w:w="84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1"/>
        </w:trPr>
        <w:tc>
          <w:tcPr>
            <w:tcW w:w="5500" w:type="dxa"/>
            <w:vAlign w:val="bottom"/>
          </w:tcPr>
          <w:p>
            <w:pPr>
              <w:spacing w:after="0"/>
              <w:rPr>
                <w:sz w:val="20"/>
                <w:szCs w:val="20"/>
                <w:color w:val="auto"/>
              </w:rPr>
            </w:pPr>
            <w:r>
              <w:rPr>
                <w:rFonts w:ascii="Arial" w:cs="Arial" w:eastAsia="Arial" w:hAnsi="Arial"/>
                <w:sz w:val="18"/>
                <w:szCs w:val="18"/>
                <w:b w:val="1"/>
                <w:bCs w:val="1"/>
                <w:color w:val="auto"/>
              </w:rPr>
              <w:t>Dividends accrued for the Year 2005</w:t>
            </w:r>
          </w:p>
        </w:tc>
        <w:tc>
          <w:tcPr>
            <w:tcW w:w="338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110</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type w:val="continuous"/>
        </w:sectPr>
      </w:pPr>
    </w:p>
    <w:bookmarkStart w:id="73" w:name="page74"/>
    <w:bookmarkEnd w:id="73"/>
    <w:p>
      <w:pPr>
        <w:jc w:val="center"/>
        <w:spacing w:after="0"/>
        <w:rPr>
          <w:sz w:val="20"/>
          <w:szCs w:val="20"/>
          <w:color w:val="auto"/>
        </w:rPr>
      </w:pPr>
      <w:r>
        <w:rPr>
          <w:rFonts w:ascii="Arial" w:cs="Arial" w:eastAsia="Arial" w:hAnsi="Arial"/>
          <w:sz w:val="18"/>
          <w:szCs w:val="18"/>
          <w:b w:val="1"/>
          <w:bCs w:val="1"/>
          <w:color w:val="auto"/>
        </w:rPr>
        <w:t>OAO Morion</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Statements of Cash Flows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 the Years ended December 31, 2006 and 2005</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 thousands of U.S. dollars)</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2006</w:t>
            </w:r>
          </w:p>
        </w:tc>
        <w:tc>
          <w:tcPr>
            <w:tcW w:w="4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r>
      <w:tr>
        <w:trPr>
          <w:trHeight w:val="480"/>
        </w:trPr>
        <w:tc>
          <w:tcPr>
            <w:tcW w:w="8340" w:type="dxa"/>
            <w:vAlign w:val="bottom"/>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income</w:t>
            </w:r>
          </w:p>
        </w:tc>
        <w:tc>
          <w:tcPr>
            <w:tcW w:w="900" w:type="dxa"/>
            <w:vAlign w:val="bottom"/>
            <w:shd w:val="clear" w:color="auto" w:fill="CCFFCC"/>
          </w:tcPr>
          <w:p>
            <w:pPr>
              <w:jc w:val="right"/>
              <w:ind w:right="710"/>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1,863</w:t>
            </w:r>
          </w:p>
        </w:tc>
        <w:tc>
          <w:tcPr>
            <w:tcW w:w="140" w:type="dxa"/>
            <w:vAlign w:val="bottom"/>
            <w:shd w:val="clear" w:color="auto" w:fill="CCFFCC"/>
          </w:tcPr>
          <w:p>
            <w:pPr>
              <w:spacing w:after="0"/>
              <w:rPr>
                <w:sz w:val="21"/>
                <w:szCs w:val="21"/>
                <w:color w:val="auto"/>
              </w:rPr>
            </w:pPr>
          </w:p>
        </w:tc>
        <w:tc>
          <w:tcPr>
            <w:tcW w:w="3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1,293</w:t>
            </w:r>
          </w:p>
        </w:tc>
      </w:tr>
      <w:tr>
        <w:trPr>
          <w:trHeight w:val="243"/>
        </w:trPr>
        <w:tc>
          <w:tcPr>
            <w:tcW w:w="8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Adjustments to reconcile net profit to net cash provided by operating activities:</w:t>
            </w:r>
          </w:p>
        </w:tc>
        <w:tc>
          <w:tcPr>
            <w:tcW w:w="90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9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505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367</w:t>
            </w: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Financial income</w:t>
            </w:r>
          </w:p>
        </w:tc>
        <w:tc>
          <w:tcPr>
            <w:tcW w:w="900" w:type="dxa"/>
            <w:vAlign w:val="bottom"/>
            <w:shd w:val="clear" w:color="auto" w:fill="CCFFCC"/>
          </w:tcPr>
          <w:p>
            <w:pPr>
              <w:spacing w:after="0"/>
              <w:rPr>
                <w:sz w:val="21"/>
                <w:szCs w:val="21"/>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9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r>
      <w:tr>
        <w:trPr>
          <w:trHeight w:val="275"/>
        </w:trPr>
        <w:tc>
          <w:tcPr>
            <w:tcW w:w="83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Loss on disposals of property and equipment</w:t>
            </w:r>
          </w:p>
        </w:tc>
        <w:tc>
          <w:tcPr>
            <w:tcW w:w="900" w:type="dxa"/>
            <w:vAlign w:val="bottom"/>
            <w:tcBorders>
              <w:bottom w:val="single" w:sz="8" w:color="CCFFCC"/>
            </w:tcBorders>
            <w:shd w:val="clear" w:color="auto" w:fill="CCFFCC"/>
          </w:tcPr>
          <w:p>
            <w:pPr>
              <w:spacing w:after="0"/>
              <w:rPr>
                <w:sz w:val="23"/>
                <w:szCs w:val="23"/>
                <w:color w:val="auto"/>
              </w:rPr>
            </w:pPr>
          </w:p>
        </w:tc>
        <w:tc>
          <w:tcPr>
            <w:tcW w:w="620" w:type="dxa"/>
            <w:vAlign w:val="bottom"/>
            <w:tcBorders>
              <w:bottom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FFCC"/>
            </w:tcBorders>
            <w:shd w:val="clear" w:color="auto" w:fill="CCFFCC"/>
          </w:tcPr>
          <w:p>
            <w:pPr>
              <w:spacing w:after="0"/>
              <w:rPr>
                <w:sz w:val="23"/>
                <w:szCs w:val="23"/>
                <w:color w:val="auto"/>
              </w:rPr>
            </w:pPr>
          </w:p>
        </w:tc>
        <w:tc>
          <w:tcPr>
            <w:tcW w:w="300" w:type="dxa"/>
            <w:vAlign w:val="bottom"/>
            <w:tcBorders>
              <w:bottom w:val="single" w:sz="8" w:color="CCFFCC"/>
            </w:tcBorders>
            <w:shd w:val="clear" w:color="auto" w:fill="CCFFCC"/>
          </w:tcPr>
          <w:p>
            <w:pPr>
              <w:spacing w:after="0"/>
              <w:rPr>
                <w:sz w:val="23"/>
                <w:szCs w:val="23"/>
                <w:color w:val="auto"/>
              </w:rPr>
            </w:pPr>
          </w:p>
        </w:tc>
        <w:tc>
          <w:tcPr>
            <w:tcW w:w="11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w:t>
            </w:r>
          </w:p>
        </w:tc>
      </w:tr>
      <w:tr>
        <w:trPr>
          <w:trHeight w:val="237"/>
        </w:trPr>
        <w:tc>
          <w:tcPr>
            <w:tcW w:w="8340" w:type="dxa"/>
            <w:vAlign w:val="bottom"/>
            <w:tcBorders>
              <w:top w:val="single" w:sz="8" w:color="CCFFCC"/>
            </w:tcBorders>
          </w:tcPr>
          <w:p>
            <w:pPr>
              <w:spacing w:after="0"/>
              <w:rPr>
                <w:sz w:val="20"/>
                <w:szCs w:val="20"/>
                <w:color w:val="auto"/>
              </w:rPr>
            </w:pPr>
            <w:r>
              <w:rPr>
                <w:rFonts w:ascii="Arial" w:cs="Arial" w:eastAsia="Arial" w:hAnsi="Arial"/>
                <w:sz w:val="18"/>
                <w:szCs w:val="18"/>
                <w:b w:val="1"/>
                <w:bCs w:val="1"/>
                <w:color w:val="auto"/>
              </w:rPr>
              <w:t>Operating profit before working capital changes</w:t>
            </w:r>
          </w:p>
        </w:tc>
        <w:tc>
          <w:tcPr>
            <w:tcW w:w="9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2,678</w:t>
            </w:r>
          </w:p>
        </w:tc>
        <w:tc>
          <w:tcPr>
            <w:tcW w:w="140" w:type="dxa"/>
            <w:vAlign w:val="bottom"/>
            <w:tcBorders>
              <w:top w:val="single" w:sz="8" w:color="CCFFCC"/>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1,694</w:t>
            </w:r>
          </w:p>
        </w:tc>
        <w:tc>
          <w:tcPr>
            <w:tcW w:w="100" w:type="dxa"/>
            <w:vAlign w:val="bottom"/>
            <w:tcBorders>
              <w:top w:val="single" w:sz="8" w:color="CCFFCC"/>
            </w:tcBorders>
          </w:tcPr>
          <w:p>
            <w:pPr>
              <w:spacing w:after="0"/>
              <w:rPr>
                <w:sz w:val="20"/>
                <w:szCs w:val="20"/>
                <w:color w:val="auto"/>
              </w:rPr>
            </w:pPr>
          </w:p>
        </w:tc>
      </w:tr>
      <w:tr>
        <w:trPr>
          <w:trHeight w:val="243"/>
        </w:trPr>
        <w:tc>
          <w:tcPr>
            <w:tcW w:w="834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8340" w:type="dxa"/>
            <w:vAlign w:val="bottom"/>
          </w:tcPr>
          <w:p>
            <w:pPr>
              <w:spacing w:after="0"/>
              <w:rPr>
                <w:sz w:val="20"/>
                <w:szCs w:val="20"/>
                <w:color w:val="auto"/>
              </w:rPr>
            </w:pPr>
            <w:r>
              <w:rPr>
                <w:rFonts w:ascii="Arial" w:cs="Arial" w:eastAsia="Arial" w:hAnsi="Arial"/>
                <w:sz w:val="18"/>
                <w:szCs w:val="18"/>
                <w:b w:val="1"/>
                <w:bCs w:val="1"/>
                <w:color w:val="auto"/>
              </w:rPr>
              <w:t>Changes in operating assets and liabilities:</w:t>
            </w: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Increase in trade and other receivables</w:t>
            </w:r>
          </w:p>
        </w:tc>
        <w:tc>
          <w:tcPr>
            <w:tcW w:w="900" w:type="dxa"/>
            <w:vAlign w:val="bottom"/>
            <w:shd w:val="clear" w:color="auto" w:fill="CCFFCC"/>
          </w:tcPr>
          <w:p>
            <w:pPr>
              <w:spacing w:after="0"/>
              <w:rPr>
                <w:sz w:val="21"/>
                <w:szCs w:val="21"/>
                <w:color w:val="auto"/>
              </w:rPr>
            </w:pPr>
          </w:p>
        </w:tc>
        <w:tc>
          <w:tcPr>
            <w:tcW w:w="6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color w:val="auto"/>
                <w:w w:val="99"/>
              </w:rPr>
              <w:t>(1882)</w:t>
            </w:r>
          </w:p>
        </w:tc>
        <w:tc>
          <w:tcPr>
            <w:tcW w:w="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111</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Increase in inventories</w:t>
            </w:r>
          </w:p>
        </w:tc>
        <w:tc>
          <w:tcPr>
            <w:tcW w:w="900" w:type="dxa"/>
            <w:vAlign w:val="bottom"/>
          </w:tcPr>
          <w:p>
            <w:pPr>
              <w:spacing w:after="0"/>
              <w:rPr>
                <w:sz w:val="21"/>
                <w:szCs w:val="21"/>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(687)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(313)</w:t>
            </w:r>
          </w:p>
        </w:tc>
      </w:tr>
      <w:tr>
        <w:trPr>
          <w:trHeight w:val="275"/>
        </w:trPr>
        <w:tc>
          <w:tcPr>
            <w:tcW w:w="83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Decrease in payables</w:t>
            </w:r>
          </w:p>
        </w:tc>
        <w:tc>
          <w:tcPr>
            <w:tcW w:w="900" w:type="dxa"/>
            <w:vAlign w:val="bottom"/>
            <w:tcBorders>
              <w:bottom w:val="single" w:sz="8" w:color="CCFFCC"/>
            </w:tcBorders>
            <w:shd w:val="clear" w:color="auto" w:fill="CCFFCC"/>
          </w:tcPr>
          <w:p>
            <w:pPr>
              <w:spacing w:after="0"/>
              <w:rPr>
                <w:sz w:val="23"/>
                <w:szCs w:val="23"/>
                <w:color w:val="auto"/>
              </w:rPr>
            </w:pPr>
          </w:p>
        </w:tc>
        <w:tc>
          <w:tcPr>
            <w:tcW w:w="4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860</w:t>
            </w:r>
          </w:p>
        </w:tc>
        <w:tc>
          <w:tcPr>
            <w:tcW w:w="140" w:type="dxa"/>
            <w:vAlign w:val="bottom"/>
            <w:tcBorders>
              <w:bottom w:val="single" w:sz="8" w:color="CCFFCC"/>
            </w:tcBorders>
            <w:shd w:val="clear" w:color="auto" w:fill="CCFFCC"/>
          </w:tcPr>
          <w:p>
            <w:pPr>
              <w:spacing w:after="0"/>
              <w:rPr>
                <w:sz w:val="23"/>
                <w:szCs w:val="23"/>
                <w:color w:val="auto"/>
              </w:rPr>
            </w:pPr>
          </w:p>
        </w:tc>
        <w:tc>
          <w:tcPr>
            <w:tcW w:w="80" w:type="dxa"/>
            <w:vAlign w:val="bottom"/>
            <w:tcBorders>
              <w:bottom w:val="single" w:sz="8" w:color="CCFFCC"/>
            </w:tcBorders>
            <w:shd w:val="clear" w:color="auto" w:fill="CCFFCC"/>
          </w:tcPr>
          <w:p>
            <w:pPr>
              <w:spacing w:after="0"/>
              <w:rPr>
                <w:sz w:val="23"/>
                <w:szCs w:val="23"/>
                <w:color w:val="auto"/>
              </w:rPr>
            </w:pPr>
          </w:p>
        </w:tc>
        <w:tc>
          <w:tcPr>
            <w:tcW w:w="300" w:type="dxa"/>
            <w:vAlign w:val="bottom"/>
            <w:tcBorders>
              <w:bottom w:val="single" w:sz="8" w:color="CCFFCC"/>
            </w:tcBorders>
            <w:shd w:val="clear" w:color="auto" w:fill="CCFFCC"/>
          </w:tcPr>
          <w:p>
            <w:pPr>
              <w:spacing w:after="0"/>
              <w:rPr>
                <w:sz w:val="23"/>
                <w:szCs w:val="23"/>
                <w:color w:val="auto"/>
              </w:rPr>
            </w:pPr>
          </w:p>
        </w:tc>
        <w:tc>
          <w:tcPr>
            <w:tcW w:w="11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68</w:t>
            </w:r>
          </w:p>
        </w:tc>
      </w:tr>
      <w:tr>
        <w:trPr>
          <w:trHeight w:val="237"/>
        </w:trPr>
        <w:tc>
          <w:tcPr>
            <w:tcW w:w="8340" w:type="dxa"/>
            <w:vAlign w:val="bottom"/>
            <w:tcBorders>
              <w:top w:val="single" w:sz="8" w:color="CCFFCC"/>
            </w:tcBorders>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9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969</w:t>
            </w:r>
          </w:p>
        </w:tc>
        <w:tc>
          <w:tcPr>
            <w:tcW w:w="140" w:type="dxa"/>
            <w:vAlign w:val="bottom"/>
            <w:tcBorders>
              <w:top w:val="single" w:sz="8" w:color="CCFFCC"/>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1,560</w:t>
            </w:r>
          </w:p>
        </w:tc>
        <w:tc>
          <w:tcPr>
            <w:tcW w:w="100" w:type="dxa"/>
            <w:vAlign w:val="bottom"/>
            <w:tcBorders>
              <w:top w:val="single" w:sz="8" w:color="CCFFCC"/>
            </w:tcBorders>
          </w:tcPr>
          <w:p>
            <w:pPr>
              <w:spacing w:after="0"/>
              <w:rPr>
                <w:sz w:val="20"/>
                <w:szCs w:val="20"/>
                <w:color w:val="auto"/>
              </w:rPr>
            </w:pPr>
          </w:p>
        </w:tc>
      </w:tr>
      <w:tr>
        <w:trPr>
          <w:trHeight w:val="243"/>
        </w:trPr>
        <w:tc>
          <w:tcPr>
            <w:tcW w:w="834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8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0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Purchase of property, plant and equipment</w:t>
            </w:r>
          </w:p>
        </w:tc>
        <w:tc>
          <w:tcPr>
            <w:tcW w:w="900" w:type="dxa"/>
            <w:vAlign w:val="bottom"/>
          </w:tcPr>
          <w:p>
            <w:pPr>
              <w:spacing w:after="0"/>
              <w:rPr>
                <w:sz w:val="21"/>
                <w:szCs w:val="21"/>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(1418)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(1010)</w:t>
            </w: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color w:val="auto"/>
              </w:rPr>
              <w:t>Sale of equipment</w:t>
            </w:r>
          </w:p>
        </w:tc>
        <w:tc>
          <w:tcPr>
            <w:tcW w:w="900" w:type="dxa"/>
            <w:vAlign w:val="bottom"/>
            <w:shd w:val="clear" w:color="auto" w:fill="CCFFCC"/>
          </w:tcPr>
          <w:p>
            <w:pPr>
              <w:spacing w:after="0"/>
              <w:rPr>
                <w:sz w:val="21"/>
                <w:szCs w:val="21"/>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6</w:t>
            </w: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Sale of GKO</w:t>
            </w:r>
          </w:p>
        </w:tc>
        <w:tc>
          <w:tcPr>
            <w:tcW w:w="9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50"/>
        </w:trPr>
        <w:tc>
          <w:tcPr>
            <w:tcW w:w="83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Coupon income received</w:t>
            </w:r>
          </w:p>
        </w:tc>
        <w:tc>
          <w:tcPr>
            <w:tcW w:w="900" w:type="dxa"/>
            <w:vAlign w:val="bottom"/>
            <w:tcBorders>
              <w:bottom w:val="single" w:sz="8" w:color="CCFFCC"/>
            </w:tcBorders>
            <w:shd w:val="clear" w:color="auto" w:fill="CCFFCC"/>
          </w:tcPr>
          <w:p>
            <w:pPr>
              <w:spacing w:after="0"/>
              <w:rPr>
                <w:sz w:val="21"/>
                <w:szCs w:val="21"/>
                <w:color w:val="auto"/>
              </w:rPr>
            </w:pPr>
          </w:p>
        </w:tc>
        <w:tc>
          <w:tcPr>
            <w:tcW w:w="4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0</w:t>
            </w:r>
          </w:p>
        </w:tc>
        <w:tc>
          <w:tcPr>
            <w:tcW w:w="140" w:type="dxa"/>
            <w:vAlign w:val="bottom"/>
            <w:tcBorders>
              <w:bottom w:val="single" w:sz="8" w:color="CCFFCC"/>
            </w:tcBorders>
            <w:shd w:val="clear" w:color="auto" w:fill="CCFFCC"/>
          </w:tcPr>
          <w:p>
            <w:pPr>
              <w:spacing w:after="0"/>
              <w:rPr>
                <w:sz w:val="21"/>
                <w:szCs w:val="21"/>
                <w:color w:val="auto"/>
              </w:rPr>
            </w:pPr>
          </w:p>
        </w:tc>
        <w:tc>
          <w:tcPr>
            <w:tcW w:w="80" w:type="dxa"/>
            <w:vAlign w:val="bottom"/>
            <w:tcBorders>
              <w:bottom w:val="single" w:sz="8" w:color="CCFFCC"/>
            </w:tcBorders>
            <w:shd w:val="clear" w:color="auto" w:fill="CCFFCC"/>
          </w:tcPr>
          <w:p>
            <w:pPr>
              <w:spacing w:after="0"/>
              <w:rPr>
                <w:sz w:val="21"/>
                <w:szCs w:val="21"/>
                <w:color w:val="auto"/>
              </w:rPr>
            </w:pPr>
          </w:p>
        </w:tc>
        <w:tc>
          <w:tcPr>
            <w:tcW w:w="300" w:type="dxa"/>
            <w:vAlign w:val="bottom"/>
            <w:tcBorders>
              <w:bottom w:val="single" w:sz="8" w:color="CCFFCC"/>
            </w:tcBorders>
            <w:shd w:val="clear" w:color="auto" w:fill="CCFFCC"/>
          </w:tcPr>
          <w:p>
            <w:pPr>
              <w:spacing w:after="0"/>
              <w:rPr>
                <w:sz w:val="21"/>
                <w:szCs w:val="21"/>
                <w:color w:val="auto"/>
              </w:rPr>
            </w:pPr>
          </w:p>
        </w:tc>
        <w:tc>
          <w:tcPr>
            <w:tcW w:w="11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w:t>
            </w:r>
          </w:p>
        </w:tc>
      </w:tr>
      <w:tr>
        <w:trPr>
          <w:trHeight w:val="20"/>
        </w:trPr>
        <w:tc>
          <w:tcPr>
            <w:tcW w:w="8340" w:type="dxa"/>
            <w:vAlign w:val="bottom"/>
            <w:shd w:val="clear" w:color="auto" w:fill="CCFFC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FFCC"/>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37"/>
        </w:trPr>
        <w:tc>
          <w:tcPr>
            <w:tcW w:w="834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900" w:type="dxa"/>
            <w:vAlign w:val="bottom"/>
          </w:tcPr>
          <w:p>
            <w:pPr>
              <w:spacing w:after="0"/>
              <w:rPr>
                <w:sz w:val="20"/>
                <w:szCs w:val="20"/>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1"/>
              </w:rPr>
              <w:t>(1,410)</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(1,004)</w:t>
            </w:r>
          </w:p>
        </w:tc>
      </w:tr>
      <w:tr>
        <w:trPr>
          <w:trHeight w:val="243"/>
        </w:trPr>
        <w:tc>
          <w:tcPr>
            <w:tcW w:w="834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8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00" w:type="dxa"/>
            <w:vAlign w:val="bottom"/>
            <w:shd w:val="clear" w:color="auto" w:fill="CCFFCC"/>
          </w:tcPr>
          <w:p>
            <w:pPr>
              <w:spacing w:after="0"/>
              <w:rPr>
                <w:sz w:val="21"/>
                <w:szCs w:val="21"/>
                <w:color w:val="auto"/>
              </w:rPr>
            </w:pPr>
          </w:p>
        </w:tc>
        <w:tc>
          <w:tcPr>
            <w:tcW w:w="48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0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r>
      <w:tr>
        <w:trPr>
          <w:trHeight w:val="243"/>
        </w:trPr>
        <w:tc>
          <w:tcPr>
            <w:tcW w:w="8340" w:type="dxa"/>
            <w:vAlign w:val="bottom"/>
          </w:tcPr>
          <w:p>
            <w:pPr>
              <w:spacing w:after="0"/>
              <w:rPr>
                <w:sz w:val="20"/>
                <w:szCs w:val="20"/>
                <w:color w:val="auto"/>
              </w:rPr>
            </w:pPr>
            <w:r>
              <w:rPr>
                <w:rFonts w:ascii="Arial" w:cs="Arial" w:eastAsia="Arial" w:hAnsi="Arial"/>
                <w:sz w:val="18"/>
                <w:szCs w:val="18"/>
                <w:color w:val="auto"/>
              </w:rPr>
              <w:t>Proceeds from issuance of share capital</w:t>
            </w:r>
          </w:p>
        </w:tc>
        <w:tc>
          <w:tcPr>
            <w:tcW w:w="9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43"/>
        </w:trPr>
        <w:tc>
          <w:tcPr>
            <w:tcW w:w="8340" w:type="dxa"/>
            <w:vAlign w:val="bottom"/>
            <w:shd w:val="clear" w:color="auto" w:fill="CCFFCC"/>
          </w:tcPr>
          <w:p>
            <w:pPr>
              <w:ind w:left="660"/>
              <w:spacing w:after="0"/>
              <w:rPr>
                <w:sz w:val="20"/>
                <w:szCs w:val="20"/>
                <w:color w:val="auto"/>
              </w:rPr>
            </w:pPr>
            <w:r>
              <w:rPr>
                <w:rFonts w:ascii="Arial" w:cs="Arial" w:eastAsia="Arial" w:hAnsi="Arial"/>
                <w:sz w:val="18"/>
                <w:szCs w:val="18"/>
                <w:color w:val="auto"/>
              </w:rPr>
              <w:t>Dividends paid</w:t>
            </w:r>
          </w:p>
        </w:tc>
        <w:tc>
          <w:tcPr>
            <w:tcW w:w="900" w:type="dxa"/>
            <w:vAlign w:val="bottom"/>
            <w:shd w:val="clear" w:color="auto" w:fill="CCFFCC"/>
          </w:tcPr>
          <w:p>
            <w:pPr>
              <w:spacing w:after="0"/>
              <w:rPr>
                <w:sz w:val="21"/>
                <w:szCs w:val="21"/>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147</w:t>
            </w:r>
          </w:p>
        </w:tc>
        <w:tc>
          <w:tcPr>
            <w:tcW w:w="14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w:t>
            </w:r>
          </w:p>
        </w:tc>
      </w:tr>
      <w:tr>
        <w:trPr>
          <w:trHeight w:val="270"/>
        </w:trPr>
        <w:tc>
          <w:tcPr>
            <w:tcW w:w="8340" w:type="dxa"/>
            <w:vAlign w:val="bottom"/>
          </w:tcPr>
          <w:p>
            <w:pPr>
              <w:spacing w:after="0"/>
              <w:rPr>
                <w:sz w:val="20"/>
                <w:szCs w:val="20"/>
                <w:color w:val="auto"/>
              </w:rPr>
            </w:pPr>
            <w:r>
              <w:rPr>
                <w:rFonts w:ascii="Arial" w:cs="Arial" w:eastAsia="Arial" w:hAnsi="Arial"/>
                <w:sz w:val="18"/>
                <w:szCs w:val="18"/>
                <w:color w:val="auto"/>
              </w:rPr>
              <w:t>Long and short term borrowings repayment</w:t>
            </w:r>
          </w:p>
        </w:tc>
        <w:tc>
          <w:tcPr>
            <w:tcW w:w="90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3"/>
                <w:szCs w:val="23"/>
                <w:color w:val="auto"/>
              </w:rPr>
            </w:pPr>
          </w:p>
        </w:tc>
      </w:tr>
      <w:tr>
        <w:trPr>
          <w:trHeight w:val="269"/>
        </w:trPr>
        <w:tc>
          <w:tcPr>
            <w:tcW w:w="83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900" w:type="dxa"/>
            <w:vAlign w:val="bottom"/>
            <w:tcBorders>
              <w:bottom w:val="single" w:sz="8" w:color="CCFFCC"/>
            </w:tcBorders>
            <w:shd w:val="clear" w:color="auto" w:fill="CCFFCC"/>
          </w:tcPr>
          <w:p>
            <w:pPr>
              <w:spacing w:after="0"/>
              <w:rPr>
                <w:sz w:val="22"/>
                <w:szCs w:val="22"/>
                <w:color w:val="auto"/>
              </w:rPr>
            </w:pPr>
          </w:p>
        </w:tc>
        <w:tc>
          <w:tcPr>
            <w:tcW w:w="4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147</w:t>
            </w:r>
          </w:p>
        </w:tc>
        <w:tc>
          <w:tcPr>
            <w:tcW w:w="140" w:type="dxa"/>
            <w:vAlign w:val="bottom"/>
            <w:tcBorders>
              <w:bottom w:val="single" w:sz="8" w:color="CCFFCC"/>
            </w:tcBorders>
            <w:shd w:val="clear" w:color="auto" w:fill="CCFFCC"/>
          </w:tcPr>
          <w:p>
            <w:pPr>
              <w:spacing w:after="0"/>
              <w:rPr>
                <w:sz w:val="22"/>
                <w:szCs w:val="22"/>
                <w:color w:val="auto"/>
              </w:rPr>
            </w:pPr>
          </w:p>
        </w:tc>
        <w:tc>
          <w:tcPr>
            <w:tcW w:w="80" w:type="dxa"/>
            <w:vAlign w:val="bottom"/>
            <w:tcBorders>
              <w:bottom w:val="single" w:sz="8" w:color="CCFFCC"/>
            </w:tcBorders>
            <w:shd w:val="clear" w:color="auto" w:fill="CCFFCC"/>
          </w:tcPr>
          <w:p>
            <w:pPr>
              <w:spacing w:after="0"/>
              <w:rPr>
                <w:sz w:val="22"/>
                <w:szCs w:val="22"/>
                <w:color w:val="auto"/>
              </w:rPr>
            </w:pPr>
          </w:p>
        </w:tc>
        <w:tc>
          <w:tcPr>
            <w:tcW w:w="300" w:type="dxa"/>
            <w:vAlign w:val="bottom"/>
            <w:tcBorders>
              <w:bottom w:val="single" w:sz="8" w:color="CCFFCC"/>
            </w:tcBorders>
            <w:shd w:val="clear" w:color="auto" w:fill="CCFFCC"/>
          </w:tcPr>
          <w:p>
            <w:pPr>
              <w:spacing w:after="0"/>
              <w:rPr>
                <w:sz w:val="22"/>
                <w:szCs w:val="22"/>
                <w:color w:val="auto"/>
              </w:rPr>
            </w:pPr>
          </w:p>
        </w:tc>
        <w:tc>
          <w:tcPr>
            <w:tcW w:w="118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b w:val="1"/>
                <w:bCs w:val="1"/>
                <w:color w:val="auto"/>
              </w:rPr>
              <w:t>(1)</w:t>
            </w:r>
          </w:p>
        </w:tc>
      </w:tr>
      <w:tr>
        <w:trPr>
          <w:trHeight w:val="237"/>
        </w:trPr>
        <w:tc>
          <w:tcPr>
            <w:tcW w:w="8340" w:type="dxa"/>
            <w:vAlign w:val="bottom"/>
            <w:tcBorders>
              <w:top w:val="single" w:sz="8" w:color="CCFFCC"/>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40" w:type="dxa"/>
            <w:vAlign w:val="bottom"/>
            <w:tcBorders>
              <w:top w:val="single" w:sz="8" w:color="CCFFCC"/>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Net (decrease) increase in cash and cash equivalents</w:t>
            </w:r>
          </w:p>
        </w:tc>
        <w:tc>
          <w:tcPr>
            <w:tcW w:w="900" w:type="dxa"/>
            <w:vAlign w:val="bottom"/>
            <w:shd w:val="clear" w:color="auto" w:fill="CCFFCC"/>
          </w:tcPr>
          <w:p>
            <w:pPr>
              <w:spacing w:after="0"/>
              <w:rPr>
                <w:sz w:val="21"/>
                <w:szCs w:val="21"/>
                <w:color w:val="auto"/>
              </w:rPr>
            </w:pPr>
          </w:p>
        </w:tc>
        <w:tc>
          <w:tcPr>
            <w:tcW w:w="62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(294)</w:t>
            </w:r>
          </w:p>
        </w:tc>
        <w:tc>
          <w:tcPr>
            <w:tcW w:w="80" w:type="dxa"/>
            <w:vAlign w:val="bottom"/>
            <w:shd w:val="clear" w:color="auto" w:fill="CCFFCC"/>
          </w:tcPr>
          <w:p>
            <w:pPr>
              <w:spacing w:after="0"/>
              <w:rPr>
                <w:sz w:val="21"/>
                <w:szCs w:val="21"/>
                <w:color w:val="auto"/>
              </w:rPr>
            </w:pPr>
          </w:p>
        </w:tc>
        <w:tc>
          <w:tcPr>
            <w:tcW w:w="300" w:type="dxa"/>
            <w:vAlign w:val="bottom"/>
            <w:shd w:val="clear" w:color="auto" w:fill="CCFFCC"/>
          </w:tcPr>
          <w:p>
            <w:pPr>
              <w:spacing w:after="0"/>
              <w:rPr>
                <w:sz w:val="21"/>
                <w:szCs w:val="21"/>
                <w:color w:val="auto"/>
              </w:rPr>
            </w:pP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555</w:t>
            </w:r>
          </w:p>
        </w:tc>
      </w:tr>
      <w:tr>
        <w:trPr>
          <w:trHeight w:val="243"/>
        </w:trPr>
        <w:tc>
          <w:tcPr>
            <w:tcW w:w="8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spacing w:after="0"/>
              <w:rPr>
                <w:sz w:val="21"/>
                <w:szCs w:val="21"/>
                <w:color w:val="auto"/>
              </w:rPr>
            </w:pPr>
          </w:p>
        </w:tc>
      </w:tr>
      <w:tr>
        <w:trPr>
          <w:trHeight w:val="275"/>
        </w:trPr>
        <w:tc>
          <w:tcPr>
            <w:tcW w:w="83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Cash and cash equivalents at beginning of year</w:t>
            </w:r>
          </w:p>
        </w:tc>
        <w:tc>
          <w:tcPr>
            <w:tcW w:w="900" w:type="dxa"/>
            <w:vAlign w:val="bottom"/>
            <w:tcBorders>
              <w:bottom w:val="single" w:sz="8" w:color="CCFFCC"/>
            </w:tcBorders>
            <w:shd w:val="clear" w:color="auto" w:fill="CCFFCC"/>
          </w:tcPr>
          <w:p>
            <w:pPr>
              <w:spacing w:after="0"/>
              <w:rPr>
                <w:sz w:val="23"/>
                <w:szCs w:val="23"/>
                <w:color w:val="auto"/>
              </w:rPr>
            </w:pPr>
          </w:p>
        </w:tc>
        <w:tc>
          <w:tcPr>
            <w:tcW w:w="4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2,186</w:t>
            </w:r>
          </w:p>
        </w:tc>
        <w:tc>
          <w:tcPr>
            <w:tcW w:w="140" w:type="dxa"/>
            <w:vAlign w:val="bottom"/>
            <w:tcBorders>
              <w:bottom w:val="single" w:sz="8" w:color="CCFFCC"/>
            </w:tcBorders>
            <w:shd w:val="clear" w:color="auto" w:fill="CCFFCC"/>
          </w:tcPr>
          <w:p>
            <w:pPr>
              <w:spacing w:after="0"/>
              <w:rPr>
                <w:sz w:val="23"/>
                <w:szCs w:val="23"/>
                <w:color w:val="auto"/>
              </w:rPr>
            </w:pPr>
          </w:p>
        </w:tc>
        <w:tc>
          <w:tcPr>
            <w:tcW w:w="80" w:type="dxa"/>
            <w:vAlign w:val="bottom"/>
            <w:tcBorders>
              <w:bottom w:val="single" w:sz="8" w:color="CCFFCC"/>
            </w:tcBorders>
            <w:shd w:val="clear" w:color="auto" w:fill="CCFFCC"/>
          </w:tcPr>
          <w:p>
            <w:pPr>
              <w:spacing w:after="0"/>
              <w:rPr>
                <w:sz w:val="23"/>
                <w:szCs w:val="23"/>
                <w:color w:val="auto"/>
              </w:rPr>
            </w:pPr>
          </w:p>
        </w:tc>
        <w:tc>
          <w:tcPr>
            <w:tcW w:w="300" w:type="dxa"/>
            <w:vAlign w:val="bottom"/>
            <w:tcBorders>
              <w:bottom w:val="single" w:sz="8" w:color="CCFFCC"/>
            </w:tcBorders>
            <w:shd w:val="clear" w:color="auto" w:fill="CCFFCC"/>
          </w:tcPr>
          <w:p>
            <w:pPr>
              <w:spacing w:after="0"/>
              <w:rPr>
                <w:sz w:val="23"/>
                <w:szCs w:val="23"/>
                <w:color w:val="auto"/>
              </w:rPr>
            </w:pPr>
          </w:p>
        </w:tc>
        <w:tc>
          <w:tcPr>
            <w:tcW w:w="11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1,631</w:t>
            </w:r>
          </w:p>
        </w:tc>
      </w:tr>
      <w:tr>
        <w:trPr>
          <w:trHeight w:val="237"/>
        </w:trPr>
        <w:tc>
          <w:tcPr>
            <w:tcW w:w="8340" w:type="dxa"/>
            <w:vAlign w:val="bottom"/>
            <w:tcBorders>
              <w:top w:val="single" w:sz="8" w:color="CCFFCC"/>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40" w:type="dxa"/>
            <w:vAlign w:val="bottom"/>
            <w:tcBorders>
              <w:top w:val="single" w:sz="8" w:color="CCFFCC"/>
            </w:tcBorders>
          </w:tcPr>
          <w:p>
            <w:pPr>
              <w:spacing w:after="0"/>
              <w:rPr>
                <w:sz w:val="20"/>
                <w:szCs w:val="20"/>
                <w:color w:val="auto"/>
              </w:rPr>
            </w:pPr>
          </w:p>
        </w:tc>
        <w:tc>
          <w:tcPr>
            <w:tcW w:w="80" w:type="dxa"/>
            <w:vAlign w:val="bottom"/>
            <w:tcBorders>
              <w:top w:val="single" w:sz="8" w:color="CCFFC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Borders>
              <w:top w:val="single" w:sz="8" w:color="CCFFCC"/>
            </w:tcBorders>
          </w:tcPr>
          <w:p>
            <w:pPr>
              <w:spacing w:after="0"/>
              <w:rPr>
                <w:sz w:val="20"/>
                <w:szCs w:val="20"/>
                <w:color w:val="auto"/>
              </w:rPr>
            </w:pPr>
          </w:p>
        </w:tc>
      </w:tr>
      <w:tr>
        <w:trPr>
          <w:trHeight w:val="243"/>
        </w:trPr>
        <w:tc>
          <w:tcPr>
            <w:tcW w:w="834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Cash and cash equivalents at end of year</w:t>
            </w:r>
          </w:p>
        </w:tc>
        <w:tc>
          <w:tcPr>
            <w:tcW w:w="900" w:type="dxa"/>
            <w:vAlign w:val="bottom"/>
            <w:shd w:val="clear" w:color="auto" w:fill="CCFFCC"/>
          </w:tcPr>
          <w:p>
            <w:pPr>
              <w:jc w:val="right"/>
              <w:ind w:right="710"/>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1,892</w:t>
            </w:r>
          </w:p>
        </w:tc>
        <w:tc>
          <w:tcPr>
            <w:tcW w:w="140" w:type="dxa"/>
            <w:vAlign w:val="bottom"/>
            <w:shd w:val="clear" w:color="auto" w:fill="CCFFCC"/>
          </w:tcPr>
          <w:p>
            <w:pPr>
              <w:spacing w:after="0"/>
              <w:rPr>
                <w:sz w:val="21"/>
                <w:szCs w:val="21"/>
                <w:color w:val="auto"/>
              </w:rPr>
            </w:pPr>
          </w:p>
        </w:tc>
        <w:tc>
          <w:tcPr>
            <w:tcW w:w="380" w:type="dxa"/>
            <w:vAlign w:val="bottom"/>
            <w:gridSpan w:val="2"/>
            <w:shd w:val="clear" w:color="auto" w:fill="CCFFCC"/>
          </w:tcPr>
          <w:p>
            <w:pPr>
              <w:jc w:val="right"/>
              <w:ind w:right="200"/>
              <w:spacing w:after="0"/>
              <w:rPr>
                <w:sz w:val="20"/>
                <w:szCs w:val="20"/>
                <w:color w:val="auto"/>
              </w:rPr>
            </w:pPr>
            <w:r>
              <w:rPr>
                <w:rFonts w:ascii="Arial" w:cs="Arial" w:eastAsia="Arial" w:hAnsi="Arial"/>
                <w:sz w:val="18"/>
                <w:szCs w:val="18"/>
                <w:b w:val="1"/>
                <w:bCs w:val="1"/>
                <w:color w:val="auto"/>
              </w:rPr>
              <w:t>$</w:t>
            </w:r>
          </w:p>
        </w:tc>
        <w:tc>
          <w:tcPr>
            <w:tcW w:w="11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2,186</w:t>
            </w:r>
          </w:p>
        </w:tc>
      </w:tr>
      <w:tr>
        <w:trPr>
          <w:trHeight w:val="486"/>
        </w:trPr>
        <w:tc>
          <w:tcPr>
            <w:tcW w:w="8340" w:type="dxa"/>
            <w:vAlign w:val="bottom"/>
          </w:tcPr>
          <w:p>
            <w:pPr>
              <w:ind w:left="5660"/>
              <w:spacing w:after="0"/>
              <w:rPr>
                <w:sz w:val="20"/>
                <w:szCs w:val="20"/>
                <w:color w:val="auto"/>
              </w:rPr>
            </w:pPr>
            <w:r>
              <w:rPr>
                <w:rFonts w:ascii="Arial" w:cs="Arial" w:eastAsia="Arial" w:hAnsi="Arial"/>
                <w:sz w:val="18"/>
                <w:szCs w:val="18"/>
                <w:color w:val="auto"/>
              </w:rPr>
              <w:t>6</w:t>
            </w: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834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300" w:type="dxa"/>
            <w:vAlign w:val="bottom"/>
            <w:tcBorders>
              <w:bottom w:val="single" w:sz="8" w:color="808080"/>
            </w:tcBorders>
          </w:tcPr>
          <w:p>
            <w:pPr>
              <w:spacing w:after="0"/>
              <w:rPr>
                <w:sz w:val="10"/>
                <w:szCs w:val="10"/>
                <w:color w:val="auto"/>
              </w:rPr>
            </w:pPr>
          </w:p>
        </w:tc>
        <w:tc>
          <w:tcPr>
            <w:tcW w:w="10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74" w:name="page75"/>
    <w:bookmarkEnd w:id="74"/>
    <w:p>
      <w:pPr>
        <w:jc w:val="center"/>
        <w:spacing w:after="0"/>
        <w:rPr>
          <w:sz w:val="20"/>
          <w:szCs w:val="20"/>
          <w:color w:val="auto"/>
        </w:rPr>
      </w:pPr>
      <w:r>
        <w:rPr>
          <w:rFonts w:ascii="Arial" w:cs="Arial" w:eastAsia="Arial" w:hAnsi="Arial"/>
          <w:sz w:val="22"/>
          <w:szCs w:val="22"/>
          <w:b w:val="1"/>
          <w:bCs w:val="1"/>
          <w:color w:val="auto"/>
        </w:rPr>
        <w:t>OAO Morion</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at December 31, 2006 and 2005</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for the Years ended December 31, 2006 and 2005</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 thousands of U.S. dollars - where applicable)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Background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Organization and Nature of the Business and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incorporated under the laws of the Russian Federation.</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color w:val="auto"/>
        </w:rPr>
        <w:t>The Company is a producer of industrial oscillators, crystal blanks, resonators and filters, which are being produced for Russian, CIS and foreign markets.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Russian Business Environment</w:t>
      </w:r>
    </w:p>
    <w:p>
      <w:pPr>
        <w:spacing w:after="0" w:line="28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Russian Federation has been experiencing political and economic change which has affected, and may continue to affect, the activities of enterprises operating in this environment. Consequently, operations in the Russian Federation involve risks, which do not typically exist in other markets.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accompanying financial statements reflect management's assessment of the impact of the Russian business environment on the operations and the financial position of the Company. The future business environment may differ from management's assessment. The impact of such differences on the operations and financial position of the Company may be significant.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Going concern</w:t>
      </w:r>
    </w:p>
    <w:p>
      <w:pPr>
        <w:spacing w:after="0" w:line="28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ultimate recoverability of the Company's investments is dependent upon its ability to achieve and maintain profitability, which is dependent to a certain extent on the stabilization of the economy of Russia and the Company's ability to obtain adequate financing to meet capital commitments.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Convertibility of the Rouble</w:t>
      </w:r>
    </w:p>
    <w:p>
      <w:pPr>
        <w:spacing w:after="0" w:line="28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Russian rouble is not a convertible currency outside the Russian Federation and, accordingly, any conversion of Russian rouble amounts to US dollars should not be construed as a representation that Russian rouble amounts have been, could be, or will be in the future, convertible into US dollars.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Taxation</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Profit tax on the profit for the year comprises current and deferred tax. Profit tax is recognized in the Statement of Operations except to the extent that it relates to items recognized directly to equity, in which case it is recognized in equity.</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Current tax is the expected tax payable on the taxable profit for the year, using tax rates enacted or substantially enacted at the balance sheet date, and any adjustment to tax payable in respect of previous years.</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Deferred tax is provided using the balance sheet liability method, providing for temporary differences between the carrying amounts of assets and liabilities for financial reporting purposes and the amounts used for taxation purposes.</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deferred tax asset is recognized only to the extent that it is probable that future taxable profits will be available against which the unused tax losses and credits can be utilized.</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75" w:name="page76"/>
    <w:bookmarkEnd w:id="75"/>
    <w:p>
      <w:pPr>
        <w:jc w:val="center"/>
        <w:spacing w:after="0"/>
        <w:rPr>
          <w:sz w:val="20"/>
          <w:szCs w:val="20"/>
          <w:color w:val="auto"/>
        </w:rPr>
      </w:pPr>
      <w:r>
        <w:rPr>
          <w:rFonts w:ascii="Arial" w:cs="Arial" w:eastAsia="Arial" w:hAnsi="Arial"/>
          <w:sz w:val="22"/>
          <w:szCs w:val="22"/>
          <w:b w:val="1"/>
          <w:bCs w:val="1"/>
          <w:color w:val="auto"/>
        </w:rPr>
        <w:t>OAO Morion</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at December 31, 2006 and 2005</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for the Years ended December 31, 2006 and 2005</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 thousands of U.S. dollars - where applicable)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Company's significant accounting policies are summarized as follows: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Basis of Presentation</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financial statements are prepared in accordance with accounting principles generally accepted in the United States of America (U.S.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GAAP). The accounting policies have been consistently applied.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Reporting currency and Foreign Currency Translation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statutory accounts of the Company are maintained in accordance with Russian accounting regulations and are stated in rubles.</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Ruble amounts are translated into U.S. dollars in accordance with Statement of Financial Accounting Standards ¹52 (SFAS 52), "Foreign Currency Translation".</w:t>
      </w:r>
    </w:p>
    <w:p>
      <w:pPr>
        <w:spacing w:after="0" w:line="2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SFAS 52, the financial statements of entities in a highly inflationary economy are measured in all cases using the U.S. dollar as the functional currency. U.S. dollar transactions are shown at their historical value. Monetary assets and liabilities denominated in local currency are translated into U.S. dollars at the prevailing period-end exchange rate. All other assets and liabilities are translated at historical exchange rates. Results of operations have been translated using the exchange rates effective at the date of transaction.</w:t>
      </w:r>
    </w:p>
    <w:p>
      <w:pPr>
        <w:spacing w:after="0" w:line="24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Translation differences resulting from the use of these different rates are included in the accompanying Balance sheets and Statements of operations. In 2006 and 2005, that translation difference loss was completely expensed in the Statements of Operations in the line 'Foreign Currency translation loss'.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Revenue Recognition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records revenues as earned at the time goods are shipped.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same principle was used for the tax purposes.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Inventory</w:t>
      </w:r>
    </w:p>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Raw materials inventory is stated at the lower of cost or net realizable value. Work-in-progress and finished goods are also stated at the lower of cost or net realizable value. The method of determining cost employed by the Company is on the first-in, first-out basis.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Property and Equipment</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Property and equipment are stated at cost less accumulated depreciation. Depreciation is provided using the </w:t>
      </w:r>
      <w:r>
        <w:rPr>
          <w:rFonts w:ascii="Arial" w:cs="Arial" w:eastAsia="Arial" w:hAnsi="Arial"/>
          <w:sz w:val="18"/>
          <w:szCs w:val="18"/>
          <w:i w:val="1"/>
          <w:iCs w:val="1"/>
          <w:color w:val="auto"/>
        </w:rPr>
        <w:t>straight-line method over</w:t>
      </w:r>
      <w:r>
        <w:rPr>
          <w:rFonts w:ascii="Arial" w:cs="Arial" w:eastAsia="Arial" w:hAnsi="Arial"/>
          <w:sz w:val="18"/>
          <w:szCs w:val="18"/>
          <w:color w:val="auto"/>
        </w:rPr>
        <w:t xml:space="preserve"> the estimated useful lives of the assets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Land</w:t>
            </w:r>
          </w:p>
        </w:tc>
        <w:tc>
          <w:tcPr>
            <w:tcW w:w="3460" w:type="dxa"/>
            <w:vAlign w:val="bottom"/>
          </w:tcPr>
          <w:p>
            <w:pPr>
              <w:ind w:left="2380"/>
              <w:spacing w:after="0"/>
              <w:rPr>
                <w:sz w:val="20"/>
                <w:szCs w:val="20"/>
                <w:color w:val="auto"/>
              </w:rPr>
            </w:pPr>
            <w:r>
              <w:rPr>
                <w:rFonts w:ascii="Arial" w:cs="Arial" w:eastAsia="Arial" w:hAnsi="Arial"/>
                <w:sz w:val="18"/>
                <w:szCs w:val="18"/>
                <w:color w:val="auto"/>
                <w:w w:val="85"/>
              </w:rPr>
              <w:t>not depreciated</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Buildings</w:t>
            </w:r>
          </w:p>
        </w:tc>
        <w:tc>
          <w:tcPr>
            <w:tcW w:w="3460" w:type="dxa"/>
            <w:vAlign w:val="bottom"/>
          </w:tcPr>
          <w:p>
            <w:pPr>
              <w:ind w:left="2380"/>
              <w:spacing w:after="0"/>
              <w:rPr>
                <w:sz w:val="20"/>
                <w:szCs w:val="20"/>
                <w:color w:val="auto"/>
              </w:rPr>
            </w:pPr>
            <w:r>
              <w:rPr>
                <w:rFonts w:ascii="Arial" w:cs="Arial" w:eastAsia="Arial" w:hAnsi="Arial"/>
                <w:sz w:val="18"/>
                <w:szCs w:val="18"/>
                <w:color w:val="auto"/>
              </w:rPr>
              <w:t>25 years</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Construction</w:t>
            </w:r>
          </w:p>
        </w:tc>
        <w:tc>
          <w:tcPr>
            <w:tcW w:w="3460" w:type="dxa"/>
            <w:vAlign w:val="bottom"/>
          </w:tcPr>
          <w:p>
            <w:pPr>
              <w:ind w:left="2380"/>
              <w:spacing w:after="0"/>
              <w:rPr>
                <w:sz w:val="20"/>
                <w:szCs w:val="20"/>
                <w:color w:val="auto"/>
              </w:rPr>
            </w:pPr>
            <w:r>
              <w:rPr>
                <w:rFonts w:ascii="Arial" w:cs="Arial" w:eastAsia="Arial" w:hAnsi="Arial"/>
                <w:sz w:val="18"/>
                <w:szCs w:val="18"/>
                <w:color w:val="auto"/>
              </w:rPr>
              <w:t>25 years</w:t>
            </w: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Equipment</w:t>
            </w:r>
          </w:p>
        </w:tc>
        <w:tc>
          <w:tcPr>
            <w:tcW w:w="3460" w:type="dxa"/>
            <w:vAlign w:val="bottom"/>
          </w:tcPr>
          <w:p>
            <w:pPr>
              <w:ind w:left="2380"/>
              <w:spacing w:after="0"/>
              <w:rPr>
                <w:sz w:val="20"/>
                <w:szCs w:val="20"/>
                <w:color w:val="auto"/>
              </w:rPr>
            </w:pPr>
            <w:r>
              <w:rPr>
                <w:rFonts w:ascii="Arial" w:cs="Arial" w:eastAsia="Arial" w:hAnsi="Arial"/>
                <w:sz w:val="18"/>
                <w:szCs w:val="18"/>
                <w:color w:val="auto"/>
              </w:rPr>
              <w:t>12.5 years</w:t>
            </w:r>
          </w:p>
        </w:tc>
        <w:tc>
          <w:tcPr>
            <w:tcW w:w="0" w:type="dxa"/>
            <w:vAlign w:val="bottom"/>
          </w:tcPr>
          <w:p>
            <w:pPr>
              <w:spacing w:after="0"/>
              <w:rPr>
                <w:sz w:val="1"/>
                <w:szCs w:val="1"/>
                <w:color w:val="auto"/>
              </w:rPr>
            </w:pPr>
          </w:p>
        </w:tc>
      </w:tr>
      <w:tr>
        <w:trPr>
          <w:trHeight w:val="222"/>
        </w:trPr>
        <w:tc>
          <w:tcPr>
            <w:tcW w:w="3780" w:type="dxa"/>
            <w:vAlign w:val="bottom"/>
          </w:tcPr>
          <w:p>
            <w:pPr>
              <w:spacing w:after="0"/>
              <w:rPr>
                <w:sz w:val="20"/>
                <w:szCs w:val="20"/>
                <w:color w:val="auto"/>
              </w:rPr>
            </w:pPr>
            <w:r>
              <w:rPr>
                <w:rFonts w:ascii="Arial" w:cs="Arial" w:eastAsia="Arial" w:hAnsi="Arial"/>
                <w:sz w:val="18"/>
                <w:szCs w:val="18"/>
                <w:color w:val="auto"/>
              </w:rPr>
              <w:t>Office furniture and</w:t>
            </w:r>
          </w:p>
        </w:tc>
        <w:tc>
          <w:tcPr>
            <w:tcW w:w="3460" w:type="dxa"/>
            <w:vAlign w:val="bottom"/>
            <w:vMerge w:val="restart"/>
          </w:tcPr>
          <w:p>
            <w:pPr>
              <w:ind w:left="238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122"/>
        </w:trPr>
        <w:tc>
          <w:tcPr>
            <w:tcW w:w="3780" w:type="dxa"/>
            <w:vAlign w:val="bottom"/>
            <w:vMerge w:val="restart"/>
          </w:tcPr>
          <w:p>
            <w:pPr>
              <w:spacing w:after="0"/>
              <w:rPr>
                <w:sz w:val="20"/>
                <w:szCs w:val="20"/>
                <w:color w:val="auto"/>
              </w:rPr>
            </w:pPr>
            <w:r>
              <w:rPr>
                <w:rFonts w:ascii="Arial" w:cs="Arial" w:eastAsia="Arial" w:hAnsi="Arial"/>
                <w:sz w:val="18"/>
                <w:szCs w:val="18"/>
                <w:color w:val="auto"/>
              </w:rPr>
              <w:t>equipment</w:t>
            </w:r>
          </w:p>
        </w:tc>
        <w:tc>
          <w:tcPr>
            <w:tcW w:w="3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780" w:type="dxa"/>
            <w:vAlign w:val="bottom"/>
            <w:vMerge w:val="continue"/>
          </w:tcPr>
          <w:p>
            <w:pPr>
              <w:spacing w:after="0"/>
              <w:rPr>
                <w:sz w:val="10"/>
                <w:szCs w:val="10"/>
                <w:color w:val="auto"/>
              </w:rPr>
            </w:pPr>
          </w:p>
        </w:tc>
        <w:tc>
          <w:tcPr>
            <w:tcW w:w="3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3780" w:type="dxa"/>
            <w:vAlign w:val="bottom"/>
          </w:tcPr>
          <w:p>
            <w:pPr>
              <w:spacing w:after="0"/>
              <w:rPr>
                <w:sz w:val="20"/>
                <w:szCs w:val="20"/>
                <w:color w:val="auto"/>
              </w:rPr>
            </w:pPr>
            <w:r>
              <w:rPr>
                <w:rFonts w:ascii="Arial" w:cs="Arial" w:eastAsia="Arial" w:hAnsi="Arial"/>
                <w:sz w:val="18"/>
                <w:szCs w:val="18"/>
                <w:color w:val="auto"/>
              </w:rPr>
              <w:t>Motor</w:t>
            </w:r>
          </w:p>
        </w:tc>
        <w:tc>
          <w:tcPr>
            <w:tcW w:w="3460" w:type="dxa"/>
            <w:vAlign w:val="bottom"/>
            <w:vMerge w:val="restart"/>
          </w:tcPr>
          <w:p>
            <w:pPr>
              <w:ind w:left="2380"/>
              <w:spacing w:after="0"/>
              <w:rPr>
                <w:sz w:val="20"/>
                <w:szCs w:val="20"/>
                <w:color w:val="auto"/>
              </w:rPr>
            </w:pPr>
            <w:r>
              <w:rPr>
                <w:rFonts w:ascii="Arial" w:cs="Arial" w:eastAsia="Arial" w:hAnsi="Arial"/>
                <w:sz w:val="18"/>
                <w:szCs w:val="18"/>
                <w:color w:val="auto"/>
              </w:rPr>
              <w:t>5 years</w:t>
            </w:r>
          </w:p>
        </w:tc>
        <w:tc>
          <w:tcPr>
            <w:tcW w:w="0" w:type="dxa"/>
            <w:vAlign w:val="bottom"/>
          </w:tcPr>
          <w:p>
            <w:pPr>
              <w:spacing w:after="0"/>
              <w:rPr>
                <w:sz w:val="1"/>
                <w:szCs w:val="1"/>
                <w:color w:val="auto"/>
              </w:rPr>
            </w:pPr>
          </w:p>
        </w:tc>
      </w:tr>
      <w:tr>
        <w:trPr>
          <w:trHeight w:val="122"/>
        </w:trPr>
        <w:tc>
          <w:tcPr>
            <w:tcW w:w="3780" w:type="dxa"/>
            <w:vAlign w:val="bottom"/>
            <w:vMerge w:val="restart"/>
          </w:tcPr>
          <w:p>
            <w:pPr>
              <w:spacing w:after="0"/>
              <w:rPr>
                <w:sz w:val="20"/>
                <w:szCs w:val="20"/>
                <w:color w:val="auto"/>
              </w:rPr>
            </w:pPr>
            <w:r>
              <w:rPr>
                <w:rFonts w:ascii="Arial" w:cs="Arial" w:eastAsia="Arial" w:hAnsi="Arial"/>
                <w:sz w:val="18"/>
                <w:szCs w:val="18"/>
                <w:color w:val="auto"/>
              </w:rPr>
              <w:t>vehicles</w:t>
            </w:r>
          </w:p>
        </w:tc>
        <w:tc>
          <w:tcPr>
            <w:tcW w:w="3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3780" w:type="dxa"/>
            <w:vAlign w:val="bottom"/>
            <w:vMerge w:val="continue"/>
          </w:tcPr>
          <w:p>
            <w:pPr>
              <w:spacing w:after="0"/>
              <w:rPr>
                <w:sz w:val="10"/>
                <w:szCs w:val="10"/>
                <w:color w:val="auto"/>
              </w:rPr>
            </w:pPr>
          </w:p>
        </w:tc>
        <w:tc>
          <w:tcPr>
            <w:tcW w:w="34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22"/>
          <w:szCs w:val="22"/>
          <w:b w:val="1"/>
          <w:bCs w:val="1"/>
          <w:color w:val="auto"/>
        </w:rPr>
        <w:t>OAO Morion</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at December 31, 2006 and 2005</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for the Years ended December 31, 2006 and 2005</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 thousands of U.S. dollars - where applicable)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Comparative figures</w:t>
      </w:r>
    </w:p>
    <w:p>
      <w:pPr>
        <w:spacing w:after="0" w:line="28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Comparative figures incorporated herein are based on the prior year's financial statements but have been restated where necessary to accord with revised disclosures in this year.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 Impairment of long-lived assets</w:t>
      </w: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Long-lived assets and certain identifiable intangibles are reviewed by the Company for impairment whenever events or changes in circumstances indicate that the carrying amount of an asset may not be recoverable. Recoverability of assets to be held and used is measured by a comparison of the carrying amount to undiscounted future net cash flows expected to be generated by the assets.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 Comprehensive Income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2006 and 2005 comprehensive income was equal to net income reported in the statements of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Financial Instruments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There are no items having impact under the application of FAS 133.</w:t>
      </w: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 Cash and cash equivalents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The Company's cash balances at December 31, 2006 and 2005 consist of the following: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4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2006</w:t>
            </w:r>
          </w:p>
        </w:tc>
        <w:tc>
          <w:tcPr>
            <w:tcW w:w="4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19"/>
                <w:szCs w:val="19"/>
                <w:color w:val="auto"/>
              </w:rPr>
            </w:pPr>
          </w:p>
        </w:tc>
      </w:tr>
      <w:tr>
        <w:trPr>
          <w:trHeight w:val="238"/>
        </w:trPr>
        <w:tc>
          <w:tcPr>
            <w:tcW w:w="9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Russian rouble bank accounts</w:t>
            </w: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1,238</w:t>
            </w:r>
          </w:p>
        </w:tc>
        <w:tc>
          <w:tcPr>
            <w:tcW w:w="220" w:type="dxa"/>
            <w:vAlign w:val="bottom"/>
            <w:shd w:val="clear" w:color="auto" w:fill="CCFFCC"/>
          </w:tcPr>
          <w:p>
            <w:pPr>
              <w:spacing w:after="0"/>
              <w:rPr>
                <w:sz w:val="20"/>
                <w:szCs w:val="20"/>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1,329</w:t>
            </w:r>
          </w:p>
        </w:tc>
      </w:tr>
      <w:tr>
        <w:trPr>
          <w:trHeight w:val="243"/>
        </w:trPr>
        <w:tc>
          <w:tcPr>
            <w:tcW w:w="9280" w:type="dxa"/>
            <w:vAlign w:val="bottom"/>
            <w:gridSpan w:val="2"/>
          </w:tcPr>
          <w:p>
            <w:pPr>
              <w:spacing w:after="0"/>
              <w:rPr>
                <w:sz w:val="20"/>
                <w:szCs w:val="20"/>
                <w:color w:val="auto"/>
              </w:rPr>
            </w:pPr>
            <w:r>
              <w:rPr>
                <w:rFonts w:ascii="Arial" w:cs="Arial" w:eastAsia="Arial" w:hAnsi="Arial"/>
                <w:sz w:val="18"/>
                <w:szCs w:val="18"/>
                <w:color w:val="auto"/>
              </w:rPr>
              <w:t>Foreign currency bank accounts</w:t>
            </w:r>
          </w:p>
        </w:tc>
        <w:tc>
          <w:tcPr>
            <w:tcW w:w="440" w:type="dxa"/>
            <w:vAlign w:val="bottom"/>
          </w:tcPr>
          <w:p>
            <w:pPr>
              <w:jc w:val="right"/>
              <w:spacing w:after="0"/>
              <w:rPr>
                <w:sz w:val="20"/>
                <w:szCs w:val="20"/>
                <w:color w:val="auto"/>
              </w:rPr>
            </w:pPr>
            <w:r>
              <w:rPr>
                <w:rFonts w:ascii="Arial" w:cs="Arial" w:eastAsia="Arial" w:hAnsi="Arial"/>
                <w:sz w:val="18"/>
                <w:szCs w:val="18"/>
                <w:color w:val="auto"/>
              </w:rPr>
              <w:t>654</w:t>
            </w: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857</w:t>
            </w:r>
          </w:p>
        </w:tc>
      </w:tr>
      <w:tr>
        <w:trPr>
          <w:trHeight w:val="275"/>
        </w:trPr>
        <w:tc>
          <w:tcPr>
            <w:tcW w:w="83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Bonds</w:t>
            </w:r>
          </w:p>
        </w:tc>
        <w:tc>
          <w:tcPr>
            <w:tcW w:w="940" w:type="dxa"/>
            <w:vAlign w:val="bottom"/>
            <w:tcBorders>
              <w:bottom w:val="single" w:sz="8" w:color="CCFFCC"/>
            </w:tcBorders>
            <w:shd w:val="clear" w:color="auto" w:fill="CCFFCC"/>
          </w:tcPr>
          <w:p>
            <w:pPr>
              <w:spacing w:after="0"/>
              <w:rPr>
                <w:sz w:val="23"/>
                <w:szCs w:val="23"/>
                <w:color w:val="auto"/>
              </w:rPr>
            </w:pPr>
          </w:p>
        </w:tc>
        <w:tc>
          <w:tcPr>
            <w:tcW w:w="4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0</w:t>
            </w:r>
          </w:p>
        </w:tc>
        <w:tc>
          <w:tcPr>
            <w:tcW w:w="220" w:type="dxa"/>
            <w:vAlign w:val="bottom"/>
            <w:tcBorders>
              <w:bottom w:val="single" w:sz="8" w:color="CCFFCC"/>
            </w:tcBorders>
            <w:shd w:val="clear" w:color="auto" w:fill="CCFFCC"/>
          </w:tcPr>
          <w:p>
            <w:pPr>
              <w:spacing w:after="0"/>
              <w:rPr>
                <w:sz w:val="23"/>
                <w:szCs w:val="23"/>
                <w:color w:val="auto"/>
              </w:rPr>
            </w:pPr>
          </w:p>
        </w:tc>
        <w:tc>
          <w:tcPr>
            <w:tcW w:w="14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w:t>
            </w:r>
          </w:p>
        </w:tc>
      </w:tr>
      <w:tr>
        <w:trPr>
          <w:trHeight w:val="264"/>
        </w:trPr>
        <w:tc>
          <w:tcPr>
            <w:tcW w:w="8340" w:type="dxa"/>
            <w:vAlign w:val="bottom"/>
            <w:tcBorders>
              <w:top w:val="single" w:sz="8" w:color="CCFFCC"/>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751"/>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1,892</w:t>
            </w:r>
          </w:p>
        </w:tc>
        <w:tc>
          <w:tcPr>
            <w:tcW w:w="220" w:type="dxa"/>
            <w:vAlign w:val="bottom"/>
            <w:tcBorders>
              <w:top w:val="single" w:sz="8" w:color="CCFFCC"/>
            </w:tcBorders>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2,186</w:t>
            </w:r>
          </w:p>
        </w:tc>
        <w:tc>
          <w:tcPr>
            <w:tcW w:w="100" w:type="dxa"/>
            <w:vAlign w:val="bottom"/>
            <w:tcBorders>
              <w:top w:val="single" w:sz="8" w:color="CCFFCC"/>
            </w:tcBorders>
          </w:tcPr>
          <w:p>
            <w:pPr>
              <w:spacing w:after="0"/>
              <w:rPr>
                <w:sz w:val="22"/>
                <w:szCs w:val="22"/>
                <w:color w:val="auto"/>
              </w:rPr>
            </w:pPr>
          </w:p>
        </w:tc>
      </w:tr>
      <w:tr>
        <w:trPr>
          <w:trHeight w:val="261"/>
        </w:trPr>
        <w:tc>
          <w:tcPr>
            <w:tcW w:w="8340" w:type="dxa"/>
            <w:vAlign w:val="bottom"/>
          </w:tcPr>
          <w:p>
            <w:pPr>
              <w:spacing w:after="0"/>
              <w:rPr>
                <w:sz w:val="20"/>
                <w:szCs w:val="20"/>
                <w:color w:val="auto"/>
              </w:rPr>
            </w:pPr>
            <w:r>
              <w:rPr>
                <w:rFonts w:ascii="Arial" w:cs="Arial" w:eastAsia="Arial" w:hAnsi="Arial"/>
                <w:sz w:val="22"/>
                <w:szCs w:val="22"/>
                <w:b w:val="1"/>
                <w:bCs w:val="1"/>
                <w:color w:val="auto"/>
              </w:rPr>
              <w:t>Note 4 - Trade receivables</w:t>
            </w:r>
          </w:p>
        </w:tc>
        <w:tc>
          <w:tcPr>
            <w:tcW w:w="9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489"/>
        </w:trPr>
        <w:tc>
          <w:tcPr>
            <w:tcW w:w="9280" w:type="dxa"/>
            <w:vAlign w:val="bottom"/>
            <w:gridSpan w:val="2"/>
          </w:tcPr>
          <w:p>
            <w:pPr>
              <w:spacing w:after="0"/>
              <w:rPr>
                <w:sz w:val="20"/>
                <w:szCs w:val="20"/>
                <w:color w:val="auto"/>
              </w:rPr>
            </w:pPr>
            <w:r>
              <w:rPr>
                <w:rFonts w:ascii="Arial" w:cs="Arial" w:eastAsia="Arial" w:hAnsi="Arial"/>
                <w:sz w:val="18"/>
                <w:szCs w:val="18"/>
                <w:color w:val="auto"/>
              </w:rPr>
              <w:t>The Company's trade accounts receivable at December 31, 2006 and 2005 consists of the following:</w:t>
            </w: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39"/>
        </w:trPr>
        <w:tc>
          <w:tcPr>
            <w:tcW w:w="8340" w:type="dxa"/>
            <w:vAlign w:val="bottom"/>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2006</w:t>
            </w:r>
          </w:p>
        </w:tc>
        <w:tc>
          <w:tcPr>
            <w:tcW w:w="4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4"/>
                <w:szCs w:val="24"/>
                <w:color w:val="auto"/>
              </w:rPr>
            </w:pPr>
          </w:p>
        </w:tc>
      </w:tr>
      <w:tr>
        <w:trPr>
          <w:trHeight w:val="238"/>
        </w:trPr>
        <w:tc>
          <w:tcPr>
            <w:tcW w:w="928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Trade accounts receivable</w:t>
            </w:r>
          </w:p>
        </w:tc>
        <w:tc>
          <w:tcPr>
            <w:tcW w:w="440" w:type="dxa"/>
            <w:vAlign w:val="bottom"/>
            <w:shd w:val="clear" w:color="auto" w:fill="CCFFCC"/>
          </w:tcPr>
          <w:p>
            <w:pPr>
              <w:jc w:val="right"/>
              <w:spacing w:after="0"/>
              <w:rPr>
                <w:sz w:val="20"/>
                <w:szCs w:val="20"/>
                <w:color w:val="auto"/>
              </w:rPr>
            </w:pPr>
            <w:r>
              <w:rPr>
                <w:rFonts w:ascii="Arial" w:cs="Arial" w:eastAsia="Arial" w:hAnsi="Arial"/>
                <w:sz w:val="18"/>
                <w:szCs w:val="18"/>
                <w:color w:val="auto"/>
                <w:w w:val="93"/>
              </w:rPr>
              <w:t>2,259</w:t>
            </w:r>
          </w:p>
        </w:tc>
        <w:tc>
          <w:tcPr>
            <w:tcW w:w="220" w:type="dxa"/>
            <w:vAlign w:val="bottom"/>
            <w:shd w:val="clear" w:color="auto" w:fill="CCFFCC"/>
          </w:tcPr>
          <w:p>
            <w:pPr>
              <w:spacing w:after="0"/>
              <w:rPr>
                <w:sz w:val="20"/>
                <w:szCs w:val="20"/>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1,519</w:t>
            </w:r>
          </w:p>
        </w:tc>
      </w:tr>
      <w:tr>
        <w:trPr>
          <w:trHeight w:val="270"/>
        </w:trPr>
        <w:tc>
          <w:tcPr>
            <w:tcW w:w="8340" w:type="dxa"/>
            <w:vAlign w:val="bottom"/>
          </w:tcPr>
          <w:p>
            <w:pPr>
              <w:spacing w:after="0"/>
              <w:rPr>
                <w:sz w:val="20"/>
                <w:szCs w:val="20"/>
                <w:color w:val="auto"/>
              </w:rPr>
            </w:pPr>
            <w:r>
              <w:rPr>
                <w:rFonts w:ascii="Arial" w:cs="Arial" w:eastAsia="Arial" w:hAnsi="Arial"/>
                <w:sz w:val="18"/>
                <w:szCs w:val="18"/>
                <w:color w:val="auto"/>
              </w:rPr>
              <w:t>Provision for bad and doubtful receivables</w:t>
            </w:r>
          </w:p>
        </w:tc>
        <w:tc>
          <w:tcPr>
            <w:tcW w:w="940" w:type="dxa"/>
            <w:vAlign w:val="bottom"/>
          </w:tcPr>
          <w:p>
            <w:pPr>
              <w:spacing w:after="0"/>
              <w:rPr>
                <w:sz w:val="23"/>
                <w:szCs w:val="2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(192)</w:t>
            </w:r>
          </w:p>
        </w:tc>
      </w:tr>
      <w:tr>
        <w:trPr>
          <w:trHeight w:val="244"/>
        </w:trPr>
        <w:tc>
          <w:tcPr>
            <w:tcW w:w="8340" w:type="dxa"/>
            <w:vAlign w:val="bottom"/>
            <w:tcBorders>
              <w:bottom w:val="single" w:sz="8" w:color="CCFFCC"/>
            </w:tcBorders>
            <w:shd w:val="clear" w:color="auto" w:fill="CCFFCC"/>
          </w:tcPr>
          <w:p>
            <w:pPr>
              <w:spacing w:after="0"/>
              <w:rPr>
                <w:sz w:val="21"/>
                <w:szCs w:val="21"/>
                <w:color w:val="auto"/>
              </w:rPr>
            </w:pPr>
          </w:p>
        </w:tc>
        <w:tc>
          <w:tcPr>
            <w:tcW w:w="940" w:type="dxa"/>
            <w:vAlign w:val="bottom"/>
            <w:tcBorders>
              <w:top w:val="single" w:sz="8" w:color="auto"/>
              <w:bottom w:val="single" w:sz="8" w:color="CCFFCC"/>
            </w:tcBorders>
            <w:shd w:val="clear" w:color="auto" w:fill="CCFFCC"/>
          </w:tcPr>
          <w:p>
            <w:pPr>
              <w:jc w:val="right"/>
              <w:ind w:right="751"/>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w w:val="93"/>
              </w:rPr>
              <w:t>2,234</w:t>
            </w:r>
          </w:p>
        </w:tc>
        <w:tc>
          <w:tcPr>
            <w:tcW w:w="220" w:type="dxa"/>
            <w:vAlign w:val="bottom"/>
            <w:tcBorders>
              <w:bottom w:val="single" w:sz="8" w:color="CCFFCC"/>
            </w:tcBorders>
            <w:shd w:val="clear" w:color="auto" w:fill="CCFFCC"/>
          </w:tcPr>
          <w:p>
            <w:pPr>
              <w:spacing w:after="0"/>
              <w:rPr>
                <w:sz w:val="21"/>
                <w:szCs w:val="21"/>
                <w:color w:val="auto"/>
              </w:rPr>
            </w:pPr>
          </w:p>
        </w:tc>
        <w:tc>
          <w:tcPr>
            <w:tcW w:w="138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1,327</w:t>
            </w:r>
          </w:p>
        </w:tc>
        <w:tc>
          <w:tcPr>
            <w:tcW w:w="100" w:type="dxa"/>
            <w:vAlign w:val="bottom"/>
            <w:tcBorders>
              <w:bottom w:val="single" w:sz="8" w:color="CCFFCC"/>
            </w:tcBorders>
            <w:shd w:val="clear" w:color="auto" w:fill="CCFFCC"/>
          </w:tcPr>
          <w:p>
            <w:pPr>
              <w:spacing w:after="0"/>
              <w:rPr>
                <w:sz w:val="21"/>
                <w:szCs w:val="21"/>
                <w:color w:val="auto"/>
              </w:rPr>
            </w:pPr>
          </w:p>
        </w:tc>
      </w:tr>
      <w:tr>
        <w:trPr>
          <w:trHeight w:val="20"/>
        </w:trPr>
        <w:tc>
          <w:tcPr>
            <w:tcW w:w="8340" w:type="dxa"/>
            <w:vAlign w:val="bottom"/>
            <w:shd w:val="clear" w:color="auto" w:fill="CCFFC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bl>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Provision for doubtful accounts at the end of 2006 is set up at the rate 50% from the base k$50 for internal market (calculated on the base of analysis of the bad domestic accounts).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7" w:name="page78"/>
    <w:bookmarkEnd w:id="77"/>
    <w:p>
      <w:pPr>
        <w:jc w:val="center"/>
        <w:spacing w:after="0"/>
        <w:rPr>
          <w:sz w:val="20"/>
          <w:szCs w:val="20"/>
          <w:color w:val="auto"/>
        </w:rPr>
      </w:pPr>
      <w:r>
        <w:rPr>
          <w:rFonts w:ascii="Arial" w:cs="Arial" w:eastAsia="Arial" w:hAnsi="Arial"/>
          <w:sz w:val="22"/>
          <w:szCs w:val="22"/>
          <w:b w:val="1"/>
          <w:bCs w:val="1"/>
          <w:color w:val="auto"/>
        </w:rPr>
        <w:t>OAO Morion</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at December 31, 2006 and 2005</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for the Years ended December 31, 2006 and 2005</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 thousands of U.S. dollars - where applicable)</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60" w:type="dxa"/>
            <w:vAlign w:val="bottom"/>
            <w:gridSpan w:val="4"/>
          </w:tcPr>
          <w:p>
            <w:pPr>
              <w:spacing w:after="0"/>
              <w:rPr>
                <w:sz w:val="20"/>
                <w:szCs w:val="20"/>
                <w:color w:val="auto"/>
              </w:rPr>
            </w:pPr>
            <w:r>
              <w:rPr>
                <w:rFonts w:ascii="Arial" w:cs="Arial" w:eastAsia="Arial" w:hAnsi="Arial"/>
                <w:sz w:val="18"/>
                <w:szCs w:val="18"/>
                <w:b w:val="1"/>
                <w:bCs w:val="1"/>
                <w:color w:val="auto"/>
              </w:rPr>
              <w:t>Note 5 - Other receivables and prepayments</w:t>
            </w: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86"/>
        </w:trPr>
        <w:tc>
          <w:tcPr>
            <w:tcW w:w="9260" w:type="dxa"/>
            <w:vAlign w:val="bottom"/>
            <w:gridSpan w:val="4"/>
          </w:tcPr>
          <w:p>
            <w:pPr>
              <w:spacing w:after="0"/>
              <w:rPr>
                <w:sz w:val="20"/>
                <w:szCs w:val="20"/>
                <w:color w:val="auto"/>
              </w:rPr>
            </w:pPr>
            <w:r>
              <w:rPr>
                <w:rFonts w:ascii="Arial" w:cs="Arial" w:eastAsia="Arial" w:hAnsi="Arial"/>
                <w:sz w:val="18"/>
                <w:szCs w:val="18"/>
                <w:color w:val="auto"/>
              </w:rPr>
              <w:t>The Company’s other receivables and prepayments at December 31, 2006 and 2005 consist of the following:</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13"/>
        </w:trPr>
        <w:tc>
          <w:tcPr>
            <w:tcW w:w="9260" w:type="dxa"/>
            <w:vAlign w:val="bottom"/>
            <w:gridSpan w:val="4"/>
          </w:tcPr>
          <w:p>
            <w:pPr>
              <w:ind w:left="8840"/>
              <w:spacing w:after="0"/>
              <w:rPr>
                <w:sz w:val="20"/>
                <w:szCs w:val="20"/>
                <w:color w:val="auto"/>
              </w:rPr>
            </w:pPr>
            <w:r>
              <w:rPr>
                <w:rFonts w:ascii="Arial" w:cs="Arial" w:eastAsia="Arial" w:hAnsi="Arial"/>
                <w:sz w:val="18"/>
                <w:szCs w:val="18"/>
                <w:b w:val="1"/>
                <w:bCs w:val="1"/>
                <w:color w:val="auto"/>
                <w:w w:val="99"/>
              </w:rPr>
              <w:t>2006</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4"/>
                <w:szCs w:val="24"/>
                <w:color w:val="auto"/>
              </w:rPr>
            </w:pPr>
          </w:p>
        </w:tc>
      </w:tr>
      <w:tr>
        <w:trPr>
          <w:trHeight w:val="237"/>
        </w:trPr>
        <w:tc>
          <w:tcPr>
            <w:tcW w:w="5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926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Advances given</w:t>
            </w:r>
          </w:p>
        </w:tc>
        <w:tc>
          <w:tcPr>
            <w:tcW w:w="6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647</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356</w:t>
            </w:r>
          </w:p>
        </w:tc>
      </w:tr>
      <w:tr>
        <w:trPr>
          <w:trHeight w:val="243"/>
        </w:trPr>
        <w:tc>
          <w:tcPr>
            <w:tcW w:w="9260" w:type="dxa"/>
            <w:vAlign w:val="bottom"/>
            <w:gridSpan w:val="4"/>
          </w:tcPr>
          <w:p>
            <w:pPr>
              <w:spacing w:after="0"/>
              <w:rPr>
                <w:sz w:val="20"/>
                <w:szCs w:val="20"/>
                <w:color w:val="auto"/>
              </w:rPr>
            </w:pPr>
            <w:r>
              <w:rPr>
                <w:rFonts w:ascii="Arial" w:cs="Arial" w:eastAsia="Arial" w:hAnsi="Arial"/>
                <w:sz w:val="18"/>
                <w:szCs w:val="18"/>
                <w:color w:val="auto"/>
              </w:rPr>
              <w:t>Accountable persons</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r>
      <w:tr>
        <w:trPr>
          <w:trHeight w:val="243"/>
        </w:trPr>
        <w:tc>
          <w:tcPr>
            <w:tcW w:w="926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Settlements with personnel</w:t>
            </w:r>
          </w:p>
        </w:tc>
        <w:tc>
          <w:tcPr>
            <w:tcW w:w="68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86</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9260" w:type="dxa"/>
            <w:vAlign w:val="bottom"/>
            <w:gridSpan w:val="4"/>
          </w:tcPr>
          <w:p>
            <w:pPr>
              <w:spacing w:after="0"/>
              <w:rPr>
                <w:sz w:val="20"/>
                <w:szCs w:val="20"/>
                <w:color w:val="auto"/>
              </w:rPr>
            </w:pPr>
            <w:r>
              <w:rPr>
                <w:rFonts w:ascii="Arial" w:cs="Arial" w:eastAsia="Arial" w:hAnsi="Arial"/>
                <w:sz w:val="18"/>
                <w:szCs w:val="18"/>
                <w:color w:val="auto"/>
              </w:rPr>
              <w:t>Other debtors</w:t>
            </w: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336</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r>
      <w:tr>
        <w:trPr>
          <w:trHeight w:val="275"/>
        </w:trPr>
        <w:tc>
          <w:tcPr>
            <w:tcW w:w="8340" w:type="dxa"/>
            <w:vAlign w:val="bottom"/>
            <w:tcBorders>
              <w:bottom w:val="single" w:sz="8" w:color="CCFFCC"/>
            </w:tcBorders>
            <w:gridSpan w:val="3"/>
            <w:shd w:val="clear" w:color="auto" w:fill="CCFFCC"/>
          </w:tcPr>
          <w:p>
            <w:pPr>
              <w:spacing w:after="0"/>
              <w:rPr>
                <w:sz w:val="20"/>
                <w:szCs w:val="20"/>
                <w:color w:val="auto"/>
              </w:rPr>
            </w:pPr>
            <w:r>
              <w:rPr>
                <w:rFonts w:ascii="Arial" w:cs="Arial" w:eastAsia="Arial" w:hAnsi="Arial"/>
                <w:sz w:val="18"/>
                <w:szCs w:val="18"/>
                <w:color w:val="auto"/>
              </w:rPr>
              <w:t>Prepaid expenses</w:t>
            </w:r>
          </w:p>
        </w:tc>
        <w:tc>
          <w:tcPr>
            <w:tcW w:w="920" w:type="dxa"/>
            <w:vAlign w:val="bottom"/>
            <w:tcBorders>
              <w:bottom w:val="single" w:sz="8" w:color="CCFFCC"/>
            </w:tcBorders>
            <w:shd w:val="clear" w:color="auto" w:fill="CCFFCC"/>
          </w:tcPr>
          <w:p>
            <w:pPr>
              <w:spacing w:after="0"/>
              <w:rPr>
                <w:sz w:val="23"/>
                <w:szCs w:val="23"/>
                <w:color w:val="auto"/>
              </w:rPr>
            </w:pPr>
          </w:p>
        </w:tc>
        <w:tc>
          <w:tcPr>
            <w:tcW w:w="6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31</w:t>
            </w:r>
          </w:p>
        </w:tc>
        <w:tc>
          <w:tcPr>
            <w:tcW w:w="14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81</w:t>
            </w:r>
          </w:p>
        </w:tc>
      </w:tr>
      <w:tr>
        <w:trPr>
          <w:trHeight w:val="196"/>
        </w:trPr>
        <w:tc>
          <w:tcPr>
            <w:tcW w:w="8340" w:type="dxa"/>
            <w:vAlign w:val="bottom"/>
            <w:tcBorders>
              <w:top w:val="single" w:sz="8" w:color="CCFFCC"/>
            </w:tcBorders>
            <w:gridSpan w:val="3"/>
          </w:tcPr>
          <w:p>
            <w:pPr>
              <w:ind w:left="500"/>
              <w:spacing w:after="0" w:line="196" w:lineRule="exact"/>
              <w:rPr>
                <w:sz w:val="20"/>
                <w:szCs w:val="20"/>
                <w:color w:val="auto"/>
              </w:rPr>
            </w:pPr>
            <w:r>
              <w:rPr>
                <w:rFonts w:ascii="Arial" w:cs="Arial" w:eastAsia="Arial" w:hAnsi="Arial"/>
                <w:sz w:val="18"/>
                <w:szCs w:val="18"/>
                <w:color w:val="auto"/>
              </w:rPr>
              <w:t>Total other receivables and prepayments</w:t>
            </w:r>
          </w:p>
        </w:tc>
        <w:tc>
          <w:tcPr>
            <w:tcW w:w="92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auto"/>
                <w:w w:val="97"/>
              </w:rPr>
              <w:t>1,101</w:t>
            </w:r>
          </w:p>
        </w:tc>
        <w:tc>
          <w:tcPr>
            <w:tcW w:w="220" w:type="dxa"/>
            <w:vAlign w:val="bottom"/>
            <w:tcBorders>
              <w:top w:val="single" w:sz="8" w:color="CCFFCC"/>
            </w:tcBorders>
          </w:tcPr>
          <w:p>
            <w:pPr>
              <w:spacing w:after="0"/>
              <w:rPr>
                <w:sz w:val="17"/>
                <w:szCs w:val="17"/>
                <w:color w:val="auto"/>
              </w:rPr>
            </w:pPr>
          </w:p>
        </w:tc>
        <w:tc>
          <w:tcPr>
            <w:tcW w:w="13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auto"/>
              </w:rPr>
              <w:t>679</w:t>
            </w:r>
          </w:p>
        </w:tc>
        <w:tc>
          <w:tcPr>
            <w:tcW w:w="100" w:type="dxa"/>
            <w:vAlign w:val="bottom"/>
            <w:tcBorders>
              <w:top w:val="single" w:sz="8" w:color="CCFFCC"/>
            </w:tcBorders>
          </w:tcPr>
          <w:p>
            <w:pPr>
              <w:spacing w:after="0"/>
              <w:rPr>
                <w:sz w:val="17"/>
                <w:szCs w:val="17"/>
                <w:color w:val="auto"/>
              </w:rPr>
            </w:pPr>
          </w:p>
        </w:tc>
      </w:tr>
      <w:tr>
        <w:trPr>
          <w:trHeight w:val="21"/>
        </w:trPr>
        <w:tc>
          <w:tcPr>
            <w:tcW w:w="500" w:type="dxa"/>
            <w:vAlign w:val="bottom"/>
          </w:tcPr>
          <w:p>
            <w:pPr>
              <w:spacing w:after="0" w:line="20" w:lineRule="exact"/>
              <w:rPr>
                <w:sz w:val="1"/>
                <w:szCs w:val="1"/>
                <w:color w:val="auto"/>
              </w:rPr>
            </w:pPr>
          </w:p>
        </w:tc>
        <w:tc>
          <w:tcPr>
            <w:tcW w:w="2900" w:type="dxa"/>
            <w:vAlign w:val="bottom"/>
            <w:tcBorders>
              <w:top w:val="single" w:sz="8" w:color="auto"/>
            </w:tcBorders>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5"/>
        </w:trPr>
        <w:tc>
          <w:tcPr>
            <w:tcW w:w="8340" w:type="dxa"/>
            <w:vAlign w:val="bottom"/>
            <w:tcBorders>
              <w:bottom w:val="single" w:sz="8" w:color="CCFFCC"/>
            </w:tcBorders>
            <w:gridSpan w:val="3"/>
            <w:shd w:val="clear" w:color="auto" w:fill="CCFFCC"/>
          </w:tcPr>
          <w:p>
            <w:pPr>
              <w:spacing w:after="0"/>
              <w:rPr>
                <w:sz w:val="20"/>
                <w:szCs w:val="20"/>
                <w:color w:val="auto"/>
              </w:rPr>
            </w:pPr>
            <w:r>
              <w:rPr>
                <w:rFonts w:ascii="Arial" w:cs="Arial" w:eastAsia="Arial" w:hAnsi="Arial"/>
                <w:sz w:val="18"/>
                <w:szCs w:val="18"/>
                <w:color w:val="auto"/>
              </w:rPr>
              <w:t>Provision for doubtful debtors</w:t>
            </w:r>
          </w:p>
        </w:tc>
        <w:tc>
          <w:tcPr>
            <w:tcW w:w="920" w:type="dxa"/>
            <w:vAlign w:val="bottom"/>
            <w:tcBorders>
              <w:bottom w:val="single" w:sz="8" w:color="CCFFCC"/>
            </w:tcBorders>
            <w:shd w:val="clear" w:color="auto" w:fill="CCFFCC"/>
          </w:tcPr>
          <w:p>
            <w:pPr>
              <w:spacing w:after="0"/>
              <w:rPr>
                <w:sz w:val="23"/>
                <w:szCs w:val="23"/>
                <w:color w:val="auto"/>
              </w:rPr>
            </w:pPr>
          </w:p>
        </w:tc>
        <w:tc>
          <w:tcPr>
            <w:tcW w:w="680" w:type="dxa"/>
            <w:vAlign w:val="bottom"/>
            <w:tcBorders>
              <w:bottom w:val="single" w:sz="8" w:color="CCFFCC"/>
            </w:tcBorders>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0</w:t>
            </w:r>
          </w:p>
        </w:tc>
        <w:tc>
          <w:tcPr>
            <w:tcW w:w="148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(29)</w:t>
            </w:r>
          </w:p>
        </w:tc>
      </w:tr>
      <w:tr>
        <w:trPr>
          <w:trHeight w:val="264"/>
        </w:trPr>
        <w:tc>
          <w:tcPr>
            <w:tcW w:w="8340" w:type="dxa"/>
            <w:vAlign w:val="bottom"/>
            <w:tcBorders>
              <w:top w:val="single" w:sz="8" w:color="CCFFCC"/>
            </w:tcBorders>
            <w:gridSpan w:val="3"/>
          </w:tcPr>
          <w:p>
            <w:pPr>
              <w:spacing w:after="0"/>
              <w:rPr>
                <w:sz w:val="22"/>
                <w:szCs w:val="22"/>
                <w:color w:val="auto"/>
              </w:rPr>
            </w:pPr>
          </w:p>
        </w:tc>
        <w:tc>
          <w:tcPr>
            <w:tcW w:w="920" w:type="dxa"/>
            <w:vAlign w:val="bottom"/>
            <w:tcBorders>
              <w:top w:val="single" w:sz="8" w:color="auto"/>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1,101</w:t>
            </w:r>
          </w:p>
        </w:tc>
        <w:tc>
          <w:tcPr>
            <w:tcW w:w="220" w:type="dxa"/>
            <w:vAlign w:val="bottom"/>
            <w:tcBorders>
              <w:top w:val="single" w:sz="8" w:color="CCFFCC"/>
            </w:tcBorders>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650</w:t>
            </w:r>
          </w:p>
        </w:tc>
        <w:tc>
          <w:tcPr>
            <w:tcW w:w="100" w:type="dxa"/>
            <w:vAlign w:val="bottom"/>
            <w:tcBorders>
              <w:top w:val="single" w:sz="8" w:color="CCFFCC"/>
            </w:tcBorders>
          </w:tcPr>
          <w:p>
            <w:pPr>
              <w:spacing w:after="0"/>
              <w:rPr>
                <w:sz w:val="22"/>
                <w:szCs w:val="22"/>
                <w:color w:val="auto"/>
              </w:rPr>
            </w:pPr>
          </w:p>
        </w:tc>
      </w:tr>
      <w:tr>
        <w:trPr>
          <w:trHeight w:val="261"/>
        </w:trPr>
        <w:tc>
          <w:tcPr>
            <w:tcW w:w="8340" w:type="dxa"/>
            <w:vAlign w:val="bottom"/>
            <w:gridSpan w:val="3"/>
          </w:tcPr>
          <w:p>
            <w:pPr>
              <w:spacing w:after="0"/>
              <w:rPr>
                <w:sz w:val="20"/>
                <w:szCs w:val="20"/>
                <w:color w:val="auto"/>
              </w:rPr>
            </w:pPr>
            <w:r>
              <w:rPr>
                <w:rFonts w:ascii="Arial" w:cs="Arial" w:eastAsia="Arial" w:hAnsi="Arial"/>
                <w:sz w:val="22"/>
                <w:szCs w:val="22"/>
                <w:b w:val="1"/>
                <w:bCs w:val="1"/>
                <w:color w:val="auto"/>
              </w:rPr>
              <w:t>Note 6 - VAT receivable</w:t>
            </w:r>
          </w:p>
        </w:tc>
        <w:tc>
          <w:tcPr>
            <w:tcW w:w="9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r>
    </w:tbl>
    <w:p>
      <w:pPr>
        <w:spacing w:after="0" w:line="25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up to k$868 of VAT receivable is explained by the complication of ground procedure of VAT reimbursement, accounting to the prolongation of this process in time.</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 Related Party Transactions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20" w:type="dxa"/>
            <w:vAlign w:val="bottom"/>
            <w:gridSpan w:val="2"/>
          </w:tcPr>
          <w:p>
            <w:pPr>
              <w:ind w:left="500"/>
              <w:spacing w:after="0"/>
              <w:rPr>
                <w:sz w:val="20"/>
                <w:szCs w:val="20"/>
                <w:color w:val="auto"/>
              </w:rPr>
            </w:pPr>
            <w:r>
              <w:rPr>
                <w:rFonts w:ascii="Arial" w:cs="Arial" w:eastAsia="Arial" w:hAnsi="Arial"/>
                <w:sz w:val="18"/>
                <w:szCs w:val="18"/>
                <w:b w:val="1"/>
                <w:bCs w:val="1"/>
                <w:i w:val="1"/>
                <w:iCs w:val="1"/>
                <w:color w:val="auto"/>
              </w:rPr>
              <w:t>(a) Amounts due from related parties</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24"/>
        </w:trPr>
        <w:tc>
          <w:tcPr>
            <w:tcW w:w="93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2006</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4"/>
                <w:szCs w:val="24"/>
                <w:color w:val="auto"/>
              </w:rPr>
            </w:pPr>
          </w:p>
        </w:tc>
      </w:tr>
      <w:tr>
        <w:trPr>
          <w:trHeight w:val="237"/>
        </w:trPr>
        <w:tc>
          <w:tcPr>
            <w:tcW w:w="834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9320" w:type="dxa"/>
            <w:vAlign w:val="bottom"/>
            <w:gridSpan w:val="2"/>
            <w:shd w:val="clear" w:color="auto" w:fill="CCFFCC"/>
          </w:tcPr>
          <w:p>
            <w:pPr>
              <w:jc w:val="right"/>
              <w:ind w:right="7290"/>
              <w:spacing w:after="0"/>
              <w:rPr>
                <w:sz w:val="20"/>
                <w:szCs w:val="20"/>
                <w:color w:val="auto"/>
              </w:rPr>
            </w:pPr>
            <w:r>
              <w:rPr>
                <w:rFonts w:ascii="Arial" w:cs="Arial" w:eastAsia="Arial" w:hAnsi="Arial"/>
                <w:sz w:val="18"/>
                <w:szCs w:val="18"/>
                <w:color w:val="auto"/>
                <w:w w:val="90"/>
              </w:rPr>
              <w:t>Frequency Electronics, Inc</w:t>
            </w:r>
          </w:p>
        </w:tc>
        <w:tc>
          <w:tcPr>
            <w:tcW w:w="6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85</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39</w:t>
            </w:r>
          </w:p>
        </w:tc>
      </w:tr>
      <w:tr>
        <w:trPr>
          <w:trHeight w:val="270"/>
        </w:trPr>
        <w:tc>
          <w:tcPr>
            <w:tcW w:w="8340" w:type="dxa"/>
            <w:vAlign w:val="bottom"/>
          </w:tcPr>
          <w:p>
            <w:pPr>
              <w:spacing w:after="0"/>
              <w:rPr>
                <w:sz w:val="23"/>
                <w:szCs w:val="23"/>
                <w:color w:val="auto"/>
              </w:rPr>
            </w:pPr>
          </w:p>
        </w:tc>
        <w:tc>
          <w:tcPr>
            <w:tcW w:w="98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w:t>
            </w:r>
          </w:p>
        </w:tc>
        <w:tc>
          <w:tcPr>
            <w:tcW w:w="220" w:type="dxa"/>
            <w:vAlign w:val="bottom"/>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39</w:t>
            </w:r>
          </w:p>
        </w:tc>
        <w:tc>
          <w:tcPr>
            <w:tcW w:w="100" w:type="dxa"/>
            <w:vAlign w:val="bottom"/>
          </w:tcPr>
          <w:p>
            <w:pPr>
              <w:spacing w:after="0"/>
              <w:rPr>
                <w:sz w:val="23"/>
                <w:szCs w:val="23"/>
                <w:color w:val="auto"/>
              </w:rPr>
            </w:pPr>
          </w:p>
        </w:tc>
      </w:tr>
      <w:tr>
        <w:trPr>
          <w:trHeight w:val="480"/>
        </w:trPr>
        <w:tc>
          <w:tcPr>
            <w:tcW w:w="9320" w:type="dxa"/>
            <w:vAlign w:val="bottom"/>
            <w:gridSpan w:val="2"/>
          </w:tcPr>
          <w:p>
            <w:pPr>
              <w:ind w:left="500"/>
              <w:spacing w:after="0"/>
              <w:rPr>
                <w:sz w:val="20"/>
                <w:szCs w:val="20"/>
                <w:color w:val="auto"/>
              </w:rPr>
            </w:pPr>
            <w:r>
              <w:rPr>
                <w:rFonts w:ascii="Arial" w:cs="Arial" w:eastAsia="Arial" w:hAnsi="Arial"/>
                <w:sz w:val="18"/>
                <w:szCs w:val="18"/>
                <w:b w:val="1"/>
                <w:bCs w:val="1"/>
                <w:i w:val="1"/>
                <w:iCs w:val="1"/>
                <w:color w:val="auto"/>
              </w:rPr>
              <w:t>(b) Amounts due to related parties</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40"/>
        </w:trPr>
        <w:tc>
          <w:tcPr>
            <w:tcW w:w="93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2006</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4"/>
                <w:szCs w:val="24"/>
                <w:color w:val="auto"/>
              </w:rPr>
            </w:pPr>
          </w:p>
        </w:tc>
      </w:tr>
      <w:tr>
        <w:trPr>
          <w:trHeight w:val="237"/>
        </w:trPr>
        <w:tc>
          <w:tcPr>
            <w:tcW w:w="834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9320" w:type="dxa"/>
            <w:vAlign w:val="bottom"/>
            <w:gridSpan w:val="2"/>
            <w:shd w:val="clear" w:color="auto" w:fill="CCFFCC"/>
          </w:tcPr>
          <w:p>
            <w:pPr>
              <w:jc w:val="right"/>
              <w:ind w:right="7290"/>
              <w:spacing w:after="0"/>
              <w:rPr>
                <w:sz w:val="20"/>
                <w:szCs w:val="20"/>
                <w:color w:val="auto"/>
              </w:rPr>
            </w:pPr>
            <w:r>
              <w:rPr>
                <w:rFonts w:ascii="Arial" w:cs="Arial" w:eastAsia="Arial" w:hAnsi="Arial"/>
                <w:sz w:val="18"/>
                <w:szCs w:val="18"/>
                <w:color w:val="auto"/>
                <w:w w:val="90"/>
              </w:rPr>
              <w:t>Frequency Electronics, Inc</w:t>
            </w:r>
          </w:p>
        </w:tc>
        <w:tc>
          <w:tcPr>
            <w:tcW w:w="6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143</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223</w:t>
            </w:r>
          </w:p>
        </w:tc>
      </w:tr>
      <w:tr>
        <w:trPr>
          <w:trHeight w:val="270"/>
        </w:trPr>
        <w:tc>
          <w:tcPr>
            <w:tcW w:w="9320" w:type="dxa"/>
            <w:vAlign w:val="bottom"/>
            <w:gridSpan w:val="2"/>
          </w:tcPr>
          <w:p>
            <w:pPr>
              <w:jc w:val="right"/>
              <w:ind w:right="790"/>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143</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223</w:t>
            </w:r>
          </w:p>
        </w:tc>
      </w:tr>
      <w:tr>
        <w:trPr>
          <w:trHeight w:val="453"/>
        </w:trPr>
        <w:tc>
          <w:tcPr>
            <w:tcW w:w="8340" w:type="dxa"/>
            <w:vAlign w:val="bottom"/>
          </w:tcPr>
          <w:p>
            <w:pPr>
              <w:jc w:val="right"/>
              <w:ind w:right="2450"/>
              <w:spacing w:after="0"/>
              <w:rPr>
                <w:sz w:val="20"/>
                <w:szCs w:val="20"/>
                <w:color w:val="auto"/>
              </w:rPr>
            </w:pPr>
            <w:r>
              <w:rPr>
                <w:rFonts w:ascii="Arial" w:cs="Arial" w:eastAsia="Arial" w:hAnsi="Arial"/>
                <w:sz w:val="18"/>
                <w:szCs w:val="18"/>
                <w:color w:val="auto"/>
              </w:rPr>
              <w:t>10</w:t>
            </w:r>
          </w:p>
        </w:tc>
        <w:tc>
          <w:tcPr>
            <w:tcW w:w="9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834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OAO Morion</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at December 31, 2006 and 2005</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for the Years ended December 31, 2006 and 2005</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 thousands of U.S. dollars - where applicable)</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40" w:type="dxa"/>
            <w:vAlign w:val="bottom"/>
            <w:gridSpan w:val="8"/>
          </w:tcPr>
          <w:p>
            <w:pPr>
              <w:spacing w:after="0"/>
              <w:rPr>
                <w:sz w:val="20"/>
                <w:szCs w:val="20"/>
                <w:color w:val="auto"/>
              </w:rPr>
            </w:pPr>
            <w:r>
              <w:rPr>
                <w:rFonts w:ascii="Arial" w:cs="Arial" w:eastAsia="Arial" w:hAnsi="Arial"/>
                <w:sz w:val="18"/>
                <w:szCs w:val="18"/>
                <w:b w:val="1"/>
                <w:bCs w:val="1"/>
                <w:color w:val="auto"/>
              </w:rPr>
              <w:t>Note 8 - Inventory</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9240" w:type="dxa"/>
            <w:vAlign w:val="bottom"/>
            <w:gridSpan w:val="8"/>
          </w:tcPr>
          <w:p>
            <w:pPr>
              <w:spacing w:after="0"/>
              <w:rPr>
                <w:sz w:val="20"/>
                <w:szCs w:val="20"/>
                <w:color w:val="auto"/>
              </w:rPr>
            </w:pPr>
            <w:r>
              <w:rPr>
                <w:rFonts w:ascii="Arial" w:cs="Arial" w:eastAsia="Arial" w:hAnsi="Arial"/>
                <w:sz w:val="18"/>
                <w:szCs w:val="18"/>
                <w:color w:val="auto"/>
              </w:rPr>
              <w:t>Inventory carried at lowest of cost or by FIFO method at December 31, 2006 and 2005 consists of the following:</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980" w:type="dxa"/>
            <w:vAlign w:val="bottom"/>
            <w:gridSpan w:val="5"/>
          </w:tcPr>
          <w:p>
            <w:pPr>
              <w:jc w:val="right"/>
              <w:spacing w:after="0"/>
              <w:rPr>
                <w:sz w:val="20"/>
                <w:szCs w:val="20"/>
                <w:color w:val="auto"/>
              </w:rPr>
            </w:pPr>
            <w:r>
              <w:rPr>
                <w:rFonts w:ascii="Arial" w:cs="Arial" w:eastAsia="Arial" w:hAnsi="Arial"/>
                <w:sz w:val="18"/>
                <w:szCs w:val="18"/>
                <w:b w:val="1"/>
                <w:bCs w:val="1"/>
                <w:color w:val="auto"/>
              </w:rPr>
              <w:t>2006</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60" w:type="dxa"/>
            <w:vAlign w:val="bottom"/>
            <w:gridSpan w:val="3"/>
            <w:shd w:val="clear" w:color="auto" w:fill="CCFFCC"/>
          </w:tcPr>
          <w:p>
            <w:pPr>
              <w:spacing w:after="0"/>
              <w:rPr>
                <w:sz w:val="20"/>
                <w:szCs w:val="20"/>
                <w:color w:val="auto"/>
              </w:rPr>
            </w:pPr>
            <w:r>
              <w:rPr>
                <w:rFonts w:ascii="Arial" w:cs="Arial" w:eastAsia="Arial" w:hAnsi="Arial"/>
                <w:sz w:val="18"/>
                <w:szCs w:val="18"/>
                <w:color w:val="auto"/>
                <w:w w:val="98"/>
              </w:rPr>
              <w:t>Finished Goods</w:t>
            </w:r>
          </w:p>
        </w:tc>
        <w:tc>
          <w:tcPr>
            <w:tcW w:w="340" w:type="dxa"/>
            <w:vAlign w:val="bottom"/>
            <w:shd w:val="clear" w:color="auto" w:fill="CCFFCC"/>
          </w:tcPr>
          <w:p>
            <w:pPr>
              <w:spacing w:after="0"/>
              <w:rPr>
                <w:sz w:val="21"/>
                <w:szCs w:val="21"/>
                <w:color w:val="auto"/>
              </w:rPr>
            </w:pPr>
          </w:p>
        </w:tc>
        <w:tc>
          <w:tcPr>
            <w:tcW w:w="1580" w:type="dxa"/>
            <w:vAlign w:val="bottom"/>
            <w:shd w:val="clear" w:color="auto" w:fill="CCFFCC"/>
          </w:tcPr>
          <w:p>
            <w:pPr>
              <w:spacing w:after="0"/>
              <w:rPr>
                <w:sz w:val="21"/>
                <w:szCs w:val="21"/>
                <w:color w:val="auto"/>
              </w:rPr>
            </w:pPr>
          </w:p>
        </w:tc>
        <w:tc>
          <w:tcPr>
            <w:tcW w:w="494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536</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43"/>
        </w:trPr>
        <w:tc>
          <w:tcPr>
            <w:tcW w:w="1260" w:type="dxa"/>
            <w:vAlign w:val="bottom"/>
            <w:gridSpan w:val="3"/>
          </w:tcPr>
          <w:p>
            <w:pPr>
              <w:spacing w:after="0"/>
              <w:rPr>
                <w:sz w:val="20"/>
                <w:szCs w:val="20"/>
                <w:color w:val="auto"/>
              </w:rPr>
            </w:pPr>
            <w:r>
              <w:rPr>
                <w:rFonts w:ascii="Arial" w:cs="Arial" w:eastAsia="Arial" w:hAnsi="Arial"/>
                <w:sz w:val="18"/>
                <w:szCs w:val="18"/>
                <w:color w:val="auto"/>
                <w:w w:val="89"/>
              </w:rPr>
              <w:t>Work in Progress</w:t>
            </w:r>
          </w:p>
        </w:tc>
        <w:tc>
          <w:tcPr>
            <w:tcW w:w="3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1,085</w:t>
            </w: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75"/>
        </w:trPr>
        <w:tc>
          <w:tcPr>
            <w:tcW w:w="1260" w:type="dxa"/>
            <w:vAlign w:val="bottom"/>
            <w:tcBorders>
              <w:bottom w:val="single" w:sz="8" w:color="CCFFCC"/>
            </w:tcBorders>
            <w:gridSpan w:val="3"/>
            <w:shd w:val="clear" w:color="auto" w:fill="CCFFCC"/>
          </w:tcPr>
          <w:p>
            <w:pPr>
              <w:spacing w:after="0"/>
              <w:rPr>
                <w:sz w:val="20"/>
                <w:szCs w:val="20"/>
                <w:color w:val="auto"/>
              </w:rPr>
            </w:pPr>
            <w:r>
              <w:rPr>
                <w:rFonts w:ascii="Arial" w:cs="Arial" w:eastAsia="Arial" w:hAnsi="Arial"/>
                <w:sz w:val="18"/>
                <w:szCs w:val="18"/>
                <w:color w:val="auto"/>
              </w:rPr>
              <w:t>Raw Materials</w:t>
            </w:r>
          </w:p>
        </w:tc>
        <w:tc>
          <w:tcPr>
            <w:tcW w:w="340" w:type="dxa"/>
            <w:vAlign w:val="bottom"/>
            <w:tcBorders>
              <w:bottom w:val="single" w:sz="8" w:color="CCFFCC"/>
            </w:tcBorders>
            <w:shd w:val="clear" w:color="auto" w:fill="CCFFCC"/>
          </w:tcPr>
          <w:p>
            <w:pPr>
              <w:spacing w:after="0"/>
              <w:rPr>
                <w:sz w:val="23"/>
                <w:szCs w:val="23"/>
                <w:color w:val="auto"/>
              </w:rPr>
            </w:pPr>
          </w:p>
        </w:tc>
        <w:tc>
          <w:tcPr>
            <w:tcW w:w="1580" w:type="dxa"/>
            <w:vAlign w:val="bottom"/>
            <w:tcBorders>
              <w:bottom w:val="single" w:sz="8" w:color="CCFFCC"/>
            </w:tcBorders>
            <w:shd w:val="clear" w:color="auto" w:fill="CCFFCC"/>
          </w:tcPr>
          <w:p>
            <w:pPr>
              <w:spacing w:after="0"/>
              <w:rPr>
                <w:sz w:val="23"/>
                <w:szCs w:val="23"/>
                <w:color w:val="auto"/>
              </w:rPr>
            </w:pPr>
          </w:p>
        </w:tc>
        <w:tc>
          <w:tcPr>
            <w:tcW w:w="4940" w:type="dxa"/>
            <w:vAlign w:val="bottom"/>
            <w:tcBorders>
              <w:bottom w:val="single" w:sz="8" w:color="CCFFCC"/>
            </w:tcBorders>
            <w:shd w:val="clear" w:color="auto" w:fill="CCFFCC"/>
          </w:tcPr>
          <w:p>
            <w:pPr>
              <w:spacing w:after="0"/>
              <w:rPr>
                <w:sz w:val="23"/>
                <w:szCs w:val="23"/>
                <w:color w:val="auto"/>
              </w:rPr>
            </w:pPr>
          </w:p>
        </w:tc>
        <w:tc>
          <w:tcPr>
            <w:tcW w:w="220" w:type="dxa"/>
            <w:vAlign w:val="bottom"/>
            <w:tcBorders>
              <w:bottom w:val="single" w:sz="8" w:color="CCFFCC"/>
            </w:tcBorders>
            <w:shd w:val="clear" w:color="auto" w:fill="CCFFCC"/>
          </w:tcPr>
          <w:p>
            <w:pPr>
              <w:spacing w:after="0"/>
              <w:rPr>
                <w:sz w:val="23"/>
                <w:szCs w:val="23"/>
                <w:color w:val="auto"/>
              </w:rPr>
            </w:pPr>
          </w:p>
        </w:tc>
        <w:tc>
          <w:tcPr>
            <w:tcW w:w="900" w:type="dxa"/>
            <w:vAlign w:val="bottom"/>
            <w:tcBorders>
              <w:bottom w:val="single" w:sz="8" w:color="CCFFCC"/>
            </w:tcBorders>
            <w:shd w:val="clear" w:color="auto" w:fill="CCFFCC"/>
          </w:tcPr>
          <w:p>
            <w:pPr>
              <w:spacing w:after="0"/>
              <w:rPr>
                <w:sz w:val="23"/>
                <w:szCs w:val="23"/>
                <w:color w:val="auto"/>
              </w:rPr>
            </w:pPr>
          </w:p>
        </w:tc>
        <w:tc>
          <w:tcPr>
            <w:tcW w:w="4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944</w:t>
            </w:r>
          </w:p>
        </w:tc>
        <w:tc>
          <w:tcPr>
            <w:tcW w:w="220" w:type="dxa"/>
            <w:vAlign w:val="bottom"/>
            <w:tcBorders>
              <w:bottom w:val="single" w:sz="8" w:color="CCFFCC"/>
            </w:tcBorders>
            <w:shd w:val="clear" w:color="auto" w:fill="CCFFCC"/>
          </w:tcPr>
          <w:p>
            <w:pPr>
              <w:spacing w:after="0"/>
              <w:rPr>
                <w:sz w:val="23"/>
                <w:szCs w:val="23"/>
                <w:color w:val="auto"/>
              </w:rPr>
            </w:pPr>
          </w:p>
        </w:tc>
        <w:tc>
          <w:tcPr>
            <w:tcW w:w="14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196"/>
        </w:trPr>
        <w:tc>
          <w:tcPr>
            <w:tcW w:w="8340" w:type="dxa"/>
            <w:vAlign w:val="bottom"/>
            <w:tcBorders>
              <w:top w:val="single" w:sz="8" w:color="CCFFCC"/>
            </w:tcBorders>
            <w:gridSpan w:val="7"/>
          </w:tcPr>
          <w:p>
            <w:pPr>
              <w:ind w:left="500"/>
              <w:spacing w:after="0" w:line="196" w:lineRule="exact"/>
              <w:rPr>
                <w:sz w:val="20"/>
                <w:szCs w:val="20"/>
                <w:color w:val="auto"/>
              </w:rPr>
            </w:pPr>
            <w:r>
              <w:rPr>
                <w:rFonts w:ascii="Arial" w:cs="Arial" w:eastAsia="Arial" w:hAnsi="Arial"/>
                <w:sz w:val="18"/>
                <w:szCs w:val="18"/>
                <w:color w:val="auto"/>
              </w:rPr>
              <w:t>Total inventory</w:t>
            </w:r>
          </w:p>
        </w:tc>
        <w:tc>
          <w:tcPr>
            <w:tcW w:w="9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auto"/>
              </w:rPr>
              <w:t>2,565</w:t>
            </w:r>
          </w:p>
        </w:tc>
        <w:tc>
          <w:tcPr>
            <w:tcW w:w="220" w:type="dxa"/>
            <w:vAlign w:val="bottom"/>
            <w:tcBorders>
              <w:top w:val="single" w:sz="8" w:color="CCFFCC"/>
            </w:tcBorders>
          </w:tcPr>
          <w:p>
            <w:pPr>
              <w:spacing w:after="0"/>
              <w:rPr>
                <w:sz w:val="17"/>
                <w:szCs w:val="17"/>
                <w:color w:val="auto"/>
              </w:rPr>
            </w:pPr>
          </w:p>
        </w:tc>
        <w:tc>
          <w:tcPr>
            <w:tcW w:w="13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auto"/>
              </w:rPr>
              <w:t>1,878</w:t>
            </w:r>
          </w:p>
        </w:tc>
        <w:tc>
          <w:tcPr>
            <w:tcW w:w="100" w:type="dxa"/>
            <w:vAlign w:val="bottom"/>
            <w:tcBorders>
              <w:top w:val="single" w:sz="8" w:color="CCFFCC"/>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0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8340" w:type="dxa"/>
            <w:vAlign w:val="bottom"/>
            <w:tcBorders>
              <w:bottom w:val="single" w:sz="8" w:color="CCFFCC"/>
            </w:tcBorders>
            <w:gridSpan w:val="7"/>
            <w:shd w:val="clear" w:color="auto" w:fill="CCFFCC"/>
          </w:tcPr>
          <w:p>
            <w:pPr>
              <w:spacing w:after="0"/>
              <w:rPr>
                <w:sz w:val="20"/>
                <w:szCs w:val="20"/>
                <w:color w:val="auto"/>
              </w:rPr>
            </w:pPr>
            <w:r>
              <w:rPr>
                <w:rFonts w:ascii="Arial" w:cs="Arial" w:eastAsia="Arial" w:hAnsi="Arial"/>
                <w:sz w:val="18"/>
                <w:szCs w:val="18"/>
                <w:color w:val="auto"/>
              </w:rPr>
              <w:t>Provision for stock obsolescence</w:t>
            </w:r>
          </w:p>
        </w:tc>
        <w:tc>
          <w:tcPr>
            <w:tcW w:w="900" w:type="dxa"/>
            <w:vAlign w:val="bottom"/>
            <w:tcBorders>
              <w:bottom w:val="single" w:sz="8" w:color="CCFFCC"/>
            </w:tcBorders>
            <w:shd w:val="clear" w:color="auto" w:fill="CCFFCC"/>
          </w:tcPr>
          <w:p>
            <w:pPr>
              <w:spacing w:after="0"/>
              <w:rPr>
                <w:sz w:val="23"/>
                <w:szCs w:val="23"/>
                <w:color w:val="auto"/>
              </w:rPr>
            </w:pPr>
          </w:p>
        </w:tc>
        <w:tc>
          <w:tcPr>
            <w:tcW w:w="7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rPr>
              <w:t>(2)</w:t>
            </w:r>
          </w:p>
        </w:tc>
        <w:tc>
          <w:tcPr>
            <w:tcW w:w="148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4"/>
        </w:trPr>
        <w:tc>
          <w:tcPr>
            <w:tcW w:w="500" w:type="dxa"/>
            <w:vAlign w:val="bottom"/>
            <w:tcBorders>
              <w:top w:val="single" w:sz="8" w:color="CCFFCC"/>
            </w:tcBorders>
          </w:tcPr>
          <w:p>
            <w:pPr>
              <w:spacing w:after="0"/>
              <w:rPr>
                <w:sz w:val="22"/>
                <w:szCs w:val="22"/>
                <w:color w:val="auto"/>
              </w:rPr>
            </w:pPr>
          </w:p>
        </w:tc>
        <w:tc>
          <w:tcPr>
            <w:tcW w:w="600" w:type="dxa"/>
            <w:vAlign w:val="bottom"/>
            <w:tcBorders>
              <w:top w:val="single" w:sz="8" w:color="CCFFCC"/>
            </w:tcBorders>
          </w:tcPr>
          <w:p>
            <w:pPr>
              <w:spacing w:after="0"/>
              <w:rPr>
                <w:sz w:val="22"/>
                <w:szCs w:val="22"/>
                <w:color w:val="auto"/>
              </w:rPr>
            </w:pPr>
          </w:p>
        </w:tc>
        <w:tc>
          <w:tcPr>
            <w:tcW w:w="160" w:type="dxa"/>
            <w:vAlign w:val="bottom"/>
            <w:tcBorders>
              <w:top w:val="single" w:sz="8" w:color="CCFFCC"/>
            </w:tcBorders>
          </w:tcPr>
          <w:p>
            <w:pPr>
              <w:spacing w:after="0"/>
              <w:rPr>
                <w:sz w:val="22"/>
                <w:szCs w:val="22"/>
                <w:color w:val="auto"/>
              </w:rPr>
            </w:pPr>
          </w:p>
        </w:tc>
        <w:tc>
          <w:tcPr>
            <w:tcW w:w="7080" w:type="dxa"/>
            <w:vAlign w:val="bottom"/>
            <w:tcBorders>
              <w:top w:val="single" w:sz="8" w:color="CCFFCC"/>
            </w:tcBorders>
            <w:gridSpan w:val="4"/>
          </w:tcPr>
          <w:p>
            <w:pPr>
              <w:spacing w:after="0"/>
              <w:rPr>
                <w:sz w:val="22"/>
                <w:szCs w:val="22"/>
                <w:color w:val="auto"/>
              </w:rPr>
            </w:pPr>
          </w:p>
        </w:tc>
        <w:tc>
          <w:tcPr>
            <w:tcW w:w="900" w:type="dxa"/>
            <w:vAlign w:val="bottom"/>
            <w:tcBorders>
              <w:top w:val="single" w:sz="8" w:color="auto"/>
              <w:bottom w:val="single" w:sz="8" w:color="auto"/>
            </w:tcBorders>
          </w:tcPr>
          <w:p>
            <w:pPr>
              <w:jc w:val="right"/>
              <w:ind w:right="713"/>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2,563</w:t>
            </w:r>
          </w:p>
        </w:tc>
        <w:tc>
          <w:tcPr>
            <w:tcW w:w="220" w:type="dxa"/>
            <w:vAlign w:val="bottom"/>
            <w:tcBorders>
              <w:top w:val="single" w:sz="8" w:color="CCFFCC"/>
            </w:tcBorders>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1,876</w:t>
            </w:r>
          </w:p>
        </w:tc>
        <w:tc>
          <w:tcPr>
            <w:tcW w:w="100" w:type="dxa"/>
            <w:vAlign w:val="bottom"/>
            <w:tcBorders>
              <w:top w:val="single" w:sz="8" w:color="CCFFCC"/>
            </w:tcBorders>
          </w:tcPr>
          <w:p>
            <w:pPr>
              <w:spacing w:after="0"/>
              <w:rPr>
                <w:sz w:val="22"/>
                <w:szCs w:val="22"/>
                <w:color w:val="auto"/>
              </w:rPr>
            </w:pPr>
          </w:p>
        </w:tc>
        <w:tc>
          <w:tcPr>
            <w:tcW w:w="0" w:type="dxa"/>
            <w:vAlign w:val="bottom"/>
          </w:tcPr>
          <w:p>
            <w:pPr>
              <w:spacing w:after="0"/>
              <w:rPr>
                <w:sz w:val="1"/>
                <w:szCs w:val="1"/>
                <w:color w:val="auto"/>
              </w:rPr>
            </w:pPr>
          </w:p>
        </w:tc>
      </w:tr>
      <w:tr>
        <w:trPr>
          <w:trHeight w:val="519"/>
        </w:trPr>
        <w:tc>
          <w:tcPr>
            <w:tcW w:w="1260" w:type="dxa"/>
            <w:vAlign w:val="bottom"/>
            <w:gridSpan w:val="3"/>
          </w:tcPr>
          <w:p>
            <w:pPr>
              <w:spacing w:after="0"/>
              <w:rPr>
                <w:sz w:val="20"/>
                <w:szCs w:val="20"/>
                <w:color w:val="auto"/>
              </w:rPr>
            </w:pPr>
            <w:r>
              <w:rPr>
                <w:rFonts w:ascii="Arial" w:cs="Arial" w:eastAsia="Arial" w:hAnsi="Arial"/>
                <w:sz w:val="22"/>
                <w:szCs w:val="22"/>
                <w:b w:val="1"/>
                <w:bCs w:val="1"/>
                <w:color w:val="auto"/>
              </w:rPr>
              <w:t>Note 9 -</w:t>
            </w:r>
          </w:p>
        </w:tc>
        <w:tc>
          <w:tcPr>
            <w:tcW w:w="7980" w:type="dxa"/>
            <w:vAlign w:val="bottom"/>
            <w:gridSpan w:val="5"/>
          </w:tcPr>
          <w:p>
            <w:pPr>
              <w:jc w:val="right"/>
              <w:ind w:right="6373"/>
              <w:spacing w:after="0"/>
              <w:rPr>
                <w:sz w:val="20"/>
                <w:szCs w:val="20"/>
                <w:color w:val="auto"/>
              </w:rPr>
            </w:pPr>
            <w:r>
              <w:rPr>
                <w:rFonts w:ascii="Arial" w:cs="Arial" w:eastAsia="Arial" w:hAnsi="Arial"/>
                <w:sz w:val="22"/>
                <w:szCs w:val="22"/>
                <w:b w:val="1"/>
                <w:bCs w:val="1"/>
                <w:color w:val="auto"/>
                <w:w w:val="85"/>
              </w:rPr>
              <w:t>Taxes receivable</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240" w:type="dxa"/>
            <w:vAlign w:val="bottom"/>
            <w:gridSpan w:val="8"/>
          </w:tcPr>
          <w:p>
            <w:pPr>
              <w:spacing w:after="0"/>
              <w:rPr>
                <w:sz w:val="20"/>
                <w:szCs w:val="20"/>
                <w:color w:val="auto"/>
              </w:rPr>
            </w:pPr>
            <w:r>
              <w:rPr>
                <w:rFonts w:ascii="Arial" w:cs="Arial" w:eastAsia="Arial" w:hAnsi="Arial"/>
                <w:sz w:val="18"/>
                <w:szCs w:val="18"/>
                <w:color w:val="auto"/>
              </w:rPr>
              <w:t>The Company's taxes receivable balances at December 31, 2006 and 2005 consist of the following:</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67"/>
        </w:trPr>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980" w:type="dxa"/>
            <w:vAlign w:val="bottom"/>
            <w:gridSpan w:val="5"/>
          </w:tcPr>
          <w:p>
            <w:pPr>
              <w:jc w:val="right"/>
              <w:spacing w:after="0"/>
              <w:rPr>
                <w:sz w:val="20"/>
                <w:szCs w:val="20"/>
                <w:color w:val="auto"/>
              </w:rPr>
            </w:pPr>
            <w:r>
              <w:rPr>
                <w:rFonts w:ascii="Arial" w:cs="Arial" w:eastAsia="Arial" w:hAnsi="Arial"/>
                <w:sz w:val="18"/>
                <w:szCs w:val="18"/>
                <w:b w:val="1"/>
                <w:bCs w:val="1"/>
                <w:color w:val="auto"/>
              </w:rPr>
              <w:t>2006</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9240" w:type="dxa"/>
            <w:vAlign w:val="bottom"/>
            <w:gridSpan w:val="8"/>
            <w:shd w:val="clear" w:color="auto" w:fill="CCFFCC"/>
          </w:tcPr>
          <w:p>
            <w:pPr>
              <w:spacing w:after="0"/>
              <w:rPr>
                <w:sz w:val="20"/>
                <w:szCs w:val="20"/>
                <w:color w:val="auto"/>
              </w:rPr>
            </w:pPr>
            <w:r>
              <w:rPr>
                <w:rFonts w:ascii="Arial" w:cs="Arial" w:eastAsia="Arial" w:hAnsi="Arial"/>
                <w:sz w:val="18"/>
                <w:szCs w:val="18"/>
                <w:color w:val="auto"/>
              </w:rPr>
              <w:t>Current profit tax receivable</w:t>
            </w:r>
          </w:p>
        </w:tc>
        <w:tc>
          <w:tcPr>
            <w:tcW w:w="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176</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0"/>
        </w:trPr>
        <w:tc>
          <w:tcPr>
            <w:tcW w:w="8340" w:type="dxa"/>
            <w:vAlign w:val="bottom"/>
            <w:gridSpan w:val="7"/>
          </w:tcPr>
          <w:p>
            <w:pPr>
              <w:spacing w:after="0"/>
              <w:rPr>
                <w:sz w:val="20"/>
                <w:szCs w:val="20"/>
                <w:color w:val="auto"/>
              </w:rPr>
            </w:pPr>
            <w:r>
              <w:rPr>
                <w:rFonts w:ascii="Arial" w:cs="Arial" w:eastAsia="Arial" w:hAnsi="Arial"/>
                <w:sz w:val="18"/>
                <w:szCs w:val="18"/>
                <w:color w:val="auto"/>
              </w:rPr>
              <w:t>Other taxes receivable</w:t>
            </w:r>
          </w:p>
        </w:tc>
        <w:tc>
          <w:tcPr>
            <w:tcW w:w="90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500" w:type="dxa"/>
            <w:vAlign w:val="bottom"/>
            <w:tcBorders>
              <w:bottom w:val="single" w:sz="8" w:color="CCFFCC"/>
            </w:tcBorders>
            <w:shd w:val="clear" w:color="auto" w:fill="CCFFCC"/>
          </w:tcPr>
          <w:p>
            <w:pPr>
              <w:spacing w:after="0"/>
              <w:rPr>
                <w:sz w:val="22"/>
                <w:szCs w:val="22"/>
                <w:color w:val="auto"/>
              </w:rPr>
            </w:pPr>
          </w:p>
        </w:tc>
        <w:tc>
          <w:tcPr>
            <w:tcW w:w="600" w:type="dxa"/>
            <w:vAlign w:val="bottom"/>
            <w:tcBorders>
              <w:bottom w:val="single" w:sz="8" w:color="CCFFCC"/>
            </w:tcBorders>
            <w:shd w:val="clear" w:color="auto" w:fill="CCFFCC"/>
          </w:tcPr>
          <w:p>
            <w:pPr>
              <w:spacing w:after="0"/>
              <w:rPr>
                <w:sz w:val="22"/>
                <w:szCs w:val="22"/>
                <w:color w:val="auto"/>
              </w:rPr>
            </w:pPr>
          </w:p>
        </w:tc>
        <w:tc>
          <w:tcPr>
            <w:tcW w:w="160" w:type="dxa"/>
            <w:vAlign w:val="bottom"/>
            <w:tcBorders>
              <w:bottom w:val="single" w:sz="8" w:color="CCFFCC"/>
            </w:tcBorders>
            <w:shd w:val="clear" w:color="auto" w:fill="CCFFCC"/>
          </w:tcPr>
          <w:p>
            <w:pPr>
              <w:spacing w:after="0"/>
              <w:rPr>
                <w:sz w:val="22"/>
                <w:szCs w:val="22"/>
                <w:color w:val="auto"/>
              </w:rPr>
            </w:pPr>
          </w:p>
        </w:tc>
        <w:tc>
          <w:tcPr>
            <w:tcW w:w="7080" w:type="dxa"/>
            <w:vAlign w:val="bottom"/>
            <w:tcBorders>
              <w:bottom w:val="single" w:sz="8" w:color="CCFFCC"/>
            </w:tcBorders>
            <w:gridSpan w:val="4"/>
            <w:shd w:val="clear" w:color="auto" w:fill="CCFFCC"/>
          </w:tcPr>
          <w:p>
            <w:pPr>
              <w:spacing w:after="0"/>
              <w:rPr>
                <w:sz w:val="22"/>
                <w:szCs w:val="22"/>
                <w:color w:val="auto"/>
              </w:rPr>
            </w:pPr>
          </w:p>
        </w:tc>
        <w:tc>
          <w:tcPr>
            <w:tcW w:w="900" w:type="dxa"/>
            <w:vAlign w:val="bottom"/>
            <w:tcBorders>
              <w:bottom w:val="single" w:sz="8" w:color="CCFFCC"/>
            </w:tcBorders>
            <w:shd w:val="clear" w:color="auto" w:fill="CCFFCC"/>
          </w:tcPr>
          <w:p>
            <w:pPr>
              <w:jc w:val="right"/>
              <w:ind w:right="713"/>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177</w:t>
            </w:r>
          </w:p>
        </w:tc>
        <w:tc>
          <w:tcPr>
            <w:tcW w:w="220" w:type="dxa"/>
            <w:vAlign w:val="bottom"/>
            <w:tcBorders>
              <w:bottom w:val="single" w:sz="8" w:color="CCFFCC"/>
            </w:tcBorders>
            <w:shd w:val="clear" w:color="auto" w:fill="CCFFCC"/>
          </w:tcPr>
          <w:p>
            <w:pPr>
              <w:spacing w:after="0"/>
              <w:rPr>
                <w:sz w:val="22"/>
                <w:szCs w:val="22"/>
                <w:color w:val="auto"/>
              </w:rPr>
            </w:pPr>
          </w:p>
        </w:tc>
        <w:tc>
          <w:tcPr>
            <w:tcW w:w="14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0</w:t>
            </w:r>
          </w:p>
        </w:tc>
        <w:tc>
          <w:tcPr>
            <w:tcW w:w="0" w:type="dxa"/>
            <w:vAlign w:val="bottom"/>
          </w:tcPr>
          <w:p>
            <w:pPr>
              <w:spacing w:after="0"/>
              <w:rPr>
                <w:sz w:val="1"/>
                <w:szCs w:val="1"/>
                <w:color w:val="auto"/>
              </w:rPr>
            </w:pPr>
          </w:p>
        </w:tc>
      </w:tr>
      <w:tr>
        <w:trPr>
          <w:trHeight w:val="530"/>
        </w:trPr>
        <w:tc>
          <w:tcPr>
            <w:tcW w:w="8340" w:type="dxa"/>
            <w:vAlign w:val="bottom"/>
            <w:tcBorders>
              <w:top w:val="single" w:sz="8" w:color="CCFFCC"/>
            </w:tcBorders>
            <w:gridSpan w:val="7"/>
          </w:tcPr>
          <w:p>
            <w:pPr>
              <w:spacing w:after="0"/>
              <w:rPr>
                <w:sz w:val="20"/>
                <w:szCs w:val="20"/>
                <w:color w:val="auto"/>
              </w:rPr>
            </w:pPr>
            <w:r>
              <w:rPr>
                <w:rFonts w:ascii="Arial" w:cs="Arial" w:eastAsia="Arial" w:hAnsi="Arial"/>
                <w:sz w:val="22"/>
                <w:szCs w:val="22"/>
                <w:b w:val="1"/>
                <w:bCs w:val="1"/>
                <w:color w:val="auto"/>
              </w:rPr>
              <w:t>Note 10 - Property, Plant and Equipment</w:t>
            </w:r>
          </w:p>
        </w:tc>
        <w:tc>
          <w:tcPr>
            <w:tcW w:w="9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0" w:type="dxa"/>
            <w:vAlign w:val="bottom"/>
          </w:tcPr>
          <w:p>
            <w:pPr>
              <w:spacing w:after="0"/>
              <w:rPr>
                <w:sz w:val="1"/>
                <w:szCs w:val="1"/>
                <w:color w:val="auto"/>
              </w:rPr>
            </w:pPr>
          </w:p>
        </w:tc>
      </w:tr>
      <w:tr>
        <w:trPr>
          <w:trHeight w:val="490"/>
        </w:trPr>
        <w:tc>
          <w:tcPr>
            <w:tcW w:w="9240" w:type="dxa"/>
            <w:vAlign w:val="bottom"/>
            <w:gridSpan w:val="8"/>
          </w:tcPr>
          <w:p>
            <w:pPr>
              <w:spacing w:after="0"/>
              <w:rPr>
                <w:sz w:val="20"/>
                <w:szCs w:val="20"/>
                <w:color w:val="auto"/>
              </w:rPr>
            </w:pPr>
            <w:r>
              <w:rPr>
                <w:rFonts w:ascii="Arial" w:cs="Arial" w:eastAsia="Arial" w:hAnsi="Arial"/>
                <w:sz w:val="18"/>
                <w:szCs w:val="18"/>
                <w:color w:val="auto"/>
              </w:rPr>
              <w:t>Property, plant and equipment at December 31, 2006 and 2005 consist of the following:</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80" w:type="dxa"/>
            <w:vAlign w:val="bottom"/>
            <w:gridSpan w:val="4"/>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2006</w:t>
            </w:r>
          </w:p>
        </w:tc>
        <w:tc>
          <w:tcPr>
            <w:tcW w:w="4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26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Land</w:t>
            </w:r>
          </w:p>
        </w:tc>
        <w:tc>
          <w:tcPr>
            <w:tcW w:w="340" w:type="dxa"/>
            <w:vAlign w:val="bottom"/>
            <w:shd w:val="clear" w:color="auto" w:fill="CCFFCC"/>
          </w:tcPr>
          <w:p>
            <w:pPr>
              <w:spacing w:after="0"/>
              <w:rPr>
                <w:sz w:val="20"/>
                <w:szCs w:val="20"/>
                <w:color w:val="auto"/>
              </w:rPr>
            </w:pPr>
          </w:p>
        </w:tc>
        <w:tc>
          <w:tcPr>
            <w:tcW w:w="1580" w:type="dxa"/>
            <w:vAlign w:val="bottom"/>
            <w:shd w:val="clear" w:color="auto" w:fill="CCFFCC"/>
          </w:tcPr>
          <w:p>
            <w:pPr>
              <w:spacing w:after="0"/>
              <w:rPr>
                <w:sz w:val="20"/>
                <w:szCs w:val="20"/>
                <w:color w:val="auto"/>
              </w:rPr>
            </w:pPr>
          </w:p>
        </w:tc>
        <w:tc>
          <w:tcPr>
            <w:tcW w:w="494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900" w:type="dxa"/>
            <w:vAlign w:val="bottom"/>
            <w:shd w:val="clear" w:color="auto" w:fill="CCFFCC"/>
          </w:tcPr>
          <w:p>
            <w:pPr>
              <w:spacing w:after="0"/>
              <w:rPr>
                <w:sz w:val="20"/>
                <w:szCs w:val="20"/>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FFCC"/>
          </w:tcPr>
          <w:p>
            <w:pPr>
              <w:spacing w:after="0"/>
              <w:rPr>
                <w:sz w:val="20"/>
                <w:szCs w:val="20"/>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1260" w:type="dxa"/>
            <w:vAlign w:val="bottom"/>
            <w:gridSpan w:val="3"/>
          </w:tcPr>
          <w:p>
            <w:pPr>
              <w:spacing w:after="0"/>
              <w:rPr>
                <w:sz w:val="20"/>
                <w:szCs w:val="20"/>
                <w:color w:val="auto"/>
              </w:rPr>
            </w:pPr>
            <w:r>
              <w:rPr>
                <w:rFonts w:ascii="Arial" w:cs="Arial" w:eastAsia="Arial" w:hAnsi="Arial"/>
                <w:sz w:val="18"/>
                <w:szCs w:val="18"/>
                <w:color w:val="auto"/>
              </w:rPr>
              <w:t>Buildings</w:t>
            </w:r>
          </w:p>
        </w:tc>
        <w:tc>
          <w:tcPr>
            <w:tcW w:w="3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515</w:t>
            </w: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43"/>
        </w:trPr>
        <w:tc>
          <w:tcPr>
            <w:tcW w:w="126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Constructions</w:t>
            </w:r>
          </w:p>
        </w:tc>
        <w:tc>
          <w:tcPr>
            <w:tcW w:w="340" w:type="dxa"/>
            <w:vAlign w:val="bottom"/>
            <w:shd w:val="clear" w:color="auto" w:fill="CCFFCC"/>
          </w:tcPr>
          <w:p>
            <w:pPr>
              <w:spacing w:after="0"/>
              <w:rPr>
                <w:sz w:val="21"/>
                <w:szCs w:val="21"/>
                <w:color w:val="auto"/>
              </w:rPr>
            </w:pPr>
          </w:p>
        </w:tc>
        <w:tc>
          <w:tcPr>
            <w:tcW w:w="1580" w:type="dxa"/>
            <w:vAlign w:val="bottom"/>
            <w:shd w:val="clear" w:color="auto" w:fill="CCFFCC"/>
          </w:tcPr>
          <w:p>
            <w:pPr>
              <w:spacing w:after="0"/>
              <w:rPr>
                <w:sz w:val="21"/>
                <w:szCs w:val="21"/>
                <w:color w:val="auto"/>
              </w:rPr>
            </w:pPr>
          </w:p>
        </w:tc>
        <w:tc>
          <w:tcPr>
            <w:tcW w:w="494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900" w:type="dxa"/>
            <w:vAlign w:val="bottom"/>
            <w:shd w:val="clear" w:color="auto" w:fill="CCFFCC"/>
          </w:tcPr>
          <w:p>
            <w:pPr>
              <w:spacing w:after="0"/>
              <w:rPr>
                <w:sz w:val="21"/>
                <w:szCs w:val="21"/>
                <w:color w:val="auto"/>
              </w:rPr>
            </w:pPr>
          </w:p>
        </w:tc>
        <w:tc>
          <w:tcPr>
            <w:tcW w:w="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9240" w:type="dxa"/>
            <w:vAlign w:val="bottom"/>
            <w:gridSpan w:val="8"/>
          </w:tcPr>
          <w:p>
            <w:pPr>
              <w:spacing w:after="0"/>
              <w:rPr>
                <w:sz w:val="20"/>
                <w:szCs w:val="20"/>
                <w:color w:val="auto"/>
              </w:rPr>
            </w:pPr>
            <w:r>
              <w:rPr>
                <w:rFonts w:ascii="Arial" w:cs="Arial" w:eastAsia="Arial" w:hAnsi="Arial"/>
                <w:sz w:val="18"/>
                <w:szCs w:val="18"/>
                <w:color w:val="auto"/>
              </w:rPr>
              <w:t>Machinery and equipment</w:t>
            </w:r>
          </w:p>
        </w:tc>
        <w:tc>
          <w:tcPr>
            <w:tcW w:w="480" w:type="dxa"/>
            <w:vAlign w:val="bottom"/>
          </w:tcPr>
          <w:p>
            <w:pPr>
              <w:jc w:val="right"/>
              <w:spacing w:after="0"/>
              <w:rPr>
                <w:sz w:val="20"/>
                <w:szCs w:val="20"/>
                <w:color w:val="auto"/>
              </w:rPr>
            </w:pPr>
            <w:r>
              <w:rPr>
                <w:rFonts w:ascii="Arial" w:cs="Arial" w:eastAsia="Arial" w:hAnsi="Arial"/>
                <w:sz w:val="18"/>
                <w:szCs w:val="18"/>
                <w:color w:val="auto"/>
              </w:rPr>
              <w:t>5,329</w:t>
            </w: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4,237</w:t>
            </w:r>
          </w:p>
        </w:tc>
        <w:tc>
          <w:tcPr>
            <w:tcW w:w="0" w:type="dxa"/>
            <w:vAlign w:val="bottom"/>
          </w:tcPr>
          <w:p>
            <w:pPr>
              <w:spacing w:after="0"/>
              <w:rPr>
                <w:sz w:val="1"/>
                <w:szCs w:val="1"/>
                <w:color w:val="auto"/>
              </w:rPr>
            </w:pPr>
          </w:p>
        </w:tc>
      </w:tr>
      <w:tr>
        <w:trPr>
          <w:trHeight w:val="243"/>
        </w:trPr>
        <w:tc>
          <w:tcPr>
            <w:tcW w:w="9240" w:type="dxa"/>
            <w:vAlign w:val="bottom"/>
            <w:gridSpan w:val="8"/>
            <w:shd w:val="clear" w:color="auto" w:fill="CCFFCC"/>
          </w:tcPr>
          <w:p>
            <w:pPr>
              <w:spacing w:after="0"/>
              <w:rPr>
                <w:sz w:val="20"/>
                <w:szCs w:val="20"/>
                <w:color w:val="auto"/>
              </w:rPr>
            </w:pPr>
            <w:r>
              <w:rPr>
                <w:rFonts w:ascii="Arial" w:cs="Arial" w:eastAsia="Arial" w:hAnsi="Arial"/>
                <w:sz w:val="18"/>
                <w:szCs w:val="18"/>
                <w:color w:val="auto"/>
              </w:rPr>
              <w:t>Office equipment, furniture and fixtures</w:t>
            </w:r>
          </w:p>
        </w:tc>
        <w:tc>
          <w:tcPr>
            <w:tcW w:w="4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248</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43"/>
        </w:trPr>
        <w:tc>
          <w:tcPr>
            <w:tcW w:w="1260" w:type="dxa"/>
            <w:vAlign w:val="bottom"/>
            <w:gridSpan w:val="3"/>
          </w:tcPr>
          <w:p>
            <w:pPr>
              <w:spacing w:after="0"/>
              <w:rPr>
                <w:sz w:val="20"/>
                <w:szCs w:val="20"/>
                <w:color w:val="auto"/>
              </w:rPr>
            </w:pPr>
            <w:r>
              <w:rPr>
                <w:rFonts w:ascii="Arial" w:cs="Arial" w:eastAsia="Arial" w:hAnsi="Arial"/>
                <w:sz w:val="18"/>
                <w:szCs w:val="18"/>
                <w:color w:val="auto"/>
              </w:rPr>
              <w:t>Motor vehicles</w:t>
            </w:r>
          </w:p>
        </w:tc>
        <w:tc>
          <w:tcPr>
            <w:tcW w:w="3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113</w:t>
            </w: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5"/>
        </w:trPr>
        <w:tc>
          <w:tcPr>
            <w:tcW w:w="8340" w:type="dxa"/>
            <w:vAlign w:val="bottom"/>
            <w:tcBorders>
              <w:bottom w:val="single" w:sz="8" w:color="CCFFCC"/>
            </w:tcBorders>
            <w:gridSpan w:val="7"/>
            <w:shd w:val="clear" w:color="auto" w:fill="CCFFCC"/>
          </w:tcPr>
          <w:p>
            <w:pPr>
              <w:spacing w:after="0"/>
              <w:rPr>
                <w:sz w:val="20"/>
                <w:szCs w:val="20"/>
                <w:color w:val="auto"/>
              </w:rPr>
            </w:pPr>
            <w:r>
              <w:rPr>
                <w:rFonts w:ascii="Arial" w:cs="Arial" w:eastAsia="Arial" w:hAnsi="Arial"/>
                <w:sz w:val="18"/>
                <w:szCs w:val="18"/>
                <w:color w:val="auto"/>
              </w:rPr>
              <w:t>Prepayments for fixed assets</w:t>
            </w:r>
          </w:p>
        </w:tc>
        <w:tc>
          <w:tcPr>
            <w:tcW w:w="900" w:type="dxa"/>
            <w:vAlign w:val="bottom"/>
            <w:tcBorders>
              <w:bottom w:val="single" w:sz="8" w:color="CCFFCC"/>
            </w:tcBorders>
            <w:shd w:val="clear" w:color="auto" w:fill="CCFFCC"/>
          </w:tcPr>
          <w:p>
            <w:pPr>
              <w:spacing w:after="0"/>
              <w:rPr>
                <w:sz w:val="23"/>
                <w:szCs w:val="23"/>
                <w:color w:val="auto"/>
              </w:rPr>
            </w:pPr>
          </w:p>
        </w:tc>
        <w:tc>
          <w:tcPr>
            <w:tcW w:w="48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256</w:t>
            </w:r>
          </w:p>
        </w:tc>
        <w:tc>
          <w:tcPr>
            <w:tcW w:w="220" w:type="dxa"/>
            <w:vAlign w:val="bottom"/>
            <w:tcBorders>
              <w:bottom w:val="single" w:sz="8" w:color="CCFFCC"/>
            </w:tcBorders>
            <w:shd w:val="clear" w:color="auto" w:fill="CCFFCC"/>
          </w:tcPr>
          <w:p>
            <w:pPr>
              <w:spacing w:after="0"/>
              <w:rPr>
                <w:sz w:val="23"/>
                <w:szCs w:val="23"/>
                <w:color w:val="auto"/>
              </w:rPr>
            </w:pPr>
          </w:p>
        </w:tc>
        <w:tc>
          <w:tcPr>
            <w:tcW w:w="14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232</w:t>
            </w:r>
          </w:p>
        </w:tc>
        <w:tc>
          <w:tcPr>
            <w:tcW w:w="0" w:type="dxa"/>
            <w:vAlign w:val="bottom"/>
          </w:tcPr>
          <w:p>
            <w:pPr>
              <w:spacing w:after="0"/>
              <w:rPr>
                <w:sz w:val="1"/>
                <w:szCs w:val="1"/>
                <w:color w:val="auto"/>
              </w:rPr>
            </w:pPr>
          </w:p>
        </w:tc>
      </w:tr>
      <w:tr>
        <w:trPr>
          <w:trHeight w:val="196"/>
        </w:trPr>
        <w:tc>
          <w:tcPr>
            <w:tcW w:w="8340" w:type="dxa"/>
            <w:vAlign w:val="bottom"/>
            <w:tcBorders>
              <w:top w:val="single" w:sz="8" w:color="CCFFCC"/>
            </w:tcBorders>
            <w:gridSpan w:val="7"/>
          </w:tcPr>
          <w:p>
            <w:pPr>
              <w:ind w:left="500"/>
              <w:spacing w:after="0" w:line="196" w:lineRule="exact"/>
              <w:rPr>
                <w:sz w:val="20"/>
                <w:szCs w:val="20"/>
                <w:color w:val="auto"/>
              </w:rPr>
            </w:pPr>
            <w:r>
              <w:rPr>
                <w:rFonts w:ascii="Arial" w:cs="Arial" w:eastAsia="Arial" w:hAnsi="Arial"/>
                <w:sz w:val="18"/>
                <w:szCs w:val="18"/>
                <w:color w:val="auto"/>
              </w:rPr>
              <w:t>Total property and equipment, at cost</w:t>
            </w:r>
          </w:p>
        </w:tc>
        <w:tc>
          <w:tcPr>
            <w:tcW w:w="9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auto"/>
              </w:rPr>
              <w:t>6,536</w:t>
            </w:r>
          </w:p>
        </w:tc>
        <w:tc>
          <w:tcPr>
            <w:tcW w:w="220" w:type="dxa"/>
            <w:vAlign w:val="bottom"/>
            <w:tcBorders>
              <w:top w:val="single" w:sz="8" w:color="CCFFCC"/>
            </w:tcBorders>
          </w:tcPr>
          <w:p>
            <w:pPr>
              <w:spacing w:after="0"/>
              <w:rPr>
                <w:sz w:val="17"/>
                <w:szCs w:val="17"/>
                <w:color w:val="auto"/>
              </w:rPr>
            </w:pPr>
          </w:p>
        </w:tc>
        <w:tc>
          <w:tcPr>
            <w:tcW w:w="13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i w:val="1"/>
                <w:iCs w:val="1"/>
                <w:color w:val="auto"/>
              </w:rPr>
              <w:t>5,339</w:t>
            </w:r>
          </w:p>
        </w:tc>
        <w:tc>
          <w:tcPr>
            <w:tcW w:w="100" w:type="dxa"/>
            <w:vAlign w:val="bottom"/>
            <w:tcBorders>
              <w:top w:val="single" w:sz="8" w:color="CCFFCC"/>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00" w:type="dxa"/>
            <w:vAlign w:val="bottom"/>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580" w:type="dxa"/>
            <w:vAlign w:val="bottom"/>
            <w:tcBorders>
              <w:top w:val="single" w:sz="8" w:color="auto"/>
            </w:tcBorders>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8340" w:type="dxa"/>
            <w:vAlign w:val="bottom"/>
            <w:tcBorders>
              <w:bottom w:val="single" w:sz="8" w:color="CCFFCC"/>
            </w:tcBorders>
            <w:gridSpan w:val="7"/>
            <w:shd w:val="clear" w:color="auto" w:fill="CCFFCC"/>
          </w:tcPr>
          <w:p>
            <w:pPr>
              <w:spacing w:after="0"/>
              <w:rPr>
                <w:sz w:val="20"/>
                <w:szCs w:val="20"/>
                <w:color w:val="auto"/>
              </w:rPr>
            </w:pPr>
            <w:r>
              <w:rPr>
                <w:rFonts w:ascii="Arial" w:cs="Arial" w:eastAsia="Arial" w:hAnsi="Arial"/>
                <w:sz w:val="18"/>
                <w:szCs w:val="18"/>
                <w:color w:val="auto"/>
              </w:rPr>
              <w:t>Less accumulated depreciation</w:t>
            </w:r>
          </w:p>
        </w:tc>
        <w:tc>
          <w:tcPr>
            <w:tcW w:w="900" w:type="dxa"/>
            <w:vAlign w:val="bottom"/>
            <w:tcBorders>
              <w:bottom w:val="single" w:sz="8" w:color="CCFFCC"/>
            </w:tcBorders>
            <w:shd w:val="clear" w:color="auto" w:fill="CCFFCC"/>
          </w:tcPr>
          <w:p>
            <w:pPr>
              <w:spacing w:after="0"/>
              <w:rPr>
                <w:sz w:val="23"/>
                <w:szCs w:val="23"/>
                <w:color w:val="auto"/>
              </w:rPr>
            </w:pPr>
          </w:p>
        </w:tc>
        <w:tc>
          <w:tcPr>
            <w:tcW w:w="700" w:type="dxa"/>
            <w:vAlign w:val="bottom"/>
            <w:tcBorders>
              <w:bottom w:val="single" w:sz="8" w:color="CCFFCC"/>
            </w:tcBorders>
            <w:gridSpan w:val="2"/>
            <w:shd w:val="clear" w:color="auto" w:fill="CCFFCC"/>
          </w:tcPr>
          <w:p>
            <w:pPr>
              <w:jc w:val="right"/>
              <w:ind w:right="160"/>
              <w:spacing w:after="0"/>
              <w:rPr>
                <w:sz w:val="20"/>
                <w:szCs w:val="20"/>
                <w:color w:val="auto"/>
              </w:rPr>
            </w:pPr>
            <w:r>
              <w:rPr>
                <w:rFonts w:ascii="Arial" w:cs="Arial" w:eastAsia="Arial" w:hAnsi="Arial"/>
                <w:sz w:val="18"/>
                <w:szCs w:val="18"/>
                <w:color w:val="auto"/>
                <w:w w:val="91"/>
              </w:rPr>
              <w:t>(1,738)</w:t>
            </w:r>
          </w:p>
        </w:tc>
        <w:tc>
          <w:tcPr>
            <w:tcW w:w="148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(1,447)</w:t>
            </w:r>
          </w:p>
        </w:tc>
        <w:tc>
          <w:tcPr>
            <w:tcW w:w="0" w:type="dxa"/>
            <w:vAlign w:val="bottom"/>
          </w:tcPr>
          <w:p>
            <w:pPr>
              <w:spacing w:after="0"/>
              <w:rPr>
                <w:sz w:val="1"/>
                <w:szCs w:val="1"/>
                <w:color w:val="auto"/>
              </w:rPr>
            </w:pPr>
          </w:p>
        </w:tc>
      </w:tr>
      <w:tr>
        <w:trPr>
          <w:trHeight w:val="196"/>
        </w:trPr>
        <w:tc>
          <w:tcPr>
            <w:tcW w:w="1260" w:type="dxa"/>
            <w:vAlign w:val="bottom"/>
            <w:tcBorders>
              <w:top w:val="single" w:sz="8" w:color="CCFFCC"/>
            </w:tcBorders>
            <w:gridSpan w:val="3"/>
          </w:tcPr>
          <w:p>
            <w:pPr>
              <w:spacing w:after="0" w:line="196" w:lineRule="exact"/>
              <w:rPr>
                <w:sz w:val="20"/>
                <w:szCs w:val="20"/>
                <w:color w:val="auto"/>
              </w:rPr>
            </w:pPr>
            <w:r>
              <w:rPr>
                <w:rFonts w:ascii="Arial" w:cs="Arial" w:eastAsia="Arial" w:hAnsi="Arial"/>
                <w:sz w:val="18"/>
                <w:szCs w:val="18"/>
                <w:color w:val="auto"/>
              </w:rPr>
              <w:t>Net book value</w:t>
            </w:r>
          </w:p>
        </w:tc>
        <w:tc>
          <w:tcPr>
            <w:tcW w:w="7080" w:type="dxa"/>
            <w:vAlign w:val="bottom"/>
            <w:tcBorders>
              <w:top w:val="single" w:sz="8" w:color="CCFFCC"/>
            </w:tcBorders>
            <w:gridSpan w:val="4"/>
          </w:tcPr>
          <w:p>
            <w:pPr>
              <w:spacing w:after="0"/>
              <w:rPr>
                <w:sz w:val="17"/>
                <w:szCs w:val="17"/>
                <w:color w:val="auto"/>
              </w:rPr>
            </w:pPr>
          </w:p>
        </w:tc>
        <w:tc>
          <w:tcPr>
            <w:tcW w:w="900" w:type="dxa"/>
            <w:vAlign w:val="bottom"/>
            <w:tcBorders>
              <w:top w:val="single" w:sz="8" w:color="auto"/>
            </w:tcBorders>
          </w:tcPr>
          <w:p>
            <w:pPr>
              <w:jc w:val="right"/>
              <w:ind w:right="733"/>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4,798</w:t>
            </w:r>
          </w:p>
        </w:tc>
        <w:tc>
          <w:tcPr>
            <w:tcW w:w="220" w:type="dxa"/>
            <w:vAlign w:val="bottom"/>
            <w:tcBorders>
              <w:top w:val="single" w:sz="8" w:color="CCFFCC"/>
            </w:tcBorders>
          </w:tcPr>
          <w:p>
            <w:pPr>
              <w:spacing w:after="0"/>
              <w:rPr>
                <w:sz w:val="17"/>
                <w:szCs w:val="17"/>
                <w:color w:val="auto"/>
              </w:rPr>
            </w:pPr>
          </w:p>
        </w:tc>
        <w:tc>
          <w:tcPr>
            <w:tcW w:w="13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3,892</w:t>
            </w:r>
          </w:p>
        </w:tc>
        <w:tc>
          <w:tcPr>
            <w:tcW w:w="100" w:type="dxa"/>
            <w:vAlign w:val="bottom"/>
            <w:tcBorders>
              <w:top w:val="single" w:sz="8" w:color="CCFFCC"/>
            </w:tcBorders>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0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60" w:type="dxa"/>
            <w:vAlign w:val="bottom"/>
            <w:gridSpan w:val="3"/>
            <w:vMerge w:val="restart"/>
          </w:tcPr>
          <w:p>
            <w:pPr>
              <w:jc w:val="right"/>
              <w:ind w:right="232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0"/>
        </w:trPr>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6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500" w:type="dxa"/>
            <w:vAlign w:val="bottom"/>
            <w:tcBorders>
              <w:bottom w:val="single" w:sz="8" w:color="808080"/>
            </w:tcBorders>
          </w:tcPr>
          <w:p>
            <w:pPr>
              <w:spacing w:after="0"/>
              <w:rPr>
                <w:sz w:val="10"/>
                <w:szCs w:val="10"/>
                <w:color w:val="auto"/>
              </w:rPr>
            </w:pPr>
          </w:p>
        </w:tc>
        <w:tc>
          <w:tcPr>
            <w:tcW w:w="600" w:type="dxa"/>
            <w:vAlign w:val="bottom"/>
            <w:tcBorders>
              <w:bottom w:val="single" w:sz="8" w:color="808080"/>
            </w:tcBorders>
          </w:tcPr>
          <w:p>
            <w:pPr>
              <w:spacing w:after="0"/>
              <w:rPr>
                <w:sz w:val="10"/>
                <w:szCs w:val="10"/>
                <w:color w:val="auto"/>
              </w:rPr>
            </w:pPr>
          </w:p>
        </w:tc>
        <w:tc>
          <w:tcPr>
            <w:tcW w:w="1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49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00" w:type="dxa"/>
            <w:vAlign w:val="bottom"/>
            <w:tcBorders>
              <w:bottom w:val="single" w:sz="8" w:color="808080"/>
            </w:tcBorders>
          </w:tcPr>
          <w:p>
            <w:pPr>
              <w:spacing w:after="0"/>
              <w:rPr>
                <w:sz w:val="10"/>
                <w:szCs w:val="10"/>
                <w:color w:val="auto"/>
              </w:rPr>
            </w:pPr>
          </w:p>
        </w:tc>
        <w:tc>
          <w:tcPr>
            <w:tcW w:w="48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sectPr>
      </w:pPr>
    </w:p>
    <w:bookmarkStart w:id="79" w:name="page80"/>
    <w:bookmarkEnd w:id="79"/>
    <w:p>
      <w:pPr>
        <w:jc w:val="center"/>
        <w:spacing w:after="0"/>
        <w:rPr>
          <w:sz w:val="20"/>
          <w:szCs w:val="20"/>
          <w:color w:val="auto"/>
        </w:rPr>
      </w:pPr>
      <w:r>
        <w:rPr>
          <w:rFonts w:ascii="Arial" w:cs="Arial" w:eastAsia="Arial" w:hAnsi="Arial"/>
          <w:sz w:val="22"/>
          <w:szCs w:val="22"/>
          <w:b w:val="1"/>
          <w:bCs w:val="1"/>
          <w:color w:val="auto"/>
        </w:rPr>
        <w:t>OAO Morion</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at December 31, 2006 and 2005</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for the Years ended December 31, 2006 and 2005</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 thousands of U.S. dollars - where applicable)</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0" w:type="dxa"/>
            <w:vAlign w:val="bottom"/>
            <w:gridSpan w:val="3"/>
          </w:tcPr>
          <w:p>
            <w:pPr>
              <w:spacing w:after="0"/>
              <w:rPr>
                <w:sz w:val="20"/>
                <w:szCs w:val="20"/>
                <w:color w:val="auto"/>
              </w:rPr>
            </w:pPr>
            <w:r>
              <w:rPr>
                <w:rFonts w:ascii="Arial" w:cs="Arial" w:eastAsia="Arial" w:hAnsi="Arial"/>
                <w:sz w:val="18"/>
                <w:szCs w:val="18"/>
                <w:b w:val="1"/>
                <w:bCs w:val="1"/>
                <w:color w:val="auto"/>
              </w:rPr>
              <w:t>Note 11 - Intangible assets</w:t>
            </w:r>
          </w:p>
        </w:tc>
        <w:tc>
          <w:tcPr>
            <w:tcW w:w="8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86"/>
        </w:trPr>
        <w:tc>
          <w:tcPr>
            <w:tcW w:w="5380" w:type="dxa"/>
            <w:vAlign w:val="bottom"/>
            <w:gridSpan w:val="5"/>
          </w:tcPr>
          <w:p>
            <w:pPr>
              <w:spacing w:after="0"/>
              <w:rPr>
                <w:sz w:val="20"/>
                <w:szCs w:val="20"/>
                <w:color w:val="auto"/>
              </w:rPr>
            </w:pPr>
            <w:r>
              <w:rPr>
                <w:rFonts w:ascii="Arial" w:cs="Arial" w:eastAsia="Arial" w:hAnsi="Arial"/>
                <w:sz w:val="18"/>
                <w:szCs w:val="18"/>
                <w:color w:val="auto"/>
                <w:w w:val="90"/>
              </w:rPr>
              <w:t>Intangible assets at December 31, 2006 and 2005 consist of the following:</w:t>
            </w: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540"/>
        </w:trPr>
        <w:tc>
          <w:tcPr>
            <w:tcW w:w="5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right"/>
              <w:ind w:right="370"/>
              <w:spacing w:after="0"/>
              <w:rPr>
                <w:sz w:val="20"/>
                <w:szCs w:val="20"/>
                <w:color w:val="auto"/>
              </w:rPr>
            </w:pPr>
            <w:r>
              <w:rPr>
                <w:rFonts w:ascii="Arial" w:cs="Arial" w:eastAsia="Arial" w:hAnsi="Arial"/>
                <w:sz w:val="18"/>
                <w:szCs w:val="18"/>
                <w:b w:val="1"/>
                <w:bCs w:val="1"/>
                <w:color w:val="auto"/>
              </w:rPr>
              <w:t>2005</w:t>
            </w:r>
          </w:p>
        </w:tc>
        <w:tc>
          <w:tcPr>
            <w:tcW w:w="140" w:type="dxa"/>
            <w:vAlign w:val="bottom"/>
          </w:tcPr>
          <w:p>
            <w:pPr>
              <w:spacing w:after="0"/>
              <w:rPr>
                <w:sz w:val="24"/>
                <w:szCs w:val="24"/>
                <w:color w:val="auto"/>
              </w:rPr>
            </w:pPr>
          </w:p>
        </w:tc>
      </w:tr>
      <w:tr>
        <w:trPr>
          <w:trHeight w:val="237"/>
        </w:trPr>
        <w:tc>
          <w:tcPr>
            <w:tcW w:w="5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240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Technical documentation</w:t>
            </w:r>
          </w:p>
        </w:tc>
        <w:tc>
          <w:tcPr>
            <w:tcW w:w="840" w:type="dxa"/>
            <w:vAlign w:val="bottom"/>
            <w:shd w:val="clear" w:color="auto" w:fill="CCFFCC"/>
          </w:tcPr>
          <w:p>
            <w:pPr>
              <w:spacing w:after="0"/>
              <w:rPr>
                <w:sz w:val="21"/>
                <w:szCs w:val="21"/>
                <w:color w:val="auto"/>
              </w:rPr>
            </w:pPr>
          </w:p>
        </w:tc>
        <w:tc>
          <w:tcPr>
            <w:tcW w:w="214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68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5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96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43</w:t>
            </w:r>
          </w:p>
        </w:tc>
      </w:tr>
      <w:tr>
        <w:trPr>
          <w:trHeight w:val="270"/>
        </w:trPr>
        <w:tc>
          <w:tcPr>
            <w:tcW w:w="2400" w:type="dxa"/>
            <w:vAlign w:val="bottom"/>
            <w:gridSpan w:val="3"/>
          </w:tcPr>
          <w:p>
            <w:pPr>
              <w:spacing w:after="0"/>
              <w:rPr>
                <w:sz w:val="20"/>
                <w:szCs w:val="20"/>
                <w:color w:val="auto"/>
              </w:rPr>
            </w:pPr>
            <w:r>
              <w:rPr>
                <w:rFonts w:ascii="Arial" w:cs="Arial" w:eastAsia="Arial" w:hAnsi="Arial"/>
                <w:sz w:val="18"/>
                <w:szCs w:val="18"/>
                <w:color w:val="auto"/>
              </w:rPr>
              <w:t>Software</w:t>
            </w:r>
          </w:p>
        </w:tc>
        <w:tc>
          <w:tcPr>
            <w:tcW w:w="84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3"/>
                <w:szCs w:val="2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23"/>
                <w:szCs w:val="23"/>
                <w:color w:val="auto"/>
              </w:rPr>
            </w:pPr>
          </w:p>
        </w:tc>
      </w:tr>
      <w:tr>
        <w:trPr>
          <w:trHeight w:val="237"/>
        </w:trPr>
        <w:tc>
          <w:tcPr>
            <w:tcW w:w="2400" w:type="dxa"/>
            <w:vAlign w:val="bottom"/>
            <w:gridSpan w:val="3"/>
            <w:shd w:val="clear" w:color="auto" w:fill="CCFFCC"/>
          </w:tcPr>
          <w:p>
            <w:pPr>
              <w:spacing w:after="0"/>
              <w:rPr>
                <w:sz w:val="20"/>
                <w:szCs w:val="20"/>
                <w:color w:val="auto"/>
              </w:rPr>
            </w:pPr>
            <w:r>
              <w:rPr>
                <w:rFonts w:ascii="Arial" w:cs="Arial" w:eastAsia="Arial" w:hAnsi="Arial"/>
                <w:sz w:val="18"/>
                <w:szCs w:val="18"/>
                <w:i w:val="1"/>
                <w:iCs w:val="1"/>
                <w:color w:val="auto"/>
              </w:rPr>
              <w:t>Total intangible assets</w:t>
            </w:r>
          </w:p>
        </w:tc>
        <w:tc>
          <w:tcPr>
            <w:tcW w:w="840" w:type="dxa"/>
            <w:vAlign w:val="bottom"/>
            <w:shd w:val="clear" w:color="auto" w:fill="CCFFCC"/>
          </w:tcPr>
          <w:p>
            <w:pPr>
              <w:spacing w:after="0"/>
              <w:rPr>
                <w:sz w:val="20"/>
                <w:szCs w:val="20"/>
                <w:color w:val="auto"/>
              </w:rPr>
            </w:pPr>
          </w:p>
        </w:tc>
        <w:tc>
          <w:tcPr>
            <w:tcW w:w="214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1680" w:type="dxa"/>
            <w:vAlign w:val="bottom"/>
            <w:shd w:val="clear" w:color="auto" w:fill="CCFFCC"/>
          </w:tcPr>
          <w:p>
            <w:pPr>
              <w:spacing w:after="0"/>
              <w:rPr>
                <w:sz w:val="20"/>
                <w:szCs w:val="20"/>
                <w:color w:val="auto"/>
              </w:rPr>
            </w:pPr>
          </w:p>
        </w:tc>
        <w:tc>
          <w:tcPr>
            <w:tcW w:w="280" w:type="dxa"/>
            <w:vAlign w:val="bottom"/>
            <w:shd w:val="clear" w:color="auto" w:fill="CCFFCC"/>
          </w:tcPr>
          <w:p>
            <w:pPr>
              <w:spacing w:after="0"/>
              <w:rPr>
                <w:sz w:val="20"/>
                <w:szCs w:val="20"/>
                <w:color w:val="auto"/>
              </w:rPr>
            </w:pPr>
          </w:p>
        </w:tc>
        <w:tc>
          <w:tcPr>
            <w:tcW w:w="50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960" w:type="dxa"/>
            <w:vAlign w:val="bottom"/>
            <w:shd w:val="clear" w:color="auto" w:fill="CCFFCC"/>
          </w:tcPr>
          <w:p>
            <w:pPr>
              <w:spacing w:after="0"/>
              <w:rPr>
                <w:sz w:val="20"/>
                <w:szCs w:val="20"/>
                <w:color w:val="auto"/>
              </w:rPr>
            </w:pPr>
          </w:p>
        </w:tc>
        <w:tc>
          <w:tcPr>
            <w:tcW w:w="80" w:type="dxa"/>
            <w:vAlign w:val="bottom"/>
            <w:shd w:val="clear" w:color="auto" w:fill="CCFFCC"/>
          </w:tcPr>
          <w:p>
            <w:pPr>
              <w:spacing w:after="0"/>
              <w:rPr>
                <w:sz w:val="20"/>
                <w:szCs w:val="20"/>
                <w:color w:val="auto"/>
              </w:rPr>
            </w:pPr>
          </w:p>
        </w:tc>
        <w:tc>
          <w:tcPr>
            <w:tcW w:w="340" w:type="dxa"/>
            <w:vAlign w:val="bottom"/>
            <w:gridSpan w:val="2"/>
            <w:shd w:val="clear" w:color="auto" w:fill="CCFFCC"/>
          </w:tcPr>
          <w:p>
            <w:pPr>
              <w:jc w:val="right"/>
              <w:spacing w:after="0"/>
              <w:rPr>
                <w:sz w:val="20"/>
                <w:szCs w:val="20"/>
                <w:color w:val="auto"/>
              </w:rPr>
            </w:pPr>
            <w:r>
              <w:rPr>
                <w:rFonts w:ascii="Arial" w:cs="Arial" w:eastAsia="Arial" w:hAnsi="Arial"/>
                <w:sz w:val="18"/>
                <w:szCs w:val="18"/>
                <w:i w:val="1"/>
                <w:iCs w:val="1"/>
                <w:color w:val="auto"/>
              </w:rPr>
              <w:t>52</w:t>
            </w:r>
          </w:p>
        </w:tc>
        <w:tc>
          <w:tcPr>
            <w:tcW w:w="220" w:type="dxa"/>
            <w:vAlign w:val="bottom"/>
            <w:shd w:val="clear" w:color="auto" w:fill="CCFFCC"/>
          </w:tcPr>
          <w:p>
            <w:pPr>
              <w:spacing w:after="0"/>
              <w:rPr>
                <w:sz w:val="20"/>
                <w:szCs w:val="20"/>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i w:val="1"/>
                <w:iCs w:val="1"/>
                <w:color w:val="auto"/>
              </w:rPr>
              <w:t>52</w:t>
            </w:r>
          </w:p>
        </w:tc>
      </w:tr>
      <w:tr>
        <w:trPr>
          <w:trHeight w:val="270"/>
        </w:trPr>
        <w:tc>
          <w:tcPr>
            <w:tcW w:w="2400" w:type="dxa"/>
            <w:vAlign w:val="bottom"/>
            <w:gridSpan w:val="3"/>
          </w:tcPr>
          <w:p>
            <w:pPr>
              <w:spacing w:after="0"/>
              <w:rPr>
                <w:sz w:val="20"/>
                <w:szCs w:val="20"/>
                <w:color w:val="auto"/>
              </w:rPr>
            </w:pPr>
            <w:r>
              <w:rPr>
                <w:rFonts w:ascii="Arial" w:cs="Arial" w:eastAsia="Arial" w:hAnsi="Arial"/>
                <w:sz w:val="18"/>
                <w:szCs w:val="18"/>
                <w:color w:val="auto"/>
                <w:w w:val="95"/>
              </w:rPr>
              <w:t>Less accumulated amortization</w:t>
            </w:r>
          </w:p>
        </w:tc>
        <w:tc>
          <w:tcPr>
            <w:tcW w:w="840" w:type="dxa"/>
            <w:vAlign w:val="bottom"/>
          </w:tcPr>
          <w:p>
            <w:pPr>
              <w:spacing w:after="0"/>
              <w:rPr>
                <w:sz w:val="23"/>
                <w:szCs w:val="23"/>
                <w:color w:val="auto"/>
              </w:rPr>
            </w:pPr>
          </w:p>
        </w:tc>
        <w:tc>
          <w:tcPr>
            <w:tcW w:w="21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8"/>
                <w:szCs w:val="18"/>
                <w:color w:val="auto"/>
              </w:rPr>
              <w:t>(48)</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r>
      <w:tr>
        <w:trPr>
          <w:trHeight w:val="269"/>
        </w:trPr>
        <w:tc>
          <w:tcPr>
            <w:tcW w:w="500" w:type="dxa"/>
            <w:vAlign w:val="bottom"/>
            <w:tcBorders>
              <w:bottom w:val="single" w:sz="8" w:color="CCFFCC"/>
            </w:tcBorders>
            <w:shd w:val="clear" w:color="auto" w:fill="CCFFCC"/>
          </w:tcPr>
          <w:p>
            <w:pPr>
              <w:spacing w:after="0"/>
              <w:rPr>
                <w:sz w:val="22"/>
                <w:szCs w:val="22"/>
                <w:color w:val="auto"/>
              </w:rPr>
            </w:pPr>
          </w:p>
        </w:tc>
        <w:tc>
          <w:tcPr>
            <w:tcW w:w="1620" w:type="dxa"/>
            <w:vAlign w:val="bottom"/>
            <w:tcBorders>
              <w:bottom w:val="single" w:sz="8" w:color="CCFFCC"/>
            </w:tcBorders>
            <w:shd w:val="clear" w:color="auto" w:fill="CCFFCC"/>
          </w:tcPr>
          <w:p>
            <w:pPr>
              <w:spacing w:after="0"/>
              <w:rPr>
                <w:sz w:val="22"/>
                <w:szCs w:val="22"/>
                <w:color w:val="auto"/>
              </w:rPr>
            </w:pPr>
          </w:p>
        </w:tc>
        <w:tc>
          <w:tcPr>
            <w:tcW w:w="280" w:type="dxa"/>
            <w:vAlign w:val="bottom"/>
            <w:tcBorders>
              <w:bottom w:val="single" w:sz="8" w:color="CCFFCC"/>
            </w:tcBorders>
            <w:shd w:val="clear" w:color="auto" w:fill="CCFFCC"/>
          </w:tcPr>
          <w:p>
            <w:pPr>
              <w:spacing w:after="0"/>
              <w:rPr>
                <w:sz w:val="22"/>
                <w:szCs w:val="22"/>
                <w:color w:val="auto"/>
              </w:rPr>
            </w:pPr>
          </w:p>
        </w:tc>
        <w:tc>
          <w:tcPr>
            <w:tcW w:w="840" w:type="dxa"/>
            <w:vAlign w:val="bottom"/>
            <w:tcBorders>
              <w:bottom w:val="single" w:sz="8" w:color="CCFFCC"/>
            </w:tcBorders>
            <w:shd w:val="clear" w:color="auto" w:fill="CCFFCC"/>
          </w:tcPr>
          <w:p>
            <w:pPr>
              <w:spacing w:after="0"/>
              <w:rPr>
                <w:sz w:val="22"/>
                <w:szCs w:val="22"/>
                <w:color w:val="auto"/>
              </w:rPr>
            </w:pPr>
          </w:p>
        </w:tc>
        <w:tc>
          <w:tcPr>
            <w:tcW w:w="2140" w:type="dxa"/>
            <w:vAlign w:val="bottom"/>
            <w:tcBorders>
              <w:bottom w:val="single" w:sz="8" w:color="CCFFCC"/>
            </w:tcBorders>
            <w:shd w:val="clear" w:color="auto" w:fill="CCFFCC"/>
          </w:tcPr>
          <w:p>
            <w:pPr>
              <w:spacing w:after="0"/>
              <w:rPr>
                <w:sz w:val="22"/>
                <w:szCs w:val="22"/>
                <w:color w:val="auto"/>
              </w:rPr>
            </w:pPr>
          </w:p>
        </w:tc>
        <w:tc>
          <w:tcPr>
            <w:tcW w:w="280" w:type="dxa"/>
            <w:vAlign w:val="bottom"/>
            <w:tcBorders>
              <w:bottom w:val="single" w:sz="8" w:color="CCFFCC"/>
            </w:tcBorders>
            <w:shd w:val="clear" w:color="auto" w:fill="CCFFCC"/>
          </w:tcPr>
          <w:p>
            <w:pPr>
              <w:spacing w:after="0"/>
              <w:rPr>
                <w:sz w:val="22"/>
                <w:szCs w:val="22"/>
                <w:color w:val="auto"/>
              </w:rPr>
            </w:pPr>
          </w:p>
        </w:tc>
        <w:tc>
          <w:tcPr>
            <w:tcW w:w="1680" w:type="dxa"/>
            <w:vAlign w:val="bottom"/>
            <w:tcBorders>
              <w:bottom w:val="single" w:sz="8" w:color="CCFFCC"/>
            </w:tcBorders>
            <w:shd w:val="clear" w:color="auto" w:fill="CCFFCC"/>
          </w:tcPr>
          <w:p>
            <w:pPr>
              <w:spacing w:after="0"/>
              <w:rPr>
                <w:sz w:val="22"/>
                <w:szCs w:val="22"/>
                <w:color w:val="auto"/>
              </w:rPr>
            </w:pPr>
          </w:p>
        </w:tc>
        <w:tc>
          <w:tcPr>
            <w:tcW w:w="280" w:type="dxa"/>
            <w:vAlign w:val="bottom"/>
            <w:tcBorders>
              <w:bottom w:val="single" w:sz="8" w:color="CCFFCC"/>
            </w:tcBorders>
            <w:shd w:val="clear" w:color="auto" w:fill="CCFFCC"/>
          </w:tcPr>
          <w:p>
            <w:pPr>
              <w:spacing w:after="0"/>
              <w:rPr>
                <w:sz w:val="22"/>
                <w:szCs w:val="22"/>
                <w:color w:val="auto"/>
              </w:rPr>
            </w:pPr>
          </w:p>
        </w:tc>
        <w:tc>
          <w:tcPr>
            <w:tcW w:w="500" w:type="dxa"/>
            <w:vAlign w:val="bottom"/>
            <w:tcBorders>
              <w:bottom w:val="single" w:sz="8" w:color="CCFFCC"/>
            </w:tcBorders>
            <w:shd w:val="clear" w:color="auto" w:fill="CCFFCC"/>
          </w:tcPr>
          <w:p>
            <w:pPr>
              <w:spacing w:after="0"/>
              <w:rPr>
                <w:sz w:val="22"/>
                <w:szCs w:val="22"/>
                <w:color w:val="auto"/>
              </w:rPr>
            </w:pPr>
          </w:p>
        </w:tc>
        <w:tc>
          <w:tcPr>
            <w:tcW w:w="220" w:type="dxa"/>
            <w:vAlign w:val="bottom"/>
            <w:tcBorders>
              <w:bottom w:val="single" w:sz="8" w:color="CCFFCC"/>
            </w:tcBorders>
            <w:shd w:val="clear" w:color="auto" w:fill="CCFFCC"/>
          </w:tcPr>
          <w:p>
            <w:pPr>
              <w:spacing w:after="0"/>
              <w:rPr>
                <w:sz w:val="22"/>
                <w:szCs w:val="22"/>
                <w:color w:val="auto"/>
              </w:rPr>
            </w:pPr>
          </w:p>
        </w:tc>
        <w:tc>
          <w:tcPr>
            <w:tcW w:w="960" w:type="dxa"/>
            <w:vAlign w:val="bottom"/>
            <w:tcBorders>
              <w:top w:val="single" w:sz="8" w:color="auto"/>
              <w:bottom w:val="single" w:sz="8" w:color="CCFFCC"/>
            </w:tcBorders>
            <w:shd w:val="clear" w:color="auto" w:fill="CCFFCC"/>
          </w:tcPr>
          <w:p>
            <w:pPr>
              <w:jc w:val="right"/>
              <w:ind w:right="770"/>
              <w:spacing w:after="0"/>
              <w:rPr>
                <w:sz w:val="20"/>
                <w:szCs w:val="20"/>
                <w:color w:val="auto"/>
              </w:rPr>
            </w:pPr>
            <w:r>
              <w:rPr>
                <w:rFonts w:ascii="Arial" w:cs="Arial" w:eastAsia="Arial" w:hAnsi="Arial"/>
                <w:sz w:val="18"/>
                <w:szCs w:val="18"/>
                <w:b w:val="1"/>
                <w:bCs w:val="1"/>
                <w:color w:val="auto"/>
                <w:w w:val="79"/>
              </w:rPr>
              <w:t>$</w:t>
            </w:r>
          </w:p>
        </w:tc>
        <w:tc>
          <w:tcPr>
            <w:tcW w:w="80" w:type="dxa"/>
            <w:vAlign w:val="bottom"/>
            <w:tcBorders>
              <w:top w:val="single" w:sz="8" w:color="auto"/>
              <w:bottom w:val="single" w:sz="8" w:color="CCFFCC"/>
            </w:tcBorders>
            <w:shd w:val="clear" w:color="auto" w:fill="CCFFCC"/>
          </w:tcPr>
          <w:p>
            <w:pPr>
              <w:spacing w:after="0"/>
              <w:rPr>
                <w:sz w:val="22"/>
                <w:szCs w:val="22"/>
                <w:color w:val="auto"/>
              </w:rPr>
            </w:pPr>
          </w:p>
        </w:tc>
        <w:tc>
          <w:tcPr>
            <w:tcW w:w="340" w:type="dxa"/>
            <w:vAlign w:val="bottom"/>
            <w:tcBorders>
              <w:top w:val="single" w:sz="8" w:color="auto"/>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b w:val="1"/>
                <w:bCs w:val="1"/>
                <w:color w:val="auto"/>
              </w:rPr>
              <w:t>4</w:t>
            </w:r>
          </w:p>
        </w:tc>
        <w:tc>
          <w:tcPr>
            <w:tcW w:w="220" w:type="dxa"/>
            <w:vAlign w:val="bottom"/>
            <w:tcBorders>
              <w:bottom w:val="single" w:sz="8" w:color="CCFFCC"/>
            </w:tcBorders>
            <w:shd w:val="clear" w:color="auto" w:fill="CCFFCC"/>
          </w:tcPr>
          <w:p>
            <w:pPr>
              <w:spacing w:after="0"/>
              <w:rPr>
                <w:sz w:val="22"/>
                <w:szCs w:val="22"/>
                <w:color w:val="auto"/>
              </w:rPr>
            </w:pPr>
          </w:p>
        </w:tc>
        <w:tc>
          <w:tcPr>
            <w:tcW w:w="1340" w:type="dxa"/>
            <w:vAlign w:val="bottom"/>
            <w:tcBorders>
              <w:top w:val="single" w:sz="8" w:color="auto"/>
              <w:bottom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5</w:t>
            </w:r>
          </w:p>
        </w:tc>
        <w:tc>
          <w:tcPr>
            <w:tcW w:w="140" w:type="dxa"/>
            <w:vAlign w:val="bottom"/>
            <w:tcBorders>
              <w:left w:val="single" w:sz="8" w:color="CCFFCC"/>
              <w:bottom w:val="single" w:sz="8" w:color="CCFFCC"/>
            </w:tcBorders>
            <w:shd w:val="clear" w:color="auto" w:fill="CCFFCC"/>
          </w:tcPr>
          <w:p>
            <w:pPr>
              <w:spacing w:after="0"/>
              <w:rPr>
                <w:sz w:val="22"/>
                <w:szCs w:val="22"/>
                <w:color w:val="auto"/>
              </w:rPr>
            </w:pPr>
          </w:p>
        </w:tc>
      </w:tr>
      <w:tr>
        <w:trPr>
          <w:trHeight w:val="530"/>
        </w:trPr>
        <w:tc>
          <w:tcPr>
            <w:tcW w:w="5380" w:type="dxa"/>
            <w:vAlign w:val="bottom"/>
            <w:tcBorders>
              <w:top w:val="single" w:sz="8" w:color="CCFFCC"/>
            </w:tcBorders>
            <w:gridSpan w:val="5"/>
          </w:tcPr>
          <w:p>
            <w:pPr>
              <w:spacing w:after="0"/>
              <w:rPr>
                <w:sz w:val="20"/>
                <w:szCs w:val="20"/>
                <w:color w:val="auto"/>
              </w:rPr>
            </w:pPr>
            <w:r>
              <w:rPr>
                <w:rFonts w:ascii="Arial" w:cs="Arial" w:eastAsia="Arial" w:hAnsi="Arial"/>
                <w:sz w:val="22"/>
                <w:szCs w:val="22"/>
                <w:b w:val="1"/>
                <w:bCs w:val="1"/>
                <w:color w:val="auto"/>
              </w:rPr>
              <w:t>Note 12 - Long term financial investments</w:t>
            </w:r>
          </w:p>
        </w:tc>
        <w:tc>
          <w:tcPr>
            <w:tcW w:w="280" w:type="dxa"/>
            <w:vAlign w:val="bottom"/>
            <w:tcBorders>
              <w:top w:val="single" w:sz="8" w:color="CCFFCC"/>
            </w:tcBorders>
          </w:tcPr>
          <w:p>
            <w:pPr>
              <w:spacing w:after="0"/>
              <w:rPr>
                <w:sz w:val="24"/>
                <w:szCs w:val="24"/>
                <w:color w:val="auto"/>
              </w:rPr>
            </w:pPr>
          </w:p>
        </w:tc>
        <w:tc>
          <w:tcPr>
            <w:tcW w:w="1680" w:type="dxa"/>
            <w:vAlign w:val="bottom"/>
            <w:tcBorders>
              <w:top w:val="single" w:sz="8" w:color="CCFFCC"/>
            </w:tcBorders>
          </w:tcPr>
          <w:p>
            <w:pPr>
              <w:spacing w:after="0"/>
              <w:rPr>
                <w:sz w:val="24"/>
                <w:szCs w:val="24"/>
                <w:color w:val="auto"/>
              </w:rPr>
            </w:pPr>
          </w:p>
        </w:tc>
        <w:tc>
          <w:tcPr>
            <w:tcW w:w="280" w:type="dxa"/>
            <w:vAlign w:val="bottom"/>
            <w:tcBorders>
              <w:top w:val="single" w:sz="8" w:color="CCFFCC"/>
            </w:tcBorders>
          </w:tcPr>
          <w:p>
            <w:pPr>
              <w:spacing w:after="0"/>
              <w:rPr>
                <w:sz w:val="24"/>
                <w:szCs w:val="24"/>
                <w:color w:val="auto"/>
              </w:rPr>
            </w:pPr>
          </w:p>
        </w:tc>
        <w:tc>
          <w:tcPr>
            <w:tcW w:w="500" w:type="dxa"/>
            <w:vAlign w:val="bottom"/>
            <w:tcBorders>
              <w:top w:val="single" w:sz="8" w:color="CCFFCC"/>
            </w:tcBorders>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40" w:type="dxa"/>
            <w:vAlign w:val="bottom"/>
            <w:tcBorders>
              <w:top w:val="single" w:sz="8" w:color="CCFFCC"/>
            </w:tcBorders>
          </w:tcPr>
          <w:p>
            <w:pPr>
              <w:spacing w:after="0"/>
              <w:rPr>
                <w:sz w:val="24"/>
                <w:szCs w:val="24"/>
                <w:color w:val="auto"/>
              </w:rPr>
            </w:pPr>
          </w:p>
        </w:tc>
      </w:tr>
      <w:tr>
        <w:trPr>
          <w:trHeight w:val="490"/>
        </w:trPr>
        <w:tc>
          <w:tcPr>
            <w:tcW w:w="8120" w:type="dxa"/>
            <w:vAlign w:val="bottom"/>
            <w:gridSpan w:val="9"/>
          </w:tcPr>
          <w:p>
            <w:pPr>
              <w:spacing w:after="0"/>
              <w:rPr>
                <w:sz w:val="20"/>
                <w:szCs w:val="20"/>
                <w:color w:val="auto"/>
              </w:rPr>
            </w:pPr>
            <w:r>
              <w:rPr>
                <w:rFonts w:ascii="Arial" w:cs="Arial" w:eastAsia="Arial" w:hAnsi="Arial"/>
                <w:sz w:val="18"/>
                <w:szCs w:val="18"/>
                <w:color w:val="auto"/>
                <w:w w:val="97"/>
              </w:rPr>
              <w:t>The Company’s long term financial investments at December 31, 2006 and 2005 consist of the following:</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540"/>
        </w:trPr>
        <w:tc>
          <w:tcPr>
            <w:tcW w:w="5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right"/>
              <w:ind w:right="370"/>
              <w:spacing w:after="0"/>
              <w:rPr>
                <w:sz w:val="20"/>
                <w:szCs w:val="20"/>
                <w:color w:val="auto"/>
              </w:rPr>
            </w:pPr>
            <w:r>
              <w:rPr>
                <w:rFonts w:ascii="Arial" w:cs="Arial" w:eastAsia="Arial" w:hAnsi="Arial"/>
                <w:sz w:val="18"/>
                <w:szCs w:val="18"/>
                <w:b w:val="1"/>
                <w:bCs w:val="1"/>
                <w:color w:val="auto"/>
              </w:rPr>
              <w:t>2005</w:t>
            </w:r>
          </w:p>
        </w:tc>
        <w:tc>
          <w:tcPr>
            <w:tcW w:w="140" w:type="dxa"/>
            <w:vAlign w:val="bottom"/>
          </w:tcPr>
          <w:p>
            <w:pPr>
              <w:spacing w:after="0"/>
              <w:rPr>
                <w:sz w:val="24"/>
                <w:szCs w:val="24"/>
                <w:color w:val="auto"/>
              </w:rPr>
            </w:pPr>
          </w:p>
        </w:tc>
      </w:tr>
      <w:tr>
        <w:trPr>
          <w:trHeight w:val="237"/>
        </w:trPr>
        <w:tc>
          <w:tcPr>
            <w:tcW w:w="5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240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Investments in associates</w:t>
            </w:r>
          </w:p>
        </w:tc>
        <w:tc>
          <w:tcPr>
            <w:tcW w:w="840" w:type="dxa"/>
            <w:vAlign w:val="bottom"/>
            <w:shd w:val="clear" w:color="auto" w:fill="CCFFCC"/>
          </w:tcPr>
          <w:p>
            <w:pPr>
              <w:spacing w:after="0"/>
              <w:rPr>
                <w:sz w:val="21"/>
                <w:szCs w:val="21"/>
                <w:color w:val="auto"/>
              </w:rPr>
            </w:pPr>
          </w:p>
        </w:tc>
        <w:tc>
          <w:tcPr>
            <w:tcW w:w="214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1680" w:type="dxa"/>
            <w:vAlign w:val="bottom"/>
            <w:shd w:val="clear" w:color="auto" w:fill="CCFFCC"/>
          </w:tcPr>
          <w:p>
            <w:pPr>
              <w:spacing w:after="0"/>
              <w:rPr>
                <w:sz w:val="21"/>
                <w:szCs w:val="21"/>
                <w:color w:val="auto"/>
              </w:rPr>
            </w:pPr>
          </w:p>
        </w:tc>
        <w:tc>
          <w:tcPr>
            <w:tcW w:w="280" w:type="dxa"/>
            <w:vAlign w:val="bottom"/>
            <w:shd w:val="clear" w:color="auto" w:fill="CCFFCC"/>
          </w:tcPr>
          <w:p>
            <w:pPr>
              <w:spacing w:after="0"/>
              <w:rPr>
                <w:sz w:val="21"/>
                <w:szCs w:val="21"/>
                <w:color w:val="auto"/>
              </w:rPr>
            </w:pPr>
          </w:p>
        </w:tc>
        <w:tc>
          <w:tcPr>
            <w:tcW w:w="50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960" w:type="dxa"/>
            <w:vAlign w:val="bottom"/>
            <w:shd w:val="clear" w:color="auto" w:fill="CCFFCC"/>
          </w:tcPr>
          <w:p>
            <w:pPr>
              <w:spacing w:after="0"/>
              <w:rPr>
                <w:sz w:val="21"/>
                <w:szCs w:val="21"/>
                <w:color w:val="auto"/>
              </w:rPr>
            </w:pPr>
          </w:p>
        </w:tc>
        <w:tc>
          <w:tcPr>
            <w:tcW w:w="80" w:type="dxa"/>
            <w:vAlign w:val="bottom"/>
            <w:shd w:val="clear" w:color="auto" w:fill="CCFFCC"/>
          </w:tcPr>
          <w:p>
            <w:pPr>
              <w:spacing w:after="0"/>
              <w:rPr>
                <w:sz w:val="21"/>
                <w:szCs w:val="21"/>
                <w:color w:val="auto"/>
              </w:rPr>
            </w:pPr>
          </w:p>
        </w:tc>
        <w:tc>
          <w:tcPr>
            <w:tcW w:w="340" w:type="dxa"/>
            <w:vAlign w:val="bottom"/>
            <w:gridSpan w:val="2"/>
            <w:shd w:val="clear" w:color="auto" w:fill="CCFFC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4</w:t>
            </w:r>
          </w:p>
        </w:tc>
      </w:tr>
      <w:tr>
        <w:trPr>
          <w:trHeight w:val="243"/>
        </w:trPr>
        <w:tc>
          <w:tcPr>
            <w:tcW w:w="5380" w:type="dxa"/>
            <w:vAlign w:val="bottom"/>
            <w:gridSpan w:val="5"/>
          </w:tcPr>
          <w:p>
            <w:pPr>
              <w:spacing w:after="0"/>
              <w:rPr>
                <w:sz w:val="20"/>
                <w:szCs w:val="20"/>
                <w:color w:val="auto"/>
              </w:rPr>
            </w:pPr>
            <w:r>
              <w:rPr>
                <w:rFonts w:ascii="Arial" w:cs="Arial" w:eastAsia="Arial" w:hAnsi="Arial"/>
                <w:sz w:val="18"/>
                <w:szCs w:val="18"/>
                <w:color w:val="auto"/>
              </w:rPr>
              <w:t>GKO (Russian Government obligation)</w:t>
            </w:r>
          </w:p>
        </w:tc>
        <w:tc>
          <w:tcPr>
            <w:tcW w:w="2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22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0</w:t>
            </w:r>
          </w:p>
        </w:tc>
      </w:tr>
      <w:tr>
        <w:trPr>
          <w:trHeight w:val="275"/>
        </w:trPr>
        <w:tc>
          <w:tcPr>
            <w:tcW w:w="2400" w:type="dxa"/>
            <w:vAlign w:val="bottom"/>
            <w:tcBorders>
              <w:bottom w:val="single" w:sz="8" w:color="CCFFCC"/>
            </w:tcBorders>
            <w:gridSpan w:val="3"/>
            <w:shd w:val="clear" w:color="auto" w:fill="CCFFCC"/>
          </w:tcPr>
          <w:p>
            <w:pPr>
              <w:spacing w:after="0"/>
              <w:rPr>
                <w:sz w:val="20"/>
                <w:szCs w:val="20"/>
                <w:color w:val="auto"/>
              </w:rPr>
            </w:pPr>
            <w:r>
              <w:rPr>
                <w:rFonts w:ascii="Arial" w:cs="Arial" w:eastAsia="Arial" w:hAnsi="Arial"/>
                <w:sz w:val="18"/>
                <w:szCs w:val="18"/>
                <w:color w:val="auto"/>
              </w:rPr>
              <w:t>Others</w:t>
            </w:r>
          </w:p>
        </w:tc>
        <w:tc>
          <w:tcPr>
            <w:tcW w:w="840" w:type="dxa"/>
            <w:vAlign w:val="bottom"/>
            <w:tcBorders>
              <w:bottom w:val="single" w:sz="8" w:color="CCFFCC"/>
            </w:tcBorders>
            <w:shd w:val="clear" w:color="auto" w:fill="CCFFCC"/>
          </w:tcPr>
          <w:p>
            <w:pPr>
              <w:spacing w:after="0"/>
              <w:rPr>
                <w:sz w:val="23"/>
                <w:szCs w:val="23"/>
                <w:color w:val="auto"/>
              </w:rPr>
            </w:pPr>
          </w:p>
        </w:tc>
        <w:tc>
          <w:tcPr>
            <w:tcW w:w="2140" w:type="dxa"/>
            <w:vAlign w:val="bottom"/>
            <w:tcBorders>
              <w:bottom w:val="single" w:sz="8" w:color="CCFFCC"/>
            </w:tcBorders>
            <w:shd w:val="clear" w:color="auto" w:fill="CCFFCC"/>
          </w:tcPr>
          <w:p>
            <w:pPr>
              <w:spacing w:after="0"/>
              <w:rPr>
                <w:sz w:val="23"/>
                <w:szCs w:val="23"/>
                <w:color w:val="auto"/>
              </w:rPr>
            </w:pPr>
          </w:p>
        </w:tc>
        <w:tc>
          <w:tcPr>
            <w:tcW w:w="280" w:type="dxa"/>
            <w:vAlign w:val="bottom"/>
            <w:tcBorders>
              <w:bottom w:val="single" w:sz="8" w:color="CCFFCC"/>
            </w:tcBorders>
            <w:shd w:val="clear" w:color="auto" w:fill="CCFFCC"/>
          </w:tcPr>
          <w:p>
            <w:pPr>
              <w:spacing w:after="0"/>
              <w:rPr>
                <w:sz w:val="23"/>
                <w:szCs w:val="23"/>
                <w:color w:val="auto"/>
              </w:rPr>
            </w:pPr>
          </w:p>
        </w:tc>
        <w:tc>
          <w:tcPr>
            <w:tcW w:w="1680" w:type="dxa"/>
            <w:vAlign w:val="bottom"/>
            <w:tcBorders>
              <w:bottom w:val="single" w:sz="8" w:color="CCFFCC"/>
            </w:tcBorders>
            <w:shd w:val="clear" w:color="auto" w:fill="CCFFCC"/>
          </w:tcPr>
          <w:p>
            <w:pPr>
              <w:spacing w:after="0"/>
              <w:rPr>
                <w:sz w:val="23"/>
                <w:szCs w:val="23"/>
                <w:color w:val="auto"/>
              </w:rPr>
            </w:pPr>
          </w:p>
        </w:tc>
        <w:tc>
          <w:tcPr>
            <w:tcW w:w="280" w:type="dxa"/>
            <w:vAlign w:val="bottom"/>
            <w:tcBorders>
              <w:bottom w:val="single" w:sz="8" w:color="CCFFCC"/>
            </w:tcBorders>
            <w:shd w:val="clear" w:color="auto" w:fill="CCFFCC"/>
          </w:tcPr>
          <w:p>
            <w:pPr>
              <w:spacing w:after="0"/>
              <w:rPr>
                <w:sz w:val="23"/>
                <w:szCs w:val="23"/>
                <w:color w:val="auto"/>
              </w:rPr>
            </w:pPr>
          </w:p>
        </w:tc>
        <w:tc>
          <w:tcPr>
            <w:tcW w:w="500" w:type="dxa"/>
            <w:vAlign w:val="bottom"/>
            <w:tcBorders>
              <w:bottom w:val="single" w:sz="8" w:color="CCFFCC"/>
            </w:tcBorders>
            <w:shd w:val="clear" w:color="auto" w:fill="CCFFCC"/>
          </w:tcPr>
          <w:p>
            <w:pPr>
              <w:spacing w:after="0"/>
              <w:rPr>
                <w:sz w:val="23"/>
                <w:szCs w:val="23"/>
                <w:color w:val="auto"/>
              </w:rPr>
            </w:pPr>
          </w:p>
        </w:tc>
        <w:tc>
          <w:tcPr>
            <w:tcW w:w="220" w:type="dxa"/>
            <w:vAlign w:val="bottom"/>
            <w:tcBorders>
              <w:bottom w:val="single" w:sz="8" w:color="CCFFCC"/>
            </w:tcBorders>
            <w:shd w:val="clear" w:color="auto" w:fill="CCFFCC"/>
          </w:tcPr>
          <w:p>
            <w:pPr>
              <w:spacing w:after="0"/>
              <w:rPr>
                <w:sz w:val="23"/>
                <w:szCs w:val="23"/>
                <w:color w:val="auto"/>
              </w:rPr>
            </w:pPr>
          </w:p>
        </w:tc>
        <w:tc>
          <w:tcPr>
            <w:tcW w:w="960" w:type="dxa"/>
            <w:vAlign w:val="bottom"/>
            <w:tcBorders>
              <w:bottom w:val="single" w:sz="8" w:color="CCFFCC"/>
            </w:tcBorders>
            <w:shd w:val="clear" w:color="auto" w:fill="CCFFCC"/>
          </w:tcPr>
          <w:p>
            <w:pPr>
              <w:spacing w:after="0"/>
              <w:rPr>
                <w:sz w:val="23"/>
                <w:szCs w:val="23"/>
                <w:color w:val="auto"/>
              </w:rPr>
            </w:pPr>
          </w:p>
        </w:tc>
        <w:tc>
          <w:tcPr>
            <w:tcW w:w="80" w:type="dxa"/>
            <w:vAlign w:val="bottom"/>
            <w:tcBorders>
              <w:bottom w:val="single" w:sz="8" w:color="CCFFCC"/>
            </w:tcBorders>
            <w:shd w:val="clear" w:color="auto" w:fill="CCFFCC"/>
          </w:tcPr>
          <w:p>
            <w:pPr>
              <w:spacing w:after="0"/>
              <w:rPr>
                <w:sz w:val="23"/>
                <w:szCs w:val="23"/>
                <w:color w:val="auto"/>
              </w:rPr>
            </w:pPr>
          </w:p>
        </w:tc>
        <w:tc>
          <w:tcPr>
            <w:tcW w:w="340" w:type="dxa"/>
            <w:vAlign w:val="bottom"/>
            <w:tcBorders>
              <w:bottom w:val="single" w:sz="8" w:color="CCFFCC"/>
            </w:tcBorders>
            <w:gridSpan w:val="2"/>
            <w:shd w:val="clear" w:color="auto" w:fill="CCFFCC"/>
          </w:tcPr>
          <w:p>
            <w:pPr>
              <w:jc w:val="right"/>
              <w:spacing w:after="0"/>
              <w:rPr>
                <w:sz w:val="20"/>
                <w:szCs w:val="20"/>
                <w:color w:val="auto"/>
              </w:rPr>
            </w:pPr>
            <w:r>
              <w:rPr>
                <w:rFonts w:ascii="Arial" w:cs="Arial" w:eastAsia="Arial" w:hAnsi="Arial"/>
                <w:sz w:val="18"/>
                <w:szCs w:val="18"/>
                <w:color w:val="auto"/>
              </w:rPr>
              <w:t>0</w:t>
            </w:r>
          </w:p>
        </w:tc>
        <w:tc>
          <w:tcPr>
            <w:tcW w:w="220" w:type="dxa"/>
            <w:vAlign w:val="bottom"/>
            <w:tcBorders>
              <w:bottom w:val="single" w:sz="8" w:color="CCFFCC"/>
            </w:tcBorders>
            <w:shd w:val="clear" w:color="auto" w:fill="CCFFCC"/>
          </w:tcPr>
          <w:p>
            <w:pPr>
              <w:spacing w:after="0"/>
              <w:rPr>
                <w:sz w:val="23"/>
                <w:szCs w:val="23"/>
                <w:color w:val="auto"/>
              </w:rPr>
            </w:pPr>
          </w:p>
        </w:tc>
        <w:tc>
          <w:tcPr>
            <w:tcW w:w="14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0</w:t>
            </w:r>
          </w:p>
        </w:tc>
      </w:tr>
      <w:tr>
        <w:trPr>
          <w:trHeight w:val="196"/>
        </w:trPr>
        <w:tc>
          <w:tcPr>
            <w:tcW w:w="5380" w:type="dxa"/>
            <w:vAlign w:val="bottom"/>
            <w:tcBorders>
              <w:top w:val="single" w:sz="8" w:color="CCFFCC"/>
            </w:tcBorders>
            <w:gridSpan w:val="5"/>
          </w:tcPr>
          <w:p>
            <w:pPr>
              <w:ind w:left="500"/>
              <w:spacing w:after="0" w:line="196" w:lineRule="exact"/>
              <w:rPr>
                <w:sz w:val="20"/>
                <w:szCs w:val="20"/>
                <w:color w:val="auto"/>
              </w:rPr>
            </w:pPr>
            <w:r>
              <w:rPr>
                <w:rFonts w:ascii="Arial" w:cs="Arial" w:eastAsia="Arial" w:hAnsi="Arial"/>
                <w:sz w:val="18"/>
                <w:szCs w:val="18"/>
                <w:color w:val="auto"/>
              </w:rPr>
              <w:t>Total Long term financial investments</w:t>
            </w:r>
          </w:p>
        </w:tc>
        <w:tc>
          <w:tcPr>
            <w:tcW w:w="280" w:type="dxa"/>
            <w:vAlign w:val="bottom"/>
            <w:tcBorders>
              <w:top w:val="single" w:sz="8" w:color="CCFFCC"/>
            </w:tcBorders>
          </w:tcPr>
          <w:p>
            <w:pPr>
              <w:spacing w:after="0"/>
              <w:rPr>
                <w:sz w:val="17"/>
                <w:szCs w:val="17"/>
                <w:color w:val="auto"/>
              </w:rPr>
            </w:pPr>
          </w:p>
        </w:tc>
        <w:tc>
          <w:tcPr>
            <w:tcW w:w="1680" w:type="dxa"/>
            <w:vAlign w:val="bottom"/>
            <w:tcBorders>
              <w:top w:val="single" w:sz="8" w:color="CCFFCC"/>
            </w:tcBorders>
          </w:tcPr>
          <w:p>
            <w:pPr>
              <w:spacing w:after="0"/>
              <w:rPr>
                <w:sz w:val="17"/>
                <w:szCs w:val="17"/>
                <w:color w:val="auto"/>
              </w:rPr>
            </w:pPr>
          </w:p>
        </w:tc>
        <w:tc>
          <w:tcPr>
            <w:tcW w:w="280" w:type="dxa"/>
            <w:vAlign w:val="bottom"/>
            <w:tcBorders>
              <w:top w:val="single" w:sz="8" w:color="CCFFCC"/>
            </w:tcBorders>
          </w:tcPr>
          <w:p>
            <w:pPr>
              <w:spacing w:after="0"/>
              <w:rPr>
                <w:sz w:val="17"/>
                <w:szCs w:val="17"/>
                <w:color w:val="auto"/>
              </w:rPr>
            </w:pPr>
          </w:p>
        </w:tc>
        <w:tc>
          <w:tcPr>
            <w:tcW w:w="500" w:type="dxa"/>
            <w:vAlign w:val="bottom"/>
            <w:tcBorders>
              <w:top w:val="single" w:sz="8" w:color="CCFFCC"/>
            </w:tcBorders>
          </w:tcPr>
          <w:p>
            <w:pPr>
              <w:spacing w:after="0"/>
              <w:rPr>
                <w:sz w:val="17"/>
                <w:szCs w:val="17"/>
                <w:color w:val="auto"/>
              </w:rPr>
            </w:pPr>
          </w:p>
        </w:tc>
        <w:tc>
          <w:tcPr>
            <w:tcW w:w="220" w:type="dxa"/>
            <w:vAlign w:val="bottom"/>
            <w:tcBorders>
              <w:top w:val="single" w:sz="8" w:color="CCFFCC"/>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4</w:t>
            </w:r>
          </w:p>
        </w:tc>
        <w:tc>
          <w:tcPr>
            <w:tcW w:w="220" w:type="dxa"/>
            <w:vAlign w:val="bottom"/>
            <w:tcBorders>
              <w:top w:val="single" w:sz="8" w:color="CCFFCC"/>
            </w:tcBorders>
          </w:tcPr>
          <w:p>
            <w:pPr>
              <w:spacing w:after="0"/>
              <w:rPr>
                <w:sz w:val="17"/>
                <w:szCs w:val="17"/>
                <w:color w:val="auto"/>
              </w:rPr>
            </w:pPr>
          </w:p>
        </w:tc>
        <w:tc>
          <w:tcPr>
            <w:tcW w:w="13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w:t>
            </w:r>
          </w:p>
        </w:tc>
        <w:tc>
          <w:tcPr>
            <w:tcW w:w="140" w:type="dxa"/>
            <w:vAlign w:val="bottom"/>
            <w:tcBorders>
              <w:top w:val="single" w:sz="8" w:color="CCFFCC"/>
            </w:tcBorders>
          </w:tcPr>
          <w:p>
            <w:pPr>
              <w:spacing w:after="0"/>
              <w:rPr>
                <w:sz w:val="17"/>
                <w:szCs w:val="17"/>
                <w:color w:val="auto"/>
              </w:rPr>
            </w:pPr>
          </w:p>
        </w:tc>
      </w:tr>
      <w:tr>
        <w:trPr>
          <w:trHeight w:val="21"/>
        </w:trPr>
        <w:tc>
          <w:tcPr>
            <w:tcW w:w="500" w:type="dxa"/>
            <w:vAlign w:val="bottom"/>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75"/>
        </w:trPr>
        <w:tc>
          <w:tcPr>
            <w:tcW w:w="5380" w:type="dxa"/>
            <w:vAlign w:val="bottom"/>
            <w:tcBorders>
              <w:bottom w:val="single" w:sz="8" w:color="CCFFCC"/>
            </w:tcBorders>
            <w:gridSpan w:val="5"/>
            <w:shd w:val="clear" w:color="auto" w:fill="CCFFCC"/>
          </w:tcPr>
          <w:p>
            <w:pPr>
              <w:spacing w:after="0"/>
              <w:rPr>
                <w:sz w:val="20"/>
                <w:szCs w:val="20"/>
                <w:color w:val="auto"/>
              </w:rPr>
            </w:pPr>
            <w:r>
              <w:rPr>
                <w:rFonts w:ascii="Arial" w:cs="Arial" w:eastAsia="Arial" w:hAnsi="Arial"/>
                <w:sz w:val="18"/>
                <w:szCs w:val="18"/>
                <w:color w:val="auto"/>
              </w:rPr>
              <w:t>Provision for loss on investments in associates</w:t>
            </w:r>
          </w:p>
        </w:tc>
        <w:tc>
          <w:tcPr>
            <w:tcW w:w="280" w:type="dxa"/>
            <w:vAlign w:val="bottom"/>
            <w:tcBorders>
              <w:bottom w:val="single" w:sz="8" w:color="CCFFCC"/>
            </w:tcBorders>
            <w:shd w:val="clear" w:color="auto" w:fill="CCFFCC"/>
          </w:tcPr>
          <w:p>
            <w:pPr>
              <w:spacing w:after="0"/>
              <w:rPr>
                <w:sz w:val="23"/>
                <w:szCs w:val="23"/>
                <w:color w:val="auto"/>
              </w:rPr>
            </w:pPr>
          </w:p>
        </w:tc>
        <w:tc>
          <w:tcPr>
            <w:tcW w:w="1680" w:type="dxa"/>
            <w:vAlign w:val="bottom"/>
            <w:tcBorders>
              <w:bottom w:val="single" w:sz="8" w:color="CCFFCC"/>
            </w:tcBorders>
            <w:shd w:val="clear" w:color="auto" w:fill="CCFFCC"/>
          </w:tcPr>
          <w:p>
            <w:pPr>
              <w:spacing w:after="0"/>
              <w:rPr>
                <w:sz w:val="23"/>
                <w:szCs w:val="23"/>
                <w:color w:val="auto"/>
              </w:rPr>
            </w:pPr>
          </w:p>
        </w:tc>
        <w:tc>
          <w:tcPr>
            <w:tcW w:w="280" w:type="dxa"/>
            <w:vAlign w:val="bottom"/>
            <w:tcBorders>
              <w:bottom w:val="single" w:sz="8" w:color="CCFFCC"/>
            </w:tcBorders>
            <w:shd w:val="clear" w:color="auto" w:fill="CCFFCC"/>
          </w:tcPr>
          <w:p>
            <w:pPr>
              <w:spacing w:after="0"/>
              <w:rPr>
                <w:sz w:val="23"/>
                <w:szCs w:val="23"/>
                <w:color w:val="auto"/>
              </w:rPr>
            </w:pPr>
          </w:p>
        </w:tc>
        <w:tc>
          <w:tcPr>
            <w:tcW w:w="500" w:type="dxa"/>
            <w:vAlign w:val="bottom"/>
            <w:tcBorders>
              <w:bottom w:val="single" w:sz="8" w:color="CCFFCC"/>
            </w:tcBorders>
            <w:shd w:val="clear" w:color="auto" w:fill="CCFFCC"/>
          </w:tcPr>
          <w:p>
            <w:pPr>
              <w:spacing w:after="0"/>
              <w:rPr>
                <w:sz w:val="23"/>
                <w:szCs w:val="23"/>
                <w:color w:val="auto"/>
              </w:rPr>
            </w:pPr>
          </w:p>
        </w:tc>
        <w:tc>
          <w:tcPr>
            <w:tcW w:w="220" w:type="dxa"/>
            <w:vAlign w:val="bottom"/>
            <w:tcBorders>
              <w:bottom w:val="single" w:sz="8" w:color="CCFFCC"/>
            </w:tcBorders>
            <w:shd w:val="clear" w:color="auto" w:fill="CCFFCC"/>
          </w:tcPr>
          <w:p>
            <w:pPr>
              <w:spacing w:after="0"/>
              <w:rPr>
                <w:sz w:val="23"/>
                <w:szCs w:val="23"/>
                <w:color w:val="auto"/>
              </w:rPr>
            </w:pPr>
          </w:p>
        </w:tc>
        <w:tc>
          <w:tcPr>
            <w:tcW w:w="960" w:type="dxa"/>
            <w:vAlign w:val="bottom"/>
            <w:tcBorders>
              <w:bottom w:val="single" w:sz="8" w:color="CCFFCC"/>
            </w:tcBorders>
            <w:shd w:val="clear" w:color="auto" w:fill="CCFFCC"/>
          </w:tcPr>
          <w:p>
            <w:pPr>
              <w:spacing w:after="0"/>
              <w:rPr>
                <w:sz w:val="23"/>
                <w:szCs w:val="23"/>
                <w:color w:val="auto"/>
              </w:rPr>
            </w:pPr>
          </w:p>
        </w:tc>
        <w:tc>
          <w:tcPr>
            <w:tcW w:w="80" w:type="dxa"/>
            <w:vAlign w:val="bottom"/>
            <w:tcBorders>
              <w:bottom w:val="single" w:sz="8" w:color="CCFFCC"/>
            </w:tcBorders>
            <w:shd w:val="clear" w:color="auto" w:fill="CCFFCC"/>
          </w:tcPr>
          <w:p>
            <w:pPr>
              <w:spacing w:after="0"/>
              <w:rPr>
                <w:sz w:val="23"/>
                <w:szCs w:val="23"/>
                <w:color w:val="auto"/>
              </w:rPr>
            </w:pPr>
          </w:p>
        </w:tc>
        <w:tc>
          <w:tcPr>
            <w:tcW w:w="560" w:type="dxa"/>
            <w:vAlign w:val="bottom"/>
            <w:tcBorders>
              <w:bottom w:val="single" w:sz="8" w:color="CCFFCC"/>
            </w:tcBorders>
            <w:gridSpan w:val="3"/>
            <w:shd w:val="clear" w:color="auto" w:fill="CCFFCC"/>
          </w:tcPr>
          <w:p>
            <w:pPr>
              <w:jc w:val="right"/>
              <w:ind w:right="160"/>
              <w:spacing w:after="0"/>
              <w:rPr>
                <w:sz w:val="20"/>
                <w:szCs w:val="20"/>
                <w:color w:val="auto"/>
              </w:rPr>
            </w:pPr>
            <w:r>
              <w:rPr>
                <w:rFonts w:ascii="Arial" w:cs="Arial" w:eastAsia="Arial" w:hAnsi="Arial"/>
                <w:sz w:val="18"/>
                <w:szCs w:val="18"/>
                <w:color w:val="auto"/>
              </w:rPr>
              <w:t>(4)</w:t>
            </w:r>
          </w:p>
        </w:tc>
        <w:tc>
          <w:tcPr>
            <w:tcW w:w="1480" w:type="dxa"/>
            <w:vAlign w:val="bottom"/>
            <w:tcBorders>
              <w:bottom w:val="single" w:sz="8" w:color="CCFFCC"/>
            </w:tcBorders>
            <w:gridSpan w:val="2"/>
            <w:shd w:val="clear" w:color="auto" w:fill="CCFFCC"/>
          </w:tcPr>
          <w:p>
            <w:pPr>
              <w:jc w:val="right"/>
              <w:ind w:right="40"/>
              <w:spacing w:after="0"/>
              <w:rPr>
                <w:sz w:val="20"/>
                <w:szCs w:val="20"/>
                <w:color w:val="auto"/>
              </w:rPr>
            </w:pPr>
            <w:r>
              <w:rPr>
                <w:rFonts w:ascii="Arial" w:cs="Arial" w:eastAsia="Arial" w:hAnsi="Arial"/>
                <w:sz w:val="18"/>
                <w:szCs w:val="18"/>
                <w:color w:val="auto"/>
              </w:rPr>
              <w:t>(4)</w:t>
            </w:r>
          </w:p>
        </w:tc>
      </w:tr>
      <w:tr>
        <w:trPr>
          <w:trHeight w:val="264"/>
        </w:trPr>
        <w:tc>
          <w:tcPr>
            <w:tcW w:w="500" w:type="dxa"/>
            <w:vAlign w:val="bottom"/>
            <w:tcBorders>
              <w:top w:val="single" w:sz="8" w:color="CCFFCC"/>
            </w:tcBorders>
          </w:tcPr>
          <w:p>
            <w:pPr>
              <w:spacing w:after="0"/>
              <w:rPr>
                <w:sz w:val="22"/>
                <w:szCs w:val="22"/>
                <w:color w:val="auto"/>
              </w:rPr>
            </w:pPr>
          </w:p>
        </w:tc>
        <w:tc>
          <w:tcPr>
            <w:tcW w:w="1620" w:type="dxa"/>
            <w:vAlign w:val="bottom"/>
            <w:tcBorders>
              <w:top w:val="single" w:sz="8" w:color="CCFFCC"/>
            </w:tcBorders>
          </w:tcPr>
          <w:p>
            <w:pPr>
              <w:spacing w:after="0"/>
              <w:rPr>
                <w:sz w:val="22"/>
                <w:szCs w:val="22"/>
                <w:color w:val="auto"/>
              </w:rPr>
            </w:pPr>
          </w:p>
        </w:tc>
        <w:tc>
          <w:tcPr>
            <w:tcW w:w="280" w:type="dxa"/>
            <w:vAlign w:val="bottom"/>
            <w:tcBorders>
              <w:top w:val="single" w:sz="8" w:color="CCFFCC"/>
            </w:tcBorders>
          </w:tcPr>
          <w:p>
            <w:pPr>
              <w:spacing w:after="0"/>
              <w:rPr>
                <w:sz w:val="22"/>
                <w:szCs w:val="22"/>
                <w:color w:val="auto"/>
              </w:rPr>
            </w:pPr>
          </w:p>
        </w:tc>
        <w:tc>
          <w:tcPr>
            <w:tcW w:w="840" w:type="dxa"/>
            <w:vAlign w:val="bottom"/>
            <w:tcBorders>
              <w:top w:val="single" w:sz="8" w:color="CCFFCC"/>
            </w:tcBorders>
          </w:tcPr>
          <w:p>
            <w:pPr>
              <w:spacing w:after="0"/>
              <w:rPr>
                <w:sz w:val="22"/>
                <w:szCs w:val="22"/>
                <w:color w:val="auto"/>
              </w:rPr>
            </w:pPr>
          </w:p>
        </w:tc>
        <w:tc>
          <w:tcPr>
            <w:tcW w:w="2140" w:type="dxa"/>
            <w:vAlign w:val="bottom"/>
            <w:tcBorders>
              <w:top w:val="single" w:sz="8" w:color="CCFFCC"/>
            </w:tcBorders>
          </w:tcPr>
          <w:p>
            <w:pPr>
              <w:spacing w:after="0"/>
              <w:rPr>
                <w:sz w:val="22"/>
                <w:szCs w:val="22"/>
                <w:color w:val="auto"/>
              </w:rPr>
            </w:pPr>
          </w:p>
        </w:tc>
        <w:tc>
          <w:tcPr>
            <w:tcW w:w="280" w:type="dxa"/>
            <w:vAlign w:val="bottom"/>
            <w:tcBorders>
              <w:top w:val="single" w:sz="8" w:color="CCFFCC"/>
            </w:tcBorders>
          </w:tcPr>
          <w:p>
            <w:pPr>
              <w:spacing w:after="0"/>
              <w:rPr>
                <w:sz w:val="22"/>
                <w:szCs w:val="22"/>
                <w:color w:val="auto"/>
              </w:rPr>
            </w:pPr>
          </w:p>
        </w:tc>
        <w:tc>
          <w:tcPr>
            <w:tcW w:w="1680" w:type="dxa"/>
            <w:vAlign w:val="bottom"/>
            <w:tcBorders>
              <w:top w:val="single" w:sz="8" w:color="CCFFCC"/>
            </w:tcBorders>
          </w:tcPr>
          <w:p>
            <w:pPr>
              <w:spacing w:after="0"/>
              <w:rPr>
                <w:sz w:val="22"/>
                <w:szCs w:val="22"/>
                <w:color w:val="auto"/>
              </w:rPr>
            </w:pPr>
          </w:p>
        </w:tc>
        <w:tc>
          <w:tcPr>
            <w:tcW w:w="280" w:type="dxa"/>
            <w:vAlign w:val="bottom"/>
            <w:tcBorders>
              <w:top w:val="single" w:sz="8" w:color="CCFFCC"/>
            </w:tcBorders>
          </w:tcPr>
          <w:p>
            <w:pPr>
              <w:spacing w:after="0"/>
              <w:rPr>
                <w:sz w:val="22"/>
                <w:szCs w:val="22"/>
                <w:color w:val="auto"/>
              </w:rPr>
            </w:pPr>
          </w:p>
        </w:tc>
        <w:tc>
          <w:tcPr>
            <w:tcW w:w="500" w:type="dxa"/>
            <w:vAlign w:val="bottom"/>
            <w:tcBorders>
              <w:top w:val="single" w:sz="8" w:color="CCFFCC"/>
            </w:tcBorders>
          </w:tcPr>
          <w:p>
            <w:pPr>
              <w:spacing w:after="0"/>
              <w:rPr>
                <w:sz w:val="22"/>
                <w:szCs w:val="22"/>
                <w:color w:val="auto"/>
              </w:rPr>
            </w:pPr>
          </w:p>
        </w:tc>
        <w:tc>
          <w:tcPr>
            <w:tcW w:w="220" w:type="dxa"/>
            <w:vAlign w:val="bottom"/>
            <w:tcBorders>
              <w:top w:val="single" w:sz="8" w:color="CCFFCC"/>
            </w:tcBorders>
          </w:tcPr>
          <w:p>
            <w:pPr>
              <w:spacing w:after="0"/>
              <w:rPr>
                <w:sz w:val="22"/>
                <w:szCs w:val="22"/>
                <w:color w:val="auto"/>
              </w:rPr>
            </w:pPr>
          </w:p>
        </w:tc>
        <w:tc>
          <w:tcPr>
            <w:tcW w:w="960" w:type="dxa"/>
            <w:vAlign w:val="bottom"/>
            <w:tcBorders>
              <w:top w:val="single" w:sz="8" w:color="auto"/>
              <w:bottom w:val="single" w:sz="8" w:color="auto"/>
            </w:tcBorders>
          </w:tcPr>
          <w:p>
            <w:pPr>
              <w:jc w:val="right"/>
              <w:ind w:right="770"/>
              <w:spacing w:after="0"/>
              <w:rPr>
                <w:sz w:val="20"/>
                <w:szCs w:val="20"/>
                <w:color w:val="auto"/>
              </w:rPr>
            </w:pPr>
            <w:r>
              <w:rPr>
                <w:rFonts w:ascii="Arial" w:cs="Arial" w:eastAsia="Arial" w:hAnsi="Arial"/>
                <w:sz w:val="18"/>
                <w:szCs w:val="18"/>
                <w:b w:val="1"/>
                <w:bCs w:val="1"/>
                <w:color w:val="auto"/>
                <w:w w:val="79"/>
              </w:rPr>
              <w:t>$</w:t>
            </w:r>
          </w:p>
        </w:tc>
        <w:tc>
          <w:tcPr>
            <w:tcW w:w="8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0</w:t>
            </w:r>
          </w:p>
        </w:tc>
        <w:tc>
          <w:tcPr>
            <w:tcW w:w="220" w:type="dxa"/>
            <w:vAlign w:val="bottom"/>
            <w:tcBorders>
              <w:top w:val="single" w:sz="8" w:color="CCFFCC"/>
            </w:tcBorders>
          </w:tcPr>
          <w:p>
            <w:pPr>
              <w:spacing w:after="0"/>
              <w:rPr>
                <w:sz w:val="22"/>
                <w:szCs w:val="2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w:t>
            </w:r>
          </w:p>
        </w:tc>
        <w:tc>
          <w:tcPr>
            <w:tcW w:w="140" w:type="dxa"/>
            <w:vAlign w:val="bottom"/>
            <w:tcBorders>
              <w:top w:val="single" w:sz="8" w:color="CCFFCC"/>
            </w:tcBorders>
          </w:tcPr>
          <w:p>
            <w:pPr>
              <w:spacing w:after="0"/>
              <w:rPr>
                <w:sz w:val="22"/>
                <w:szCs w:val="22"/>
                <w:color w:val="auto"/>
              </w:rPr>
            </w:pPr>
          </w:p>
        </w:tc>
      </w:tr>
      <w:tr>
        <w:trPr>
          <w:trHeight w:val="480"/>
        </w:trPr>
        <w:tc>
          <w:tcPr>
            <w:tcW w:w="8120" w:type="dxa"/>
            <w:vAlign w:val="bottom"/>
            <w:gridSpan w:val="9"/>
          </w:tcPr>
          <w:p>
            <w:pPr>
              <w:spacing w:after="0"/>
              <w:rPr>
                <w:sz w:val="20"/>
                <w:szCs w:val="20"/>
                <w:color w:val="auto"/>
              </w:rPr>
            </w:pPr>
            <w:r>
              <w:rPr>
                <w:rFonts w:ascii="Arial" w:cs="Arial" w:eastAsia="Arial" w:hAnsi="Arial"/>
                <w:sz w:val="18"/>
                <w:szCs w:val="18"/>
                <w:color w:val="auto"/>
              </w:rPr>
              <w:t>The associated companies, all registered in Russia, in which investments are held, are as follows:</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540"/>
        </w:trPr>
        <w:tc>
          <w:tcPr>
            <w:tcW w:w="500" w:type="dxa"/>
            <w:vAlign w:val="bottom"/>
          </w:tcPr>
          <w:p>
            <w:pPr>
              <w:spacing w:after="0"/>
              <w:rPr>
                <w:sz w:val="24"/>
                <w:szCs w:val="24"/>
                <w:color w:val="auto"/>
              </w:rPr>
            </w:pPr>
          </w:p>
        </w:tc>
        <w:tc>
          <w:tcPr>
            <w:tcW w:w="1900" w:type="dxa"/>
            <w:vAlign w:val="bottom"/>
            <w:gridSpan w:val="2"/>
          </w:tcPr>
          <w:p>
            <w:pPr>
              <w:ind w:left="340"/>
              <w:spacing w:after="0"/>
              <w:rPr>
                <w:sz w:val="20"/>
                <w:szCs w:val="20"/>
                <w:color w:val="auto"/>
              </w:rPr>
            </w:pPr>
            <w:r>
              <w:rPr>
                <w:rFonts w:ascii="Arial" w:cs="Arial" w:eastAsia="Arial" w:hAnsi="Arial"/>
                <w:sz w:val="18"/>
                <w:szCs w:val="18"/>
                <w:b w:val="1"/>
                <w:bCs w:val="1"/>
                <w:color w:val="auto"/>
              </w:rPr>
              <w:t>Name</w:t>
            </w:r>
          </w:p>
        </w:tc>
        <w:tc>
          <w:tcPr>
            <w:tcW w:w="2980" w:type="dxa"/>
            <w:vAlign w:val="bottom"/>
            <w:gridSpan w:val="2"/>
          </w:tcPr>
          <w:p>
            <w:pPr>
              <w:ind w:left="780"/>
              <w:spacing w:after="0"/>
              <w:rPr>
                <w:sz w:val="20"/>
                <w:szCs w:val="20"/>
                <w:color w:val="auto"/>
              </w:rPr>
            </w:pPr>
            <w:r>
              <w:rPr>
                <w:rFonts w:ascii="Arial" w:cs="Arial" w:eastAsia="Arial" w:hAnsi="Arial"/>
                <w:sz w:val="18"/>
                <w:szCs w:val="18"/>
                <w:b w:val="1"/>
                <w:bCs w:val="1"/>
                <w:color w:val="auto"/>
              </w:rPr>
              <w:t>Nature of business</w:t>
            </w:r>
          </w:p>
        </w:tc>
        <w:tc>
          <w:tcPr>
            <w:tcW w:w="280" w:type="dxa"/>
            <w:vAlign w:val="bottom"/>
          </w:tcPr>
          <w:p>
            <w:pPr>
              <w:spacing w:after="0"/>
              <w:rPr>
                <w:sz w:val="24"/>
                <w:szCs w:val="24"/>
                <w:color w:val="auto"/>
              </w:rPr>
            </w:pPr>
          </w:p>
        </w:tc>
        <w:tc>
          <w:tcPr>
            <w:tcW w:w="2460" w:type="dxa"/>
            <w:vAlign w:val="bottom"/>
            <w:gridSpan w:val="3"/>
          </w:tcPr>
          <w:p>
            <w:pPr>
              <w:jc w:val="right"/>
              <w:ind w:right="1060"/>
              <w:spacing w:after="0"/>
              <w:rPr>
                <w:sz w:val="20"/>
                <w:szCs w:val="20"/>
                <w:color w:val="auto"/>
              </w:rPr>
            </w:pPr>
            <w:r>
              <w:rPr>
                <w:rFonts w:ascii="Arial" w:cs="Arial" w:eastAsia="Arial" w:hAnsi="Arial"/>
                <w:sz w:val="18"/>
                <w:szCs w:val="18"/>
                <w:b w:val="1"/>
                <w:bCs w:val="1"/>
                <w:color w:val="auto"/>
              </w:rPr>
              <w:t>% Equity held</w:t>
            </w:r>
          </w:p>
        </w:tc>
        <w:tc>
          <w:tcPr>
            <w:tcW w:w="1180" w:type="dxa"/>
            <w:vAlign w:val="bottom"/>
            <w:gridSpan w:val="2"/>
          </w:tcPr>
          <w:p>
            <w:pPr>
              <w:jc w:val="right"/>
              <w:ind w:right="570"/>
              <w:spacing w:after="0"/>
              <w:rPr>
                <w:sz w:val="20"/>
                <w:szCs w:val="20"/>
                <w:color w:val="auto"/>
              </w:rPr>
            </w:pPr>
            <w:r>
              <w:rPr>
                <w:rFonts w:ascii="Arial" w:cs="Arial" w:eastAsia="Arial" w:hAnsi="Arial"/>
                <w:sz w:val="18"/>
                <w:szCs w:val="18"/>
                <w:b w:val="1"/>
                <w:bCs w:val="1"/>
                <w:color w:val="auto"/>
              </w:rPr>
              <w:t>2006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right"/>
              <w:ind w:right="590"/>
              <w:spacing w:after="0"/>
              <w:rPr>
                <w:sz w:val="20"/>
                <w:szCs w:val="20"/>
                <w:color w:val="auto"/>
              </w:rPr>
            </w:pPr>
            <w:r>
              <w:rPr>
                <w:rFonts w:ascii="Arial" w:cs="Arial" w:eastAsia="Arial" w:hAnsi="Arial"/>
                <w:sz w:val="18"/>
                <w:szCs w:val="18"/>
                <w:b w:val="1"/>
                <w:bCs w:val="1"/>
                <w:color w:val="auto"/>
              </w:rPr>
              <w:t>2005</w:t>
            </w:r>
          </w:p>
        </w:tc>
        <w:tc>
          <w:tcPr>
            <w:tcW w:w="140" w:type="dxa"/>
            <w:vAlign w:val="bottom"/>
          </w:tcPr>
          <w:p>
            <w:pPr>
              <w:spacing w:after="0"/>
              <w:rPr>
                <w:sz w:val="24"/>
                <w:szCs w:val="24"/>
                <w:color w:val="auto"/>
              </w:rPr>
            </w:pPr>
          </w:p>
        </w:tc>
      </w:tr>
      <w:tr>
        <w:trPr>
          <w:trHeight w:val="237"/>
        </w:trPr>
        <w:tc>
          <w:tcPr>
            <w:tcW w:w="5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14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68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r>
      <w:tr>
        <w:trPr>
          <w:trHeight w:val="243"/>
        </w:trPr>
        <w:tc>
          <w:tcPr>
            <w:tcW w:w="2400" w:type="dxa"/>
            <w:vAlign w:val="bottom"/>
            <w:gridSpan w:val="3"/>
            <w:shd w:val="clear" w:color="auto" w:fill="CCFFCC"/>
          </w:tcPr>
          <w:p>
            <w:pPr>
              <w:spacing w:after="0"/>
              <w:rPr>
                <w:sz w:val="20"/>
                <w:szCs w:val="20"/>
                <w:color w:val="auto"/>
              </w:rPr>
            </w:pPr>
            <w:r>
              <w:rPr>
                <w:rFonts w:ascii="Arial" w:cs="Arial" w:eastAsia="Arial" w:hAnsi="Arial"/>
                <w:sz w:val="18"/>
                <w:szCs w:val="18"/>
                <w:color w:val="auto"/>
              </w:rPr>
              <w:t>MOST - 1</w:t>
            </w:r>
          </w:p>
        </w:tc>
        <w:tc>
          <w:tcPr>
            <w:tcW w:w="2980" w:type="dxa"/>
            <w:vAlign w:val="bottom"/>
            <w:gridSpan w:val="2"/>
            <w:shd w:val="clear" w:color="auto" w:fill="CCFFCC"/>
          </w:tcPr>
          <w:p>
            <w:pPr>
              <w:ind w:left="140"/>
              <w:spacing w:after="0"/>
              <w:rPr>
                <w:sz w:val="20"/>
                <w:szCs w:val="20"/>
                <w:color w:val="auto"/>
              </w:rPr>
            </w:pPr>
            <w:r>
              <w:rPr>
                <w:rFonts w:ascii="Arial" w:cs="Arial" w:eastAsia="Arial" w:hAnsi="Arial"/>
                <w:sz w:val="18"/>
                <w:szCs w:val="18"/>
                <w:color w:val="auto"/>
              </w:rPr>
              <w:t>Production of quartz crystals</w:t>
            </w:r>
          </w:p>
        </w:tc>
        <w:tc>
          <w:tcPr>
            <w:tcW w:w="2240" w:type="dxa"/>
            <w:vAlign w:val="bottom"/>
            <w:gridSpan w:val="3"/>
            <w:shd w:val="clear" w:color="auto" w:fill="CCFFCC"/>
          </w:tcPr>
          <w:p>
            <w:pPr>
              <w:jc w:val="right"/>
              <w:ind w:right="30"/>
              <w:spacing w:after="0"/>
              <w:rPr>
                <w:sz w:val="20"/>
                <w:szCs w:val="20"/>
                <w:color w:val="auto"/>
              </w:rPr>
            </w:pPr>
            <w:r>
              <w:rPr>
                <w:rFonts w:ascii="Arial" w:cs="Arial" w:eastAsia="Arial" w:hAnsi="Arial"/>
                <w:sz w:val="18"/>
                <w:szCs w:val="18"/>
                <w:color w:val="auto"/>
              </w:rPr>
              <w:t>30%</w:t>
            </w:r>
          </w:p>
        </w:tc>
        <w:tc>
          <w:tcPr>
            <w:tcW w:w="500" w:type="dxa"/>
            <w:vAlign w:val="bottom"/>
            <w:shd w:val="clear" w:color="auto" w:fill="CCFFCC"/>
          </w:tcPr>
          <w:p>
            <w:pPr>
              <w:spacing w:after="0"/>
              <w:rPr>
                <w:sz w:val="21"/>
                <w:szCs w:val="21"/>
                <w:color w:val="auto"/>
              </w:rPr>
            </w:pPr>
          </w:p>
        </w:tc>
        <w:tc>
          <w:tcPr>
            <w:tcW w:w="1260" w:type="dxa"/>
            <w:vAlign w:val="bottom"/>
            <w:gridSpan w:val="3"/>
            <w:shd w:val="clear" w:color="auto" w:fill="CCFFCC"/>
          </w:tcPr>
          <w:p>
            <w:pPr>
              <w:jc w:val="right"/>
              <w:ind w:right="8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FFCC"/>
          </w:tcPr>
          <w:p>
            <w:pPr>
              <w:spacing w:after="0"/>
              <w:rPr>
                <w:sz w:val="21"/>
                <w:szCs w:val="21"/>
                <w:color w:val="auto"/>
              </w:rPr>
            </w:pPr>
          </w:p>
        </w:tc>
        <w:tc>
          <w:tcPr>
            <w:tcW w:w="1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134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left w:val="single" w:sz="8" w:color="CCFFCC"/>
            </w:tcBorders>
            <w:shd w:val="clear" w:color="auto" w:fill="CCFFCC"/>
          </w:tcPr>
          <w:p>
            <w:pPr>
              <w:spacing w:after="0"/>
              <w:rPr>
                <w:sz w:val="21"/>
                <w:szCs w:val="21"/>
                <w:color w:val="auto"/>
              </w:rPr>
            </w:pPr>
          </w:p>
        </w:tc>
      </w:tr>
      <w:tr>
        <w:trPr>
          <w:trHeight w:val="270"/>
        </w:trPr>
        <w:tc>
          <w:tcPr>
            <w:tcW w:w="2400" w:type="dxa"/>
            <w:vAlign w:val="bottom"/>
            <w:gridSpan w:val="3"/>
          </w:tcPr>
          <w:p>
            <w:pPr>
              <w:spacing w:after="0"/>
              <w:rPr>
                <w:sz w:val="20"/>
                <w:szCs w:val="20"/>
                <w:color w:val="auto"/>
              </w:rPr>
            </w:pPr>
            <w:r>
              <w:rPr>
                <w:rFonts w:ascii="Arial" w:cs="Arial" w:eastAsia="Arial" w:hAnsi="Arial"/>
                <w:sz w:val="18"/>
                <w:szCs w:val="18"/>
                <w:color w:val="auto"/>
              </w:rPr>
              <w:t>MOST - 2</w:t>
            </w:r>
          </w:p>
        </w:tc>
        <w:tc>
          <w:tcPr>
            <w:tcW w:w="2980" w:type="dxa"/>
            <w:vAlign w:val="bottom"/>
            <w:gridSpan w:val="2"/>
          </w:tcPr>
          <w:p>
            <w:pPr>
              <w:ind w:left="140"/>
              <w:spacing w:after="0"/>
              <w:rPr>
                <w:sz w:val="20"/>
                <w:szCs w:val="20"/>
                <w:color w:val="auto"/>
              </w:rPr>
            </w:pPr>
            <w:r>
              <w:rPr>
                <w:rFonts w:ascii="Arial" w:cs="Arial" w:eastAsia="Arial" w:hAnsi="Arial"/>
                <w:sz w:val="18"/>
                <w:szCs w:val="18"/>
                <w:color w:val="auto"/>
              </w:rPr>
              <w:t>Production of quartz resonators</w:t>
            </w:r>
          </w:p>
        </w:tc>
        <w:tc>
          <w:tcPr>
            <w:tcW w:w="280" w:type="dxa"/>
            <w:vAlign w:val="bottom"/>
          </w:tcPr>
          <w:p>
            <w:pPr>
              <w:spacing w:after="0"/>
              <w:rPr>
                <w:sz w:val="23"/>
                <w:szCs w:val="23"/>
                <w:color w:val="auto"/>
              </w:rPr>
            </w:pPr>
          </w:p>
        </w:tc>
        <w:tc>
          <w:tcPr>
            <w:tcW w:w="1960" w:type="dxa"/>
            <w:vAlign w:val="bottom"/>
            <w:gridSpan w:val="2"/>
          </w:tcPr>
          <w:p>
            <w:pPr>
              <w:jc w:val="right"/>
              <w:ind w:right="30"/>
              <w:spacing w:after="0"/>
              <w:rPr>
                <w:sz w:val="20"/>
                <w:szCs w:val="20"/>
                <w:color w:val="auto"/>
              </w:rPr>
            </w:pPr>
            <w:r>
              <w:rPr>
                <w:rFonts w:ascii="Arial" w:cs="Arial" w:eastAsia="Arial" w:hAnsi="Arial"/>
                <w:sz w:val="18"/>
                <w:szCs w:val="18"/>
                <w:color w:val="auto"/>
              </w:rPr>
              <w:t>40%</w:t>
            </w:r>
          </w:p>
        </w:tc>
        <w:tc>
          <w:tcPr>
            <w:tcW w:w="500" w:type="dxa"/>
            <w:vAlign w:val="bottom"/>
          </w:tcPr>
          <w:p>
            <w:pPr>
              <w:spacing w:after="0"/>
              <w:rPr>
                <w:sz w:val="23"/>
                <w:szCs w:val="23"/>
                <w:color w:val="auto"/>
              </w:rPr>
            </w:pPr>
          </w:p>
        </w:tc>
        <w:tc>
          <w:tcPr>
            <w:tcW w:w="1260" w:type="dxa"/>
            <w:vAlign w:val="bottom"/>
            <w:gridSpan w:val="3"/>
          </w:tcPr>
          <w:p>
            <w:pPr>
              <w:jc w:val="right"/>
              <w:ind w:right="8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3"/>
                <w:szCs w:val="23"/>
                <w:color w:val="auto"/>
              </w:rPr>
            </w:pPr>
          </w:p>
        </w:tc>
      </w:tr>
      <w:tr>
        <w:trPr>
          <w:trHeight w:val="20"/>
        </w:trPr>
        <w:tc>
          <w:tcPr>
            <w:tcW w:w="5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18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44"/>
        </w:trPr>
        <w:tc>
          <w:tcPr>
            <w:tcW w:w="500" w:type="dxa"/>
            <w:vAlign w:val="bottom"/>
            <w:tcBorders>
              <w:bottom w:val="single" w:sz="8" w:color="CCFFCC"/>
            </w:tcBorders>
            <w:shd w:val="clear" w:color="auto" w:fill="CCFFCC"/>
          </w:tcPr>
          <w:p>
            <w:pPr>
              <w:spacing w:after="0"/>
              <w:rPr>
                <w:sz w:val="21"/>
                <w:szCs w:val="21"/>
                <w:color w:val="auto"/>
              </w:rPr>
            </w:pPr>
          </w:p>
        </w:tc>
        <w:tc>
          <w:tcPr>
            <w:tcW w:w="162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CCFFCC"/>
            </w:tcBorders>
            <w:shd w:val="clear" w:color="auto" w:fill="CCFFCC"/>
          </w:tcPr>
          <w:p>
            <w:pPr>
              <w:spacing w:after="0"/>
              <w:rPr>
                <w:sz w:val="21"/>
                <w:szCs w:val="21"/>
                <w:color w:val="auto"/>
              </w:rPr>
            </w:pPr>
          </w:p>
        </w:tc>
        <w:tc>
          <w:tcPr>
            <w:tcW w:w="840" w:type="dxa"/>
            <w:vAlign w:val="bottom"/>
            <w:tcBorders>
              <w:bottom w:val="single" w:sz="8" w:color="CCFFCC"/>
            </w:tcBorders>
            <w:shd w:val="clear" w:color="auto" w:fill="CCFFCC"/>
          </w:tcPr>
          <w:p>
            <w:pPr>
              <w:spacing w:after="0"/>
              <w:rPr>
                <w:sz w:val="21"/>
                <w:szCs w:val="21"/>
                <w:color w:val="auto"/>
              </w:rPr>
            </w:pPr>
          </w:p>
        </w:tc>
        <w:tc>
          <w:tcPr>
            <w:tcW w:w="2140" w:type="dxa"/>
            <w:vAlign w:val="bottom"/>
            <w:tcBorders>
              <w:bottom w:val="single" w:sz="8" w:color="CCFFCC"/>
            </w:tcBorders>
            <w:shd w:val="clear" w:color="auto" w:fill="CCFFCC"/>
          </w:tcPr>
          <w:p>
            <w:pPr>
              <w:spacing w:after="0"/>
              <w:rPr>
                <w:sz w:val="21"/>
                <w:szCs w:val="21"/>
                <w:color w:val="auto"/>
              </w:rPr>
            </w:pPr>
          </w:p>
        </w:tc>
        <w:tc>
          <w:tcPr>
            <w:tcW w:w="280" w:type="dxa"/>
            <w:vAlign w:val="bottom"/>
            <w:tcBorders>
              <w:bottom w:val="single" w:sz="8" w:color="CCFFCC"/>
            </w:tcBorders>
            <w:shd w:val="clear" w:color="auto" w:fill="CCFFCC"/>
          </w:tcPr>
          <w:p>
            <w:pPr>
              <w:spacing w:after="0"/>
              <w:rPr>
                <w:sz w:val="21"/>
                <w:szCs w:val="21"/>
                <w:color w:val="auto"/>
              </w:rPr>
            </w:pPr>
          </w:p>
        </w:tc>
        <w:tc>
          <w:tcPr>
            <w:tcW w:w="1680" w:type="dxa"/>
            <w:vAlign w:val="bottom"/>
            <w:tcBorders>
              <w:bottom w:val="single" w:sz="8" w:color="CCFFCC"/>
            </w:tcBorders>
            <w:shd w:val="clear" w:color="auto" w:fill="CCFFCC"/>
          </w:tcPr>
          <w:p>
            <w:pPr>
              <w:spacing w:after="0"/>
              <w:rPr>
                <w:sz w:val="21"/>
                <w:szCs w:val="21"/>
                <w:color w:val="auto"/>
              </w:rPr>
            </w:pPr>
          </w:p>
        </w:tc>
        <w:tc>
          <w:tcPr>
            <w:tcW w:w="780" w:type="dxa"/>
            <w:vAlign w:val="bottom"/>
            <w:tcBorders>
              <w:bottom w:val="single" w:sz="8" w:color="CCFFCC"/>
            </w:tcBorders>
            <w:gridSpan w:val="2"/>
            <w:shd w:val="clear" w:color="auto" w:fill="CCFFCC"/>
          </w:tcPr>
          <w:p>
            <w:pPr>
              <w:jc w:val="right"/>
              <w:ind w:right="42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CCFFCC"/>
            </w:tcBorders>
            <w:gridSpan w:val="3"/>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4</w:t>
            </w:r>
          </w:p>
        </w:tc>
        <w:tc>
          <w:tcPr>
            <w:tcW w:w="180" w:type="dxa"/>
            <w:vAlign w:val="bottom"/>
            <w:tcBorders>
              <w:bottom w:val="single" w:sz="8" w:color="CCFFCC"/>
            </w:tcBorders>
            <w:shd w:val="clear" w:color="auto" w:fill="CCFFCC"/>
          </w:tcPr>
          <w:p>
            <w:pPr>
              <w:spacing w:after="0"/>
              <w:rPr>
                <w:sz w:val="21"/>
                <w:szCs w:val="21"/>
                <w:color w:val="auto"/>
              </w:rPr>
            </w:pPr>
          </w:p>
        </w:tc>
        <w:tc>
          <w:tcPr>
            <w:tcW w:w="160" w:type="dxa"/>
            <w:vAlign w:val="bottom"/>
            <w:tcBorders>
              <w:bottom w:val="single" w:sz="8" w:color="CCFFCC"/>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3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4</w:t>
            </w:r>
          </w:p>
        </w:tc>
        <w:tc>
          <w:tcPr>
            <w:tcW w:w="140" w:type="dxa"/>
            <w:vAlign w:val="bottom"/>
            <w:tcBorders>
              <w:left w:val="single" w:sz="8" w:color="CCFFCC"/>
              <w:bottom w:val="single" w:sz="8" w:color="CCFFCC"/>
            </w:tcBorders>
            <w:shd w:val="clear" w:color="auto" w:fill="CCFFCC"/>
          </w:tcPr>
          <w:p>
            <w:pPr>
              <w:spacing w:after="0"/>
              <w:rPr>
                <w:sz w:val="21"/>
                <w:szCs w:val="21"/>
                <w:color w:val="auto"/>
              </w:rPr>
            </w:pPr>
          </w:p>
        </w:tc>
      </w:tr>
      <w:tr>
        <w:trPr>
          <w:trHeight w:val="20"/>
        </w:trPr>
        <w:tc>
          <w:tcPr>
            <w:tcW w:w="500" w:type="dxa"/>
            <w:vAlign w:val="bottom"/>
            <w:shd w:val="clear" w:color="auto" w:fill="CCFFCC"/>
          </w:tcPr>
          <w:p>
            <w:pPr>
              <w:spacing w:after="0" w:line="20" w:lineRule="exact"/>
              <w:rPr>
                <w:sz w:val="1"/>
                <w:szCs w:val="1"/>
                <w:color w:val="auto"/>
              </w:rPr>
            </w:pPr>
          </w:p>
        </w:tc>
        <w:tc>
          <w:tcPr>
            <w:tcW w:w="1620" w:type="dxa"/>
            <w:vAlign w:val="bottom"/>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840" w:type="dxa"/>
            <w:vAlign w:val="bottom"/>
            <w:shd w:val="clear" w:color="auto" w:fill="CCFFCC"/>
          </w:tcPr>
          <w:p>
            <w:pPr>
              <w:spacing w:after="0" w:line="20" w:lineRule="exact"/>
              <w:rPr>
                <w:sz w:val="1"/>
                <w:szCs w:val="1"/>
                <w:color w:val="auto"/>
              </w:rPr>
            </w:pPr>
          </w:p>
        </w:tc>
        <w:tc>
          <w:tcPr>
            <w:tcW w:w="2140" w:type="dxa"/>
            <w:vAlign w:val="bottom"/>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1680" w:type="dxa"/>
            <w:vAlign w:val="bottom"/>
            <w:shd w:val="clear" w:color="auto" w:fill="CCFFCC"/>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40" w:type="dxa"/>
            <w:vAlign w:val="bottom"/>
            <w:tcBorders>
              <w:left w:val="single" w:sz="8" w:color="CCFFCC"/>
            </w:tcBorders>
            <w:shd w:val="clear" w:color="auto" w:fill="CCFFCC"/>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Activities of the associates are to cease in 2006 and thus they are provided for.</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80" w:name="page81"/>
    <w:bookmarkEnd w:id="80"/>
    <w:p>
      <w:pPr>
        <w:jc w:val="center"/>
        <w:spacing w:after="0"/>
        <w:rPr>
          <w:sz w:val="20"/>
          <w:szCs w:val="20"/>
          <w:color w:val="auto"/>
        </w:rPr>
      </w:pPr>
      <w:r>
        <w:rPr>
          <w:rFonts w:ascii="Arial" w:cs="Arial" w:eastAsia="Arial" w:hAnsi="Arial"/>
          <w:sz w:val="18"/>
          <w:szCs w:val="18"/>
          <w:b w:val="1"/>
          <w:bCs w:val="1"/>
          <w:color w:val="auto"/>
        </w:rPr>
        <w:t>OAO Morion</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at December 31, 2006 and 2005</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for the Years ended December 31, 2006 and 2005</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 thousands of U.S. dollars - where applicable)</w:t>
      </w:r>
    </w:p>
    <w:p>
      <w:pPr>
        <w:spacing w:after="0" w:line="305"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Note 13 -</w:t>
      </w:r>
      <w:r>
        <w:rPr>
          <w:sz w:val="20"/>
          <w:szCs w:val="20"/>
          <w:color w:val="auto"/>
        </w:rPr>
        <w:tab/>
      </w:r>
      <w:r>
        <w:rPr>
          <w:rFonts w:ascii="Arial" w:cs="Arial" w:eastAsia="Arial" w:hAnsi="Arial"/>
          <w:sz w:val="16"/>
          <w:szCs w:val="16"/>
          <w:b w:val="1"/>
          <w:bCs w:val="1"/>
          <w:color w:val="auto"/>
        </w:rPr>
        <w:t>Accrued liabilities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color w:val="auto"/>
        </w:rPr>
        <w:t>The Company's accrued liabilities balances at December 31, 2006 and 2005 consist of the following:</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spacing w:after="0"/>
              <w:rPr>
                <w:sz w:val="20"/>
                <w:szCs w:val="20"/>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2006</w:t>
            </w:r>
          </w:p>
        </w:tc>
        <w:tc>
          <w:tcPr>
            <w:tcW w:w="3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r>
      <w:tr>
        <w:trPr>
          <w:trHeight w:val="237"/>
        </w:trPr>
        <w:tc>
          <w:tcPr>
            <w:tcW w:w="9380" w:type="dxa"/>
            <w:vAlign w:val="bottom"/>
            <w:gridSpan w:val="2"/>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80" w:type="dxa"/>
            <w:vAlign w:val="bottom"/>
            <w:gridSpan w:val="2"/>
          </w:tcPr>
          <w:p>
            <w:pPr>
              <w:spacing w:after="0"/>
              <w:rPr>
                <w:sz w:val="20"/>
                <w:szCs w:val="20"/>
                <w:color w:val="auto"/>
              </w:rPr>
            </w:pPr>
          </w:p>
        </w:tc>
      </w:tr>
      <w:tr>
        <w:trPr>
          <w:trHeight w:val="275"/>
        </w:trPr>
        <w:tc>
          <w:tcPr>
            <w:tcW w:w="834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color w:val="auto"/>
              </w:rPr>
              <w:t>Accrued materials and services</w:t>
            </w:r>
          </w:p>
        </w:tc>
        <w:tc>
          <w:tcPr>
            <w:tcW w:w="1040" w:type="dxa"/>
            <w:vAlign w:val="bottom"/>
            <w:tcBorders>
              <w:bottom w:val="single" w:sz="8" w:color="CCFFCC"/>
            </w:tcBorders>
            <w:shd w:val="clear" w:color="auto" w:fill="CCFFCC"/>
          </w:tcPr>
          <w:p>
            <w:pPr>
              <w:spacing w:after="0"/>
              <w:rPr>
                <w:sz w:val="23"/>
                <w:szCs w:val="23"/>
                <w:color w:val="auto"/>
              </w:rPr>
            </w:pPr>
          </w:p>
        </w:tc>
        <w:tc>
          <w:tcPr>
            <w:tcW w:w="34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color w:val="auto"/>
              </w:rPr>
              <w:t>15</w:t>
            </w:r>
          </w:p>
        </w:tc>
        <w:tc>
          <w:tcPr>
            <w:tcW w:w="220" w:type="dxa"/>
            <w:vAlign w:val="bottom"/>
            <w:tcBorders>
              <w:bottom w:val="single" w:sz="8" w:color="CCFFCC"/>
            </w:tcBorders>
            <w:shd w:val="clear" w:color="auto" w:fill="CCFFCC"/>
          </w:tcPr>
          <w:p>
            <w:pPr>
              <w:spacing w:after="0"/>
              <w:rPr>
                <w:sz w:val="23"/>
                <w:szCs w:val="23"/>
                <w:color w:val="auto"/>
              </w:rPr>
            </w:pPr>
          </w:p>
        </w:tc>
        <w:tc>
          <w:tcPr>
            <w:tcW w:w="14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5</w:t>
            </w:r>
          </w:p>
        </w:tc>
      </w:tr>
      <w:tr>
        <w:trPr>
          <w:trHeight w:val="264"/>
        </w:trPr>
        <w:tc>
          <w:tcPr>
            <w:tcW w:w="8340" w:type="dxa"/>
            <w:vAlign w:val="bottom"/>
            <w:tcBorders>
              <w:top w:val="single" w:sz="8" w:color="CCFFCC"/>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850"/>
              <w:spacing w:after="0"/>
              <w:rPr>
                <w:sz w:val="20"/>
                <w:szCs w:val="20"/>
                <w:color w:val="auto"/>
              </w:rPr>
            </w:pPr>
            <w:r>
              <w:rPr>
                <w:rFonts w:ascii="Arial" w:cs="Arial" w:eastAsia="Arial" w:hAnsi="Arial"/>
                <w:sz w:val="18"/>
                <w:szCs w:val="18"/>
                <w:b w:val="1"/>
                <w:bCs w:val="1"/>
                <w:color w:val="auto"/>
                <w:w w:val="79"/>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220" w:type="dxa"/>
            <w:vAlign w:val="bottom"/>
            <w:tcBorders>
              <w:top w:val="single" w:sz="8" w:color="CCFFCC"/>
            </w:tcBorders>
          </w:tcPr>
          <w:p>
            <w:pPr>
              <w:spacing w:after="0"/>
              <w:rPr>
                <w:sz w:val="22"/>
                <w:szCs w:val="22"/>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top w:val="single" w:sz="8" w:color="CCFFCC"/>
            </w:tcBorders>
          </w:tcPr>
          <w:p>
            <w:pPr>
              <w:spacing w:after="0"/>
              <w:rPr>
                <w:sz w:val="22"/>
                <w:szCs w:val="22"/>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Auditors’ services.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1280" w:type="dxa"/>
            <w:vAlign w:val="bottom"/>
          </w:tcPr>
          <w:p>
            <w:pPr>
              <w:spacing w:after="0"/>
              <w:rPr>
                <w:sz w:val="20"/>
                <w:szCs w:val="20"/>
                <w:color w:val="auto"/>
              </w:rPr>
            </w:pPr>
            <w:r>
              <w:rPr>
                <w:rFonts w:ascii="Arial" w:cs="Arial" w:eastAsia="Arial" w:hAnsi="Arial"/>
                <w:sz w:val="22"/>
                <w:szCs w:val="22"/>
                <w:b w:val="1"/>
                <w:bCs w:val="1"/>
                <w:color w:val="auto"/>
              </w:rPr>
              <w:t>Note 14 -</w:t>
            </w:r>
          </w:p>
        </w:tc>
        <w:tc>
          <w:tcPr>
            <w:tcW w:w="8040" w:type="dxa"/>
            <w:vAlign w:val="bottom"/>
            <w:gridSpan w:val="3"/>
          </w:tcPr>
          <w:p>
            <w:pPr>
              <w:ind w:left="100"/>
              <w:spacing w:after="0"/>
              <w:rPr>
                <w:sz w:val="20"/>
                <w:szCs w:val="20"/>
                <w:color w:val="auto"/>
              </w:rPr>
            </w:pPr>
            <w:r>
              <w:rPr>
                <w:rFonts w:ascii="Arial" w:cs="Arial" w:eastAsia="Arial" w:hAnsi="Arial"/>
                <w:sz w:val="22"/>
                <w:szCs w:val="22"/>
                <w:b w:val="1"/>
                <w:bCs w:val="1"/>
                <w:color w:val="auto"/>
              </w:rPr>
              <w:t>Accrued payroll</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90"/>
        </w:trPr>
        <w:tc>
          <w:tcPr>
            <w:tcW w:w="9320" w:type="dxa"/>
            <w:vAlign w:val="bottom"/>
            <w:gridSpan w:val="4"/>
          </w:tcPr>
          <w:p>
            <w:pPr>
              <w:spacing w:after="0"/>
              <w:rPr>
                <w:sz w:val="20"/>
                <w:szCs w:val="20"/>
                <w:color w:val="auto"/>
              </w:rPr>
            </w:pPr>
            <w:r>
              <w:rPr>
                <w:rFonts w:ascii="Arial" w:cs="Arial" w:eastAsia="Arial" w:hAnsi="Arial"/>
                <w:sz w:val="18"/>
                <w:szCs w:val="18"/>
                <w:color w:val="auto"/>
              </w:rPr>
              <w:t>The Company's accrued payroll balances at December 31, 2006 and 2005 consist of the following:</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40"/>
        </w:trPr>
        <w:tc>
          <w:tcPr>
            <w:tcW w:w="1280" w:type="dxa"/>
            <w:vAlign w:val="bottom"/>
          </w:tcPr>
          <w:p>
            <w:pPr>
              <w:spacing w:after="0"/>
              <w:rPr>
                <w:sz w:val="24"/>
                <w:szCs w:val="24"/>
                <w:color w:val="auto"/>
              </w:rPr>
            </w:pPr>
          </w:p>
        </w:tc>
        <w:tc>
          <w:tcPr>
            <w:tcW w:w="80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2006</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4"/>
                <w:szCs w:val="24"/>
                <w:color w:val="auto"/>
              </w:rPr>
            </w:pPr>
          </w:p>
        </w:tc>
      </w:tr>
      <w:tr>
        <w:trPr>
          <w:trHeight w:val="237"/>
        </w:trPr>
        <w:tc>
          <w:tcPr>
            <w:tcW w:w="128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1280" w:type="dxa"/>
            <w:vAlign w:val="bottom"/>
            <w:shd w:val="clear" w:color="auto" w:fill="CCFFCC"/>
          </w:tcPr>
          <w:p>
            <w:pPr>
              <w:spacing w:after="0"/>
              <w:rPr>
                <w:sz w:val="20"/>
                <w:szCs w:val="20"/>
                <w:color w:val="auto"/>
              </w:rPr>
            </w:pPr>
            <w:r>
              <w:rPr>
                <w:rFonts w:ascii="Arial" w:cs="Arial" w:eastAsia="Arial" w:hAnsi="Arial"/>
                <w:sz w:val="18"/>
                <w:szCs w:val="18"/>
                <w:color w:val="auto"/>
              </w:rPr>
              <w:t>Accrued payroll</w:t>
            </w:r>
          </w:p>
        </w:tc>
        <w:tc>
          <w:tcPr>
            <w:tcW w:w="684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980" w:type="dxa"/>
            <w:vAlign w:val="bottom"/>
            <w:shd w:val="clear" w:color="auto" w:fill="CCFFCC"/>
          </w:tcPr>
          <w:p>
            <w:pPr>
              <w:spacing w:after="0"/>
              <w:rPr>
                <w:sz w:val="21"/>
                <w:szCs w:val="21"/>
                <w:color w:val="auto"/>
              </w:rPr>
            </w:pPr>
          </w:p>
        </w:tc>
        <w:tc>
          <w:tcPr>
            <w:tcW w:w="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399</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275</w:t>
            </w:r>
          </w:p>
        </w:tc>
      </w:tr>
      <w:tr>
        <w:trPr>
          <w:trHeight w:val="270"/>
        </w:trPr>
        <w:tc>
          <w:tcPr>
            <w:tcW w:w="8340" w:type="dxa"/>
            <w:vAlign w:val="bottom"/>
            <w:gridSpan w:val="3"/>
          </w:tcPr>
          <w:p>
            <w:pPr>
              <w:spacing w:after="0"/>
              <w:rPr>
                <w:sz w:val="20"/>
                <w:szCs w:val="20"/>
                <w:color w:val="auto"/>
              </w:rPr>
            </w:pPr>
            <w:r>
              <w:rPr>
                <w:rFonts w:ascii="Arial" w:cs="Arial" w:eastAsia="Arial" w:hAnsi="Arial"/>
                <w:sz w:val="18"/>
                <w:szCs w:val="18"/>
                <w:color w:val="auto"/>
              </w:rPr>
              <w:t>Payroll related taxes</w:t>
            </w:r>
          </w:p>
        </w:tc>
        <w:tc>
          <w:tcPr>
            <w:tcW w:w="98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3"/>
                <w:szCs w:val="23"/>
                <w:color w:val="auto"/>
              </w:rPr>
            </w:pPr>
          </w:p>
        </w:tc>
      </w:tr>
      <w:tr>
        <w:trPr>
          <w:trHeight w:val="269"/>
        </w:trPr>
        <w:tc>
          <w:tcPr>
            <w:tcW w:w="1280" w:type="dxa"/>
            <w:vAlign w:val="bottom"/>
            <w:tcBorders>
              <w:bottom w:val="single" w:sz="8" w:color="CCFFCC"/>
            </w:tcBorders>
            <w:shd w:val="clear" w:color="auto" w:fill="CCFFCC"/>
          </w:tcPr>
          <w:p>
            <w:pPr>
              <w:spacing w:after="0"/>
              <w:rPr>
                <w:sz w:val="22"/>
                <w:szCs w:val="22"/>
                <w:color w:val="auto"/>
              </w:rPr>
            </w:pPr>
          </w:p>
        </w:tc>
        <w:tc>
          <w:tcPr>
            <w:tcW w:w="7060" w:type="dxa"/>
            <w:vAlign w:val="bottom"/>
            <w:tcBorders>
              <w:bottom w:val="single" w:sz="8" w:color="CCFFCC"/>
            </w:tcBorders>
            <w:gridSpan w:val="2"/>
            <w:shd w:val="clear" w:color="auto" w:fill="CCFFCC"/>
          </w:tcPr>
          <w:p>
            <w:pPr>
              <w:spacing w:after="0"/>
              <w:rPr>
                <w:sz w:val="22"/>
                <w:szCs w:val="22"/>
                <w:color w:val="auto"/>
              </w:rPr>
            </w:pPr>
          </w:p>
        </w:tc>
        <w:tc>
          <w:tcPr>
            <w:tcW w:w="980" w:type="dxa"/>
            <w:vAlign w:val="bottom"/>
            <w:tcBorders>
              <w:bottom w:val="single" w:sz="8" w:color="CCFFCC"/>
            </w:tcBorders>
            <w:shd w:val="clear" w:color="auto" w:fill="CCFFCC"/>
          </w:tcPr>
          <w:p>
            <w:pPr>
              <w:jc w:val="right"/>
              <w:ind w:right="790"/>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bottom w:val="single" w:sz="8" w:color="CCFFCC"/>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502</w:t>
            </w:r>
          </w:p>
        </w:tc>
        <w:tc>
          <w:tcPr>
            <w:tcW w:w="220" w:type="dxa"/>
            <w:vAlign w:val="bottom"/>
            <w:tcBorders>
              <w:bottom w:val="single" w:sz="8" w:color="CCFFCC"/>
            </w:tcBorders>
            <w:shd w:val="clear" w:color="auto" w:fill="CCFFCC"/>
          </w:tcPr>
          <w:p>
            <w:pPr>
              <w:spacing w:after="0"/>
              <w:rPr>
                <w:sz w:val="22"/>
                <w:szCs w:val="22"/>
                <w:color w:val="auto"/>
              </w:rPr>
            </w:pPr>
          </w:p>
        </w:tc>
        <w:tc>
          <w:tcPr>
            <w:tcW w:w="1480" w:type="dxa"/>
            <w:vAlign w:val="bottom"/>
            <w:tcBorders>
              <w:bottom w:val="single" w:sz="8" w:color="CCFFCC"/>
            </w:tcBorders>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346</w:t>
            </w:r>
          </w:p>
        </w:tc>
      </w:tr>
      <w:tr>
        <w:trPr>
          <w:trHeight w:val="530"/>
        </w:trPr>
        <w:tc>
          <w:tcPr>
            <w:tcW w:w="1280" w:type="dxa"/>
            <w:vAlign w:val="bottom"/>
            <w:tcBorders>
              <w:top w:val="single" w:sz="8" w:color="CCFFCC"/>
            </w:tcBorders>
          </w:tcPr>
          <w:p>
            <w:pPr>
              <w:spacing w:after="0"/>
              <w:rPr>
                <w:sz w:val="20"/>
                <w:szCs w:val="20"/>
                <w:color w:val="auto"/>
              </w:rPr>
            </w:pPr>
            <w:r>
              <w:rPr>
                <w:rFonts w:ascii="Arial" w:cs="Arial" w:eastAsia="Arial" w:hAnsi="Arial"/>
                <w:sz w:val="22"/>
                <w:szCs w:val="22"/>
                <w:b w:val="1"/>
                <w:bCs w:val="1"/>
                <w:color w:val="auto"/>
              </w:rPr>
              <w:t>Note 15 -</w:t>
            </w:r>
          </w:p>
        </w:tc>
        <w:tc>
          <w:tcPr>
            <w:tcW w:w="7060" w:type="dxa"/>
            <w:vAlign w:val="bottom"/>
            <w:tcBorders>
              <w:top w:val="single" w:sz="8" w:color="CCFFCC"/>
            </w:tcBorders>
            <w:gridSpan w:val="2"/>
          </w:tcPr>
          <w:p>
            <w:pPr>
              <w:ind w:left="100"/>
              <w:spacing w:after="0"/>
              <w:rPr>
                <w:sz w:val="20"/>
                <w:szCs w:val="20"/>
                <w:color w:val="auto"/>
              </w:rPr>
            </w:pPr>
            <w:r>
              <w:rPr>
                <w:rFonts w:ascii="Arial" w:cs="Arial" w:eastAsia="Arial" w:hAnsi="Arial"/>
                <w:sz w:val="22"/>
                <w:szCs w:val="22"/>
                <w:b w:val="1"/>
                <w:bCs w:val="1"/>
                <w:color w:val="auto"/>
              </w:rPr>
              <w:t>Other taxes payable and withheld</w:t>
            </w:r>
          </w:p>
        </w:tc>
        <w:tc>
          <w:tcPr>
            <w:tcW w:w="9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20" w:type="dxa"/>
            <w:vAlign w:val="bottom"/>
            <w:tcBorders>
              <w:top w:val="single" w:sz="8" w:color="CCFFCC"/>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r>
      <w:tr>
        <w:trPr>
          <w:trHeight w:val="490"/>
        </w:trPr>
        <w:tc>
          <w:tcPr>
            <w:tcW w:w="9320" w:type="dxa"/>
            <w:vAlign w:val="bottom"/>
            <w:gridSpan w:val="4"/>
          </w:tcPr>
          <w:p>
            <w:pPr>
              <w:spacing w:after="0"/>
              <w:rPr>
                <w:sz w:val="20"/>
                <w:szCs w:val="20"/>
                <w:color w:val="auto"/>
              </w:rPr>
            </w:pPr>
            <w:r>
              <w:rPr>
                <w:rFonts w:ascii="Arial" w:cs="Arial" w:eastAsia="Arial" w:hAnsi="Arial"/>
                <w:sz w:val="18"/>
                <w:szCs w:val="18"/>
                <w:color w:val="auto"/>
              </w:rPr>
              <w:t>The Company's taxes payable and withheld balances at December 31, 2006 and 2005 consist of the following:</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40"/>
        </w:trPr>
        <w:tc>
          <w:tcPr>
            <w:tcW w:w="1280" w:type="dxa"/>
            <w:vAlign w:val="bottom"/>
          </w:tcPr>
          <w:p>
            <w:pPr>
              <w:spacing w:after="0"/>
              <w:rPr>
                <w:sz w:val="24"/>
                <w:szCs w:val="24"/>
                <w:color w:val="auto"/>
              </w:rPr>
            </w:pPr>
          </w:p>
        </w:tc>
        <w:tc>
          <w:tcPr>
            <w:tcW w:w="80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2006</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4"/>
                <w:szCs w:val="24"/>
                <w:color w:val="auto"/>
              </w:rPr>
            </w:pPr>
          </w:p>
        </w:tc>
      </w:tr>
      <w:tr>
        <w:trPr>
          <w:trHeight w:val="237"/>
        </w:trPr>
        <w:tc>
          <w:tcPr>
            <w:tcW w:w="128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9320" w:type="dxa"/>
            <w:vAlign w:val="bottom"/>
            <w:gridSpan w:val="4"/>
            <w:shd w:val="clear" w:color="auto" w:fill="CCFFCC"/>
          </w:tcPr>
          <w:p>
            <w:pPr>
              <w:spacing w:after="0"/>
              <w:rPr>
                <w:sz w:val="20"/>
                <w:szCs w:val="20"/>
                <w:color w:val="auto"/>
              </w:rPr>
            </w:pPr>
            <w:r>
              <w:rPr>
                <w:rFonts w:ascii="Arial" w:cs="Arial" w:eastAsia="Arial" w:hAnsi="Arial"/>
                <w:sz w:val="18"/>
                <w:szCs w:val="18"/>
                <w:color w:val="auto"/>
              </w:rPr>
              <w:t>Current profit tax payable</w:t>
            </w:r>
          </w:p>
        </w:tc>
        <w:tc>
          <w:tcPr>
            <w:tcW w:w="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0</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101</w:t>
            </w:r>
          </w:p>
        </w:tc>
      </w:tr>
      <w:tr>
        <w:trPr>
          <w:trHeight w:val="270"/>
        </w:trPr>
        <w:tc>
          <w:tcPr>
            <w:tcW w:w="8340" w:type="dxa"/>
            <w:vAlign w:val="bottom"/>
            <w:gridSpan w:val="3"/>
          </w:tcPr>
          <w:p>
            <w:pPr>
              <w:spacing w:after="0"/>
              <w:rPr>
                <w:sz w:val="20"/>
                <w:szCs w:val="20"/>
                <w:color w:val="auto"/>
              </w:rPr>
            </w:pPr>
            <w:r>
              <w:rPr>
                <w:rFonts w:ascii="Arial" w:cs="Arial" w:eastAsia="Arial" w:hAnsi="Arial"/>
                <w:sz w:val="18"/>
                <w:szCs w:val="18"/>
                <w:color w:val="auto"/>
              </w:rPr>
              <w:t>Other taxes payable</w:t>
            </w:r>
          </w:p>
        </w:tc>
        <w:tc>
          <w:tcPr>
            <w:tcW w:w="98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220" w:type="dxa"/>
            <w:vAlign w:val="bottom"/>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3"/>
                <w:szCs w:val="23"/>
                <w:color w:val="auto"/>
              </w:rPr>
            </w:pPr>
          </w:p>
        </w:tc>
      </w:tr>
      <w:tr>
        <w:trPr>
          <w:trHeight w:val="237"/>
        </w:trPr>
        <w:tc>
          <w:tcPr>
            <w:tcW w:w="1280" w:type="dxa"/>
            <w:vAlign w:val="bottom"/>
            <w:shd w:val="clear" w:color="auto" w:fill="CCFFCC"/>
          </w:tcPr>
          <w:p>
            <w:pPr>
              <w:spacing w:after="0"/>
              <w:rPr>
                <w:sz w:val="20"/>
                <w:szCs w:val="20"/>
                <w:color w:val="auto"/>
              </w:rPr>
            </w:pPr>
          </w:p>
        </w:tc>
        <w:tc>
          <w:tcPr>
            <w:tcW w:w="8040" w:type="dxa"/>
            <w:vAlign w:val="bottom"/>
            <w:gridSpan w:val="3"/>
            <w:shd w:val="clear" w:color="auto" w:fill="CCFFCC"/>
          </w:tcPr>
          <w:p>
            <w:pPr>
              <w:spacing w:after="0"/>
              <w:rPr>
                <w:sz w:val="20"/>
                <w:szCs w:val="20"/>
                <w:color w:val="auto"/>
              </w:rPr>
            </w:pPr>
          </w:p>
        </w:tc>
        <w:tc>
          <w:tcPr>
            <w:tcW w:w="40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480" w:type="dxa"/>
            <w:vAlign w:val="bottom"/>
            <w:gridSpan w:val="2"/>
            <w:shd w:val="clear" w:color="auto" w:fill="CCFFCC"/>
          </w:tcPr>
          <w:p>
            <w:pPr>
              <w:spacing w:after="0"/>
              <w:rPr>
                <w:sz w:val="20"/>
                <w:szCs w:val="20"/>
                <w:color w:val="auto"/>
              </w:rPr>
            </w:pPr>
          </w:p>
        </w:tc>
      </w:tr>
      <w:tr>
        <w:trPr>
          <w:trHeight w:val="270"/>
        </w:trPr>
        <w:tc>
          <w:tcPr>
            <w:tcW w:w="1280" w:type="dxa"/>
            <w:vAlign w:val="bottom"/>
          </w:tcPr>
          <w:p>
            <w:pPr>
              <w:spacing w:after="0"/>
              <w:rPr>
                <w:sz w:val="23"/>
                <w:szCs w:val="23"/>
                <w:color w:val="auto"/>
              </w:rPr>
            </w:pPr>
          </w:p>
        </w:tc>
        <w:tc>
          <w:tcPr>
            <w:tcW w:w="8040" w:type="dxa"/>
            <w:vAlign w:val="bottom"/>
            <w:gridSpan w:val="3"/>
          </w:tcPr>
          <w:p>
            <w:pPr>
              <w:jc w:val="right"/>
              <w:ind w:right="790"/>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412</w:t>
            </w:r>
          </w:p>
        </w:tc>
        <w:tc>
          <w:tcPr>
            <w:tcW w:w="220" w:type="dxa"/>
            <w:vAlign w:val="bottom"/>
          </w:tcPr>
          <w:p>
            <w:pPr>
              <w:spacing w:after="0"/>
              <w:rPr>
                <w:sz w:val="23"/>
                <w:szCs w:val="23"/>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416</w:t>
            </w:r>
          </w:p>
        </w:tc>
      </w:tr>
      <w:tr>
        <w:trPr>
          <w:trHeight w:val="480"/>
        </w:trPr>
        <w:tc>
          <w:tcPr>
            <w:tcW w:w="1280" w:type="dxa"/>
            <w:vAlign w:val="bottom"/>
          </w:tcPr>
          <w:p>
            <w:pPr>
              <w:spacing w:after="0"/>
              <w:rPr>
                <w:sz w:val="24"/>
                <w:szCs w:val="24"/>
                <w:color w:val="auto"/>
              </w:rPr>
            </w:pPr>
          </w:p>
        </w:tc>
        <w:tc>
          <w:tcPr>
            <w:tcW w:w="6840" w:type="dxa"/>
            <w:vAlign w:val="bottom"/>
          </w:tcPr>
          <w:p>
            <w:pPr>
              <w:jc w:val="right"/>
              <w:ind w:right="2224"/>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18"/>
        </w:trPr>
        <w:tc>
          <w:tcPr>
            <w:tcW w:w="1280" w:type="dxa"/>
            <w:vAlign w:val="bottom"/>
            <w:tcBorders>
              <w:bottom w:val="single" w:sz="8" w:color="808080"/>
            </w:tcBorders>
          </w:tcPr>
          <w:p>
            <w:pPr>
              <w:spacing w:after="0"/>
              <w:rPr>
                <w:sz w:val="10"/>
                <w:szCs w:val="10"/>
                <w:color w:val="auto"/>
              </w:rPr>
            </w:pPr>
          </w:p>
        </w:tc>
        <w:tc>
          <w:tcPr>
            <w:tcW w:w="68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980" w:type="dxa"/>
            <w:vAlign w:val="bottom"/>
            <w:tcBorders>
              <w:bottom w:val="single" w:sz="8" w:color="808080"/>
            </w:tcBorders>
          </w:tcPr>
          <w:p>
            <w:pPr>
              <w:spacing w:after="0"/>
              <w:rPr>
                <w:sz w:val="10"/>
                <w:szCs w:val="10"/>
                <w:color w:val="auto"/>
              </w:rPr>
            </w:pPr>
          </w:p>
        </w:tc>
        <w:tc>
          <w:tcPr>
            <w:tcW w:w="40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1" w:name="page82"/>
    <w:bookmarkEnd w:id="81"/>
    <w:p>
      <w:pPr>
        <w:jc w:val="center"/>
        <w:spacing w:after="0"/>
        <w:rPr>
          <w:sz w:val="20"/>
          <w:szCs w:val="20"/>
          <w:color w:val="auto"/>
        </w:rPr>
      </w:pPr>
      <w:r>
        <w:rPr>
          <w:rFonts w:ascii="Arial" w:cs="Arial" w:eastAsia="Arial" w:hAnsi="Arial"/>
          <w:sz w:val="18"/>
          <w:szCs w:val="18"/>
          <w:b w:val="1"/>
          <w:bCs w:val="1"/>
          <w:color w:val="auto"/>
        </w:rPr>
        <w:t>OAO Morion</w:t>
      </w: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Notes to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As at December 31, 2006 and 2005</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And for the Years ended December 31, 2006 and 2005</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 thousands of U.S. dollars - where applicable)</w:t>
      </w:r>
    </w:p>
    <w:p>
      <w:pPr>
        <w:spacing w:after="0" w:line="305" w:lineRule="exact"/>
        <w:rPr>
          <w:sz w:val="20"/>
          <w:szCs w:val="20"/>
          <w:color w:val="auto"/>
        </w:rPr>
      </w:pPr>
    </w:p>
    <w:p>
      <w:pPr>
        <w:spacing w:after="0"/>
        <w:tabs>
          <w:tab w:leader="none" w:pos="1260" w:val="left"/>
        </w:tabs>
        <w:rPr>
          <w:sz w:val="20"/>
          <w:szCs w:val="20"/>
          <w:color w:val="auto"/>
        </w:rPr>
      </w:pPr>
      <w:r>
        <w:rPr>
          <w:rFonts w:ascii="Arial" w:cs="Arial" w:eastAsia="Arial" w:hAnsi="Arial"/>
          <w:sz w:val="18"/>
          <w:szCs w:val="18"/>
          <w:b w:val="1"/>
          <w:bCs w:val="1"/>
          <w:color w:val="auto"/>
        </w:rPr>
        <w:t>Note 16 -</w:t>
      </w:r>
      <w:r>
        <w:rPr>
          <w:sz w:val="20"/>
          <w:szCs w:val="20"/>
          <w:color w:val="auto"/>
        </w:rPr>
        <w:tab/>
      </w:r>
      <w:r>
        <w:rPr>
          <w:rFonts w:ascii="Arial" w:cs="Arial" w:eastAsia="Arial" w:hAnsi="Arial"/>
          <w:sz w:val="16"/>
          <w:szCs w:val="16"/>
          <w:b w:val="1"/>
          <w:bCs w:val="1"/>
          <w:color w:val="auto"/>
        </w:rPr>
        <w:t>Common stock</w:t>
      </w:r>
    </w:p>
    <w:p>
      <w:pPr>
        <w:spacing w:after="0" w:line="29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December 31, 2006 the authorized capital stock of the Company consists of 53,130 common shares, of which 53,130 are issued, with par value 1 rouble per share.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Total</w:t>
            </w:r>
          </w:p>
        </w:tc>
      </w:tr>
      <w:tr>
        <w:trPr>
          <w:trHeight w:val="216"/>
        </w:trPr>
        <w:tc>
          <w:tcPr>
            <w:tcW w:w="5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Common</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Contributed</w:t>
            </w:r>
          </w:p>
        </w:tc>
        <w:tc>
          <w:tcPr>
            <w:tcW w:w="240" w:type="dxa"/>
            <w:vAlign w:val="bottom"/>
          </w:tcPr>
          <w:p>
            <w:pPr>
              <w:spacing w:after="0"/>
              <w:rPr>
                <w:sz w:val="18"/>
                <w:szCs w:val="18"/>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8"/>
                <w:szCs w:val="18"/>
                <w:color w:val="auto"/>
              </w:rPr>
              <w:t>Retained</w:t>
            </w: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Stockholders</w:t>
            </w:r>
          </w:p>
        </w:tc>
      </w:tr>
      <w:tr>
        <w:trPr>
          <w:trHeight w:val="230"/>
        </w:trPr>
        <w:tc>
          <w:tcPr>
            <w:tcW w:w="5160" w:type="dxa"/>
            <w:vAlign w:val="bottom"/>
          </w:tcPr>
          <w:p>
            <w:pPr>
              <w:spacing w:after="0"/>
              <w:rPr>
                <w:sz w:val="20"/>
                <w:szCs w:val="20"/>
                <w:color w:val="auto"/>
              </w:rPr>
            </w:pPr>
          </w:p>
        </w:tc>
        <w:tc>
          <w:tcPr>
            <w:tcW w:w="1100" w:type="dxa"/>
            <w:vAlign w:val="bottom"/>
          </w:tcPr>
          <w:p>
            <w:pPr>
              <w:jc w:val="right"/>
              <w:ind w:right="137"/>
              <w:spacing w:after="0"/>
              <w:rPr>
                <w:sz w:val="20"/>
                <w:szCs w:val="20"/>
                <w:color w:val="auto"/>
              </w:rPr>
            </w:pPr>
            <w:r>
              <w:rPr>
                <w:rFonts w:ascii="Arial" w:cs="Arial" w:eastAsia="Arial" w:hAnsi="Arial"/>
                <w:sz w:val="18"/>
                <w:szCs w:val="18"/>
                <w:color w:val="auto"/>
              </w:rPr>
              <w:t>Stock</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center"/>
              <w:ind w:right="400"/>
              <w:spacing w:after="0"/>
              <w:rPr>
                <w:sz w:val="20"/>
                <w:szCs w:val="20"/>
                <w:color w:val="auto"/>
              </w:rPr>
            </w:pPr>
            <w:r>
              <w:rPr>
                <w:rFonts w:ascii="Arial" w:cs="Arial" w:eastAsia="Arial" w:hAnsi="Arial"/>
                <w:sz w:val="18"/>
                <w:szCs w:val="18"/>
                <w:color w:val="auto"/>
                <w:w w:val="88"/>
              </w:rPr>
              <w:t>Surplus</w:t>
            </w:r>
          </w:p>
        </w:tc>
        <w:tc>
          <w:tcPr>
            <w:tcW w:w="240" w:type="dxa"/>
            <w:vAlign w:val="bottom"/>
          </w:tcPr>
          <w:p>
            <w:pPr>
              <w:spacing w:after="0"/>
              <w:rPr>
                <w:sz w:val="20"/>
                <w:szCs w:val="20"/>
                <w:color w:val="auto"/>
              </w:rPr>
            </w:pPr>
          </w:p>
        </w:tc>
        <w:tc>
          <w:tcPr>
            <w:tcW w:w="1360" w:type="dxa"/>
            <w:vAlign w:val="bottom"/>
            <w:gridSpan w:val="2"/>
          </w:tcPr>
          <w:p>
            <w:pPr>
              <w:jc w:val="right"/>
              <w:ind w:right="600"/>
              <w:spacing w:after="0"/>
              <w:rPr>
                <w:sz w:val="20"/>
                <w:szCs w:val="20"/>
                <w:color w:val="auto"/>
              </w:rPr>
            </w:pPr>
            <w:r>
              <w:rPr>
                <w:rFonts w:ascii="Arial" w:cs="Arial" w:eastAsia="Arial" w:hAnsi="Arial"/>
                <w:sz w:val="18"/>
                <w:szCs w:val="18"/>
                <w:color w:val="auto"/>
              </w:rPr>
              <w:t>earnings</w:t>
            </w:r>
          </w:p>
        </w:tc>
        <w:tc>
          <w:tcPr>
            <w:tcW w:w="14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Equity</w:t>
            </w:r>
          </w:p>
        </w:tc>
      </w:tr>
      <w:tr>
        <w:trPr>
          <w:trHeight w:val="237"/>
        </w:trPr>
        <w:tc>
          <w:tcPr>
            <w:tcW w:w="5160" w:type="dxa"/>
            <w:vAlign w:val="bottom"/>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160" w:type="dxa"/>
            <w:vAlign w:val="bottom"/>
            <w:shd w:val="clear" w:color="auto" w:fill="CCFFCC"/>
          </w:tcPr>
          <w:p>
            <w:pPr>
              <w:jc w:val="center"/>
              <w:ind w:right="130"/>
              <w:spacing w:after="0"/>
              <w:rPr>
                <w:sz w:val="20"/>
                <w:szCs w:val="20"/>
                <w:color w:val="auto"/>
              </w:rPr>
            </w:pPr>
            <w:r>
              <w:rPr>
                <w:rFonts w:ascii="Arial" w:cs="Arial" w:eastAsia="Arial" w:hAnsi="Arial"/>
                <w:sz w:val="18"/>
                <w:szCs w:val="18"/>
                <w:b w:val="1"/>
                <w:bCs w:val="1"/>
                <w:color w:val="auto"/>
                <w:w w:val="89"/>
              </w:rPr>
              <w:t>Balances at December 31, 2004</w:t>
            </w:r>
          </w:p>
        </w:tc>
        <w:tc>
          <w:tcPr>
            <w:tcW w:w="1100" w:type="dxa"/>
            <w:vAlign w:val="bottom"/>
            <w:shd w:val="clear" w:color="auto" w:fill="CCFFCC"/>
          </w:tcPr>
          <w:p>
            <w:pPr>
              <w:jc w:val="right"/>
              <w:ind w:right="937"/>
              <w:spacing w:after="0"/>
              <w:rPr>
                <w:sz w:val="20"/>
                <w:szCs w:val="20"/>
                <w:color w:val="auto"/>
              </w:rPr>
            </w:pPr>
            <w:r>
              <w:rPr>
                <w:rFonts w:ascii="Arial" w:cs="Arial" w:eastAsia="Arial" w:hAnsi="Arial"/>
                <w:sz w:val="15"/>
                <w:szCs w:val="15"/>
                <w:b w:val="1"/>
                <w:bCs w:val="1"/>
                <w:color w:val="auto"/>
                <w:w w:val="71"/>
              </w:rPr>
              <w:t>$</w:t>
            </w:r>
          </w:p>
        </w:tc>
        <w:tc>
          <w:tcPr>
            <w:tcW w:w="28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rPr>
              <w:t>29</w:t>
            </w:r>
          </w:p>
        </w:tc>
        <w:tc>
          <w:tcPr>
            <w:tcW w:w="400" w:type="dxa"/>
            <w:vAlign w:val="bottom"/>
            <w:gridSpan w:val="2"/>
            <w:shd w:val="clear" w:color="auto" w:fill="CCFFCC"/>
          </w:tcPr>
          <w:p>
            <w:pPr>
              <w:jc w:val="right"/>
              <w:ind w:right="8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2,314</w:t>
            </w:r>
          </w:p>
        </w:tc>
        <w:tc>
          <w:tcPr>
            <w:tcW w:w="240" w:type="dxa"/>
            <w:vAlign w:val="bottom"/>
            <w:shd w:val="clear" w:color="auto" w:fill="CCFFC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b w:val="1"/>
                <w:bCs w:val="1"/>
                <w:color w:val="auto"/>
              </w:rPr>
              <w:t>4,770</w:t>
            </w:r>
          </w:p>
        </w:tc>
        <w:tc>
          <w:tcPr>
            <w:tcW w:w="140" w:type="dxa"/>
            <w:vAlign w:val="bottom"/>
            <w:shd w:val="clear" w:color="auto" w:fill="CCFFCC"/>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b w:val="1"/>
                <w:bCs w:val="1"/>
                <w:color w:val="auto"/>
              </w:rPr>
              <w:t>7,113</w:t>
            </w:r>
          </w:p>
        </w:tc>
      </w:tr>
      <w:tr>
        <w:trPr>
          <w:trHeight w:val="270"/>
        </w:trPr>
        <w:tc>
          <w:tcPr>
            <w:tcW w:w="5160" w:type="dxa"/>
            <w:vAlign w:val="bottom"/>
          </w:tcPr>
          <w:p>
            <w:pPr>
              <w:jc w:val="center"/>
              <w:ind w:right="150"/>
              <w:spacing w:after="0"/>
              <w:rPr>
                <w:sz w:val="20"/>
                <w:szCs w:val="20"/>
                <w:color w:val="auto"/>
              </w:rPr>
            </w:pPr>
            <w:r>
              <w:rPr>
                <w:rFonts w:ascii="Arial" w:cs="Arial" w:eastAsia="Arial" w:hAnsi="Arial"/>
                <w:sz w:val="18"/>
                <w:szCs w:val="18"/>
                <w:color w:val="auto"/>
                <w:w w:val="92"/>
              </w:rPr>
              <w:t>Net income</w:t>
            </w:r>
          </w:p>
        </w:tc>
        <w:tc>
          <w:tcPr>
            <w:tcW w:w="110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1,293</w:t>
            </w:r>
          </w:p>
        </w:tc>
        <w:tc>
          <w:tcPr>
            <w:tcW w:w="140" w:type="dxa"/>
            <w:vAlign w:val="bottom"/>
          </w:tcPr>
          <w:p>
            <w:pPr>
              <w:spacing w:after="0"/>
              <w:rPr>
                <w:sz w:val="23"/>
                <w:szCs w:val="23"/>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1,293</w:t>
            </w:r>
          </w:p>
        </w:tc>
      </w:tr>
      <w:tr>
        <w:trPr>
          <w:trHeight w:val="237"/>
        </w:trPr>
        <w:tc>
          <w:tcPr>
            <w:tcW w:w="5160" w:type="dxa"/>
            <w:vAlign w:val="bottom"/>
            <w:shd w:val="clear" w:color="auto" w:fill="CCFFCC"/>
          </w:tcPr>
          <w:p>
            <w:pPr>
              <w:spacing w:after="0"/>
              <w:rPr>
                <w:sz w:val="20"/>
                <w:szCs w:val="20"/>
                <w:color w:val="auto"/>
              </w:rPr>
            </w:pPr>
          </w:p>
        </w:tc>
        <w:tc>
          <w:tcPr>
            <w:tcW w:w="1100" w:type="dxa"/>
            <w:vAlign w:val="bottom"/>
            <w:tcBorders>
              <w:top w:val="single" w:sz="8" w:color="auto"/>
            </w:tcBorders>
            <w:shd w:val="clear" w:color="auto" w:fill="CCFFCC"/>
          </w:tcPr>
          <w:p>
            <w:pPr>
              <w:spacing w:after="0"/>
              <w:rPr>
                <w:sz w:val="20"/>
                <w:szCs w:val="20"/>
                <w:color w:val="auto"/>
              </w:rPr>
            </w:pPr>
          </w:p>
        </w:tc>
        <w:tc>
          <w:tcPr>
            <w:tcW w:w="28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80" w:type="dxa"/>
            <w:vAlign w:val="bottom"/>
            <w:tcBorders>
              <w:top w:val="single" w:sz="8" w:color="auto"/>
            </w:tcBorders>
            <w:shd w:val="clear" w:color="auto" w:fill="CCFFCC"/>
          </w:tcPr>
          <w:p>
            <w:pPr>
              <w:spacing w:after="0"/>
              <w:rPr>
                <w:sz w:val="20"/>
                <w:szCs w:val="20"/>
                <w:color w:val="auto"/>
              </w:rPr>
            </w:pPr>
          </w:p>
        </w:tc>
        <w:tc>
          <w:tcPr>
            <w:tcW w:w="120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240" w:type="dxa"/>
            <w:vAlign w:val="bottom"/>
            <w:tcBorders>
              <w:top w:val="single" w:sz="8" w:color="auto"/>
            </w:tcBorders>
            <w:shd w:val="clear" w:color="auto" w:fill="CCFFCC"/>
          </w:tcPr>
          <w:p>
            <w:pPr>
              <w:spacing w:after="0"/>
              <w:rPr>
                <w:sz w:val="20"/>
                <w:szCs w:val="20"/>
                <w:color w:val="auto"/>
              </w:rPr>
            </w:pPr>
          </w:p>
        </w:tc>
        <w:tc>
          <w:tcPr>
            <w:tcW w:w="1140" w:type="dxa"/>
            <w:vAlign w:val="bottom"/>
            <w:tcBorders>
              <w:top w:val="single" w:sz="8" w:color="auto"/>
            </w:tcBorders>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40" w:type="dxa"/>
            <w:vAlign w:val="bottom"/>
            <w:tcBorders>
              <w:top w:val="single" w:sz="8" w:color="auto"/>
            </w:tcBorders>
            <w:shd w:val="clear" w:color="auto" w:fill="CCFFCC"/>
          </w:tcPr>
          <w:p>
            <w:pPr>
              <w:spacing w:after="0"/>
              <w:rPr>
                <w:sz w:val="20"/>
                <w:szCs w:val="20"/>
                <w:color w:val="auto"/>
              </w:rPr>
            </w:pPr>
          </w:p>
        </w:tc>
        <w:tc>
          <w:tcPr>
            <w:tcW w:w="122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r>
      <w:tr>
        <w:trPr>
          <w:trHeight w:val="243"/>
        </w:trPr>
        <w:tc>
          <w:tcPr>
            <w:tcW w:w="51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Balances at December 31, 2005</w:t>
            </w:r>
          </w:p>
        </w:tc>
        <w:tc>
          <w:tcPr>
            <w:tcW w:w="110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2,314</w:t>
            </w:r>
          </w:p>
        </w:tc>
        <w:tc>
          <w:tcPr>
            <w:tcW w:w="24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6,063</w:t>
            </w:r>
          </w:p>
        </w:tc>
        <w:tc>
          <w:tcPr>
            <w:tcW w:w="140" w:type="dxa"/>
            <w:vAlign w:val="bottom"/>
          </w:tcPr>
          <w:p>
            <w:pPr>
              <w:spacing w:after="0"/>
              <w:rPr>
                <w:sz w:val="21"/>
                <w:szCs w:val="21"/>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8,406</w:t>
            </w:r>
          </w:p>
        </w:tc>
      </w:tr>
      <w:tr>
        <w:trPr>
          <w:trHeight w:val="243"/>
        </w:trPr>
        <w:tc>
          <w:tcPr>
            <w:tcW w:w="5160" w:type="dxa"/>
            <w:vAlign w:val="bottom"/>
            <w:shd w:val="clear" w:color="auto" w:fill="CCFFCC"/>
          </w:tcPr>
          <w:p>
            <w:pPr>
              <w:jc w:val="center"/>
              <w:ind w:right="150"/>
              <w:spacing w:after="0"/>
              <w:rPr>
                <w:sz w:val="20"/>
                <w:szCs w:val="20"/>
                <w:color w:val="auto"/>
              </w:rPr>
            </w:pPr>
            <w:r>
              <w:rPr>
                <w:rFonts w:ascii="Arial" w:cs="Arial" w:eastAsia="Arial" w:hAnsi="Arial"/>
                <w:sz w:val="18"/>
                <w:szCs w:val="18"/>
                <w:color w:val="auto"/>
                <w:w w:val="92"/>
              </w:rPr>
              <w:t>Net income</w:t>
            </w:r>
          </w:p>
        </w:tc>
        <w:tc>
          <w:tcPr>
            <w:tcW w:w="1100" w:type="dxa"/>
            <w:vAlign w:val="bottom"/>
            <w:shd w:val="clear" w:color="auto" w:fill="CCFFCC"/>
          </w:tcPr>
          <w:p>
            <w:pPr>
              <w:spacing w:after="0"/>
              <w:rPr>
                <w:sz w:val="21"/>
                <w:szCs w:val="21"/>
                <w:color w:val="auto"/>
              </w:rPr>
            </w:pPr>
          </w:p>
        </w:tc>
        <w:tc>
          <w:tcPr>
            <w:tcW w:w="280" w:type="dxa"/>
            <w:vAlign w:val="bottom"/>
            <w:shd w:val="clear" w:color="auto" w:fill="CCFFC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FFCC"/>
          </w:tcPr>
          <w:p>
            <w:pPr>
              <w:spacing w:after="0"/>
              <w:rPr>
                <w:sz w:val="21"/>
                <w:szCs w:val="21"/>
                <w:color w:val="auto"/>
              </w:rPr>
            </w:pPr>
          </w:p>
        </w:tc>
        <w:tc>
          <w:tcPr>
            <w:tcW w:w="180" w:type="dxa"/>
            <w:vAlign w:val="bottom"/>
            <w:shd w:val="clear" w:color="auto" w:fill="CCFFCC"/>
          </w:tcPr>
          <w:p>
            <w:pPr>
              <w:spacing w:after="0"/>
              <w:rPr>
                <w:sz w:val="21"/>
                <w:szCs w:val="21"/>
                <w:color w:val="auto"/>
              </w:rPr>
            </w:pPr>
          </w:p>
        </w:tc>
        <w:tc>
          <w:tcPr>
            <w:tcW w:w="142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FFCC"/>
          </w:tcPr>
          <w:p>
            <w:pPr>
              <w:spacing w:after="0"/>
              <w:rPr>
                <w:sz w:val="21"/>
                <w:szCs w:val="21"/>
                <w:color w:val="auto"/>
              </w:rPr>
            </w:pPr>
          </w:p>
        </w:tc>
        <w:tc>
          <w:tcPr>
            <w:tcW w:w="1360" w:type="dxa"/>
            <w:vAlign w:val="bottom"/>
            <w:gridSpan w:val="2"/>
            <w:shd w:val="clear" w:color="auto" w:fill="CCFFCC"/>
          </w:tcPr>
          <w:p>
            <w:pPr>
              <w:jc w:val="right"/>
              <w:ind w:right="220"/>
              <w:spacing w:after="0"/>
              <w:rPr>
                <w:sz w:val="20"/>
                <w:szCs w:val="20"/>
                <w:color w:val="auto"/>
              </w:rPr>
            </w:pPr>
            <w:r>
              <w:rPr>
                <w:rFonts w:ascii="Arial" w:cs="Arial" w:eastAsia="Arial" w:hAnsi="Arial"/>
                <w:sz w:val="18"/>
                <w:szCs w:val="18"/>
                <w:color w:val="auto"/>
              </w:rPr>
              <w:t>1,863</w:t>
            </w:r>
          </w:p>
        </w:tc>
        <w:tc>
          <w:tcPr>
            <w:tcW w:w="140" w:type="dxa"/>
            <w:vAlign w:val="bottom"/>
            <w:shd w:val="clear" w:color="auto" w:fill="CCFFCC"/>
          </w:tcPr>
          <w:p>
            <w:pPr>
              <w:spacing w:after="0"/>
              <w:rPr>
                <w:sz w:val="21"/>
                <w:szCs w:val="21"/>
                <w:color w:val="auto"/>
              </w:rPr>
            </w:pPr>
          </w:p>
        </w:tc>
        <w:tc>
          <w:tcPr>
            <w:tcW w:w="132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1,863</w:t>
            </w:r>
          </w:p>
        </w:tc>
      </w:tr>
      <w:tr>
        <w:trPr>
          <w:trHeight w:val="243"/>
        </w:trPr>
        <w:tc>
          <w:tcPr>
            <w:tcW w:w="5160" w:type="dxa"/>
            <w:vAlign w:val="bottom"/>
          </w:tcPr>
          <w:p>
            <w:pPr>
              <w:jc w:val="center"/>
              <w:ind w:right="150"/>
              <w:spacing w:after="0"/>
              <w:rPr>
                <w:sz w:val="20"/>
                <w:szCs w:val="20"/>
                <w:color w:val="auto"/>
              </w:rPr>
            </w:pPr>
            <w:r>
              <w:rPr>
                <w:rFonts w:ascii="Arial" w:cs="Arial" w:eastAsia="Arial" w:hAnsi="Arial"/>
                <w:sz w:val="18"/>
                <w:szCs w:val="18"/>
                <w:color w:val="auto"/>
                <w:w w:val="91"/>
              </w:rPr>
              <w:t>Dividends declared:</w:t>
            </w:r>
          </w:p>
        </w:tc>
        <w:tc>
          <w:tcPr>
            <w:tcW w:w="110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21"/>
                <w:szCs w:val="21"/>
                <w:color w:val="auto"/>
              </w:rPr>
            </w:pPr>
          </w:p>
        </w:tc>
        <w:tc>
          <w:tcPr>
            <w:tcW w:w="1320" w:type="dxa"/>
            <w:vAlign w:val="bottom"/>
            <w:gridSpan w:val="2"/>
          </w:tcPr>
          <w:p>
            <w:pPr>
              <w:jc w:val="right"/>
              <w:ind w:right="40"/>
              <w:spacing w:after="0"/>
              <w:rPr>
                <w:sz w:val="20"/>
                <w:szCs w:val="20"/>
                <w:color w:val="auto"/>
              </w:rPr>
            </w:pPr>
            <w:r>
              <w:rPr>
                <w:rFonts w:ascii="Arial" w:cs="Arial" w:eastAsia="Arial" w:hAnsi="Arial"/>
                <w:sz w:val="18"/>
                <w:szCs w:val="18"/>
                <w:color w:val="auto"/>
              </w:rPr>
              <w:t>(110)</w:t>
            </w:r>
          </w:p>
        </w:tc>
      </w:tr>
      <w:tr>
        <w:trPr>
          <w:trHeight w:val="243"/>
        </w:trPr>
        <w:tc>
          <w:tcPr>
            <w:tcW w:w="5160" w:type="dxa"/>
            <w:vAlign w:val="bottom"/>
            <w:tcBorders>
              <w:bottom w:val="single" w:sz="8" w:color="CCFFCC"/>
            </w:tcBorders>
            <w:shd w:val="clear" w:color="auto" w:fill="CCFFCC"/>
          </w:tcPr>
          <w:p>
            <w:pPr>
              <w:spacing w:after="0"/>
              <w:rPr>
                <w:sz w:val="21"/>
                <w:szCs w:val="21"/>
                <w:color w:val="auto"/>
              </w:rPr>
            </w:pPr>
          </w:p>
        </w:tc>
        <w:tc>
          <w:tcPr>
            <w:tcW w:w="1100" w:type="dxa"/>
            <w:vAlign w:val="bottom"/>
            <w:tcBorders>
              <w:bottom w:val="single" w:sz="8" w:color="auto"/>
            </w:tcBorders>
            <w:shd w:val="clear" w:color="auto" w:fill="CCFFCC"/>
          </w:tcPr>
          <w:p>
            <w:pPr>
              <w:spacing w:after="0"/>
              <w:rPr>
                <w:sz w:val="21"/>
                <w:szCs w:val="21"/>
                <w:color w:val="auto"/>
              </w:rPr>
            </w:pPr>
          </w:p>
        </w:tc>
        <w:tc>
          <w:tcPr>
            <w:tcW w:w="280" w:type="dxa"/>
            <w:vAlign w:val="bottom"/>
            <w:tcBorders>
              <w:bottom w:val="single" w:sz="8" w:color="auto"/>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80" w:type="dxa"/>
            <w:vAlign w:val="bottom"/>
            <w:tcBorders>
              <w:bottom w:val="single" w:sz="8" w:color="auto"/>
            </w:tcBorders>
            <w:shd w:val="clear" w:color="auto" w:fill="CCFFCC"/>
          </w:tcPr>
          <w:p>
            <w:pPr>
              <w:spacing w:after="0"/>
              <w:rPr>
                <w:sz w:val="21"/>
                <w:szCs w:val="21"/>
                <w:color w:val="auto"/>
              </w:rPr>
            </w:pPr>
          </w:p>
        </w:tc>
        <w:tc>
          <w:tcPr>
            <w:tcW w:w="1200" w:type="dxa"/>
            <w:vAlign w:val="bottom"/>
            <w:tcBorders>
              <w:bottom w:val="single" w:sz="8" w:color="auto"/>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240" w:type="dxa"/>
            <w:vAlign w:val="bottom"/>
            <w:tcBorders>
              <w:bottom w:val="single" w:sz="8" w:color="auto"/>
            </w:tcBorders>
            <w:shd w:val="clear" w:color="auto" w:fill="CCFFCC"/>
          </w:tcPr>
          <w:p>
            <w:pPr>
              <w:spacing w:after="0"/>
              <w:rPr>
                <w:sz w:val="21"/>
                <w:szCs w:val="21"/>
                <w:color w:val="auto"/>
              </w:rPr>
            </w:pPr>
          </w:p>
        </w:tc>
        <w:tc>
          <w:tcPr>
            <w:tcW w:w="1140" w:type="dxa"/>
            <w:vAlign w:val="bottom"/>
            <w:tcBorders>
              <w:bottom w:val="single" w:sz="8" w:color="auto"/>
            </w:tcBorders>
            <w:shd w:val="clear" w:color="auto" w:fill="CCFFCC"/>
          </w:tcPr>
          <w:p>
            <w:pPr>
              <w:spacing w:after="0"/>
              <w:rPr>
                <w:sz w:val="21"/>
                <w:szCs w:val="21"/>
                <w:color w:val="auto"/>
              </w:rPr>
            </w:pPr>
          </w:p>
        </w:tc>
        <w:tc>
          <w:tcPr>
            <w:tcW w:w="2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auto"/>
            </w:tcBorders>
            <w:shd w:val="clear" w:color="auto" w:fill="CCFFCC"/>
          </w:tcPr>
          <w:p>
            <w:pPr>
              <w:spacing w:after="0"/>
              <w:rPr>
                <w:sz w:val="21"/>
                <w:szCs w:val="21"/>
                <w:color w:val="auto"/>
              </w:rPr>
            </w:pPr>
          </w:p>
        </w:tc>
        <w:tc>
          <w:tcPr>
            <w:tcW w:w="1220" w:type="dxa"/>
            <w:vAlign w:val="bottom"/>
            <w:tcBorders>
              <w:bottom w:val="single" w:sz="8" w:color="auto"/>
            </w:tcBorders>
            <w:shd w:val="clear" w:color="auto" w:fill="CCFFCC"/>
          </w:tcPr>
          <w:p>
            <w:pPr>
              <w:spacing w:after="0"/>
              <w:rPr>
                <w:sz w:val="21"/>
                <w:szCs w:val="21"/>
                <w:color w:val="auto"/>
              </w:rPr>
            </w:pPr>
          </w:p>
        </w:tc>
        <w:tc>
          <w:tcPr>
            <w:tcW w:w="100" w:type="dxa"/>
            <w:vAlign w:val="bottom"/>
            <w:tcBorders>
              <w:bottom w:val="single" w:sz="8" w:color="CCFFCC"/>
            </w:tcBorders>
            <w:shd w:val="clear" w:color="auto" w:fill="CCFFCC"/>
          </w:tcPr>
          <w:p>
            <w:pPr>
              <w:spacing w:after="0"/>
              <w:rPr>
                <w:sz w:val="21"/>
                <w:szCs w:val="21"/>
                <w:color w:val="auto"/>
              </w:rPr>
            </w:pPr>
          </w:p>
        </w:tc>
      </w:tr>
      <w:tr>
        <w:trPr>
          <w:trHeight w:val="237"/>
        </w:trPr>
        <w:tc>
          <w:tcPr>
            <w:tcW w:w="51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Balances at December 31, 2006</w:t>
            </w:r>
          </w:p>
        </w:tc>
        <w:tc>
          <w:tcPr>
            <w:tcW w:w="1100" w:type="dxa"/>
            <w:vAlign w:val="bottom"/>
          </w:tcPr>
          <w:p>
            <w:pPr>
              <w:jc w:val="right"/>
              <w:ind w:right="937"/>
              <w:spacing w:after="0"/>
              <w:rPr>
                <w:sz w:val="20"/>
                <w:szCs w:val="20"/>
                <w:color w:val="auto"/>
              </w:rPr>
            </w:pPr>
            <w:r>
              <w:rPr>
                <w:rFonts w:ascii="Arial" w:cs="Arial" w:eastAsia="Arial" w:hAnsi="Arial"/>
                <w:sz w:val="15"/>
                <w:szCs w:val="15"/>
                <w:b w:val="1"/>
                <w:bCs w:val="1"/>
                <w:color w:val="auto"/>
                <w:w w:val="71"/>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4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2,314</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7,816</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10,159</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17 - Profit tax</w:t>
      </w:r>
    </w:p>
    <w:p>
      <w:pPr>
        <w:spacing w:after="0" w:line="2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2006 and in 2005, the Company’s operations resulted in a profit for Russian tax purposes. Profit tax was charged as at December 31, 2006 and 2005. The statutory profit tax rate was 24% in 2006 and 24% in 2005.</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320" w:type="dxa"/>
            <w:vAlign w:val="bottom"/>
            <w:gridSpan w:val="2"/>
          </w:tcPr>
          <w:p>
            <w:pPr>
              <w:spacing w:after="0"/>
              <w:rPr>
                <w:sz w:val="20"/>
                <w:szCs w:val="20"/>
                <w:color w:val="auto"/>
              </w:rPr>
            </w:pPr>
            <w:r>
              <w:rPr>
                <w:rFonts w:ascii="Arial" w:cs="Arial" w:eastAsia="Arial" w:hAnsi="Arial"/>
                <w:sz w:val="18"/>
                <w:szCs w:val="18"/>
                <w:color w:val="auto"/>
              </w:rPr>
              <w:t>Major components of tax expense included in the determination of net profit for the period:</w:t>
            </w:r>
          </w:p>
        </w:tc>
        <w:tc>
          <w:tcPr>
            <w:tcW w:w="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40"/>
        </w:trPr>
        <w:tc>
          <w:tcPr>
            <w:tcW w:w="932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2006</w:t>
            </w: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4"/>
                <w:szCs w:val="24"/>
                <w:color w:val="auto"/>
              </w:rPr>
            </w:pPr>
          </w:p>
        </w:tc>
      </w:tr>
      <w:tr>
        <w:trPr>
          <w:trHeight w:val="237"/>
        </w:trPr>
        <w:tc>
          <w:tcPr>
            <w:tcW w:w="834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9320" w:type="dxa"/>
            <w:vAlign w:val="bottom"/>
            <w:gridSpan w:val="2"/>
            <w:shd w:val="clear" w:color="auto" w:fill="CCFFCC"/>
          </w:tcPr>
          <w:p>
            <w:pPr>
              <w:spacing w:after="0"/>
              <w:rPr>
                <w:sz w:val="20"/>
                <w:szCs w:val="20"/>
                <w:color w:val="auto"/>
              </w:rPr>
            </w:pPr>
            <w:r>
              <w:rPr>
                <w:rFonts w:ascii="Arial" w:cs="Arial" w:eastAsia="Arial" w:hAnsi="Arial"/>
                <w:sz w:val="18"/>
                <w:szCs w:val="18"/>
                <w:color w:val="auto"/>
              </w:rPr>
              <w:t>Current profit tax expense</w:t>
            </w:r>
          </w:p>
        </w:tc>
        <w:tc>
          <w:tcPr>
            <w:tcW w:w="400" w:type="dxa"/>
            <w:vAlign w:val="bottom"/>
            <w:shd w:val="clear" w:color="auto" w:fill="CCFFCC"/>
          </w:tcPr>
          <w:p>
            <w:pPr>
              <w:jc w:val="right"/>
              <w:spacing w:after="0"/>
              <w:rPr>
                <w:sz w:val="20"/>
                <w:szCs w:val="20"/>
                <w:color w:val="auto"/>
              </w:rPr>
            </w:pPr>
            <w:r>
              <w:rPr>
                <w:rFonts w:ascii="Arial" w:cs="Arial" w:eastAsia="Arial" w:hAnsi="Arial"/>
                <w:sz w:val="18"/>
                <w:szCs w:val="18"/>
                <w:color w:val="auto"/>
              </w:rPr>
              <w:t>496</w:t>
            </w:r>
          </w:p>
        </w:tc>
        <w:tc>
          <w:tcPr>
            <w:tcW w:w="220" w:type="dxa"/>
            <w:vAlign w:val="bottom"/>
            <w:shd w:val="clear" w:color="auto" w:fill="CCFFCC"/>
          </w:tcPr>
          <w:p>
            <w:pPr>
              <w:spacing w:after="0"/>
              <w:rPr>
                <w:sz w:val="21"/>
                <w:szCs w:val="21"/>
                <w:color w:val="auto"/>
              </w:rPr>
            </w:pP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8"/>
                <w:szCs w:val="18"/>
                <w:color w:val="auto"/>
              </w:rPr>
              <w:t>379</w:t>
            </w:r>
          </w:p>
        </w:tc>
      </w:tr>
      <w:tr>
        <w:trPr>
          <w:trHeight w:val="270"/>
        </w:trPr>
        <w:tc>
          <w:tcPr>
            <w:tcW w:w="8340" w:type="dxa"/>
            <w:vAlign w:val="bottom"/>
          </w:tcPr>
          <w:p>
            <w:pPr>
              <w:spacing w:after="0"/>
              <w:rPr>
                <w:sz w:val="20"/>
                <w:szCs w:val="20"/>
                <w:color w:val="auto"/>
              </w:rPr>
            </w:pPr>
            <w:r>
              <w:rPr>
                <w:rFonts w:ascii="Arial" w:cs="Arial" w:eastAsia="Arial" w:hAnsi="Arial"/>
                <w:sz w:val="18"/>
                <w:szCs w:val="18"/>
                <w:color w:val="auto"/>
              </w:rPr>
              <w:t>Deferred profit tax expense</w:t>
            </w:r>
          </w:p>
        </w:tc>
        <w:tc>
          <w:tcPr>
            <w:tcW w:w="98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3"/>
                <w:szCs w:val="23"/>
                <w:color w:val="auto"/>
              </w:rPr>
            </w:pPr>
          </w:p>
        </w:tc>
      </w:tr>
      <w:tr>
        <w:trPr>
          <w:trHeight w:val="237"/>
        </w:trPr>
        <w:tc>
          <w:tcPr>
            <w:tcW w:w="8340" w:type="dxa"/>
            <w:vAlign w:val="bottom"/>
            <w:tcBorders>
              <w:bottom w:val="single" w:sz="8" w:color="CCFFCC"/>
            </w:tcBorders>
            <w:shd w:val="clear" w:color="auto" w:fill="CCFFCC"/>
          </w:tcPr>
          <w:p>
            <w:pPr>
              <w:spacing w:after="0"/>
              <w:rPr>
                <w:sz w:val="20"/>
                <w:szCs w:val="20"/>
                <w:color w:val="auto"/>
              </w:rPr>
            </w:pPr>
          </w:p>
        </w:tc>
        <w:tc>
          <w:tcPr>
            <w:tcW w:w="980" w:type="dxa"/>
            <w:vAlign w:val="bottom"/>
            <w:tcBorders>
              <w:bottom w:val="single" w:sz="8" w:color="auto"/>
            </w:tcBorders>
            <w:shd w:val="clear" w:color="auto" w:fill="CCFFCC"/>
          </w:tcPr>
          <w:p>
            <w:pPr>
              <w:jc w:val="right"/>
              <w:ind w:right="790"/>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564</w:t>
            </w:r>
          </w:p>
        </w:tc>
        <w:tc>
          <w:tcPr>
            <w:tcW w:w="220" w:type="dxa"/>
            <w:vAlign w:val="bottom"/>
            <w:tcBorders>
              <w:bottom w:val="single" w:sz="8" w:color="CCFFCC"/>
            </w:tcBorders>
            <w:shd w:val="clear" w:color="auto" w:fill="CCFFCC"/>
          </w:tcPr>
          <w:p>
            <w:pPr>
              <w:spacing w:after="0"/>
              <w:rPr>
                <w:sz w:val="20"/>
                <w:szCs w:val="20"/>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8"/>
                <w:szCs w:val="18"/>
                <w:b w:val="1"/>
                <w:bCs w:val="1"/>
                <w:color w:val="auto"/>
              </w:rPr>
              <w:t>455</w:t>
            </w:r>
          </w:p>
        </w:tc>
        <w:tc>
          <w:tcPr>
            <w:tcW w:w="100" w:type="dxa"/>
            <w:vAlign w:val="bottom"/>
            <w:tcBorders>
              <w:bottom w:val="single" w:sz="8" w:color="CCFFCC"/>
            </w:tcBorders>
            <w:shd w:val="clear" w:color="auto" w:fill="CCFFCC"/>
          </w:tcPr>
          <w:p>
            <w:pPr>
              <w:spacing w:after="0"/>
              <w:rPr>
                <w:sz w:val="20"/>
                <w:szCs w:val="20"/>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Profit tax expense, which relates substantially to current profit tax, differs from the statutory profit tax as follows:</w:t>
      </w:r>
    </w:p>
    <w:p>
      <w:pPr>
        <w:spacing w:after="0" w:line="27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82" w:name="page83"/>
    <w:bookmarkEnd w:id="8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6"/>
          <w:szCs w:val="16"/>
          <w:color w:val="auto"/>
        </w:rPr>
        <w:t>Main items making up Deferred profit tax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1160"/>
        <w:spacing w:after="0" w:line="281" w:lineRule="auto"/>
        <w:rPr>
          <w:sz w:val="20"/>
          <w:szCs w:val="20"/>
          <w:color w:val="auto"/>
        </w:rPr>
      </w:pPr>
      <w:r>
        <w:rPr>
          <w:rFonts w:ascii="Arial" w:cs="Arial" w:eastAsia="Arial" w:hAnsi="Arial"/>
          <w:sz w:val="18"/>
          <w:szCs w:val="18"/>
          <w:color w:val="auto"/>
        </w:rPr>
        <w:t>Property, plant and equipment Intangible assets Inventory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Trade receivables</w:t>
      </w:r>
    </w:p>
    <w:p>
      <w:pPr>
        <w:spacing w:after="0" w:line="36" w:lineRule="exact"/>
        <w:rPr>
          <w:sz w:val="20"/>
          <w:szCs w:val="20"/>
          <w:color w:val="auto"/>
        </w:rPr>
      </w:pPr>
    </w:p>
    <w:p>
      <w:pPr>
        <w:ind w:right="720"/>
        <w:spacing w:after="0" w:line="281" w:lineRule="auto"/>
        <w:rPr>
          <w:sz w:val="20"/>
          <w:szCs w:val="20"/>
          <w:color w:val="auto"/>
        </w:rPr>
      </w:pPr>
      <w:r>
        <w:rPr>
          <w:rFonts w:ascii="Arial" w:cs="Arial" w:eastAsia="Arial" w:hAnsi="Arial"/>
          <w:sz w:val="18"/>
          <w:szCs w:val="18"/>
          <w:color w:val="auto"/>
        </w:rPr>
        <w:t>Others receivables and prepayments Others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Accrued payroll</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Total deferred tax assets (liabilities)</w:t>
      </w:r>
    </w:p>
    <w:p>
      <w:pPr>
        <w:spacing w:after="0" w:line="20" w:lineRule="exact"/>
        <w:rPr>
          <w:sz w:val="20"/>
          <w:szCs w:val="20"/>
          <w:color w:val="auto"/>
        </w:rPr>
      </w:pPr>
      <w:r>
        <w:rPr>
          <w:sz w:val="20"/>
          <w:szCs w:val="20"/>
          <w:color w:val="auto"/>
        </w:rPr>
        <w:br w:type="column"/>
      </w:r>
    </w:p>
    <w:p>
      <w:pPr>
        <w:ind w:left="1620"/>
        <w:spacing w:after="0"/>
        <w:rPr>
          <w:sz w:val="20"/>
          <w:szCs w:val="20"/>
          <w:color w:val="auto"/>
        </w:rPr>
      </w:pPr>
      <w:r>
        <w:rPr>
          <w:rFonts w:ascii="Arial" w:cs="Arial" w:eastAsia="Arial" w:hAnsi="Arial"/>
          <w:sz w:val="18"/>
          <w:szCs w:val="18"/>
          <w:b w:val="1"/>
          <w:bCs w:val="1"/>
          <w:color w:val="auto"/>
        </w:rPr>
        <w:t>OAO Morion</w:t>
      </w:r>
    </w:p>
    <w:p>
      <w:pPr>
        <w:spacing w:after="0" w:line="284" w:lineRule="exact"/>
        <w:rPr>
          <w:sz w:val="20"/>
          <w:szCs w:val="20"/>
          <w:color w:val="auto"/>
        </w:rPr>
      </w:pPr>
    </w:p>
    <w:p>
      <w:pPr>
        <w:ind w:left="760"/>
        <w:spacing w:after="0"/>
        <w:rPr>
          <w:sz w:val="20"/>
          <w:szCs w:val="20"/>
          <w:color w:val="auto"/>
        </w:rPr>
      </w:pPr>
      <w:r>
        <w:rPr>
          <w:rFonts w:ascii="Arial" w:cs="Arial" w:eastAsia="Arial" w:hAnsi="Arial"/>
          <w:sz w:val="22"/>
          <w:szCs w:val="22"/>
          <w:b w:val="1"/>
          <w:bCs w:val="1"/>
          <w:color w:val="auto"/>
        </w:rPr>
        <w:t>Notes to Financial Statements</w:t>
      </w:r>
    </w:p>
    <w:p>
      <w:pPr>
        <w:spacing w:after="0" w:line="28" w:lineRule="exact"/>
        <w:rPr>
          <w:sz w:val="20"/>
          <w:szCs w:val="20"/>
          <w:color w:val="auto"/>
        </w:rPr>
      </w:pPr>
    </w:p>
    <w:p>
      <w:pPr>
        <w:ind w:left="560"/>
        <w:spacing w:after="0"/>
        <w:rPr>
          <w:sz w:val="20"/>
          <w:szCs w:val="20"/>
          <w:color w:val="auto"/>
        </w:rPr>
      </w:pPr>
      <w:r>
        <w:rPr>
          <w:rFonts w:ascii="Arial" w:cs="Arial" w:eastAsia="Arial" w:hAnsi="Arial"/>
          <w:sz w:val="22"/>
          <w:szCs w:val="22"/>
          <w:b w:val="1"/>
          <w:bCs w:val="1"/>
          <w:color w:val="auto"/>
        </w:rPr>
        <w:t>As at December 31, 2006 and 2005</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And for the Years ended December 31, 2006 and 2005</w:t>
      </w:r>
    </w:p>
    <w:p>
      <w:pPr>
        <w:spacing w:after="0" w:line="17" w:lineRule="exact"/>
        <w:rPr>
          <w:sz w:val="20"/>
          <w:szCs w:val="20"/>
          <w:color w:val="auto"/>
        </w:rPr>
      </w:pPr>
    </w:p>
    <w:p>
      <w:pPr>
        <w:ind w:left="300"/>
        <w:spacing w:after="0"/>
        <w:rPr>
          <w:sz w:val="20"/>
          <w:szCs w:val="20"/>
          <w:color w:val="auto"/>
        </w:rPr>
      </w:pPr>
      <w:r>
        <w:rPr>
          <w:rFonts w:ascii="Arial" w:cs="Arial" w:eastAsia="Arial" w:hAnsi="Arial"/>
          <w:sz w:val="18"/>
          <w:szCs w:val="18"/>
          <w:b w:val="1"/>
          <w:bCs w:val="1"/>
          <w:u w:val="single" w:color="auto"/>
          <w:color w:val="auto"/>
        </w:rPr>
        <w:t>(in thousands of U.S. dollars - where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4760" w:type="dxa"/>
        <w:tblCellMar>
          <w:top w:w="0" w:type="dxa"/>
          <w:left w:w="0" w:type="dxa"/>
          <w:bottom w:w="0" w:type="dxa"/>
          <w:right w:w="0" w:type="dxa"/>
        </w:tblCellMar>
      </w:tblPr>
      <w:tr>
        <w:trPr>
          <w:trHeight w:val="234"/>
        </w:trPr>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2006</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2005</w:t>
            </w:r>
          </w:p>
        </w:tc>
        <w:tc>
          <w:tcPr>
            <w:tcW w:w="100" w:type="dxa"/>
            <w:vAlign w:val="bottom"/>
          </w:tcPr>
          <w:p>
            <w:pPr>
              <w:spacing w:after="0"/>
              <w:rPr>
                <w:sz w:val="20"/>
                <w:szCs w:val="20"/>
                <w:color w:val="auto"/>
              </w:rPr>
            </w:pPr>
          </w:p>
        </w:tc>
      </w:tr>
      <w:tr>
        <w:trPr>
          <w:trHeight w:val="480"/>
        </w:trPr>
        <w:tc>
          <w:tcPr>
            <w:tcW w:w="300" w:type="dxa"/>
            <w:vAlign w:val="bottom"/>
          </w:tcPr>
          <w:p>
            <w:pPr>
              <w:spacing w:after="0"/>
              <w:rPr>
                <w:sz w:val="24"/>
                <w:szCs w:val="24"/>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(47)</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(47)</w:t>
            </w:r>
          </w:p>
        </w:tc>
      </w:tr>
      <w:tr>
        <w:trPr>
          <w:trHeight w:val="243"/>
        </w:trPr>
        <w:tc>
          <w:tcPr>
            <w:tcW w:w="30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r>
      <w:tr>
        <w:trPr>
          <w:trHeight w:val="243"/>
        </w:trPr>
        <w:tc>
          <w:tcPr>
            <w:tcW w:w="30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122</w:t>
            </w:r>
          </w:p>
        </w:tc>
        <w:tc>
          <w:tcPr>
            <w:tcW w:w="20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43"/>
        </w:trPr>
        <w:tc>
          <w:tcPr>
            <w:tcW w:w="30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r>
      <w:tr>
        <w:trPr>
          <w:trHeight w:val="243"/>
        </w:trPr>
        <w:tc>
          <w:tcPr>
            <w:tcW w:w="30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r>
      <w:tr>
        <w:trPr>
          <w:trHeight w:val="243"/>
        </w:trPr>
        <w:tc>
          <w:tcPr>
            <w:tcW w:w="30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20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43"/>
        </w:trPr>
        <w:tc>
          <w:tcPr>
            <w:tcW w:w="300" w:type="dxa"/>
            <w:vAlign w:val="bottom"/>
          </w:tcPr>
          <w:p>
            <w:pPr>
              <w:spacing w:after="0"/>
              <w:rPr>
                <w:sz w:val="21"/>
                <w:szCs w:val="21"/>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1"/>
                <w:szCs w:val="21"/>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70"/>
        </w:trPr>
        <w:tc>
          <w:tcPr>
            <w:tcW w:w="3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23"/>
                <w:szCs w:val="23"/>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3"/>
                <w:szCs w:val="23"/>
                <w:color w:val="auto"/>
              </w:rPr>
            </w:pPr>
          </w:p>
        </w:tc>
      </w:tr>
      <w:tr>
        <w:trPr>
          <w:trHeight w:val="291"/>
        </w:trPr>
        <w:tc>
          <w:tcPr>
            <w:tcW w:w="3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184</w:t>
            </w:r>
          </w:p>
        </w:tc>
        <w:tc>
          <w:tcPr>
            <w:tcW w:w="20" w:type="dxa"/>
            <w:vAlign w:val="bottom"/>
            <w:tcBorders>
              <w:bottom w:val="single" w:sz="8" w:color="CCFFCC"/>
            </w:tcBorders>
          </w:tcPr>
          <w:p>
            <w:pPr>
              <w:spacing w:after="0"/>
              <w:rPr>
                <w:sz w:val="24"/>
                <w:szCs w:val="24"/>
                <w:color w:val="auto"/>
              </w:rPr>
            </w:pPr>
          </w:p>
        </w:tc>
        <w:tc>
          <w:tcPr>
            <w:tcW w:w="200" w:type="dxa"/>
            <w:vAlign w:val="bottom"/>
            <w:tcBorders>
              <w:bottom w:val="single" w:sz="8" w:color="CCFFCC"/>
            </w:tcBorders>
          </w:tcPr>
          <w:p>
            <w:pPr>
              <w:spacing w:after="0"/>
              <w:rPr>
                <w:sz w:val="24"/>
                <w:szCs w:val="2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68</w:t>
            </w:r>
          </w:p>
        </w:tc>
        <w:tc>
          <w:tcPr>
            <w:tcW w:w="100" w:type="dxa"/>
            <w:vAlign w:val="bottom"/>
            <w:tcBorders>
              <w:bottom w:val="single" w:sz="8" w:color="CCFFCC"/>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-1457325</wp:posOffset>
            </wp:positionV>
            <wp:extent cx="7246620" cy="15430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-1148715</wp:posOffset>
            </wp:positionV>
            <wp:extent cx="7246620" cy="1543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-840105</wp:posOffset>
            </wp:positionV>
            <wp:extent cx="7246620" cy="1543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-530860</wp:posOffset>
            </wp:positionV>
            <wp:extent cx="7246620" cy="1543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-196850</wp:posOffset>
            </wp:positionV>
            <wp:extent cx="7246620" cy="1974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40" w:space="240"/>
            <w:col w:w="7840"/>
          </w:cols>
          <w:pgMar w:left="240" w:top="391" w:right="239" w:bottom="1440" w:gutter="0" w:footer="0" w:header="0"/>
        </w:sectPr>
      </w:pP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18 - Profit tax expense (continued)</w:t>
      </w:r>
    </w:p>
    <w:p>
      <w:pPr>
        <w:spacing w:after="0" w:line="2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is subject to profit tax at a statutory rate of 24%. Profit tax expense, which relates substantially to current profit tax, differs from the statutory profit tax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260" w:type="dxa"/>
            <w:vAlign w:val="bottom"/>
            <w:tcBorders>
              <w:bottom w:val="single" w:sz="8" w:color="CCFFCC"/>
            </w:tcBorders>
            <w:shd w:val="clear" w:color="auto" w:fill="CCFFCC"/>
          </w:tcPr>
          <w:p>
            <w:pPr>
              <w:spacing w:after="0"/>
              <w:rPr>
                <w:sz w:val="20"/>
                <w:szCs w:val="20"/>
                <w:color w:val="auto"/>
              </w:rPr>
            </w:pPr>
            <w:r>
              <w:rPr>
                <w:rFonts w:ascii="Arial" w:cs="Arial" w:eastAsia="Arial" w:hAnsi="Arial"/>
                <w:sz w:val="18"/>
                <w:szCs w:val="18"/>
                <w:b w:val="1"/>
                <w:bCs w:val="1"/>
                <w:color w:val="auto"/>
              </w:rPr>
              <w:t>Profit before profit tax expense</w:t>
            </w:r>
          </w:p>
        </w:tc>
        <w:tc>
          <w:tcPr>
            <w:tcW w:w="4080" w:type="dxa"/>
            <w:vAlign w:val="bottom"/>
            <w:tcBorders>
              <w:bottom w:val="single" w:sz="8" w:color="CCFFCC"/>
            </w:tcBorders>
            <w:shd w:val="clear" w:color="auto" w:fill="CCFFCC"/>
          </w:tcPr>
          <w:p>
            <w:pPr>
              <w:spacing w:after="0"/>
              <w:rPr>
                <w:sz w:val="23"/>
                <w:szCs w:val="23"/>
                <w:color w:val="auto"/>
              </w:rPr>
            </w:pPr>
          </w:p>
        </w:tc>
        <w:tc>
          <w:tcPr>
            <w:tcW w:w="540" w:type="dxa"/>
            <w:vAlign w:val="bottom"/>
            <w:tcBorders>
              <w:bottom w:val="single" w:sz="8" w:color="CCFFCC"/>
            </w:tcBorders>
            <w:shd w:val="clear" w:color="auto" w:fill="CCFFCC"/>
          </w:tcPr>
          <w:p>
            <w:pPr>
              <w:jc w:val="right"/>
              <w:ind w:right="350"/>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FFCC"/>
            </w:tcBorders>
            <w:gridSpan w:val="2"/>
            <w:shd w:val="clear" w:color="auto" w:fill="CCFFCC"/>
          </w:tcPr>
          <w:p>
            <w:pPr>
              <w:jc w:val="right"/>
              <w:ind w:right="130"/>
              <w:spacing w:after="0"/>
              <w:rPr>
                <w:sz w:val="20"/>
                <w:szCs w:val="20"/>
                <w:color w:val="auto"/>
              </w:rPr>
            </w:pPr>
            <w:r>
              <w:rPr>
                <w:rFonts w:ascii="Arial" w:cs="Arial" w:eastAsia="Arial" w:hAnsi="Arial"/>
                <w:sz w:val="18"/>
                <w:szCs w:val="18"/>
                <w:b w:val="1"/>
                <w:bCs w:val="1"/>
                <w:color w:val="auto"/>
              </w:rPr>
              <w:t>2,427</w:t>
            </w:r>
          </w:p>
        </w:tc>
        <w:tc>
          <w:tcPr>
            <w:tcW w:w="1380" w:type="dxa"/>
            <w:vAlign w:val="bottom"/>
            <w:tcBorders>
              <w:bottom w:val="single" w:sz="8" w:color="CCFFCC"/>
            </w:tcBorders>
            <w:shd w:val="clear" w:color="auto" w:fill="CCFFCC"/>
          </w:tcPr>
          <w:p>
            <w:pPr>
              <w:spacing w:after="0"/>
              <w:rPr>
                <w:sz w:val="23"/>
                <w:szCs w:val="23"/>
                <w:color w:val="auto"/>
              </w:rPr>
            </w:pPr>
          </w:p>
        </w:tc>
        <w:tc>
          <w:tcPr>
            <w:tcW w:w="100" w:type="dxa"/>
            <w:vAlign w:val="bottom"/>
            <w:tcBorders>
              <w:bottom w:val="single" w:sz="8" w:color="CCFFCC"/>
            </w:tcBorders>
            <w:shd w:val="clear" w:color="auto" w:fill="CCFFCC"/>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260" w:type="dxa"/>
            <w:vAlign w:val="bottom"/>
            <w:tcBorders>
              <w:top w:val="single" w:sz="8" w:color="CCFFCC"/>
            </w:tcBorders>
          </w:tcPr>
          <w:p>
            <w:pPr>
              <w:spacing w:after="0"/>
              <w:rPr>
                <w:sz w:val="20"/>
                <w:szCs w:val="20"/>
                <w:color w:val="auto"/>
              </w:rPr>
            </w:pPr>
            <w:r>
              <w:rPr>
                <w:rFonts w:ascii="Arial" w:cs="Arial" w:eastAsia="Arial" w:hAnsi="Arial"/>
                <w:sz w:val="18"/>
                <w:szCs w:val="18"/>
                <w:b w:val="1"/>
                <w:bCs w:val="1"/>
                <w:color w:val="auto"/>
              </w:rPr>
              <w:t>Profit tax at statutory rates</w:t>
            </w:r>
          </w:p>
        </w:tc>
        <w:tc>
          <w:tcPr>
            <w:tcW w:w="4080" w:type="dxa"/>
            <w:vAlign w:val="bottom"/>
            <w:tcBorders>
              <w:top w:val="single" w:sz="8" w:color="CCFFCC"/>
            </w:tcBorders>
          </w:tcPr>
          <w:p>
            <w:pPr>
              <w:spacing w:after="0"/>
              <w:rPr>
                <w:sz w:val="22"/>
                <w:szCs w:val="22"/>
                <w:color w:val="auto"/>
              </w:rPr>
            </w:pPr>
          </w:p>
        </w:tc>
        <w:tc>
          <w:tcPr>
            <w:tcW w:w="54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c>
          <w:tcPr>
            <w:tcW w:w="1700" w:type="dxa"/>
            <w:vAlign w:val="bottom"/>
            <w:tcBorders>
              <w:top w:val="single" w:sz="8" w:color="CCFFCC"/>
            </w:tcBorders>
            <w:gridSpan w:val="3"/>
          </w:tcPr>
          <w:p>
            <w:pPr>
              <w:jc w:val="right"/>
              <w:ind w:right="100"/>
              <w:spacing w:after="0"/>
              <w:rPr>
                <w:sz w:val="20"/>
                <w:szCs w:val="20"/>
                <w:color w:val="auto"/>
              </w:rPr>
            </w:pPr>
            <w:r>
              <w:rPr>
                <w:rFonts w:ascii="Arial" w:cs="Arial" w:eastAsia="Arial" w:hAnsi="Arial"/>
                <w:sz w:val="18"/>
                <w:szCs w:val="18"/>
                <w:b w:val="1"/>
                <w:bCs w:val="1"/>
                <w:color w:val="auto"/>
              </w:rPr>
              <w:t>582</w:t>
            </w:r>
          </w:p>
        </w:tc>
        <w:tc>
          <w:tcPr>
            <w:tcW w:w="0" w:type="dxa"/>
            <w:vAlign w:val="bottom"/>
          </w:tcPr>
          <w:p>
            <w:pPr>
              <w:spacing w:after="0"/>
              <w:rPr>
                <w:sz w:val="1"/>
                <w:szCs w:val="1"/>
                <w:color w:val="auto"/>
              </w:rPr>
            </w:pPr>
          </w:p>
        </w:tc>
      </w:tr>
      <w:tr>
        <w:trPr>
          <w:trHeight w:val="237"/>
        </w:trPr>
        <w:tc>
          <w:tcPr>
            <w:tcW w:w="4260" w:type="dxa"/>
            <w:vAlign w:val="bottom"/>
            <w:shd w:val="clear" w:color="auto" w:fill="CCFFCC"/>
          </w:tcPr>
          <w:p>
            <w:pPr>
              <w:spacing w:after="0"/>
              <w:rPr>
                <w:sz w:val="20"/>
                <w:szCs w:val="20"/>
                <w:color w:val="auto"/>
              </w:rPr>
            </w:pPr>
          </w:p>
        </w:tc>
        <w:tc>
          <w:tcPr>
            <w:tcW w:w="4080" w:type="dxa"/>
            <w:vAlign w:val="bottom"/>
            <w:shd w:val="clear" w:color="auto" w:fill="CCFFCC"/>
          </w:tcPr>
          <w:p>
            <w:pPr>
              <w:spacing w:after="0"/>
              <w:rPr>
                <w:sz w:val="20"/>
                <w:szCs w:val="20"/>
                <w:color w:val="auto"/>
              </w:rPr>
            </w:pPr>
          </w:p>
        </w:tc>
        <w:tc>
          <w:tcPr>
            <w:tcW w:w="540" w:type="dxa"/>
            <w:vAlign w:val="bottom"/>
            <w:shd w:val="clear" w:color="auto" w:fill="CCFFCC"/>
          </w:tcPr>
          <w:p>
            <w:pPr>
              <w:spacing w:after="0"/>
              <w:rPr>
                <w:sz w:val="20"/>
                <w:szCs w:val="20"/>
                <w:color w:val="auto"/>
              </w:rPr>
            </w:pPr>
          </w:p>
        </w:tc>
        <w:tc>
          <w:tcPr>
            <w:tcW w:w="840" w:type="dxa"/>
            <w:vAlign w:val="bottom"/>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1380" w:type="dxa"/>
            <w:vAlign w:val="bottom"/>
            <w:tcBorders>
              <w:top w:val="single" w:sz="8" w:color="auto"/>
            </w:tcBorders>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0"/>
                <w:szCs w:val="20"/>
                <w:color w:val="auto"/>
              </w:rPr>
            </w:pPr>
            <w:r>
              <w:rPr>
                <w:rFonts w:ascii="Arial" w:cs="Arial" w:eastAsia="Arial" w:hAnsi="Arial"/>
                <w:sz w:val="18"/>
                <w:szCs w:val="18"/>
                <w:color w:val="auto"/>
              </w:rPr>
              <w:t>Add / (deduct) :</w:t>
            </w:r>
          </w:p>
        </w:tc>
        <w:tc>
          <w:tcPr>
            <w:tcW w:w="40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60" w:type="dxa"/>
            <w:vAlign w:val="bottom"/>
            <w:shd w:val="clear" w:color="auto" w:fill="CCFFCC"/>
          </w:tcPr>
          <w:p>
            <w:pPr>
              <w:spacing w:after="0"/>
              <w:rPr>
                <w:sz w:val="20"/>
                <w:szCs w:val="20"/>
                <w:color w:val="auto"/>
              </w:rPr>
            </w:pPr>
            <w:r>
              <w:rPr>
                <w:rFonts w:ascii="Arial" w:cs="Arial" w:eastAsia="Arial" w:hAnsi="Arial"/>
                <w:sz w:val="18"/>
                <w:szCs w:val="18"/>
                <w:color w:val="auto"/>
              </w:rPr>
              <w:t>Foreign currency translation loss</w:t>
            </w:r>
          </w:p>
        </w:tc>
        <w:tc>
          <w:tcPr>
            <w:tcW w:w="4080" w:type="dxa"/>
            <w:vAlign w:val="bottom"/>
            <w:shd w:val="clear" w:color="auto" w:fill="CCFFCC"/>
          </w:tcPr>
          <w:p>
            <w:pPr>
              <w:spacing w:after="0"/>
              <w:rPr>
                <w:sz w:val="21"/>
                <w:szCs w:val="21"/>
                <w:color w:val="auto"/>
              </w:rPr>
            </w:pPr>
          </w:p>
        </w:tc>
        <w:tc>
          <w:tcPr>
            <w:tcW w:w="54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219</w:t>
            </w:r>
          </w:p>
        </w:tc>
        <w:tc>
          <w:tcPr>
            <w:tcW w:w="13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0"/>
                <w:szCs w:val="20"/>
                <w:color w:val="auto"/>
              </w:rPr>
            </w:pPr>
            <w:r>
              <w:rPr>
                <w:rFonts w:ascii="Arial" w:cs="Arial" w:eastAsia="Arial" w:hAnsi="Arial"/>
                <w:sz w:val="18"/>
                <w:szCs w:val="18"/>
                <w:color w:val="auto"/>
              </w:rPr>
              <w:t>Depreciation</w:t>
            </w:r>
          </w:p>
        </w:tc>
        <w:tc>
          <w:tcPr>
            <w:tcW w:w="40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gridSpan w:val="2"/>
          </w:tcPr>
          <w:p>
            <w:pPr>
              <w:jc w:val="right"/>
              <w:ind w:right="130"/>
              <w:spacing w:after="0"/>
              <w:rPr>
                <w:sz w:val="20"/>
                <w:szCs w:val="20"/>
                <w:color w:val="auto"/>
              </w:rPr>
            </w:pPr>
            <w:r>
              <w:rPr>
                <w:rFonts w:ascii="Arial" w:cs="Arial" w:eastAsia="Arial" w:hAnsi="Arial"/>
                <w:sz w:val="18"/>
                <w:szCs w:val="18"/>
                <w:color w:val="auto"/>
              </w:rPr>
              <w:t>94</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60" w:type="dxa"/>
            <w:vAlign w:val="bottom"/>
            <w:shd w:val="clear" w:color="auto" w:fill="CCFFCC"/>
          </w:tcPr>
          <w:p>
            <w:pPr>
              <w:spacing w:after="0"/>
              <w:rPr>
                <w:sz w:val="20"/>
                <w:szCs w:val="20"/>
                <w:color w:val="auto"/>
              </w:rPr>
            </w:pPr>
            <w:r>
              <w:rPr>
                <w:rFonts w:ascii="Arial" w:cs="Arial" w:eastAsia="Arial" w:hAnsi="Arial"/>
                <w:sz w:val="18"/>
                <w:szCs w:val="18"/>
                <w:color w:val="auto"/>
              </w:rPr>
              <w:t>Materials</w:t>
            </w:r>
          </w:p>
        </w:tc>
        <w:tc>
          <w:tcPr>
            <w:tcW w:w="4080" w:type="dxa"/>
            <w:vAlign w:val="bottom"/>
            <w:shd w:val="clear" w:color="auto" w:fill="CCFFCC"/>
          </w:tcPr>
          <w:p>
            <w:pPr>
              <w:spacing w:after="0"/>
              <w:rPr>
                <w:sz w:val="21"/>
                <w:szCs w:val="21"/>
                <w:color w:val="auto"/>
              </w:rPr>
            </w:pPr>
          </w:p>
        </w:tc>
        <w:tc>
          <w:tcPr>
            <w:tcW w:w="54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296</w:t>
            </w:r>
          </w:p>
        </w:tc>
        <w:tc>
          <w:tcPr>
            <w:tcW w:w="13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0"/>
                <w:szCs w:val="20"/>
                <w:color w:val="auto"/>
              </w:rPr>
            </w:pPr>
            <w:r>
              <w:rPr>
                <w:rFonts w:ascii="Arial" w:cs="Arial" w:eastAsia="Arial" w:hAnsi="Arial"/>
                <w:sz w:val="18"/>
                <w:szCs w:val="18"/>
                <w:color w:val="auto"/>
              </w:rPr>
              <w:t>Changes in disposals of FA</w:t>
            </w:r>
          </w:p>
        </w:tc>
        <w:tc>
          <w:tcPr>
            <w:tcW w:w="40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gridSpan w:val="2"/>
          </w:tcPr>
          <w:p>
            <w:pPr>
              <w:jc w:val="right"/>
              <w:ind w:right="130"/>
              <w:spacing w:after="0"/>
              <w:rPr>
                <w:sz w:val="20"/>
                <w:szCs w:val="20"/>
                <w:color w:val="auto"/>
              </w:rPr>
            </w:pPr>
            <w:r>
              <w:rPr>
                <w:rFonts w:ascii="Arial" w:cs="Arial" w:eastAsia="Arial" w:hAnsi="Arial"/>
                <w:sz w:val="18"/>
                <w:szCs w:val="18"/>
                <w:color w:val="auto"/>
              </w:rPr>
              <w:t>1</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60" w:type="dxa"/>
            <w:vAlign w:val="bottom"/>
            <w:shd w:val="clear" w:color="auto" w:fill="CCFFCC"/>
          </w:tcPr>
          <w:p>
            <w:pPr>
              <w:spacing w:after="0"/>
              <w:rPr>
                <w:sz w:val="20"/>
                <w:szCs w:val="20"/>
                <w:color w:val="auto"/>
              </w:rPr>
            </w:pPr>
            <w:r>
              <w:rPr>
                <w:rFonts w:ascii="Arial" w:cs="Arial" w:eastAsia="Arial" w:hAnsi="Arial"/>
                <w:sz w:val="18"/>
                <w:szCs w:val="18"/>
                <w:color w:val="auto"/>
              </w:rPr>
              <w:t>WIP adjustment</w:t>
            </w:r>
          </w:p>
        </w:tc>
        <w:tc>
          <w:tcPr>
            <w:tcW w:w="4080" w:type="dxa"/>
            <w:vAlign w:val="bottom"/>
            <w:shd w:val="clear" w:color="auto" w:fill="CCFFCC"/>
          </w:tcPr>
          <w:p>
            <w:pPr>
              <w:spacing w:after="0"/>
              <w:rPr>
                <w:sz w:val="21"/>
                <w:szCs w:val="21"/>
                <w:color w:val="auto"/>
              </w:rPr>
            </w:pPr>
          </w:p>
        </w:tc>
        <w:tc>
          <w:tcPr>
            <w:tcW w:w="54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70"/>
              <w:spacing w:after="0"/>
              <w:rPr>
                <w:sz w:val="20"/>
                <w:szCs w:val="20"/>
                <w:color w:val="auto"/>
              </w:rPr>
            </w:pPr>
            <w:r>
              <w:rPr>
                <w:rFonts w:ascii="Arial" w:cs="Arial" w:eastAsia="Arial" w:hAnsi="Arial"/>
                <w:sz w:val="18"/>
                <w:szCs w:val="18"/>
                <w:color w:val="auto"/>
              </w:rPr>
              <w:t>(415)</w:t>
            </w:r>
          </w:p>
        </w:tc>
        <w:tc>
          <w:tcPr>
            <w:tcW w:w="13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0"/>
                <w:szCs w:val="20"/>
                <w:color w:val="auto"/>
              </w:rPr>
            </w:pPr>
            <w:r>
              <w:rPr>
                <w:rFonts w:ascii="Arial" w:cs="Arial" w:eastAsia="Arial" w:hAnsi="Arial"/>
                <w:sz w:val="18"/>
                <w:szCs w:val="18"/>
                <w:color w:val="auto"/>
              </w:rPr>
              <w:t>Expenses</w:t>
            </w:r>
          </w:p>
        </w:tc>
        <w:tc>
          <w:tcPr>
            <w:tcW w:w="40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gridSpan w:val="2"/>
          </w:tcPr>
          <w:p>
            <w:pPr>
              <w:jc w:val="right"/>
              <w:ind w:right="70"/>
              <w:spacing w:after="0"/>
              <w:rPr>
                <w:sz w:val="20"/>
                <w:szCs w:val="20"/>
                <w:color w:val="auto"/>
              </w:rPr>
            </w:pPr>
            <w:r>
              <w:rPr>
                <w:rFonts w:ascii="Arial" w:cs="Arial" w:eastAsia="Arial" w:hAnsi="Arial"/>
                <w:sz w:val="18"/>
                <w:szCs w:val="18"/>
                <w:color w:val="auto"/>
              </w:rPr>
              <w:t>(57)</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60" w:type="dxa"/>
            <w:vAlign w:val="bottom"/>
            <w:shd w:val="clear" w:color="auto" w:fill="CCFFCC"/>
          </w:tcPr>
          <w:p>
            <w:pPr>
              <w:spacing w:after="0"/>
              <w:rPr>
                <w:sz w:val="20"/>
                <w:szCs w:val="20"/>
                <w:color w:val="auto"/>
              </w:rPr>
            </w:pPr>
            <w:r>
              <w:rPr>
                <w:rFonts w:ascii="Arial" w:cs="Arial" w:eastAsia="Arial" w:hAnsi="Arial"/>
                <w:sz w:val="18"/>
                <w:szCs w:val="18"/>
                <w:color w:val="auto"/>
              </w:rPr>
              <w:t>Finished goods adjustment</w:t>
            </w:r>
          </w:p>
        </w:tc>
        <w:tc>
          <w:tcPr>
            <w:tcW w:w="4080" w:type="dxa"/>
            <w:vAlign w:val="bottom"/>
            <w:shd w:val="clear" w:color="auto" w:fill="CCFFCC"/>
          </w:tcPr>
          <w:p>
            <w:pPr>
              <w:spacing w:after="0"/>
              <w:rPr>
                <w:sz w:val="21"/>
                <w:szCs w:val="21"/>
                <w:color w:val="auto"/>
              </w:rPr>
            </w:pPr>
          </w:p>
        </w:tc>
        <w:tc>
          <w:tcPr>
            <w:tcW w:w="54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17</w:t>
            </w:r>
          </w:p>
        </w:tc>
        <w:tc>
          <w:tcPr>
            <w:tcW w:w="13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0"/>
                <w:szCs w:val="20"/>
                <w:color w:val="auto"/>
              </w:rPr>
            </w:pPr>
            <w:r>
              <w:rPr>
                <w:rFonts w:ascii="Arial" w:cs="Arial" w:eastAsia="Arial" w:hAnsi="Arial"/>
                <w:sz w:val="18"/>
                <w:szCs w:val="18"/>
                <w:color w:val="auto"/>
              </w:rPr>
              <w:t>Deferred expenses</w:t>
            </w:r>
          </w:p>
        </w:tc>
        <w:tc>
          <w:tcPr>
            <w:tcW w:w="40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gridSpan w:val="2"/>
          </w:tcPr>
          <w:p>
            <w:pPr>
              <w:jc w:val="right"/>
              <w:ind w:right="130"/>
              <w:spacing w:after="0"/>
              <w:rPr>
                <w:sz w:val="20"/>
                <w:szCs w:val="20"/>
                <w:color w:val="auto"/>
              </w:rPr>
            </w:pPr>
            <w:r>
              <w:rPr>
                <w:rFonts w:ascii="Arial" w:cs="Arial" w:eastAsia="Arial" w:hAnsi="Arial"/>
                <w:sz w:val="18"/>
                <w:szCs w:val="18"/>
                <w:color w:val="auto"/>
              </w:rPr>
              <w:t>11</w:t>
            </w: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60" w:type="dxa"/>
            <w:vAlign w:val="bottom"/>
            <w:shd w:val="clear" w:color="auto" w:fill="CCFFCC"/>
          </w:tcPr>
          <w:p>
            <w:pPr>
              <w:spacing w:after="0"/>
              <w:rPr>
                <w:sz w:val="20"/>
                <w:szCs w:val="20"/>
                <w:color w:val="auto"/>
              </w:rPr>
            </w:pPr>
            <w:r>
              <w:rPr>
                <w:rFonts w:ascii="Arial" w:cs="Arial" w:eastAsia="Arial" w:hAnsi="Arial"/>
                <w:sz w:val="18"/>
                <w:szCs w:val="18"/>
                <w:color w:val="auto"/>
              </w:rPr>
              <w:t>Tax allowances</w:t>
            </w:r>
          </w:p>
        </w:tc>
        <w:tc>
          <w:tcPr>
            <w:tcW w:w="4080" w:type="dxa"/>
            <w:vAlign w:val="bottom"/>
            <w:shd w:val="clear" w:color="auto" w:fill="CCFFCC"/>
          </w:tcPr>
          <w:p>
            <w:pPr>
              <w:spacing w:after="0"/>
              <w:rPr>
                <w:sz w:val="21"/>
                <w:szCs w:val="21"/>
                <w:color w:val="auto"/>
              </w:rPr>
            </w:pPr>
          </w:p>
        </w:tc>
        <w:tc>
          <w:tcPr>
            <w:tcW w:w="54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2</w:t>
            </w:r>
          </w:p>
        </w:tc>
        <w:tc>
          <w:tcPr>
            <w:tcW w:w="13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260" w:type="dxa"/>
            <w:vAlign w:val="bottom"/>
          </w:tcPr>
          <w:p>
            <w:pPr>
              <w:spacing w:after="0"/>
              <w:rPr>
                <w:sz w:val="20"/>
                <w:szCs w:val="20"/>
                <w:color w:val="auto"/>
              </w:rPr>
            </w:pPr>
            <w:r>
              <w:rPr>
                <w:rFonts w:ascii="Arial" w:cs="Arial" w:eastAsia="Arial" w:hAnsi="Arial"/>
                <w:sz w:val="18"/>
                <w:szCs w:val="18"/>
                <w:color w:val="auto"/>
              </w:rPr>
              <w:t>Change in provisions</w:t>
            </w:r>
          </w:p>
        </w:tc>
        <w:tc>
          <w:tcPr>
            <w:tcW w:w="4080" w:type="dxa"/>
            <w:vAlign w:val="bottom"/>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2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260" w:type="dxa"/>
            <w:vAlign w:val="bottom"/>
            <w:shd w:val="clear" w:color="auto" w:fill="CCFFCC"/>
          </w:tcPr>
          <w:p>
            <w:pPr>
              <w:spacing w:after="0"/>
              <w:rPr>
                <w:sz w:val="20"/>
                <w:szCs w:val="20"/>
                <w:color w:val="auto"/>
              </w:rPr>
            </w:pPr>
            <w:r>
              <w:rPr>
                <w:rFonts w:ascii="Arial" w:cs="Arial" w:eastAsia="Arial" w:hAnsi="Arial"/>
                <w:sz w:val="18"/>
                <w:szCs w:val="18"/>
                <w:color w:val="auto"/>
              </w:rPr>
              <w:t>Total adjustments</w:t>
            </w:r>
          </w:p>
        </w:tc>
        <w:tc>
          <w:tcPr>
            <w:tcW w:w="4080" w:type="dxa"/>
            <w:vAlign w:val="bottom"/>
            <w:shd w:val="clear" w:color="auto" w:fill="CCFFCC"/>
          </w:tcPr>
          <w:p>
            <w:pPr>
              <w:spacing w:after="0"/>
              <w:rPr>
                <w:sz w:val="20"/>
                <w:szCs w:val="20"/>
                <w:color w:val="auto"/>
              </w:rPr>
            </w:pPr>
          </w:p>
        </w:tc>
        <w:tc>
          <w:tcPr>
            <w:tcW w:w="540" w:type="dxa"/>
            <w:vAlign w:val="bottom"/>
            <w:shd w:val="clear" w:color="auto" w:fill="CCFFCC"/>
          </w:tcPr>
          <w:p>
            <w:pPr>
              <w:spacing w:after="0"/>
              <w:rPr>
                <w:sz w:val="20"/>
                <w:szCs w:val="20"/>
                <w:color w:val="auto"/>
              </w:rPr>
            </w:pPr>
          </w:p>
        </w:tc>
        <w:tc>
          <w:tcPr>
            <w:tcW w:w="106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b w:val="1"/>
                <w:bCs w:val="1"/>
                <w:color w:val="auto"/>
              </w:rPr>
              <w:t>364</w:t>
            </w:r>
          </w:p>
        </w:tc>
        <w:tc>
          <w:tcPr>
            <w:tcW w:w="1380" w:type="dxa"/>
            <w:vAlign w:val="bottom"/>
            <w:shd w:val="clear" w:color="auto" w:fill="CCFFCC"/>
          </w:tcPr>
          <w:p>
            <w:pPr>
              <w:spacing w:after="0"/>
              <w:rPr>
                <w:sz w:val="20"/>
                <w:szCs w:val="20"/>
                <w:color w:val="auto"/>
              </w:rPr>
            </w:pP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gridSpan w:val="2"/>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Financial profit per statutory books</w:t>
            </w:r>
          </w:p>
        </w:tc>
        <w:tc>
          <w:tcPr>
            <w:tcW w:w="4080" w:type="dxa"/>
            <w:vAlign w:val="bottom"/>
            <w:shd w:val="clear" w:color="auto" w:fill="CCFFCC"/>
          </w:tcPr>
          <w:p>
            <w:pPr>
              <w:spacing w:after="0"/>
              <w:rPr>
                <w:sz w:val="21"/>
                <w:szCs w:val="21"/>
                <w:color w:val="auto"/>
              </w:rPr>
            </w:pPr>
          </w:p>
        </w:tc>
        <w:tc>
          <w:tcPr>
            <w:tcW w:w="54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b w:val="1"/>
                <w:bCs w:val="1"/>
                <w:color w:val="auto"/>
              </w:rPr>
              <w:t>2,063</w:t>
            </w:r>
          </w:p>
        </w:tc>
        <w:tc>
          <w:tcPr>
            <w:tcW w:w="13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6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60" w:type="dxa"/>
            <w:vAlign w:val="bottom"/>
            <w:gridSpan w:val="2"/>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260" w:type="dxa"/>
            <w:vAlign w:val="bottom"/>
            <w:shd w:val="clear" w:color="auto" w:fill="CCFFCC"/>
          </w:tcPr>
          <w:p>
            <w:pPr>
              <w:spacing w:after="0"/>
              <w:rPr>
                <w:sz w:val="20"/>
                <w:szCs w:val="20"/>
                <w:color w:val="auto"/>
              </w:rPr>
            </w:pPr>
            <w:r>
              <w:rPr>
                <w:rFonts w:ascii="Arial" w:cs="Arial" w:eastAsia="Arial" w:hAnsi="Arial"/>
                <w:sz w:val="18"/>
                <w:szCs w:val="18"/>
                <w:color w:val="auto"/>
              </w:rPr>
              <w:t>Income tax at statutory rates</w:t>
            </w:r>
          </w:p>
        </w:tc>
        <w:tc>
          <w:tcPr>
            <w:tcW w:w="4080" w:type="dxa"/>
            <w:vAlign w:val="bottom"/>
            <w:shd w:val="clear" w:color="auto" w:fill="CCFFCC"/>
          </w:tcPr>
          <w:p>
            <w:pPr>
              <w:spacing w:after="0"/>
              <w:rPr>
                <w:sz w:val="21"/>
                <w:szCs w:val="21"/>
                <w:color w:val="auto"/>
              </w:rPr>
            </w:pPr>
          </w:p>
        </w:tc>
        <w:tc>
          <w:tcPr>
            <w:tcW w:w="540" w:type="dxa"/>
            <w:vAlign w:val="bottom"/>
            <w:shd w:val="clear" w:color="auto" w:fill="CCFFCC"/>
          </w:tcPr>
          <w:p>
            <w:pPr>
              <w:spacing w:after="0"/>
              <w:rPr>
                <w:sz w:val="21"/>
                <w:szCs w:val="21"/>
                <w:color w:val="auto"/>
              </w:rPr>
            </w:pPr>
          </w:p>
        </w:tc>
        <w:tc>
          <w:tcPr>
            <w:tcW w:w="106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495</w:t>
            </w:r>
          </w:p>
        </w:tc>
        <w:tc>
          <w:tcPr>
            <w:tcW w:w="1380" w:type="dxa"/>
            <w:vAlign w:val="bottom"/>
            <w:shd w:val="clear" w:color="auto" w:fill="CCFFCC"/>
          </w:tcPr>
          <w:p>
            <w:pPr>
              <w:spacing w:after="0"/>
              <w:rPr>
                <w:sz w:val="21"/>
                <w:szCs w:val="21"/>
                <w:color w:val="auto"/>
              </w:rPr>
            </w:pP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4260" w:type="dxa"/>
            <w:vAlign w:val="bottom"/>
            <w:vMerge w:val="restart"/>
          </w:tcPr>
          <w:p>
            <w:pPr>
              <w:spacing w:after="0"/>
              <w:rPr>
                <w:sz w:val="20"/>
                <w:szCs w:val="20"/>
                <w:color w:val="auto"/>
              </w:rPr>
            </w:pPr>
            <w:r>
              <w:rPr>
                <w:rFonts w:ascii="Arial" w:cs="Arial" w:eastAsia="Arial" w:hAnsi="Arial"/>
                <w:sz w:val="18"/>
                <w:szCs w:val="18"/>
                <w:color w:val="auto"/>
              </w:rPr>
              <w:t>Foreign currency translation adjustment</w:t>
            </w:r>
          </w:p>
        </w:tc>
        <w:tc>
          <w:tcPr>
            <w:tcW w:w="4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60" w:type="dxa"/>
            <w:vAlign w:val="bottom"/>
            <w:gridSpan w:val="2"/>
          </w:tcPr>
          <w:p>
            <w:pPr>
              <w:jc w:val="right"/>
              <w:ind w:right="70"/>
              <w:spacing w:after="0" w:line="189" w:lineRule="exact"/>
              <w:rPr>
                <w:sz w:val="20"/>
                <w:szCs w:val="20"/>
                <w:color w:val="auto"/>
              </w:rPr>
            </w:pPr>
            <w:r>
              <w:rPr>
                <w:rFonts w:ascii="Arial" w:cs="Arial" w:eastAsia="Arial" w:hAnsi="Arial"/>
                <w:sz w:val="18"/>
                <w:szCs w:val="18"/>
                <w:color w:val="auto"/>
              </w:rPr>
              <w:t>)</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4260" w:type="dxa"/>
            <w:vAlign w:val="bottom"/>
            <w:vMerge w:val="continue"/>
          </w:tcPr>
          <w:p>
            <w:pPr>
              <w:spacing w:after="0"/>
              <w:rPr>
                <w:sz w:val="9"/>
                <w:szCs w:val="9"/>
                <w:color w:val="auto"/>
              </w:rPr>
            </w:pPr>
          </w:p>
        </w:tc>
        <w:tc>
          <w:tcPr>
            <w:tcW w:w="408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jc w:val="right"/>
              <w:spacing w:after="0" w:line="108" w:lineRule="exact"/>
              <w:rPr>
                <w:sz w:val="20"/>
                <w:szCs w:val="20"/>
                <w:color w:val="auto"/>
              </w:rPr>
            </w:pPr>
            <w:r>
              <w:rPr>
                <w:rFonts w:ascii="Arial" w:cs="Arial" w:eastAsia="Arial" w:hAnsi="Arial"/>
                <w:sz w:val="12"/>
                <w:szCs w:val="12"/>
                <w:color w:val="auto"/>
              </w:rPr>
              <w:t>(1</w:t>
            </w:r>
          </w:p>
        </w:tc>
        <w:tc>
          <w:tcPr>
            <w:tcW w:w="2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4260" w:type="dxa"/>
            <w:vAlign w:val="bottom"/>
            <w:shd w:val="clear" w:color="auto" w:fill="CCFFCC"/>
          </w:tcPr>
          <w:p>
            <w:pPr>
              <w:spacing w:after="0"/>
              <w:rPr>
                <w:sz w:val="20"/>
                <w:szCs w:val="20"/>
                <w:color w:val="auto"/>
              </w:rPr>
            </w:pPr>
            <w:r>
              <w:rPr>
                <w:rFonts w:ascii="Arial" w:cs="Arial" w:eastAsia="Arial" w:hAnsi="Arial"/>
                <w:sz w:val="18"/>
                <w:szCs w:val="18"/>
                <w:b w:val="1"/>
                <w:bCs w:val="1"/>
                <w:color w:val="auto"/>
              </w:rPr>
              <w:t>Actual profit tax expense</w:t>
            </w:r>
          </w:p>
        </w:tc>
        <w:tc>
          <w:tcPr>
            <w:tcW w:w="4620" w:type="dxa"/>
            <w:vAlign w:val="bottom"/>
            <w:gridSpan w:val="2"/>
            <w:shd w:val="clear" w:color="auto" w:fill="CCFFCC"/>
          </w:tcPr>
          <w:p>
            <w:pPr>
              <w:jc w:val="right"/>
              <w:ind w:right="35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FFCC"/>
          </w:tcPr>
          <w:p>
            <w:pPr>
              <w:jc w:val="right"/>
              <w:ind w:right="130"/>
              <w:spacing w:after="0"/>
              <w:rPr>
                <w:sz w:val="20"/>
                <w:szCs w:val="20"/>
                <w:color w:val="auto"/>
              </w:rPr>
            </w:pPr>
            <w:r>
              <w:rPr>
                <w:rFonts w:ascii="Arial" w:cs="Arial" w:eastAsia="Arial" w:hAnsi="Arial"/>
                <w:sz w:val="18"/>
                <w:szCs w:val="18"/>
                <w:color w:val="auto"/>
              </w:rPr>
              <w:t>496</w:t>
            </w:r>
          </w:p>
        </w:tc>
        <w:tc>
          <w:tcPr>
            <w:tcW w:w="1380" w:type="dxa"/>
            <w:vAlign w:val="bottom"/>
            <w:shd w:val="clear" w:color="auto" w:fill="CCFFCC"/>
          </w:tcPr>
          <w:p>
            <w:pPr>
              <w:spacing w:after="0"/>
              <w:rPr>
                <w:sz w:val="22"/>
                <w:szCs w:val="22"/>
                <w:color w:val="auto"/>
              </w:rPr>
            </w:pPr>
          </w:p>
        </w:tc>
        <w:tc>
          <w:tcPr>
            <w:tcW w:w="10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4260" w:type="dxa"/>
            <w:vAlign w:val="bottom"/>
          </w:tcPr>
          <w:p>
            <w:pPr>
              <w:spacing w:after="0"/>
              <w:rPr>
                <w:sz w:val="24"/>
                <w:szCs w:val="24"/>
                <w:color w:val="auto"/>
              </w:rPr>
            </w:pPr>
          </w:p>
        </w:tc>
        <w:tc>
          <w:tcPr>
            <w:tcW w:w="4080" w:type="dxa"/>
            <w:vAlign w:val="bottom"/>
          </w:tcPr>
          <w:p>
            <w:pPr>
              <w:jc w:val="right"/>
              <w:ind w:right="2450"/>
              <w:spacing w:after="0"/>
              <w:rPr>
                <w:sz w:val="20"/>
                <w:szCs w:val="20"/>
                <w:color w:val="auto"/>
              </w:rPr>
            </w:pPr>
            <w:r>
              <w:rPr>
                <w:rFonts w:ascii="Arial" w:cs="Arial" w:eastAsia="Arial" w:hAnsi="Arial"/>
                <w:sz w:val="18"/>
                <w:szCs w:val="18"/>
                <w:color w:val="auto"/>
              </w:rPr>
              <w:t>15</w:t>
            </w: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4260" w:type="dxa"/>
            <w:vAlign w:val="bottom"/>
            <w:tcBorders>
              <w:bottom w:val="single" w:sz="8" w:color="808080"/>
            </w:tcBorders>
          </w:tcPr>
          <w:p>
            <w:pPr>
              <w:spacing w:after="0"/>
              <w:rPr>
                <w:sz w:val="10"/>
                <w:szCs w:val="10"/>
                <w:color w:val="auto"/>
              </w:rPr>
            </w:pPr>
          </w:p>
        </w:tc>
        <w:tc>
          <w:tcPr>
            <w:tcW w:w="4080" w:type="dxa"/>
            <w:vAlign w:val="bottom"/>
            <w:tcBorders>
              <w:bottom w:val="single" w:sz="8" w:color="808080"/>
            </w:tcBorders>
          </w:tcPr>
          <w:p>
            <w:pPr>
              <w:spacing w:after="0"/>
              <w:rPr>
                <w:sz w:val="10"/>
                <w:szCs w:val="10"/>
                <w:color w:val="auto"/>
              </w:rPr>
            </w:pPr>
          </w:p>
        </w:tc>
        <w:tc>
          <w:tcPr>
            <w:tcW w:w="540" w:type="dxa"/>
            <w:vAlign w:val="bottom"/>
            <w:tcBorders>
              <w:bottom w:val="single" w:sz="8" w:color="808080"/>
            </w:tcBorders>
          </w:tcPr>
          <w:p>
            <w:pPr>
              <w:spacing w:after="0"/>
              <w:rPr>
                <w:sz w:val="10"/>
                <w:szCs w:val="10"/>
                <w:color w:val="auto"/>
              </w:rPr>
            </w:pPr>
          </w:p>
        </w:tc>
        <w:tc>
          <w:tcPr>
            <w:tcW w:w="840" w:type="dxa"/>
            <w:vAlign w:val="bottom"/>
            <w:tcBorders>
              <w:bottom w:val="single" w:sz="8" w:color="808080"/>
            </w:tcBorders>
          </w:tcPr>
          <w:p>
            <w:pPr>
              <w:spacing w:after="0"/>
              <w:rPr>
                <w:sz w:val="10"/>
                <w:szCs w:val="10"/>
                <w:color w:val="auto"/>
              </w:rPr>
            </w:pPr>
          </w:p>
        </w:tc>
        <w:tc>
          <w:tcPr>
            <w:tcW w:w="22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1" w:right="239" w:bottom="1440" w:gutter="0" w:footer="0" w:header="0"/>
          <w:type w:val="continuous"/>
        </w:sectPr>
      </w:pPr>
    </w:p>
    <w:bookmarkStart w:id="83" w:name="page84"/>
    <w:bookmarkEnd w:id="83"/>
    <w:p>
      <w:pPr>
        <w:jc w:val="center"/>
        <w:ind w:right="-19"/>
        <w:spacing w:after="0"/>
        <w:rPr>
          <w:sz w:val="20"/>
          <w:szCs w:val="20"/>
          <w:color w:val="auto"/>
        </w:rPr>
      </w:pPr>
      <w:r>
        <w:rPr>
          <w:rFonts w:ascii="Arial" w:cs="Arial" w:eastAsia="Arial" w:hAnsi="Arial"/>
          <w:sz w:val="18"/>
          <w:szCs w:val="18"/>
          <w:b w:val="1"/>
          <w:bCs w:val="1"/>
          <w:color w:val="auto"/>
        </w:rPr>
        <w:t>OAO Morion</w:t>
      </w: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Notes to Financial Statements</w:t>
      </w:r>
    </w:p>
    <w:p>
      <w:pPr>
        <w:spacing w:after="0" w:line="2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As at December 31, 2006 and 2005</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And for the Years ended December 31, 2006 and 2005</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(in thousands of U.S. dollars - where applicable)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Commitments and Contingencies</w:t>
      </w:r>
    </w:p>
    <w:p>
      <w:pPr>
        <w:spacing w:after="0" w:line="283" w:lineRule="exact"/>
        <w:rPr>
          <w:sz w:val="20"/>
          <w:szCs w:val="20"/>
          <w:color w:val="auto"/>
        </w:rPr>
      </w:pPr>
    </w:p>
    <w:p>
      <w:pPr>
        <w:ind w:left="200" w:hanging="192"/>
        <w:spacing w:after="0"/>
        <w:tabs>
          <w:tab w:leader="none" w:pos="20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Taxation contingencies</w:t>
      </w:r>
    </w:p>
    <w:p>
      <w:pPr>
        <w:spacing w:after="0" w:line="279" w:lineRule="exact"/>
        <w:rPr>
          <w:sz w:val="20"/>
          <w:szCs w:val="20"/>
          <w:color w:val="auto"/>
        </w:rPr>
      </w:pPr>
    </w:p>
    <w:p>
      <w:pPr>
        <w:spacing w:after="0"/>
        <w:rPr>
          <w:sz w:val="20"/>
          <w:szCs w:val="20"/>
          <w:color w:val="auto"/>
        </w:rPr>
      </w:pPr>
      <w:r>
        <w:rPr>
          <w:rFonts w:ascii="Arial" w:cs="Arial" w:eastAsia="Arial" w:hAnsi="Arial"/>
          <w:sz w:val="17"/>
          <w:szCs w:val="17"/>
          <w:color w:val="auto"/>
        </w:rPr>
        <w:t>The Russian taxation system is often unclear and contradictory that is why it is a subject for interpretations and it is a base for tax risks in Russia.</w:t>
      </w:r>
    </w:p>
    <w:p>
      <w:pPr>
        <w:spacing w:after="0" w:line="29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Management believes that it has adequately provided for tax liabilities based on its interpretation of tax legislation. However, the relevant authorities may have differing interpretations and the effects could be significant.</w:t>
      </w:r>
    </w:p>
    <w:p>
      <w:pPr>
        <w:spacing w:after="0" w:line="224" w:lineRule="exact"/>
        <w:rPr>
          <w:sz w:val="20"/>
          <w:szCs w:val="20"/>
          <w:color w:val="auto"/>
        </w:rPr>
      </w:pPr>
    </w:p>
    <w:p>
      <w:pPr>
        <w:ind w:left="220" w:hanging="212"/>
        <w:spacing w:after="0"/>
        <w:tabs>
          <w:tab w:leader="none" w:pos="220"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Constructed contract commitment</w:t>
      </w:r>
    </w:p>
    <w:p>
      <w:pPr>
        <w:spacing w:after="0" w:line="2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suppose existence of possible financial risks related to realization of the Regulation of the St. Petersburg Government of July 7, 2004 No. 1350 on construction completion.</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4" w:right="259" w:bottom="1440" w:gutter="0" w:footer="0" w:header="0"/>
        </w:sectPr>
      </w:pPr>
    </w:p>
    <w:bookmarkStart w:id="84" w:name="page85"/>
    <w:bookmarkEnd w:id="84"/>
    <w:p>
      <w:pPr>
        <w:jc w:val="center"/>
        <w:spacing w:after="0"/>
        <w:rPr>
          <w:sz w:val="20"/>
          <w:szCs w:val="20"/>
          <w:color w:val="auto"/>
        </w:rPr>
      </w:pPr>
      <w:r>
        <w:rPr>
          <w:rFonts w:ascii="Arial" w:cs="Arial" w:eastAsia="Arial" w:hAnsi="Arial"/>
          <w:sz w:val="22"/>
          <w:szCs w:val="22"/>
          <w:b w:val="1"/>
          <w:bCs w:val="1"/>
          <w:color w:val="auto"/>
        </w:rPr>
        <w:t>OAO Morion</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Report of Management</w:t>
      </w:r>
    </w:p>
    <w:p>
      <w:pPr>
        <w:spacing w:after="0" w:line="2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Company’s management is responsible for the preparation and integrity of the financial information contained in this annual report. Management is also responsible for maintaining a system of internal financial controls designed to provide reasonable assurance that financial records are adequate and can be relied upon to produce consolidated financial statements in accordance with generally accepted accounting principles in United States of America.</w:t>
      </w: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has assessed its system and believes these financial statements have been prepared in conformity with generally accepted accounting principles in the United States of America appropriate in the circumstances and the other financial information in this annual report is consistent with these statements. In preparing the financial statements, management makes informed judgments and estimates where necessary to reflect the expected effects of events and transactions that have not been completed.</w:t>
      </w:r>
    </w:p>
    <w:p>
      <w:pPr>
        <w:spacing w:after="0" w:line="2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system of internal financial controls is supported by written policies and guidelines, by careful selection and training of financial management personnel, and by an internal audit staff which coordinates its activities with the Company’s independent auditors. To foster a strong ethical climate in the conduct of the Company’s affairs, the Company has embodied a code of ethics in its Corporate policies which are publicized throughout the Company. This code of ethics addresses, among other things, compliance with all laws and the accuracy and integrity of books and records.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maintains a systematic program to assess compliance. The Audit and Compliance Committee of the Board of Directors is composed entirely of outside directors. The committee meets periodically with management, the internal auditors and the independent auditors to discuss internal accounting controls, the quality of financial reporting and other relevant matters. Financial management, as well as the internal auditors and the independent auditors, have full and free access to the Audit and Compliance Committee.</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7560" w:type="dxa"/>
            <w:vAlign w:val="bottom"/>
            <w:gridSpan w:val="2"/>
          </w:tcPr>
          <w:p>
            <w:pPr>
              <w:jc w:val="center"/>
              <w:ind w:right="3770"/>
              <w:spacing w:after="0"/>
              <w:rPr>
                <w:sz w:val="20"/>
                <w:szCs w:val="20"/>
                <w:color w:val="auto"/>
              </w:rPr>
            </w:pPr>
            <w:r>
              <w:rPr>
                <w:rFonts w:ascii="Arial" w:cs="Arial" w:eastAsia="Arial" w:hAnsi="Arial"/>
                <w:sz w:val="18"/>
                <w:szCs w:val="18"/>
                <w:color w:val="auto"/>
                <w:w w:val="87"/>
              </w:rPr>
              <w:t>St. Petersburg, Russia</w:t>
            </w:r>
          </w:p>
        </w:tc>
      </w:tr>
      <w:tr>
        <w:trPr>
          <w:trHeight w:val="230"/>
        </w:trPr>
        <w:tc>
          <w:tcPr>
            <w:tcW w:w="3860" w:type="dxa"/>
            <w:vAlign w:val="bottom"/>
          </w:tcPr>
          <w:p>
            <w:pPr>
              <w:spacing w:after="0"/>
              <w:rPr>
                <w:sz w:val="20"/>
                <w:szCs w:val="20"/>
                <w:color w:val="auto"/>
              </w:rPr>
            </w:pPr>
          </w:p>
        </w:tc>
        <w:tc>
          <w:tcPr>
            <w:tcW w:w="7560" w:type="dxa"/>
            <w:vAlign w:val="bottom"/>
            <w:gridSpan w:val="2"/>
          </w:tcPr>
          <w:p>
            <w:pPr>
              <w:jc w:val="center"/>
              <w:ind w:right="3790"/>
              <w:spacing w:after="0"/>
              <w:rPr>
                <w:sz w:val="20"/>
                <w:szCs w:val="20"/>
                <w:color w:val="auto"/>
              </w:rPr>
            </w:pPr>
            <w:r>
              <w:rPr>
                <w:rFonts w:ascii="Arial" w:cs="Arial" w:eastAsia="Arial" w:hAnsi="Arial"/>
                <w:sz w:val="18"/>
                <w:szCs w:val="18"/>
                <w:color w:val="auto"/>
                <w:w w:val="91"/>
              </w:rPr>
              <w:t>May 29, 2007</w:t>
            </w:r>
          </w:p>
        </w:tc>
      </w:tr>
      <w:tr>
        <w:trPr>
          <w:trHeight w:val="466"/>
        </w:trPr>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Yakov L. Vorokhovsky</w:t>
            </w:r>
          </w:p>
        </w:tc>
        <w:tc>
          <w:tcPr>
            <w:tcW w:w="3700" w:type="dxa"/>
            <w:vAlign w:val="bottom"/>
          </w:tcPr>
          <w:p>
            <w:pPr>
              <w:spacing w:after="0"/>
              <w:rPr>
                <w:sz w:val="24"/>
                <w:szCs w:val="24"/>
                <w:color w:val="auto"/>
              </w:rPr>
            </w:pPr>
          </w:p>
        </w:tc>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Alex B. Gunin</w:t>
            </w:r>
          </w:p>
        </w:tc>
      </w:tr>
      <w:tr>
        <w:trPr>
          <w:trHeight w:val="202"/>
        </w:trPr>
        <w:tc>
          <w:tcPr>
            <w:tcW w:w="3860" w:type="dxa"/>
            <w:vAlign w:val="bottom"/>
          </w:tcPr>
          <w:p>
            <w:pPr>
              <w:jc w:val="center"/>
              <w:spacing w:after="0" w:line="201" w:lineRule="exact"/>
              <w:rPr>
                <w:sz w:val="20"/>
                <w:szCs w:val="20"/>
                <w:color w:val="auto"/>
              </w:rPr>
            </w:pPr>
            <w:r>
              <w:rPr>
                <w:rFonts w:ascii="Arial" w:cs="Arial" w:eastAsia="Arial" w:hAnsi="Arial"/>
                <w:sz w:val="18"/>
                <w:szCs w:val="18"/>
                <w:color w:val="auto"/>
                <w:w w:val="93"/>
              </w:rPr>
              <w:t>Yakov L. Vorokhovsky</w:t>
            </w:r>
          </w:p>
        </w:tc>
        <w:tc>
          <w:tcPr>
            <w:tcW w:w="3700" w:type="dxa"/>
            <w:vAlign w:val="bottom"/>
          </w:tcPr>
          <w:p>
            <w:pPr>
              <w:spacing w:after="0"/>
              <w:rPr>
                <w:sz w:val="17"/>
                <w:szCs w:val="17"/>
                <w:color w:val="auto"/>
              </w:rPr>
            </w:pPr>
          </w:p>
        </w:tc>
        <w:tc>
          <w:tcPr>
            <w:tcW w:w="3860" w:type="dxa"/>
            <w:vAlign w:val="bottom"/>
          </w:tcPr>
          <w:p>
            <w:pPr>
              <w:jc w:val="center"/>
              <w:spacing w:after="0" w:line="201" w:lineRule="exact"/>
              <w:rPr>
                <w:sz w:val="20"/>
                <w:szCs w:val="20"/>
                <w:color w:val="auto"/>
              </w:rPr>
            </w:pPr>
            <w:r>
              <w:rPr>
                <w:rFonts w:ascii="Arial" w:cs="Arial" w:eastAsia="Arial" w:hAnsi="Arial"/>
                <w:sz w:val="18"/>
                <w:szCs w:val="18"/>
                <w:color w:val="auto"/>
                <w:w w:val="96"/>
              </w:rPr>
              <w:t>Alex B. Gunin</w:t>
            </w:r>
          </w:p>
        </w:tc>
      </w:tr>
      <w:tr>
        <w:trPr>
          <w:trHeight w:val="230"/>
        </w:trPr>
        <w:tc>
          <w:tcPr>
            <w:tcW w:w="3860" w:type="dxa"/>
            <w:vAlign w:val="bottom"/>
          </w:tcPr>
          <w:p>
            <w:pPr>
              <w:jc w:val="center"/>
              <w:spacing w:after="0"/>
              <w:rPr>
                <w:sz w:val="20"/>
                <w:szCs w:val="20"/>
                <w:color w:val="auto"/>
              </w:rPr>
            </w:pPr>
            <w:r>
              <w:rPr>
                <w:rFonts w:ascii="Arial" w:cs="Arial" w:eastAsia="Arial" w:hAnsi="Arial"/>
                <w:sz w:val="18"/>
                <w:szCs w:val="18"/>
                <w:color w:val="auto"/>
                <w:w w:val="92"/>
              </w:rPr>
              <w:t>General Director</w:t>
            </w:r>
          </w:p>
        </w:tc>
        <w:tc>
          <w:tcPr>
            <w:tcW w:w="3700" w:type="dxa"/>
            <w:vAlign w:val="bottom"/>
          </w:tcPr>
          <w:p>
            <w:pPr>
              <w:spacing w:after="0"/>
              <w:rPr>
                <w:sz w:val="20"/>
                <w:szCs w:val="20"/>
                <w:color w:val="auto"/>
              </w:rPr>
            </w:pPr>
          </w:p>
        </w:tc>
        <w:tc>
          <w:tcPr>
            <w:tcW w:w="3860" w:type="dxa"/>
            <w:vAlign w:val="bottom"/>
          </w:tcPr>
          <w:p>
            <w:pPr>
              <w:jc w:val="center"/>
              <w:spacing w:after="0"/>
              <w:rPr>
                <w:sz w:val="20"/>
                <w:szCs w:val="20"/>
                <w:color w:val="auto"/>
              </w:rPr>
            </w:pPr>
            <w:r>
              <w:rPr>
                <w:rFonts w:ascii="Arial" w:cs="Arial" w:eastAsia="Arial" w:hAnsi="Arial"/>
                <w:sz w:val="18"/>
                <w:szCs w:val="18"/>
                <w:color w:val="auto"/>
                <w:w w:val="91"/>
              </w:rPr>
              <w:t>Chief Accountant</w:t>
            </w:r>
          </w:p>
        </w:tc>
      </w:tr>
      <w:tr>
        <w:trPr>
          <w:trHeight w:val="459"/>
        </w:trPr>
        <w:tc>
          <w:tcPr>
            <w:tcW w:w="3860" w:type="dxa"/>
            <w:vAlign w:val="bottom"/>
          </w:tcPr>
          <w:p>
            <w:pPr>
              <w:spacing w:after="0"/>
              <w:rPr>
                <w:sz w:val="24"/>
                <w:szCs w:val="24"/>
                <w:color w:val="auto"/>
              </w:rPr>
            </w:pPr>
          </w:p>
        </w:tc>
        <w:tc>
          <w:tcPr>
            <w:tcW w:w="3700" w:type="dxa"/>
            <w:vAlign w:val="bottom"/>
          </w:tcPr>
          <w:p>
            <w:pPr>
              <w:jc w:val="center"/>
              <w:spacing w:after="0"/>
              <w:rPr>
                <w:sz w:val="20"/>
                <w:szCs w:val="20"/>
                <w:color w:val="auto"/>
              </w:rPr>
            </w:pPr>
            <w:r>
              <w:rPr>
                <w:rFonts w:ascii="Arial" w:cs="Arial" w:eastAsia="Arial" w:hAnsi="Arial"/>
                <w:sz w:val="18"/>
                <w:szCs w:val="18"/>
                <w:color w:val="auto"/>
                <w:w w:val="89"/>
              </w:rPr>
              <w:t>17</w:t>
            </w:r>
          </w:p>
        </w:tc>
        <w:tc>
          <w:tcPr>
            <w:tcW w:w="3860" w:type="dxa"/>
            <w:vAlign w:val="bottom"/>
          </w:tcPr>
          <w:p>
            <w:pPr>
              <w:spacing w:after="0"/>
              <w:rPr>
                <w:sz w:val="24"/>
                <w:szCs w:val="24"/>
                <w:color w:val="auto"/>
              </w:rPr>
            </w:pPr>
          </w:p>
        </w:tc>
      </w:tr>
      <w:tr>
        <w:trPr>
          <w:trHeight w:val="118"/>
        </w:trPr>
        <w:tc>
          <w:tcPr>
            <w:tcW w:w="3860" w:type="dxa"/>
            <w:vAlign w:val="bottom"/>
            <w:tcBorders>
              <w:bottom w:val="single" w:sz="8" w:color="808080"/>
            </w:tcBorders>
          </w:tcPr>
          <w:p>
            <w:pPr>
              <w:spacing w:after="0"/>
              <w:rPr>
                <w:sz w:val="10"/>
                <w:szCs w:val="10"/>
                <w:color w:val="auto"/>
              </w:rPr>
            </w:pPr>
          </w:p>
        </w:tc>
        <w:tc>
          <w:tcPr>
            <w:tcW w:w="3700" w:type="dxa"/>
            <w:vAlign w:val="bottom"/>
            <w:tcBorders>
              <w:bottom w:val="single" w:sz="8" w:color="808080"/>
            </w:tcBorders>
          </w:tcPr>
          <w:p>
            <w:pPr>
              <w:spacing w:after="0"/>
              <w:rPr>
                <w:sz w:val="10"/>
                <w:szCs w:val="10"/>
                <w:color w:val="auto"/>
              </w:rPr>
            </w:pPr>
          </w:p>
        </w:tc>
        <w:tc>
          <w:tcPr>
            <w:tcW w:w="386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96"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22"/>
          <w:szCs w:val="22"/>
          <w:b w:val="1"/>
          <w:bCs w:val="1"/>
          <w:color w:val="auto"/>
        </w:rPr>
        <w:t>Independent Auditors’ Report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stockholders and Board of Directors of OAO Morion</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audited the accompanying balance sheets of OAO Morion for the fiscal year 1 January-31-December 2006, and the related statements of income and cash flows for each of the years then ended together with notes thereon.</w:t>
      </w:r>
    </w:p>
    <w:p>
      <w:pPr>
        <w:spacing w:after="0" w:line="2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These financial statements, as set out on pages 3 to 17, are the responsibility of the Company’s Board of Directors and Executive Committee. Our responsibility is to express an opinion on these financial statements based on our audit.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opinion</w:t>
      </w:r>
    </w:p>
    <w:p>
      <w:pPr>
        <w:spacing w:after="0" w:line="28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conducted our audit in accordance with standards generally accepted in the United States of America. These standards require that we plan and perform the audit to obtain reasonable assurance that the financial statements are free of material misstatements. Our audit includes examining, on a test basis, evidence supporting the amounts and disclosures in the financial statements. Our audit also includes assessing the accounting policies applied by Management and significant estimates made by Management as well as evaluating the overall presentation of the financial statements. We believe that our audit provides a reasonable basis for our opinion.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Under the results of the audit we consider necessary to note the following:</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a weakened internal control for the observance of methodology of accounting of finished goods and correctness of data forming in the complex computer informational system used for accounting and preparation of the financial reporting.</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w:t>
      </w:r>
    </w:p>
    <w:p>
      <w:pPr>
        <w:spacing w:after="0" w:line="2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our opinion, with the exception of affect, which the above mentioned aspects have on the financial reporting, the financial statements gives a true and fair view of the Company’s assets, liabilities and financial position at 31 December 2006 and of the results of the Company’s operations for the fiscal year 1 January-31 December 2006 in accordance with accounting principles generally accepted in the United States of America.</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80" w:type="dxa"/>
            <w:vAlign w:val="bottom"/>
          </w:tcPr>
          <w:p>
            <w:pPr>
              <w:jc w:val="center"/>
              <w:spacing w:after="0"/>
              <w:rPr>
                <w:sz w:val="20"/>
                <w:szCs w:val="20"/>
                <w:color w:val="auto"/>
              </w:rPr>
            </w:pPr>
            <w:r>
              <w:rPr>
                <w:rFonts w:ascii="Arial" w:cs="Arial" w:eastAsia="Arial" w:hAnsi="Arial"/>
                <w:sz w:val="18"/>
                <w:szCs w:val="18"/>
                <w:color w:val="auto"/>
                <w:w w:val="89"/>
              </w:rPr>
              <w:t>Copenhagen, Denmark</w:t>
            </w:r>
          </w:p>
        </w:tc>
        <w:tc>
          <w:tcPr>
            <w:tcW w:w="240" w:type="dxa"/>
            <w:vAlign w:val="bottom"/>
          </w:tcPr>
          <w:p>
            <w:pPr>
              <w:spacing w:after="0"/>
              <w:rPr>
                <w:sz w:val="20"/>
                <w:szCs w:val="20"/>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87"/>
              </w:rPr>
              <w:t>St. Petersburg, Russia</w:t>
            </w:r>
          </w:p>
        </w:tc>
        <w:tc>
          <w:tcPr>
            <w:tcW w:w="0" w:type="dxa"/>
            <w:vAlign w:val="bottom"/>
          </w:tcPr>
          <w:p>
            <w:pPr>
              <w:spacing w:after="0"/>
              <w:rPr>
                <w:sz w:val="1"/>
                <w:szCs w:val="1"/>
                <w:color w:val="auto"/>
              </w:rPr>
            </w:pPr>
          </w:p>
        </w:tc>
      </w:tr>
      <w:tr>
        <w:trPr>
          <w:trHeight w:val="243"/>
        </w:trPr>
        <w:tc>
          <w:tcPr>
            <w:tcW w:w="5580" w:type="dxa"/>
            <w:vAlign w:val="bottom"/>
          </w:tcPr>
          <w:p>
            <w:pPr>
              <w:jc w:val="center"/>
              <w:spacing w:after="0"/>
              <w:rPr>
                <w:sz w:val="20"/>
                <w:szCs w:val="20"/>
                <w:color w:val="auto"/>
              </w:rPr>
            </w:pPr>
            <w:r>
              <w:rPr>
                <w:rFonts w:ascii="Arial" w:cs="Arial" w:eastAsia="Arial" w:hAnsi="Arial"/>
                <w:sz w:val="18"/>
                <w:szCs w:val="18"/>
                <w:color w:val="auto"/>
                <w:w w:val="88"/>
              </w:rPr>
              <w:t>June 4, 2007</w:t>
            </w:r>
          </w:p>
        </w:tc>
        <w:tc>
          <w:tcPr>
            <w:tcW w:w="240" w:type="dxa"/>
            <w:vAlign w:val="bottom"/>
          </w:tcPr>
          <w:p>
            <w:pPr>
              <w:spacing w:after="0"/>
              <w:rPr>
                <w:sz w:val="21"/>
                <w:szCs w:val="21"/>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88"/>
              </w:rPr>
              <w:t>June 4, 2007</w:t>
            </w:r>
          </w:p>
        </w:tc>
        <w:tc>
          <w:tcPr>
            <w:tcW w:w="0" w:type="dxa"/>
            <w:vAlign w:val="bottom"/>
          </w:tcPr>
          <w:p>
            <w:pPr>
              <w:spacing w:after="0"/>
              <w:rPr>
                <w:sz w:val="1"/>
                <w:szCs w:val="1"/>
                <w:color w:val="auto"/>
              </w:rPr>
            </w:pPr>
          </w:p>
        </w:tc>
      </w:tr>
      <w:tr>
        <w:trPr>
          <w:trHeight w:val="243"/>
        </w:trPr>
        <w:tc>
          <w:tcPr>
            <w:tcW w:w="5580" w:type="dxa"/>
            <w:vAlign w:val="bottom"/>
          </w:tcPr>
          <w:p>
            <w:pPr>
              <w:jc w:val="center"/>
              <w:spacing w:after="0"/>
              <w:rPr>
                <w:sz w:val="20"/>
                <w:szCs w:val="20"/>
                <w:color w:val="auto"/>
              </w:rPr>
            </w:pPr>
            <w:r>
              <w:rPr>
                <w:rFonts w:ascii="Arial" w:cs="Arial" w:eastAsia="Arial" w:hAnsi="Arial"/>
                <w:sz w:val="18"/>
                <w:szCs w:val="18"/>
                <w:color w:val="auto"/>
                <w:w w:val="98"/>
              </w:rPr>
              <w:t>ALSO &amp; BREINHOLT</w:t>
            </w:r>
          </w:p>
        </w:tc>
        <w:tc>
          <w:tcPr>
            <w:tcW w:w="240" w:type="dxa"/>
            <w:vAlign w:val="bottom"/>
          </w:tcPr>
          <w:p>
            <w:pPr>
              <w:spacing w:after="0"/>
              <w:rPr>
                <w:sz w:val="21"/>
                <w:szCs w:val="21"/>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6"/>
              </w:rPr>
              <w:t>ZAO Petro-Bait-Audit</w:t>
            </w:r>
          </w:p>
        </w:tc>
        <w:tc>
          <w:tcPr>
            <w:tcW w:w="0" w:type="dxa"/>
            <w:vAlign w:val="bottom"/>
          </w:tcPr>
          <w:p>
            <w:pPr>
              <w:spacing w:after="0"/>
              <w:rPr>
                <w:sz w:val="1"/>
                <w:szCs w:val="1"/>
                <w:color w:val="auto"/>
              </w:rPr>
            </w:pPr>
          </w:p>
        </w:tc>
      </w:tr>
      <w:tr>
        <w:trPr>
          <w:trHeight w:val="243"/>
        </w:trPr>
        <w:tc>
          <w:tcPr>
            <w:tcW w:w="5580" w:type="dxa"/>
            <w:vAlign w:val="bottom"/>
          </w:tcPr>
          <w:p>
            <w:pPr>
              <w:jc w:val="center"/>
              <w:spacing w:after="0"/>
              <w:rPr>
                <w:sz w:val="20"/>
                <w:szCs w:val="20"/>
                <w:color w:val="auto"/>
              </w:rPr>
            </w:pPr>
            <w:r>
              <w:rPr>
                <w:rFonts w:ascii="Arial" w:cs="Arial" w:eastAsia="Arial" w:hAnsi="Arial"/>
                <w:sz w:val="18"/>
                <w:szCs w:val="18"/>
                <w:color w:val="auto"/>
                <w:w w:val="89"/>
              </w:rPr>
              <w:t>statsautoriseret revisionsaktieselskab</w:t>
            </w:r>
          </w:p>
        </w:tc>
        <w:tc>
          <w:tcPr>
            <w:tcW w:w="240" w:type="dxa"/>
            <w:vAlign w:val="bottom"/>
          </w:tcPr>
          <w:p>
            <w:pPr>
              <w:spacing w:after="0"/>
              <w:rPr>
                <w:sz w:val="21"/>
                <w:szCs w:val="21"/>
                <w:color w:val="auto"/>
              </w:rPr>
            </w:pPr>
          </w:p>
        </w:tc>
        <w:tc>
          <w:tcPr>
            <w:tcW w:w="5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5580" w:type="dxa"/>
            <w:vAlign w:val="bottom"/>
          </w:tcPr>
          <w:p>
            <w:pPr>
              <w:jc w:val="center"/>
              <w:spacing w:after="0"/>
              <w:rPr>
                <w:sz w:val="20"/>
                <w:szCs w:val="20"/>
                <w:color w:val="auto"/>
              </w:rPr>
            </w:pPr>
            <w:r>
              <w:rPr>
                <w:rFonts w:ascii="Arial" w:cs="Arial" w:eastAsia="Arial" w:hAnsi="Arial"/>
                <w:sz w:val="18"/>
                <w:szCs w:val="18"/>
                <w:color w:val="auto"/>
                <w:w w:val="90"/>
              </w:rPr>
              <w:t>/s/ Per Winther</w:t>
            </w:r>
          </w:p>
        </w:tc>
        <w:tc>
          <w:tcPr>
            <w:tcW w:w="240" w:type="dxa"/>
            <w:vAlign w:val="bottom"/>
          </w:tcPr>
          <w:p>
            <w:pPr>
              <w:spacing w:after="0"/>
              <w:rPr>
                <w:sz w:val="24"/>
                <w:szCs w:val="24"/>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0"/>
              </w:rPr>
              <w:t>/s/ Olga Ostrovskaya</w:t>
            </w:r>
          </w:p>
        </w:tc>
        <w:tc>
          <w:tcPr>
            <w:tcW w:w="0" w:type="dxa"/>
            <w:vAlign w:val="bottom"/>
          </w:tcPr>
          <w:p>
            <w:pPr>
              <w:spacing w:after="0"/>
              <w:rPr>
                <w:sz w:val="1"/>
                <w:szCs w:val="1"/>
                <w:color w:val="auto"/>
              </w:rPr>
            </w:pPr>
          </w:p>
        </w:tc>
      </w:tr>
      <w:tr>
        <w:trPr>
          <w:trHeight w:val="54"/>
        </w:trPr>
        <w:tc>
          <w:tcPr>
            <w:tcW w:w="5580" w:type="dxa"/>
            <w:vAlign w:val="bottom"/>
            <w:tcBorders>
              <w:bottom w:val="single" w:sz="8" w:color="auto"/>
            </w:tcBorders>
          </w:tcPr>
          <w:p>
            <w:pPr>
              <w:spacing w:after="0"/>
              <w:rPr>
                <w:sz w:val="4"/>
                <w:szCs w:val="4"/>
                <w:color w:val="auto"/>
              </w:rPr>
            </w:pPr>
          </w:p>
        </w:tc>
        <w:tc>
          <w:tcPr>
            <w:tcW w:w="240" w:type="dxa"/>
            <w:vAlign w:val="bottom"/>
            <w:vMerge w:val="restart"/>
          </w:tcPr>
          <w:p>
            <w:pPr>
              <w:spacing w:after="0"/>
              <w:rPr>
                <w:sz w:val="4"/>
                <w:szCs w:val="4"/>
                <w:color w:val="auto"/>
              </w:rPr>
            </w:pPr>
          </w:p>
        </w:tc>
        <w:tc>
          <w:tcPr>
            <w:tcW w:w="5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5580" w:type="dxa"/>
            <w:vAlign w:val="bottom"/>
          </w:tcPr>
          <w:p>
            <w:pPr>
              <w:jc w:val="center"/>
              <w:spacing w:after="0"/>
              <w:rPr>
                <w:sz w:val="20"/>
                <w:szCs w:val="20"/>
                <w:color w:val="auto"/>
              </w:rPr>
            </w:pPr>
            <w:r>
              <w:rPr>
                <w:rFonts w:ascii="Arial" w:cs="Arial" w:eastAsia="Arial" w:hAnsi="Arial"/>
                <w:sz w:val="18"/>
                <w:szCs w:val="18"/>
                <w:color w:val="auto"/>
                <w:w w:val="92"/>
              </w:rPr>
              <w:t>Per Winther</w:t>
            </w:r>
          </w:p>
        </w:tc>
        <w:tc>
          <w:tcPr>
            <w:tcW w:w="240" w:type="dxa"/>
            <w:vAlign w:val="bottom"/>
            <w:vMerge w:val="continue"/>
          </w:tcPr>
          <w:p>
            <w:pPr>
              <w:spacing w:after="0"/>
              <w:rPr>
                <w:sz w:val="19"/>
                <w:szCs w:val="19"/>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89"/>
              </w:rPr>
              <w:t>Olga Ostrovskaya</w:t>
            </w:r>
          </w:p>
        </w:tc>
        <w:tc>
          <w:tcPr>
            <w:tcW w:w="0" w:type="dxa"/>
            <w:vAlign w:val="bottom"/>
          </w:tcPr>
          <w:p>
            <w:pPr>
              <w:spacing w:after="0"/>
              <w:rPr>
                <w:sz w:val="1"/>
                <w:szCs w:val="1"/>
                <w:color w:val="auto"/>
              </w:rPr>
            </w:pPr>
          </w:p>
        </w:tc>
      </w:tr>
      <w:tr>
        <w:trPr>
          <w:trHeight w:val="230"/>
        </w:trPr>
        <w:tc>
          <w:tcPr>
            <w:tcW w:w="5580" w:type="dxa"/>
            <w:vAlign w:val="bottom"/>
          </w:tcPr>
          <w:p>
            <w:pPr>
              <w:jc w:val="center"/>
              <w:spacing w:after="0"/>
              <w:rPr>
                <w:sz w:val="20"/>
                <w:szCs w:val="20"/>
                <w:color w:val="auto"/>
              </w:rPr>
            </w:pPr>
            <w:r>
              <w:rPr>
                <w:rFonts w:ascii="Arial" w:cs="Arial" w:eastAsia="Arial" w:hAnsi="Arial"/>
                <w:sz w:val="18"/>
                <w:szCs w:val="18"/>
                <w:color w:val="auto"/>
                <w:w w:val="92"/>
              </w:rPr>
              <w:t>State Authorized Public Accountant</w:t>
            </w:r>
          </w:p>
        </w:tc>
        <w:tc>
          <w:tcPr>
            <w:tcW w:w="240" w:type="dxa"/>
            <w:vAlign w:val="bottom"/>
          </w:tcPr>
          <w:p>
            <w:pPr>
              <w:spacing w:after="0"/>
              <w:rPr>
                <w:sz w:val="20"/>
                <w:szCs w:val="20"/>
                <w:color w:val="auto"/>
              </w:rPr>
            </w:pPr>
          </w:p>
        </w:tc>
        <w:tc>
          <w:tcPr>
            <w:tcW w:w="5600" w:type="dxa"/>
            <w:vAlign w:val="bottom"/>
          </w:tcPr>
          <w:p>
            <w:pPr>
              <w:jc w:val="center"/>
              <w:spacing w:after="0"/>
              <w:rPr>
                <w:sz w:val="20"/>
                <w:szCs w:val="20"/>
                <w:color w:val="auto"/>
              </w:rPr>
            </w:pPr>
            <w:r>
              <w:rPr>
                <w:rFonts w:ascii="Arial" w:cs="Arial" w:eastAsia="Arial" w:hAnsi="Arial"/>
                <w:sz w:val="18"/>
                <w:szCs w:val="18"/>
                <w:color w:val="auto"/>
                <w:w w:val="92"/>
              </w:rPr>
              <w:t>State Authorized Public Accountant</w:t>
            </w:r>
          </w:p>
        </w:tc>
        <w:tc>
          <w:tcPr>
            <w:tcW w:w="0" w:type="dxa"/>
            <w:vAlign w:val="bottom"/>
          </w:tcPr>
          <w:p>
            <w:pPr>
              <w:spacing w:after="0"/>
              <w:rPr>
                <w:sz w:val="1"/>
                <w:szCs w:val="1"/>
                <w:color w:val="auto"/>
              </w:rPr>
            </w:pPr>
          </w:p>
        </w:tc>
      </w:tr>
      <w:tr>
        <w:trPr>
          <w:trHeight w:val="486"/>
        </w:trPr>
        <w:tc>
          <w:tcPr>
            <w:tcW w:w="558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9"/>
              </w:rPr>
              <w:t>18</w:t>
            </w:r>
          </w:p>
        </w:tc>
        <w:tc>
          <w:tcPr>
            <w:tcW w:w="5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55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560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20"/>
      </w:cols>
      <w:pgMar w:left="240" w:top="36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x"/>
      <w:numFmt w:val="bullet"/>
      <w:start w:val="1"/>
    </w:lvl>
  </w:abstractNum>
  <w:abstractNum w:abstractNumId="1">
    <w:nsid w:val="7C83E458"/>
    <w:multiLevelType w:val="hybridMultilevel"/>
    <w:lvl w:ilvl="0">
      <w:lvlJc w:val="left"/>
      <w:lvlText w:val="o"/>
      <w:numFmt w:val="bullet"/>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1)"/>
      <w:numFmt w:val="decimal"/>
      <w:start w:val="3"/>
    </w:lvl>
  </w:abstractNum>
  <w:abstractNum w:abstractNumId="4">
    <w:nsid w:val="436C6125"/>
    <w:multiLevelType w:val="hybridMultilevel"/>
    <w:lvl w:ilvl="0">
      <w:lvlJc w:val="left"/>
      <w:lvlText w:val="(%1)"/>
      <w:numFmt w:val="decimal"/>
      <w:start w:val="6"/>
    </w:lvl>
  </w:abstractNum>
  <w:abstractNum w:abstractNumId="5">
    <w:nsid w:val="628C895D"/>
    <w:multiLevelType w:val="hybridMultilevel"/>
    <w:lvl w:ilvl="0">
      <w:lvlJc w:val="left"/>
      <w:lvlText w:val="(%1)"/>
      <w:numFmt w:val="decimal"/>
      <w:start w:val="7"/>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1)"/>
      <w:numFmt w:val="decimal"/>
      <w:start w:val="1"/>
    </w:lvl>
  </w:abstractNum>
  <w:abstractNum w:abstractNumId="13">
    <w:nsid w:val="79838CB2"/>
    <w:multiLevelType w:val="hybridMultilevel"/>
    <w:lvl w:ilvl="0">
      <w:lvlJc w:val="left"/>
      <w:lvlText w:val="%1."/>
      <w:numFmt w:val="decimal"/>
      <w:start w:val="2"/>
    </w:lvl>
  </w:abstractNum>
  <w:abstractNum w:abstractNumId="14">
    <w:nsid w:val="4353D0CD"/>
    <w:multiLevelType w:val="hybridMultilevel"/>
    <w:lvl w:ilvl="0">
      <w:lvlJc w:val="left"/>
      <w:lvlText w:val="%1."/>
      <w:numFmt w:val="decimal"/>
      <w:start w:val="4"/>
    </w:lvl>
  </w:abstractNum>
  <w:abstractNum w:abstractNumId="15">
    <w:nsid w:val="B03E0C6"/>
    <w:multiLevelType w:val="hybridMultilevel"/>
    <w:lvl w:ilvl="0">
      <w:lvlJc w:val="left"/>
      <w:lvlText w:val="%1."/>
      <w:numFmt w:val="decimal"/>
      <w:start w:val="8"/>
    </w:lvl>
  </w:abstractNum>
  <w:abstractNum w:abstractNumId="16">
    <w:nsid w:val="189A769B"/>
    <w:multiLevelType w:val="hybridMultilevel"/>
    <w:lvl w:ilvl="0">
      <w:lvlJc w:val="left"/>
      <w:lvlText w:val="%1."/>
      <w:numFmt w:val="decimal"/>
      <w:start w:val="9"/>
    </w:lvl>
  </w:abstractNum>
  <w:abstractNum w:abstractNumId="17">
    <w:nsid w:val="54E49EB4"/>
    <w:multiLevelType w:val="hybridMultilevel"/>
    <w:lvl w:ilvl="0">
      <w:lvlJc w:val="left"/>
      <w:lvlText w:val="%1."/>
      <w:numFmt w:val="decimal"/>
      <w:start w:val="11"/>
    </w:lvl>
  </w:abstractNum>
  <w:abstractNum w:abstractNumId="18">
    <w:nsid w:val="71F32454"/>
    <w:multiLevelType w:val="hybridMultilevel"/>
    <w:lvl w:ilvl="0">
      <w:lvlJc w:val="left"/>
      <w:lvlText w:val="%1."/>
      <w:numFmt w:val="decimal"/>
      <w:start w:val="12"/>
    </w:lvl>
  </w:abstractNum>
  <w:abstractNum w:abstractNumId="19">
    <w:nsid w:val="2CA88611"/>
    <w:multiLevelType w:val="hybridMultilevel"/>
    <w:lvl w:ilvl="0">
      <w:lvlJc w:val="left"/>
      <w:lvlText w:val="%1."/>
      <w:numFmt w:val="decimal"/>
      <w:start w:val="13"/>
    </w:lvl>
  </w:abstractNum>
  <w:abstractNum w:abstractNumId="20">
    <w:nsid w:val="836C40E"/>
    <w:multiLevelType w:val="hybridMultilevel"/>
    <w:lvl w:ilvl="0">
      <w:lvlJc w:val="left"/>
      <w:lvlText w:val="%1."/>
      <w:numFmt w:val="decimal"/>
      <w:start w:val="14"/>
    </w:lvl>
  </w:abstractNum>
  <w:abstractNum w:abstractNumId="21">
    <w:nsid w:val="2901D82"/>
    <w:multiLevelType w:val="hybridMultilevel"/>
    <w:lvl w:ilvl="0">
      <w:lvlJc w:val="left"/>
      <w:lvlText w:val="%1."/>
      <w:numFmt w:val="decimal"/>
      <w:start w:val="15"/>
    </w:lvl>
  </w:abstractNum>
  <w:abstractNum w:abstractNumId="22">
    <w:nsid w:val="3A95F874"/>
    <w:multiLevelType w:val="hybridMultilevel"/>
    <w:lvl w:ilvl="0">
      <w:lvlJc w:val="left"/>
      <w:lvlText w:val="%1."/>
      <w:numFmt w:val="decimal"/>
      <w:start w:val="16"/>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1."/>
      <w:numFmt w:val="decimal"/>
      <w:start w:val="17"/>
    </w:lvl>
  </w:abstractNum>
  <w:abstractNum w:abstractNumId="26">
    <w:nsid w:val="737B8DDC"/>
    <w:multiLevelType w:val="hybridMultilevel"/>
    <w:lvl w:ilvl="0">
      <w:lvlJc w:val="left"/>
      <w:lvlText w:val="(%1)"/>
      <w:numFmt w:val="lowerLetter"/>
      <w:start w:val="1"/>
    </w:lvl>
  </w:abstractNum>
  <w:abstractNum w:abstractNumId="27">
    <w:nsid w:val="6CEAF087"/>
    <w:multiLevelType w:val="hybridMultilevel"/>
    <w:lvl w:ilvl="0">
      <w:lvlJc w:val="left"/>
      <w:lvlText w:val="(%1)"/>
      <w:numFmt w:val="lowerLetter"/>
      <w:start w:val="1"/>
    </w:lvl>
    <w:lvl w:ilvl="1">
      <w:lvlJc w:val="left"/>
      <w:lvlText w:val="(%2)"/>
      <w:numFmt w:val="decimal"/>
      <w:start w:val="1"/>
    </w:lvl>
  </w:abstractNum>
  <w:abstractNum w:abstractNumId="28">
    <w:nsid w:val="22221A70"/>
    <w:multiLevelType w:val="hybridMultilevel"/>
    <w:lvl w:ilvl="0">
      <w:lvlJc w:val="left"/>
      <w:lvlText w:val="(%1)"/>
      <w:numFmt w:val="decimal"/>
      <w:start w:val="1"/>
    </w:lvl>
  </w:abstractNum>
  <w:abstractNum w:abstractNumId="29">
    <w:nsid w:val="4516DDE9"/>
    <w:multiLevelType w:val="hybridMultilevel"/>
    <w:lvl w:ilvl="0">
      <w:lvlJc w:val="left"/>
      <w:lvlText w:val="%1."/>
      <w:numFmt w:val="decimal"/>
      <w:start w:val="1"/>
    </w:lvl>
    <w:lvl w:ilvl="1">
      <w:lvlJc w:val="left"/>
      <w:lvlText w:val="(%2)"/>
      <w:numFmt w:val="lowerLetter"/>
      <w:start w:val="1"/>
    </w:lvl>
  </w:abstractNum>
  <w:abstractNum w:abstractNumId="30">
    <w:nsid w:val="3006C83E"/>
    <w:multiLevelType w:val="hybridMultilevel"/>
    <w:lvl w:ilvl="0">
      <w:lvlJc w:val="left"/>
      <w:lvlText w:val="%1."/>
      <w:numFmt w:val="decimal"/>
      <w:start w:val="1"/>
    </w:lvl>
    <w:lvl w:ilvl="1">
      <w:lvlJc w:val="left"/>
      <w:lvlText w:val="(%2)"/>
      <w:numFmt w:val="lowerLetter"/>
      <w:start w:val="1"/>
    </w:lvl>
  </w:abstractNum>
  <w:abstractNum w:abstractNumId="31">
    <w:nsid w:val="614FD4A1"/>
    <w:multiLevelType w:val="hybridMultilevel"/>
    <w:lvl w:ilvl="0">
      <w:lvlJc w:val="left"/>
      <w:lvlText w:val="(%1)"/>
      <w:numFmt w:val="decimal"/>
      <w:start w:val="1"/>
    </w:lvl>
  </w:abstractNum>
  <w:abstractNum w:abstractNumId="32">
    <w:nsid w:val="419AC241"/>
    <w:multiLevelType w:val="hybridMultilevel"/>
    <w:lvl w:ilvl="0">
      <w:lvlJc w:val="left"/>
      <w:lvlText w:val="(%1)"/>
      <w:numFmt w:val="decimal"/>
      <w:start w:val="1"/>
    </w:lvl>
  </w:abstractNum>
  <w:abstractNum w:abstractNumId="33">
    <w:nsid w:val="5577F8E1"/>
    <w:multiLevelType w:val="hybridMultilevel"/>
    <w:lvl w:ilvl="0">
      <w:lvlJc w:val="left"/>
      <w:lvlText w:val="%1."/>
      <w:numFmt w:val="decimal"/>
      <w:start w:val="1"/>
    </w:lvl>
    <w:lvl w:ilvl="1">
      <w:lvlJc w:val="left"/>
      <w:lvlText w:val="%2."/>
      <w:numFmt w:val="lowerLetter"/>
      <w:start w:val="1"/>
    </w:lvl>
  </w:abstractNum>
  <w:abstractNum w:abstractNumId="34">
    <w:nsid w:val="440BADFC"/>
    <w:multiLevelType w:val="hybridMultilevel"/>
    <w:lvl w:ilvl="0">
      <w:lvlJc w:val="left"/>
      <w:lvlText w:val="%1)"/>
      <w:numFmt w:val="lowerLetter"/>
      <w:start w:val="1"/>
    </w:lvl>
  </w:abstractNum>
  <w:abstractNum w:abstractNumId="35">
    <w:nsid w:val="5072367"/>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2019-12-13T01:38:09Z</dcterms:created>
  <dcterms:modified xsi:type="dcterms:W3CDTF">2019-12-13T01:38:09Z</dcterms:modified>
</cp:coreProperties>
</file>