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60" w:right="2100" w:hanging="3952"/>
        <w:spacing w:after="0" w:line="514" w:lineRule="auto"/>
        <w:tabs>
          <w:tab w:leader="none" w:pos="699"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January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ind w:left="3600" w:right="2080" w:hanging="3592"/>
        <w:spacing w:after="0" w:line="516" w:lineRule="auto"/>
        <w:tabs>
          <w:tab w:leader="none" w:pos="6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FREQUENCY ELECTRONICS,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jc w:val="center"/>
              <w:ind w:right="599"/>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539"/>
              <w:spacing w:after="0"/>
              <w:rPr>
                <w:sz w:val="20"/>
                <w:szCs w:val="20"/>
                <w:color w:val="auto"/>
              </w:rPr>
            </w:pPr>
            <w:r>
              <w:rPr>
                <w:rFonts w:ascii="Arial" w:cs="Arial" w:eastAsia="Arial" w:hAnsi="Arial"/>
                <w:sz w:val="18"/>
                <w:szCs w:val="18"/>
                <w:b w:val="1"/>
                <w:bCs w:val="1"/>
                <w:color w:val="auto"/>
              </w:rPr>
              <w:t>11-1986657</w:t>
            </w:r>
          </w:p>
        </w:tc>
      </w:tr>
      <w:tr>
        <w:trPr>
          <w:trHeight w:val="149"/>
        </w:trPr>
        <w:tc>
          <w:tcPr>
            <w:tcW w:w="6400" w:type="dxa"/>
            <w:vAlign w:val="bottom"/>
          </w:tcPr>
          <w:p>
            <w:pPr>
              <w:jc w:val="center"/>
              <w:ind w:right="599"/>
              <w:spacing w:after="0" w:line="149" w:lineRule="exact"/>
              <w:rPr>
                <w:sz w:val="20"/>
                <w:szCs w:val="20"/>
                <w:color w:val="auto"/>
              </w:rPr>
            </w:pPr>
            <w:r>
              <w:rPr>
                <w:rFonts w:ascii="Arial" w:cs="Arial" w:eastAsia="Arial" w:hAnsi="Arial"/>
                <w:sz w:val="14"/>
                <w:szCs w:val="14"/>
                <w:color w:val="auto"/>
                <w:w w:val="95"/>
              </w:rPr>
              <w:t>(State or other jurisdiction of</w:t>
            </w:r>
          </w:p>
        </w:tc>
        <w:tc>
          <w:tcPr>
            <w:tcW w:w="3220" w:type="dxa"/>
            <w:vAlign w:val="bottom"/>
          </w:tcPr>
          <w:p>
            <w:pPr>
              <w:jc w:val="center"/>
              <w:ind w:left="10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6400" w:type="dxa"/>
            <w:vAlign w:val="bottom"/>
          </w:tcPr>
          <w:p>
            <w:pPr>
              <w:jc w:val="center"/>
              <w:ind w:right="579"/>
              <w:spacing w:after="0"/>
              <w:rPr>
                <w:sz w:val="20"/>
                <w:szCs w:val="20"/>
                <w:color w:val="auto"/>
              </w:rPr>
            </w:pPr>
            <w:r>
              <w:rPr>
                <w:rFonts w:ascii="Arial" w:cs="Arial" w:eastAsia="Arial" w:hAnsi="Arial"/>
                <w:sz w:val="14"/>
                <w:szCs w:val="14"/>
                <w:color w:val="auto"/>
                <w:w w:val="95"/>
              </w:rPr>
              <w:t>incorporation or organization)</w:t>
            </w:r>
          </w:p>
        </w:tc>
        <w:tc>
          <w:tcPr>
            <w:tcW w:w="3220" w:type="dxa"/>
            <w:vAlign w:val="bottom"/>
          </w:tcPr>
          <w:p>
            <w:pPr>
              <w:spacing w:after="0"/>
              <w:rPr>
                <w:sz w:val="15"/>
                <w:szCs w:val="15"/>
                <w:color w:val="auto"/>
              </w:rPr>
            </w:pPr>
          </w:p>
        </w:tc>
      </w:tr>
      <w:tr>
        <w:trPr>
          <w:trHeight w:val="425"/>
        </w:trPr>
        <w:tc>
          <w:tcPr>
            <w:tcW w:w="6400" w:type="dxa"/>
            <w:vAlign w:val="bottom"/>
          </w:tcPr>
          <w:p>
            <w:pPr>
              <w:jc w:val="center"/>
              <w:ind w:right="599"/>
              <w:spacing w:after="0"/>
              <w:rPr>
                <w:sz w:val="20"/>
                <w:szCs w:val="20"/>
                <w:color w:val="auto"/>
              </w:rPr>
            </w:pPr>
            <w:r>
              <w:rPr>
                <w:rFonts w:ascii="Arial" w:cs="Arial" w:eastAsia="Arial" w:hAnsi="Arial"/>
                <w:sz w:val="18"/>
                <w:szCs w:val="18"/>
                <w:b w:val="1"/>
                <w:bCs w:val="1"/>
                <w:color w:val="auto"/>
              </w:rPr>
              <w:t>55 CHARLES LINDBERGH BLVD., MITCHEL FIELD, N.Y.</w:t>
            </w:r>
          </w:p>
        </w:tc>
        <w:tc>
          <w:tcPr>
            <w:tcW w:w="3220" w:type="dxa"/>
            <w:vAlign w:val="bottom"/>
          </w:tcPr>
          <w:p>
            <w:pPr>
              <w:jc w:val="right"/>
              <w:ind w:right="739"/>
              <w:spacing w:after="0"/>
              <w:rPr>
                <w:sz w:val="20"/>
                <w:szCs w:val="20"/>
                <w:color w:val="auto"/>
              </w:rPr>
            </w:pPr>
            <w:r>
              <w:rPr>
                <w:rFonts w:ascii="Arial" w:cs="Arial" w:eastAsia="Arial" w:hAnsi="Arial"/>
                <w:sz w:val="18"/>
                <w:szCs w:val="18"/>
                <w:b w:val="1"/>
                <w:bCs w:val="1"/>
                <w:color w:val="auto"/>
              </w:rPr>
              <w:t>11553</w:t>
            </w:r>
          </w:p>
        </w:tc>
      </w:tr>
      <w:tr>
        <w:trPr>
          <w:trHeight w:val="182"/>
        </w:trPr>
        <w:tc>
          <w:tcPr>
            <w:tcW w:w="6400" w:type="dxa"/>
            <w:vAlign w:val="bottom"/>
          </w:tcPr>
          <w:p>
            <w:pPr>
              <w:jc w:val="center"/>
              <w:ind w:right="599"/>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039"/>
              <w:spacing w:after="0"/>
              <w:rPr>
                <w:sz w:val="20"/>
                <w:szCs w:val="20"/>
                <w:color w:val="auto"/>
              </w:rPr>
            </w:pPr>
            <w:r>
              <w:rPr>
                <w:rFonts w:ascii="Arial" w:cs="Arial" w:eastAsia="Arial" w:hAnsi="Arial"/>
                <w:sz w:val="14"/>
                <w:szCs w:val="14"/>
                <w:color w:val="auto"/>
                <w:w w:val="93"/>
              </w:rPr>
              <w:t>(Zip Code)</w:t>
            </w:r>
          </w:p>
        </w:tc>
      </w:tr>
      <w:tr>
        <w:trPr>
          <w:trHeight w:val="444"/>
        </w:trPr>
        <w:tc>
          <w:tcPr>
            <w:tcW w:w="640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2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p>
      <w:pPr>
        <w:spacing w:after="0"/>
        <w:tabs>
          <w:tab w:leader="none" w:pos="3620" w:val="left"/>
          <w:tab w:leader="none" w:pos="6340" w:val="left"/>
          <w:tab w:leader="none" w:pos="88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17" w:lineRule="exact"/>
        <w:rPr>
          <w:sz w:val="24"/>
          <w:szCs w:val="24"/>
          <w:color w:val="auto"/>
        </w:rPr>
      </w:pPr>
    </w:p>
    <w:p>
      <w:pPr>
        <w:ind w:left="5820"/>
        <w:spacing w:after="0"/>
        <w:rPr>
          <w:sz w:val="20"/>
          <w:szCs w:val="20"/>
          <w:color w:val="auto"/>
        </w:rPr>
      </w:pPr>
      <w:r>
        <w:rPr>
          <w:rFonts w:ascii="Arial" w:cs="Arial" w:eastAsia="Arial" w:hAnsi="Arial"/>
          <w:sz w:val="14"/>
          <w:szCs w:val="14"/>
          <w:color w:val="auto"/>
        </w:rPr>
        <w:t>(do not check if a smaller reporting company)</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10, 2011 – 8,275,440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664845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20" w:type="dxa"/>
            <w:vAlign w:val="bottom"/>
          </w:tcPr>
          <w:p>
            <w:pPr>
              <w:jc w:val="center"/>
              <w:ind w:left="510"/>
              <w:spacing w:after="0"/>
              <w:rPr>
                <w:sz w:val="20"/>
                <w:szCs w:val="20"/>
                <w:color w:val="auto"/>
              </w:rPr>
            </w:pPr>
            <w:r>
              <w:rPr>
                <w:rFonts w:ascii="Arial" w:cs="Arial" w:eastAsia="Arial" w:hAnsi="Arial"/>
                <w:sz w:val="18"/>
                <w:szCs w:val="18"/>
                <w:color w:val="auto"/>
                <w:w w:val="95"/>
              </w:rPr>
              <w:t>FREQUENCY ELECTRONICS, INC.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20" w:type="dxa"/>
            <w:vAlign w:val="bottom"/>
          </w:tcPr>
          <w:p>
            <w:pPr>
              <w:jc w:val="center"/>
              <w:ind w:left="51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1140" w:type="dxa"/>
            <w:vAlign w:val="bottom"/>
            <w:tcBorders>
              <w:top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Item 1 - Financial Statements: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Condensed Consolidated Balance Sheets - January 31, 2011 and April 30, 2010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Operations Nine Months Ended January 31, 2011 and 2010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Operations Three Months Ended January 31, 2011 and 2010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Cash Flows Nine Months Ended January 31, 2011 and 2010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Notes to Condensed Consolidated Financial Statements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1"/>
              </w:rPr>
              <w:t>Item 2</w:t>
            </w:r>
          </w:p>
        </w:tc>
        <w:tc>
          <w:tcPr>
            <w:tcW w:w="9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Management’s Discussion and Analysis ofFinancial Condition and Results of Operations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1"/>
              </w:rPr>
              <w:t>Item 3</w:t>
            </w:r>
          </w:p>
        </w:tc>
        <w:tc>
          <w:tcPr>
            <w:tcW w:w="9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Quantitative and Qualitative Disclosures About Market Risk</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1"/>
              </w:rPr>
              <w:t>Item 4</w:t>
            </w:r>
          </w:p>
        </w:tc>
        <w:tc>
          <w:tcPr>
            <w:tcW w:w="9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Controls and Procedures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1"/>
              </w:rPr>
              <w:t>Item 6</w:t>
            </w:r>
          </w:p>
        </w:tc>
        <w:tc>
          <w:tcPr>
            <w:tcW w:w="9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Exhibits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Signatures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16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1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20" w:type="dxa"/>
            <w:vAlign w:val="bottom"/>
          </w:tcPr>
          <w:p>
            <w:pPr>
              <w:jc w:val="center"/>
              <w:ind w:left="490"/>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5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40" w:type="dxa"/>
            <w:vAlign w:val="bottom"/>
          </w:tcPr>
          <w:p>
            <w:pPr>
              <w:ind w:left="3520"/>
              <w:spacing w:after="0"/>
              <w:rPr>
                <w:sz w:val="20"/>
                <w:szCs w:val="20"/>
                <w:color w:val="auto"/>
              </w:rPr>
            </w:pPr>
            <w:r>
              <w:rPr>
                <w:rFonts w:ascii="Arial" w:cs="Arial" w:eastAsia="Arial" w:hAnsi="Arial"/>
                <w:sz w:val="18"/>
                <w:szCs w:val="18"/>
                <w:color w:val="auto"/>
              </w:rPr>
              <w:t>FREQUENCY ELECTRONICS, INC. and SUBSIDIARIES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40" w:type="dxa"/>
            <w:vAlign w:val="bottom"/>
          </w:tcPr>
          <w:p>
            <w:pPr>
              <w:ind w:left="4220"/>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January 31,</w:t>
            </w: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(NOTE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vMerge w:val="restart"/>
          </w:tcPr>
          <w:p>
            <w:pPr>
              <w:ind w:left="37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5"/>
          </w:tcPr>
          <w:p>
            <w:pPr>
              <w:jc w:val="right"/>
              <w:ind w:right="420"/>
              <w:spacing w:after="0"/>
              <w:rPr>
                <w:sz w:val="20"/>
                <w:szCs w:val="20"/>
                <w:color w:val="auto"/>
              </w:rPr>
            </w:pPr>
            <w:r>
              <w:rPr>
                <w:rFonts w:ascii="Arial" w:cs="Arial" w:eastAsia="Arial" w:hAnsi="Arial"/>
                <w:sz w:val="18"/>
                <w:szCs w:val="18"/>
                <w:color w:val="auto"/>
                <w:w w:val="96"/>
              </w:rPr>
              <w:t>(In thousands except share data)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8,411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13,619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$258 at January 31, 2011 and $266 at April 30,</w:t>
            </w: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8,598</w:t>
            </w:r>
          </w:p>
        </w:tc>
        <w:tc>
          <w:tcPr>
            <w:tcW w:w="2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28,475</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62,744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6,728</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Investment in and loans receivable from affiliates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81,420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Short-term credit and lease obligations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5,405</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20"/>
                <w:szCs w:val="20"/>
                <w:color w:val="auto"/>
              </w:rPr>
            </w:pPr>
            <w:r>
              <w:rPr>
                <w:rFonts w:ascii="Arial" w:cs="Arial" w:eastAsia="Arial" w:hAnsi="Arial"/>
                <w:sz w:val="18"/>
                <w:szCs w:val="18"/>
                <w:color w:val="auto"/>
              </w:rPr>
              <w:t>Lease obligation- noncurrent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rent and other liabilities</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17,589</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49,692</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65,471</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reacquired and held in treasury -at cost (892,250 shares at January 31, 2011 and 946,172 shares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at April 30, 2010)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4,697</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83,653</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81,420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95"/>
              </w:rPr>
              <w:t>FREQUENCY ELECTRONICS, INC. and SUBSIDIARIES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90"/>
              </w:rPr>
              <w:t>Nine Months Ended January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(In thousands except per share data)</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37,287</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36,360</w:t>
            </w: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14,399</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13,117</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7,948</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income (loss)</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Impairment of investment in affiliate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w:t>
            </w: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Income before provision (benefit) for income taxes</w:t>
            </w:r>
          </w:p>
        </w:tc>
        <w:tc>
          <w:tcPr>
            <w:tcW w:w="24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(1,970)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FFCC"/>
          </w:tcPr>
          <w:p>
            <w:pPr>
              <w:spacing w:after="0"/>
              <w:rPr>
                <w:sz w:val="22"/>
                <w:szCs w:val="22"/>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2,574</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0.31</w:t>
            </w: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8,249,225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8,176,638</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8,325,665</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8,197,367</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95"/>
              </w:rPr>
              <w:t>FREQUENCY ELECTRONICS, INC. and SUBSIDIARIES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89"/>
              </w:rPr>
              <w:t>Three Months Ended January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(In thousands except per share data)</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12,635</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12,524</w:t>
            </w: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4,849</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4,422</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 income</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Impairment of investment in affiliate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Income before provision (benefit) for income taxes</w:t>
            </w:r>
          </w:p>
        </w:tc>
        <w:tc>
          <w:tcPr>
            <w:tcW w:w="24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(1,970)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2,049</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0.25</w:t>
            </w: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8,262,713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8,184,627</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8,372,187</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8,222,574</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95"/>
              </w:rPr>
              <w:t>FREQUENCY ELECTRONICS, INC. and SUBSIDIARIES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89"/>
              </w:rPr>
              <w:t>Condensed 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90"/>
              </w:rPr>
              <w:t>Nine Months Ended January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Non-cash charges to earnings,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72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w w:val="94"/>
              </w:rPr>
              <w:t>(2,317)</w:t>
            </w:r>
          </w:p>
        </w:tc>
        <w:tc>
          <w:tcPr>
            <w:tcW w:w="4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CCFFC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CCFFC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 of marketable 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w w:val="94"/>
              </w:rPr>
              <w:t>(6,147)</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Receipt of loan payment from affiliate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fixed assets</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w w:val="94"/>
              </w:rPr>
              <w:t>(1,114)</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(4,261)</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Debt payments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w w:val="94"/>
              </w:rPr>
              <w:t>(2,403)</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w w:val="94"/>
              </w:rPr>
              <w:t>(1,543)</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35"/>
              <w:spacing w:after="0"/>
              <w:rPr>
                <w:sz w:val="20"/>
                <w:szCs w:val="20"/>
                <w:color w:val="auto"/>
              </w:rPr>
            </w:pPr>
            <w:r>
              <w:rPr>
                <w:rFonts w:ascii="Arial" w:cs="Arial" w:eastAsia="Arial" w:hAnsi="Arial"/>
                <w:sz w:val="18"/>
                <w:szCs w:val="18"/>
                <w:color w:val="auto"/>
              </w:rPr>
              <w:t>8,411</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35"/>
              <w:spacing w:after="0"/>
              <w:rPr>
                <w:sz w:val="20"/>
                <w:szCs w:val="20"/>
                <w:color w:val="auto"/>
              </w:rPr>
            </w:pPr>
            <w:r>
              <w:rPr>
                <w:rFonts w:ascii="Arial" w:cs="Arial" w:eastAsia="Arial" w:hAnsi="Arial"/>
                <w:sz w:val="18"/>
                <w:szCs w:val="18"/>
                <w:color w:val="auto"/>
              </w:rPr>
              <w:t>201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2011 and the results of its operations and cash flows for the nine and three months ended January 31, 2011 and 2010. The April 30, 2010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2010 Annual Report to Stockholders on Form 10-K. The results of operations for such interim periods are not necessarily indicative of the operating results for the full fiscal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NOTE B – EARNINGS PER SHARE</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40" w:type="dxa"/>
            <w:vAlign w:val="bottom"/>
            <w:gridSpan w:val="6"/>
          </w:tcPr>
          <w:p>
            <w:pPr>
              <w:ind w:left="640"/>
              <w:spacing w:after="0"/>
              <w:rPr>
                <w:sz w:val="20"/>
                <w:szCs w:val="20"/>
                <w:color w:val="auto"/>
              </w:rPr>
            </w:pPr>
            <w:r>
              <w:rPr>
                <w:rFonts w:ascii="Arial" w:cs="Arial" w:eastAsia="Arial" w:hAnsi="Arial"/>
                <w:sz w:val="18"/>
                <w:szCs w:val="18"/>
                <w:color w:val="auto"/>
                <w:w w:val="91"/>
              </w:rPr>
              <w:t>Reconciliation of the weighted average shares outstanding for basic and diluted Earnings Per Share are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w w:val="99"/>
              </w:rPr>
              <w:t>Periods ended January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8,249,225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8,176,638</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8,262,713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76,440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109,474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8,325,665</w:t>
            </w:r>
          </w:p>
        </w:tc>
        <w:tc>
          <w:tcPr>
            <w:tcW w:w="24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8,197,367</w:t>
            </w:r>
          </w:p>
        </w:tc>
        <w:tc>
          <w:tcPr>
            <w:tcW w:w="2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8,372,187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8,222,574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color w:val="auto"/>
                <w:w w:val="99"/>
              </w:rPr>
              <w:t>Periods ended January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and SARS excluded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900,775</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1,347,775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900,775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1,066,775</w:t>
            </w:r>
          </w:p>
        </w:tc>
      </w:tr>
      <w:tr>
        <w:trPr>
          <w:trHeight w:val="27"/>
        </w:trPr>
        <w:tc>
          <w:tcPr>
            <w:tcW w:w="20" w:type="dxa"/>
            <w:vAlign w:val="bottom"/>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2011 and April 30, 2010, costs and estimated earnings in excess of billings, net,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95"/>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3,551</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Net asset</w:t>
            </w:r>
          </w:p>
        </w:tc>
        <w:tc>
          <w:tcPr>
            <w:tcW w:w="2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2,332</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nine and three months ended January 31, 2011, revenue recognized under percentage of completion contracts was approximately $15.4 million and $4.9 million, respectively. For the nine and three months ended January 31, 2010, such revenue was approximately $14.4 million and $4.7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Inventories, which are reported at the lower of cost or market at January 31, 2011 and April 30, 2010, respectively,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w w:val="89"/>
              </w:rPr>
              <w:t>January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April 30,</w:t>
            </w:r>
          </w:p>
        </w:tc>
      </w:tr>
      <w:tr>
        <w:trPr>
          <w:trHeight w:val="237"/>
        </w:trPr>
        <w:tc>
          <w:tcPr>
            <w:tcW w:w="8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12,627</w:t>
            </w: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13,192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11,039</w:t>
            </w:r>
          </w:p>
        </w:tc>
      </w:tr>
      <w:tr>
        <w:trPr>
          <w:trHeight w:val="223"/>
        </w:trPr>
        <w:tc>
          <w:tcPr>
            <w:tcW w:w="8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28,475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26,975</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January 31, 2011 and April 30, 2010, approximately $19.0 million and $18.2 million, respectively, of total inventory is located in the United States, approximately $8.7 million and $7.9 million, respectively, is located in Belgium and $800,000 and $900,000, respectively, is located in China.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nine and three months ended January 31, 2011 and 2010, comprehensive income (loss) is composed of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w w:val="94"/>
              </w:rPr>
              <w:t>Nine months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color w:val="auto"/>
                <w:w w:val="91"/>
              </w:rPr>
              <w:t>Periods ended January 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FFCC"/>
          </w:tcPr>
          <w:p>
            <w:pPr>
              <w:jc w:val="right"/>
              <w:ind w:right="59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1,344</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2,574</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72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FFCC"/>
            </w:tcBorders>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jc w:val="right"/>
              <w:ind w:right="59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2,022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060" w:hanging="323"/>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08"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97" w:lineRule="exact"/>
        <w:rPr>
          <w:rFonts w:ascii="Arial" w:cs="Arial" w:eastAsia="Arial" w:hAnsi="Arial"/>
          <w:sz w:val="18"/>
          <w:szCs w:val="18"/>
          <w:color w:val="auto"/>
        </w:rPr>
      </w:pPr>
    </w:p>
    <w:p>
      <w:pPr>
        <w:jc w:val="both"/>
        <w:ind w:left="1060" w:hanging="323"/>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7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color w:val="auto"/>
                <w:w w:val="99"/>
              </w:rPr>
              <w:t>Periods ended January 31,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23,080</w:t>
            </w:r>
          </w:p>
        </w:tc>
        <w:tc>
          <w:tcPr>
            <w:tcW w:w="4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21,382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7,913</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8,812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7,819</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8,742</w:t>
            </w: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revenues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37,287</w:t>
            </w:r>
          </w:p>
        </w:tc>
        <w:tc>
          <w:tcPr>
            <w:tcW w:w="4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36,360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12,635</w:t>
            </w:r>
          </w:p>
        </w:tc>
        <w:tc>
          <w:tcPr>
            <w:tcW w:w="14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FFCC"/>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FEI-NY</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Consolidated operating income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2,397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January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 (approximately $3.6 million in China)</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35,697</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6,745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9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35,795</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33,606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83,653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equity interests in two strategically important companies: Elcom Technologies, Inc. (“Elcom”) and Morion Inc. (“Morion”), accounted for on the equity and cost basis, respectively. During the nine and three month periods ended January 31, 2011 and 2010, the Company acquired technical services from Elcom, purchased crystal oscillator products from Morion and sold certain of its products to both companies. The Company also receives interest from Elcom under two notes receivable. The table below summarizes these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color w:val="auto"/>
                <w:w w:val="99"/>
              </w:rPr>
              <w:t>Periods ended January 31,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color w:val="auto"/>
              </w:rPr>
              <w:t>Purchases from:</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Elcom</w:t>
            </w:r>
          </w:p>
        </w:tc>
        <w:tc>
          <w:tcPr>
            <w:tcW w:w="2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w:t>
            </w:r>
          </w:p>
        </w:tc>
        <w:tc>
          <w:tcPr>
            <w:tcW w:w="4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Morion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Sales to:</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Elcom</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Morion</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Interest on Elcom note receivable</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593"/>
        </w:trPr>
        <w:tc>
          <w:tcPr>
            <w:tcW w:w="4040" w:type="dxa"/>
            <w:vAlign w:val="bottom"/>
          </w:tcPr>
          <w:p>
            <w:pPr>
              <w:spacing w:after="0"/>
              <w:rPr>
                <w:sz w:val="24"/>
                <w:szCs w:val="24"/>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4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measures the current market value of Elcom based on comparisons to comparable companies as well as Elcom’s forecasts of future financial results. For the year ended April 30, 2010, in addition to its equity share in the income or loss of Elcom during the year, the Company determined that its investment was impaired and recorded impairment charges in the amount $550,000 and $350,000 for the nine and three months ended January 31, 2010. No impairment charges were recorded during the nine and three months ended January 31,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2011 and April 30, 2010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color w:val="auto"/>
              </w:rPr>
              <w:t>January 31, 2011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Fair Market</w:t>
            </w: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10,363</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10,605</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Equity securities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3,014</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CFFCC"/>
          </w:tcPr>
          <w:p>
            <w:pPr>
              <w:spacing w:after="0"/>
              <w:rPr>
                <w:sz w:val="20"/>
                <w:szCs w:val="20"/>
                <w:color w:val="auto"/>
              </w:rPr>
            </w:pPr>
          </w:p>
        </w:tc>
        <w:tc>
          <w:tcPr>
            <w:tcW w:w="2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13,137</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13,619</w:t>
            </w: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FFCC"/>
            </w:tcBorders>
            <w:shd w:val="clear" w:color="auto" w:fill="CCFFCC"/>
          </w:tcPr>
          <w:p>
            <w:pPr>
              <w:spacing w:after="0" w:line="20" w:lineRule="exact"/>
              <w:rPr>
                <w:sz w:val="1"/>
                <w:szCs w:val="1"/>
                <w:color w:val="auto"/>
              </w:rPr>
            </w:pPr>
          </w:p>
        </w:tc>
        <w:tc>
          <w:tcPr>
            <w:tcW w:w="20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color w:val="auto"/>
              </w:rPr>
              <w:t>April 30, 2010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Fair Market</w:t>
            </w: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Fixed income debt securities</w:t>
            </w:r>
          </w:p>
        </w:tc>
        <w:tc>
          <w:tcPr>
            <w:tcW w:w="2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9,606</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9,777</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Equity securities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CFFCC"/>
          </w:tcPr>
          <w:p>
            <w:pPr>
              <w:spacing w:after="0"/>
              <w:rPr>
                <w:sz w:val="20"/>
                <w:szCs w:val="20"/>
                <w:color w:val="auto"/>
              </w:rPr>
            </w:pPr>
          </w:p>
        </w:tc>
        <w:tc>
          <w:tcPr>
            <w:tcW w:w="2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10,056</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10,418</w:t>
            </w: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FFCC"/>
            </w:tcBorders>
            <w:shd w:val="clear" w:color="auto" w:fill="CCFFCC"/>
          </w:tcPr>
          <w:p>
            <w:pPr>
              <w:spacing w:after="0" w:line="20" w:lineRule="exact"/>
              <w:rPr>
                <w:sz w:val="1"/>
                <w:szCs w:val="1"/>
                <w:color w:val="auto"/>
              </w:rPr>
            </w:pPr>
          </w:p>
        </w:tc>
        <w:tc>
          <w:tcPr>
            <w:tcW w:w="20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40" w:type="dxa"/>
            <w:vAlign w:val="bottom"/>
            <w:gridSpan w:val="4"/>
          </w:tcPr>
          <w:p>
            <w:pPr>
              <w:jc w:val="center"/>
              <w:ind w:right="1120"/>
              <w:spacing w:after="0" w:line="176" w:lineRule="exact"/>
              <w:rPr>
                <w:sz w:val="20"/>
                <w:szCs w:val="20"/>
                <w:color w:val="auto"/>
              </w:rPr>
            </w:pPr>
            <w:r>
              <w:rPr>
                <w:rFonts w:ascii="Arial" w:cs="Arial" w:eastAsia="Arial" w:hAnsi="Arial"/>
                <w:sz w:val="18"/>
                <w:szCs w:val="18"/>
                <w:color w:val="auto"/>
                <w:w w:val="87"/>
              </w:rPr>
              <w:t>January 31, 2011</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1,307</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FFCC"/>
          </w:tcPr>
          <w:p>
            <w:pPr>
              <w:spacing w:after="0"/>
              <w:rPr>
                <w:sz w:val="22"/>
                <w:szCs w:val="22"/>
                <w:color w:val="auto"/>
              </w:rPr>
            </w:pP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3,100</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tcBorders>
              <w:top w:val="single" w:sz="8" w:color="CCFFCC"/>
            </w:tcBorders>
          </w:tcPr>
          <w:p>
            <w:pPr>
              <w:spacing w:after="0"/>
              <w:rPr>
                <w:sz w:val="14"/>
                <w:szCs w:val="14"/>
                <w:color w:val="auto"/>
              </w:rPr>
            </w:pPr>
          </w:p>
        </w:tc>
        <w:tc>
          <w:tcPr>
            <w:tcW w:w="2340" w:type="dxa"/>
            <w:vAlign w:val="bottom"/>
            <w:tcBorders>
              <w:top w:val="single" w:sz="8" w:color="CCFFCC"/>
            </w:tcBorders>
            <w:gridSpan w:val="4"/>
          </w:tcPr>
          <w:p>
            <w:pPr>
              <w:jc w:val="center"/>
              <w:ind w:right="1120"/>
              <w:spacing w:after="0" w:line="170" w:lineRule="exact"/>
              <w:rPr>
                <w:sz w:val="20"/>
                <w:szCs w:val="20"/>
                <w:color w:val="auto"/>
              </w:rPr>
            </w:pPr>
            <w:r>
              <w:rPr>
                <w:rFonts w:ascii="Arial" w:cs="Arial" w:eastAsia="Arial" w:hAnsi="Arial"/>
                <w:sz w:val="18"/>
                <w:szCs w:val="18"/>
                <w:color w:val="auto"/>
                <w:w w:val="95"/>
              </w:rPr>
              <w:t>April 30, 2010</w:t>
            </w: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FFC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Fixed income debt securities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3,438</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3,438</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3,438</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3,438</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2011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nine and three months ended January 31, 2011 the Company redeemed available-for-sale securities in the amounts of $3,000,000 and $1,500,000, respectively, and realized losses of $47,600 and $19,800, respectively, which amounts are included in the determination of net income for those periods. During the nine and three months ended January 31, 2010, the Company redeemed an available-for-sale security in the amount of $500,000 and realized a loss of $7,000 which amount is included in the determination of net income for those periods of fiscal year 2010.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color w:val="auto"/>
                <w:w w:val="95"/>
              </w:rPr>
              <w:t>FREQUENCY ELECTRONICS, INC. and SUBSIDIARIES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color w:val="auto"/>
                <w:w w:val="89"/>
              </w:rPr>
              <w:t>Notes to Condensed Consolidated Financial Statements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color w:val="auto"/>
                <w:w w:val="91"/>
              </w:rPr>
              <w:t>(Unaudited)</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8"/>
              </w:rPr>
              <w:t>Maturities of fixed income securities classified as available-for-sale at January 31, 2011 are as follows, at cost (in thousands):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36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52" w:lineRule="exact"/>
        <w:rPr>
          <w:sz w:val="20"/>
          <w:szCs w:val="20"/>
          <w:color w:val="auto"/>
        </w:rPr>
      </w:pPr>
    </w:p>
    <w:p>
      <w:pPr>
        <w:ind w:left="1620" w:hanging="141"/>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52" w:lineRule="exact"/>
        <w:rPr>
          <w:rFonts w:ascii="Arial" w:cs="Arial" w:eastAsia="Arial" w:hAnsi="Arial"/>
          <w:sz w:val="18"/>
          <w:szCs w:val="18"/>
          <w:color w:val="auto"/>
        </w:rPr>
      </w:pPr>
    </w:p>
    <w:p>
      <w:pPr>
        <w:ind w:left="1620" w:hanging="141"/>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252" w:lineRule="exact"/>
        <w:rPr>
          <w:rFonts w:ascii="Arial" w:cs="Arial" w:eastAsia="Arial" w:hAnsi="Arial"/>
          <w:sz w:val="18"/>
          <w:szCs w:val="18"/>
          <w:color w:val="auto"/>
        </w:rPr>
      </w:pPr>
    </w:p>
    <w:p>
      <w:pPr>
        <w:ind w:left="1620" w:hanging="141"/>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252" w:lineRule="exact"/>
        <w:rPr>
          <w:rFonts w:ascii="Arial" w:cs="Arial" w:eastAsia="Arial" w:hAnsi="Arial"/>
          <w:sz w:val="18"/>
          <w:szCs w:val="18"/>
          <w:color w:val="auto"/>
        </w:rPr>
      </w:pPr>
    </w:p>
    <w:p>
      <w:pPr>
        <w:ind w:left="1620" w:hanging="141"/>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Level 3</w:t>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 whereby fair value has been determined from quoted market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are effective for fiscal years beginning after November 15, 2009 and were effective for the Company on May 1, 2010. The adoption of these standards did not have a material impact on the financial condition, results of operations, cash flows and disclosures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difference from a normally expected effective tax rate. For the nine months ended January 31, 2011, the deferred tax asset valuation allowance increased by approximately $400,000 to $8.5 million. In future periods, the valuation allowance may be reduced if the Company’s current positive earnings are sufficient to offset past losses for purposes of predicting future utilization of deferred tax assets.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color w:val="auto"/>
        </w:rPr>
        <w:t>During the nine month period ended January 31, 2011, the Company made a contribution of 50,172</w:t>
      </w:r>
      <w:r>
        <w:rPr>
          <w:sz w:val="1"/>
          <w:szCs w:val="1"/>
          <w:color w:val="auto"/>
        </w:rPr>
        <w:drawing>
          <wp:inline distT="0" distB="0" distL="0" distR="0">
            <wp:extent cx="34290"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shares of its common stock held in treasury to the Company’s profit sharing plan and trust under section 401(k) of the Internal Revenue Code. Such contribution is in accordance with the Company’s discretionary match of employee voluntary contributions to this plan. During the quarter ended January 31, 2011, 3,750 shares were issued from treasury upon the completion of a restricted stock transaction.</w:t>
      </w: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2010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Marketable securities consist of investments in common stocks, corporate debt securities and debt securities of U.S. government agencies which trade on public markets with current prices readily available (Level 1 securities in the fair value hierarchy). Investments in debt and equity securities are categorized as available for sale and are carried at fair value, with unrealized gains and losses excluded from income and recorded directly to stockholders' equity. The market value of these investments may temporarily decline due to economic conditions, but the Company’s own financial strength enables it to wait for such securities to recover their value or to mature such that any interim unrealized losses are deemed to be temporary. The Company recognizes gains or losses when securities are sold using the specific identification method.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2011 and 2010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Nine months</w:t>
            </w:r>
          </w:p>
        </w:tc>
        <w:tc>
          <w:tcPr>
            <w:tcW w:w="280" w:type="dxa"/>
            <w:vAlign w:val="bottom"/>
          </w:tcPr>
          <w:p>
            <w:pPr>
              <w:spacing w:after="0"/>
              <w:rPr>
                <w:sz w:val="20"/>
                <w:szCs w:val="20"/>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w w:val="88"/>
              </w:rPr>
              <w:t>Three months</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color w:val="auto"/>
              </w:rPr>
              <w:t>Periods ended January 31,</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62.6%</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38.6</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36.1</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38.4</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9.7</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Pretax Income</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Nine months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144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color w:val="auto"/>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1.7</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51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(0.9)</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020" w:type="dxa"/>
            <w:vAlign w:val="bottom"/>
            <w:gridSpan w:val="2"/>
          </w:tcPr>
          <w:p>
            <w:pPr>
              <w:jc w:val="right"/>
              <w:ind w:right="51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36.3</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increase in revenues for the nine months ended January 31, 2011 compared to the same period of fiscal year 2010, was the result of increased revenue from both U.S. Government/DOD satellite and non-satellite programs partially offset by continuing declines in revenue from wireless infrastructure products recorded in the FEI-NY and FEI-Zyfer segments. Revenues for the three month periods ended January 31, 2011 and 2010, were approximately the same but network infrastructure revenues increased substantially due to increased sales to certain wireless infrastructure OEM’s. Revenues from satellite payload programs, which are recorded in the FEI-NY segment, account for one-third of the Company’s revenues with U.S. Government space programs increasing 10% year-over-year. However, for the third quarter ended January 31, 2011, the Company recognized less satellite payload revenue than it did in the prior year period. This decrease is primarily attributable to program funding limitations on certain U.S. Government programs. The Company recognizes revenue only to the amounts funded even though it has firm contracts for higher amounts. Revenues from U.S. Government/DOD non-space programs, which are recorded in the FEI-NY and FEI-Zyfer segments, increased approximately 10% year-over-year for the nine months ended January 31, 2011 but decreased by 7% in the third quarter of fiscal year 2011 due to delays in booking new U.S. Government business in FEI-Zyfer. Based on recent new contract awards and anticipated new bookings for both U.S. Government and commercial space applications, the Company expects to realize increased revenues from the satellite payload market area. While the U.S. Government budget process could have a near- term impact on the Company’s revenues, the Company’s long term view is that this market area will create substantial revenue growth. Similarly, the Company expects to realize continued sales growth in U.S. Government/DOD non-space programs and from wireline telecommunication infrastructure products.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Nine months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8"/>
                <w:szCs w:val="18"/>
                <w:color w:val="auto"/>
              </w:rPr>
              <w:t>Three months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vMerge w:val="continue"/>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color w:val="auto"/>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14,399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13,117</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1,282</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  $</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4,849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4"/>
              </w:rPr>
              <w:t>4,422</w:t>
            </w:r>
          </w:p>
        </w:tc>
        <w:tc>
          <w:tcPr>
            <w:tcW w:w="28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427</w:t>
            </w: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improvement in gross margins and gross margin rates for the nine and three months ended January 31, 2011 compared to the same periods a year ago reflect the benefits of the efficiency improvements which were implemented in the prior year and the different mix of programs on which the Company is working in the fiscal year 2011 periods. Of the Company’s three segments, the FEI-NY segment experienced the greatest gross margin rate improvement. The gross margin rate recorded in the fiscal year 2011 periods approach the Company’s targeted rate. The Company anticipates that its gross margin rates for the remainder of fiscal year 2011 will be comparable to the current periods and will show an improvement over the prior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Nine months</w:t>
            </w:r>
          </w:p>
        </w:tc>
        <w:tc>
          <w:tcPr>
            <w:tcW w:w="1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Three months</w:t>
            </w: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2"/>
              </w:rPr>
              <w:t>Periods ended January 31,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8,380</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7,948</w:t>
            </w: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432</w:t>
            </w:r>
          </w:p>
        </w:tc>
        <w:tc>
          <w:tcPr>
            <w:tcW w:w="14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  $</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2,820</w:t>
            </w:r>
          </w:p>
        </w:tc>
        <w:tc>
          <w:tcPr>
            <w:tcW w:w="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2,608</w:t>
            </w:r>
          </w:p>
        </w:tc>
        <w:tc>
          <w:tcPr>
            <w:tcW w:w="78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83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nine and three months ended January 31, 2011, selling and administrative expenses were 22% of consolidated revenues. This is compared to 22% and 21%, respectively, for the same periods of fiscal year 2010. The increase in expenses for the nine and three months ended January 31, 2011 compared to the same periods of fiscal year 2010 is due primarily to increased deferred and incentive compensation expenses resulting from greater profitability and partially offset by a decrease in professional fee expenses. In the final quarter of fiscal year 2011, the Company expects selling and administrative expenses to be incurred at approximately the same rate in both dollars and as a percentage of revenues.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Nine months</w:t>
            </w:r>
          </w:p>
        </w:tc>
        <w:tc>
          <w:tcPr>
            <w:tcW w:w="1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w:t>
            </w:r>
          </w:p>
        </w:tc>
        <w:tc>
          <w:tcPr>
            <w:tcW w:w="1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w w:val="93"/>
              </w:rPr>
              <w:t>Periods ended January 31,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3,622</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3,954</w:t>
            </w:r>
          </w:p>
        </w:tc>
        <w:tc>
          <w:tcPr>
            <w:tcW w:w="8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(332)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1,233</w:t>
            </w:r>
          </w:p>
        </w:tc>
        <w:tc>
          <w:tcPr>
            <w:tcW w:w="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1,500</w:t>
            </w:r>
          </w:p>
        </w:tc>
        <w:tc>
          <w:tcPr>
            <w:tcW w:w="580" w:type="dxa"/>
            <w:vAlign w:val="bottom"/>
            <w:shd w:val="clear" w:color="auto" w:fill="CCFFCC"/>
          </w:tcPr>
          <w:p>
            <w:pPr>
              <w:jc w:val="right"/>
              <w:ind w:right="4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(267)</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Research and development expenditures represent investments intended to keep the Company’s products at the leading edge of time and frequency technology and enhance competitiveness for future revenues. Research and development spending for the nine and three month periods ended January 31, 2011 was 10% of revenues, respectively, compared to 11% and 12% of revenues for the same periods of fiscal year 2010, respectively. R&amp;D spending in fiscal year 2011 continued the development of new satellite payload products, a new family of frequency generators and converters, and new product introductions and improvements in the technology of the Company’s GPS-based wireless products and wireline synchronization equipment.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the last quarter of fiscal year 2011, the Company anticipates that internal research and development spending will be approximately 10% of revenues. Internally generated cash and cash reserves are adequate to fund these development efforts.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w w:val="91"/>
              </w:rPr>
              <w:t>Operating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Nine months</w:t>
            </w:r>
          </w:p>
        </w:tc>
        <w:tc>
          <w:tcPr>
            <w:tcW w:w="1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Three months</w:t>
            </w:r>
          </w:p>
        </w:tc>
        <w:tc>
          <w:tcPr>
            <w:tcW w:w="1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Periods ended January 31,</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1,215</w:t>
            </w:r>
          </w:p>
        </w:tc>
        <w:tc>
          <w:tcPr>
            <w:tcW w:w="5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1,182</w:t>
            </w:r>
          </w:p>
        </w:tc>
        <w:tc>
          <w:tcPr>
            <w:tcW w:w="2040" w:type="dxa"/>
            <w:vAlign w:val="bottom"/>
            <w:gridSpan w:val="3"/>
            <w:shd w:val="clear" w:color="auto" w:fill="CCFFCC"/>
          </w:tcPr>
          <w:p>
            <w:pPr>
              <w:jc w:val="right"/>
              <w:ind w:right="670"/>
              <w:spacing w:after="0"/>
              <w:rPr>
                <w:sz w:val="20"/>
                <w:szCs w:val="20"/>
                <w:color w:val="auto"/>
              </w:rPr>
            </w:pPr>
            <w:r>
              <w:rPr>
                <w:rFonts w:ascii="Arial" w:cs="Arial" w:eastAsia="Arial" w:hAnsi="Arial"/>
                <w:sz w:val="18"/>
                <w:szCs w:val="18"/>
                <w:color w:val="auto"/>
              </w:rPr>
              <w:t>97%  $</w:t>
            </w:r>
          </w:p>
        </w:tc>
        <w:tc>
          <w:tcPr>
            <w:tcW w:w="5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3"/>
              </w:rPr>
              <w:t>796</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w:t>
            </w:r>
          </w:p>
        </w:tc>
        <w:tc>
          <w:tcPr>
            <w:tcW w:w="78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482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154%</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Improved gross margins in the fiscal year 2011 periods enabled the Company to record increased operating profits for the nine and three month periods ended January 31, 2011, compared to the same periods of fiscal year 2010. The Company anticipates that at the current level of business and having implemented certain cost saving measures, it can sustain operating profits at this level. As the Company gains additional business through increased bookings on its current product lines and expands its product offerings through research and development efforts, operating income is expected to further improve. The Company anticipates that it will generate operating income for the full fiscal year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Nine months</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color w:val="auto"/>
                <w:w w:val="92"/>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620" w:type="dxa"/>
            <w:vAlign w:val="bottom"/>
            <w:shd w:val="clear" w:color="auto" w:fill="CCFFCC"/>
          </w:tcPr>
          <w:p>
            <w:pPr>
              <w:jc w:val="right"/>
              <w:ind w:right="46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269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w:t>
            </w:r>
          </w:p>
        </w:tc>
        <w:tc>
          <w:tcPr>
            <w:tcW w:w="12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( 58)</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Equity income (loss)</w:t>
            </w:r>
          </w:p>
        </w:tc>
        <w:tc>
          <w:tcPr>
            <w:tcW w:w="6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62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550</w:t>
            </w:r>
          </w:p>
        </w:tc>
        <w:tc>
          <w:tcPr>
            <w:tcW w:w="1240" w:type="dxa"/>
            <w:vAlign w:val="bottom"/>
            <w:tcBorders>
              <w:right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(91)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 net</w:t>
            </w:r>
          </w:p>
        </w:tc>
        <w:tc>
          <w:tcPr>
            <w:tcW w:w="62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3"/>
              </w:rPr>
              <w:t>(92)</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(207)</w:t>
            </w:r>
          </w:p>
        </w:tc>
        <w:tc>
          <w:tcPr>
            <w:tcW w:w="4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w:t>
            </w:r>
          </w:p>
        </w:tc>
        <w:tc>
          <w:tcPr>
            <w:tcW w:w="12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Pr>
          <w:p>
            <w:pPr>
              <w:spacing w:after="0"/>
              <w:rPr>
                <w:sz w:val="2"/>
                <w:szCs w:val="2"/>
                <w:color w:val="auto"/>
              </w:rPr>
            </w:pPr>
          </w:p>
        </w:tc>
        <w:tc>
          <w:tcPr>
            <w:tcW w:w="180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FFCC"/>
            </w:tcBorders>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right"/>
              <w:ind w:right="46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( 611)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718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3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bl>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securities. In the current low interest rate environment, earnings on fixed income securities have been significantly reduced. During the nine and three months ended January 31, 2011, the Company redeemed marketable securities which resulted in realized losses of approximately $48,000 and $20,000, respectively. In the same periods of fiscal year 2010, the Company had a realized loss of $7,000.</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Equity income (loss) in the fiscal year 2011 and 2010 periods represent the Company’s share of the quarterly income or loss recorded by Elcom Technologies in which the Company owns a 25% interest. In addition, during the nine and three month periods ended January 31, 2010, the Company measured the current market value of Elcom based on comparisons to comparable companies as well as Elcom’s forecasts of future financial results and determined that its investment was impaired. Consequently, the Company recorded impairment charges in the amount of $550,000 and $350,000, respectively, in addition to its equity share in Elcom’s quarterly results.</w:t>
      </w:r>
    </w:p>
    <w:p>
      <w:pPr>
        <w:spacing w:after="0" w:line="21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decrease in interest expense for the nine months ended January 31, 2011 compared to the same period of fiscal year 2010 is due to repayment of a line of credit during the second quarter of fiscal year 2010 and reduced lease obligations in the fiscal year 2011 periods.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expenses in the fiscal year 2011 periods consisted primarily of charges on certain financial instruments and foreign currency exchange losses at the Company’s overseas subsidiaries. In the same nine and three month periods ended January 31, 2010 the Company also recorded certain royalty expenses which have not been incurred during fiscal year 2011 to-date.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8"/>
          </w:tcPr>
          <w:p>
            <w:pPr>
              <w:spacing w:after="0"/>
              <w:rPr>
                <w:sz w:val="20"/>
                <w:szCs w:val="20"/>
                <w:color w:val="auto"/>
              </w:rPr>
            </w:pPr>
            <w:r>
              <w:rPr>
                <w:rFonts w:ascii="Arial" w:cs="Arial" w:eastAsia="Arial" w:hAnsi="Arial"/>
                <w:sz w:val="18"/>
                <w:szCs w:val="18"/>
                <w:b w:val="1"/>
                <w:bCs w:val="1"/>
                <w:color w:val="auto"/>
              </w:rPr>
              <w:t>Income Tax Provision (Benefit)</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Nine months</w:t>
            </w:r>
          </w:p>
        </w:tc>
        <w:tc>
          <w:tcPr>
            <w:tcW w:w="1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Three months</w:t>
            </w:r>
          </w:p>
        </w:tc>
        <w:tc>
          <w:tcPr>
            <w:tcW w:w="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color w:val="auto"/>
                <w:w w:val="92"/>
              </w:rPr>
              <w:t>Periods ended January 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1,160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(1,970)</w:t>
            </w:r>
          </w:p>
        </w:tc>
        <w:tc>
          <w:tcPr>
            <w:tcW w:w="620" w:type="dxa"/>
            <w:vAlign w:val="bottom"/>
            <w:shd w:val="clear" w:color="auto" w:fill="CCFFCC"/>
          </w:tcPr>
          <w:p>
            <w:pPr>
              <w:jc w:val="right"/>
              <w:ind w:right="4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3,130</w:t>
            </w:r>
          </w:p>
        </w:tc>
        <w:tc>
          <w:tcPr>
            <w:tcW w:w="1380" w:type="dxa"/>
            <w:vAlign w:val="bottom"/>
            <w:gridSpan w:val="3"/>
            <w:shd w:val="clear" w:color="auto" w:fill="CCFFCC"/>
          </w:tcPr>
          <w:p>
            <w:pPr>
              <w:ind w:left="740"/>
              <w:spacing w:after="0"/>
              <w:rPr>
                <w:sz w:val="20"/>
                <w:szCs w:val="20"/>
                <w:color w:val="auto"/>
              </w:rPr>
            </w:pPr>
            <w:r>
              <w:rPr>
                <w:rFonts w:ascii="Arial" w:cs="Arial" w:eastAsia="Arial" w:hAnsi="Arial"/>
                <w:sz w:val="18"/>
                <w:szCs w:val="18"/>
                <w:color w:val="auto"/>
              </w:rPr>
              <w:t>NM $</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(1,970)</w:t>
            </w:r>
          </w:p>
        </w:tc>
        <w:tc>
          <w:tcPr>
            <w:tcW w:w="76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2,310</w:t>
            </w:r>
          </w:p>
        </w:tc>
        <w:tc>
          <w:tcPr>
            <w:tcW w:w="1780" w:type="dxa"/>
            <w:vAlign w:val="bottom"/>
            <w:shd w:val="clear" w:color="auto" w:fill="CCFFCC"/>
          </w:tcPr>
          <w:p>
            <w:pPr>
              <w:ind w:left="1500"/>
              <w:spacing w:after="0"/>
              <w:rPr>
                <w:sz w:val="20"/>
                <w:szCs w:val="20"/>
                <w:color w:val="auto"/>
              </w:rPr>
            </w:pPr>
            <w:r>
              <w:rPr>
                <w:rFonts w:ascii="Arial" w:cs="Arial" w:eastAsia="Arial" w:hAnsi="Arial"/>
                <w:sz w:val="18"/>
                <w:szCs w:val="18"/>
                <w:color w:val="auto"/>
                <w:w w:val="92"/>
              </w:rPr>
              <w:t>NM</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difference from a normally expected effective tax rate. For the nine and three months ended January 31, 2011, the deferred tax asset valuation allowance increased by approximately $400,000 to $8.5 million. In future periods, the valuation allowance may be reduced if the Company’s current positive earnings are sufficient to offset past losses for purposes of predicting future utilization of deferred tax assets.</w:t>
      </w:r>
    </w:p>
    <w:p>
      <w:pPr>
        <w:spacing w:after="0" w:line="22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first half of fiscal year 2010, the Company expected to carryforward a portion of the tax loss incurred in the previous fiscal year. Consequently, the Company did not expect to incur any current tax expense even though it recorded pretax income for both financial reporting and tax purposes. During the Company’s third quarter, in November 2009, Congress changed the tax code enabling companies to carry back tax losses up to five years rather than two years. Consequently, the Company’s U.S. corporate tax return, filed in January 2010, claimed full benefit for the loss incurred in fiscal year 2009 and received a tax refund during fiscal year 2010. In the second half of fiscal year 2010, the Company recorded an additional tax benefit due to the change in tax law but also recorded a tax provision on that year’s earnings since the prior year tax loss had been fully utilized.</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2010, the Company’s European subsidiaries had available net operating loss carryforwards of approximately $1.3 million, which will offset future taxable income. The domestic U.S. tax loss carryforward for state income tax purposes is approximately $8.4 million in New York and $2.3 million in California.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Nine months</w:t>
            </w:r>
          </w:p>
        </w:tc>
        <w:tc>
          <w:tcPr>
            <w:tcW w:w="1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Three months</w:t>
            </w:r>
          </w:p>
        </w:tc>
        <w:tc>
          <w:tcPr>
            <w:tcW w:w="1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Periods ended January 31,</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2,574</w:t>
            </w:r>
          </w:p>
        </w:tc>
        <w:tc>
          <w:tcPr>
            <w:tcW w:w="7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(1,230)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3"/>
              </w:rPr>
              <w:t>508</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2,049</w:t>
            </w: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(1,541)</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for the nine and three months ended January 31, 2011 decreased from that reported in the same periods of fiscal year 2010 solely as a result of the large income tax benefit recorded during the third quarter of fiscal year 2010. (See above.) Fiscal year 2011 pretax income improved significantly due to higher gross margins and improved operating profits. In addition, as discussed above, in the fiscal year 2010 periods, the Company recorded non-cash impairment charge against its investment in Elcom in the amount of $550,000 and $350,000, respectively. Such charges have not been incurred in fiscal year 2011 to date. The Company expects to realize improved gross and operating margins in the fourth quarter of fiscal year 2011 and anticipates that it will report a profit for the full year. However, comparisons of net income to the prior year will be inconsistent due to the change in tax law as discussed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$56 million at January 31, 2011, compared to working capital of $53 million at April 30, 2010. Included in working capital at January 31, 2011 is $22.0 million of cash, cash equivalents and marketable securities. The Company’s current ratio at January 31, 2011 is 9.1 to 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nine months ended January 31, 2011, the Company had positive cash flow from operating activities of $2.0 million compared to $3.1 million provided by operations in the comparable fiscal year 2010 period. The primary sources of cash in the fiscal year 2011 period were profitable operations and the collection of accounts receivable offset by increases in inventory. During the fiscal year 2011 period, the Company incurred approximately $3.0 million of non-cash operating expenses, such as depreciation and amortization and accruals for employee benefit programs. These non-cash expenses are compared to $3.8 million of similar expenses in the prior year. For the balance of fiscal year 2011, the Company expects to generate positive cash flow from operating activities.</w:t>
      </w:r>
    </w:p>
    <w:p>
      <w:pPr>
        <w:spacing w:after="0" w:line="22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Net cash used in investing activities for the nine months ended January 31, 2011, was $4.3 million compared to $203,000 provided by such activity for the same period of fiscal year 2010. During the fiscal year 2011 period, marketable securities were redeemed in the amount of $3.0 million compared to $500,000 in such redemptions during the fiscal year 2010 period. During fiscal year 2011, the Company acquired additional marketable securities in the amount of $6.1 million compared to no additional marketable security acquisitions during fiscal year 2010. In fiscal 2010, the Company received $220,000 on repayment of a note from an affiliate. These cash inflows were offset by the acquisition of capital equipment in the amount of $1.1 million in fiscal year 2011 and $517,000 in fiscal year 2010. The Company may continue to acquire or sell marketable securities as dictated by its investment strategies as well as by the cash requirements for its development activities. Capital equipment purchases for all of fiscal year 2011 are expected to be less than $2.0 million. Internally generated cash is adequate to acquire this level of capital equipment.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for the nine months ended January 31, 2011, was $166,000 compared to $1.3 million during the comparable fiscal year 2010 period. The fiscal year 2011 activity consisted of payments against the Company’s capital lease obligation partially offset by cash received upon completion of a restricted stock transaction. During fiscal year 2010, the Company paid down its line of credit with a financial institution and made regular payments against its capital lease obligation.</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2011,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2011,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January 31, 2011, the Company's consolidated backlog is approximately $41 million. Approximately 75% of this backlog is expected to be realized in the next twelve months. Included in the backlog at January 31, 2011 is approximately $5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January 31, 2011, was in excess of $11 million. The Company expects these contracts to become fully funded over time and will be added to its backlog at that time.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2011,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disclosed in its Form 10-K for the year ended April 30, 2010, the Company has identified several material weaknesses in its internal control over financial reporting. While the Company did not conduct a full assessment of the effectiveness of internal controls over financial reporting at January 31, 2011, for the third quarter of fiscal year 2011, there were no substantial changes made to the Company’s internal control over financial reporting since management’s assessment of April 30, 2010, and therefore the weaknesses previously identified by management continued to exist at January 31, 2011. Please refer to the Company’s Annual Report on Form 10-K for the year ended April 30, 2010 for a more detailed discussion of the weaknesses previously identified by management.</w:t>
      </w:r>
    </w:p>
    <w:p>
      <w:pPr>
        <w:spacing w:after="0" w:line="22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January 31, 2011 to which this report relates that have materially affected, or are reasonably likely to materially affect, the Company’s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52" w:lineRule="exact"/>
        <w:rPr>
          <w:sz w:val="20"/>
          <w:szCs w:val="20"/>
          <w:color w:val="auto"/>
        </w:rPr>
      </w:pPr>
    </w:p>
    <w:p>
      <w:pPr>
        <w:ind w:left="1380" w:right="560" w:hanging="509"/>
        <w:spacing w:after="0" w:line="277" w:lineRule="auto"/>
        <w:rPr>
          <w:sz w:val="20"/>
          <w:szCs w:val="20"/>
          <w:color w:val="auto"/>
        </w:rPr>
      </w:pPr>
      <w:r>
        <w:rPr>
          <w:rFonts w:ascii="Arial" w:cs="Arial" w:eastAsia="Arial" w:hAnsi="Arial"/>
          <w:sz w:val="18"/>
          <w:szCs w:val="18"/>
          <w:color w:val="auto"/>
        </w:rPr>
        <w:t>31.1 - Certification by the Chief Executive Officer pursuant to Rule 13a-14(a) or 15d-14(a) under the Securities Exchange Act of 1934, as adopted pursuant to Section 302 of the Sarbanes-Oxley Act of 2002.</w:t>
      </w:r>
    </w:p>
    <w:p>
      <w:pPr>
        <w:spacing w:after="0" w:line="197" w:lineRule="exact"/>
        <w:rPr>
          <w:sz w:val="20"/>
          <w:szCs w:val="20"/>
          <w:color w:val="auto"/>
        </w:rPr>
      </w:pPr>
    </w:p>
    <w:p>
      <w:pPr>
        <w:ind w:left="1380" w:right="620" w:hanging="509"/>
        <w:spacing w:after="0" w:line="277" w:lineRule="auto"/>
        <w:rPr>
          <w:sz w:val="20"/>
          <w:szCs w:val="20"/>
          <w:color w:val="auto"/>
        </w:rPr>
      </w:pPr>
      <w:r>
        <w:rPr>
          <w:rFonts w:ascii="Arial" w:cs="Arial" w:eastAsia="Arial" w:hAnsi="Arial"/>
          <w:sz w:val="18"/>
          <w:szCs w:val="18"/>
          <w:color w:val="auto"/>
        </w:rPr>
        <w:t>31.2 - Certification by the Chief Financial Officer pursuant to Rule 13a-14(a) or 15d-14(a) under the Securities Exchange Act of 1934, as adopted pursuant to Section 302 of the Sarbanes-Oxley Act of 2002.</w:t>
      </w:r>
    </w:p>
    <w:p>
      <w:pPr>
        <w:spacing w:after="0" w:line="197" w:lineRule="exact"/>
        <w:rPr>
          <w:sz w:val="20"/>
          <w:szCs w:val="20"/>
          <w:color w:val="auto"/>
        </w:rPr>
      </w:pPr>
    </w:p>
    <w:p>
      <w:pPr>
        <w:ind w:left="1380" w:hanging="509"/>
        <w:spacing w:after="0" w:line="277" w:lineRule="auto"/>
        <w:rPr>
          <w:sz w:val="20"/>
          <w:szCs w:val="20"/>
          <w:color w:val="auto"/>
        </w:rPr>
      </w:pPr>
      <w:r>
        <w:rPr>
          <w:rFonts w:ascii="Arial" w:cs="Arial" w:eastAsia="Arial" w:hAnsi="Arial"/>
          <w:sz w:val="18"/>
          <w:szCs w:val="18"/>
          <w:color w:val="auto"/>
        </w:rPr>
        <w:t>32.1 - Certification by the Chief Executive Officer pursuant to 18 U.S.C. Section 1350, as adopted pursuant to Section 906 of the Sarbanes-Oxley Act of 2002.</w:t>
      </w:r>
    </w:p>
    <w:p>
      <w:pPr>
        <w:spacing w:after="0" w:line="197" w:lineRule="exact"/>
        <w:rPr>
          <w:sz w:val="20"/>
          <w:szCs w:val="20"/>
          <w:color w:val="auto"/>
        </w:rPr>
      </w:pPr>
    </w:p>
    <w:p>
      <w:pPr>
        <w:ind w:left="1380" w:right="60" w:hanging="509"/>
        <w:spacing w:after="0" w:line="277" w:lineRule="auto"/>
        <w:rPr>
          <w:sz w:val="20"/>
          <w:szCs w:val="20"/>
          <w:color w:val="auto"/>
        </w:rPr>
      </w:pPr>
      <w:r>
        <w:rPr>
          <w:rFonts w:ascii="Arial" w:cs="Arial" w:eastAsia="Arial" w:hAnsi="Arial"/>
          <w:sz w:val="18"/>
          <w:szCs w:val="18"/>
          <w:color w:val="auto"/>
        </w:rPr>
        <w:t>32.2 - Certification by the Chief Financial Officer pursuant to 18 U.S.C. Section 1350, as adopted pursuant to Section 906 of the Sarbanes-Oxley Act of 2002.</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ind w:right="-15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March 17,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Signing on behalf of the registrant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March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March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2011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March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2011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March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2019-12-10T01:07:03Z</dcterms:created>
  <dcterms:modified xsi:type="dcterms:W3CDTF">2019-12-10T01:07:03Z</dcterms:modified>
</cp:coreProperties>
</file>