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feim424b5072726.htm"/>
      <w:bookmarkStart w:id="1" w:name="ksfeim424b5072726"/>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The information contained in this preliminary prospectus supplement is not complete and may be changed. A registration statement relating to these securities has been filed with the Securities and Exchange Commission and is effective. This preliminary prospectus supplement is not an offer to sell these securities and it is not soliciting an offer to buy these securities in any jurisdiction where the offer or sale is not permitted. </w:t>
      </w:r>
    </w:p>
    <w:p>
      <w:pPr>
        <w:pStyle w:val="TextBody"/>
        <w:bidi w:val="0"/>
        <w:spacing w:lineRule="auto" w:line="276" w:before="0" w:after="0"/>
        <w:ind w:left="0" w:right="0" w:hanging="0"/>
        <w:jc w:val="both"/>
        <w:rPr>
          <w:caps w:val="false"/>
          <w:smallCaps w:val="false"/>
          <w:color w:val="FF0000"/>
        </w:rPr>
      </w:pPr>
      <w:r>
        <w:rPr>
          <w:caps w:val="false"/>
          <w:smallCaps w:val="false"/>
          <w:color w:val="FF0000"/>
        </w:rPr>
        <w:t> </w:t>
      </w:r>
    </w:p>
    <w:p>
      <w:pPr>
        <w:pStyle w:val="TextBody"/>
        <w:bidi w:val="0"/>
        <w:spacing w:lineRule="auto" w:line="276" w:before="0" w:after="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28, 2026</w:t>
      </w:r>
    </w:p>
    <w:p>
      <w:pPr>
        <w:pStyle w:val="TextBody"/>
        <w:bidi w:val="0"/>
        <w:spacing w:before="0" w:after="0"/>
        <w:ind w:left="960" w:right="96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PROSPECTUS DATED JULY 21, 2026) </w:t>
      </w:r>
    </w:p>
    <w:p>
      <w:pPr>
        <w:pStyle w:val="TextBody"/>
        <w:bidi w:val="0"/>
        <w:spacing w:before="0" w:after="0"/>
        <w:ind w:left="960" w:right="96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866775"/>
                    </a:xfrm>
                    <a:prstGeom prst="rect">
                      <a:avLst/>
                    </a:prstGeom>
                  </pic:spPr>
                </pic:pic>
              </a:graphicData>
            </a:graphic>
          </wp:inline>
        </w:drawing>
      </w:r>
    </w:p>
    <w:p>
      <w:pPr>
        <w:pStyle w:val="TextBody"/>
        <w:bidi w:val="0"/>
        <w:spacing w:before="0" w:after="0"/>
        <w:ind w:left="960" w:right="96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2"/>
        </w:rPr>
      </w:pPr>
      <w:r>
        <w:rPr>
          <w:rFonts w:ascii="Times New Roman;Times;Serif" w:hAnsi="Times New Roman;Times;Serif"/>
          <w:b/>
          <w:i w:val="false"/>
          <w:caps/>
          <w:sz w:val="32"/>
        </w:rPr>
        <w:t>FREQUENCY ELECTRONICS,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$100,000,000 of shares of our common stock, par value $1.00 per share (“common stock”). We are offering $62,500,000 of shares of common stock in this offering, and Edenbrook Value Fund, LP and Edenbrook Long Only Value Fund, LP, affiliates of Jonathan Brolin, a member of our board of directors, are offering a total of $37,500,000 of shares of common stock held by them in this offering as selling stockholders. See “Selling Stockholders” beginning on page S-9 for additional information regarding the selling stockholders. We will not receive any proceeds from the sale of the shares of common stock being offered by the selling stockholders.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Global Market (“Nasdaq”) under the symbol “FEIM.” On July 27, 2026, the last reported sale price of our common stock on Nasdaq was $70.64 per share.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that are described in the “Risk Factors” section beginning on page S-5 of this prospectus supplement and page 5 of the accompanying prospectus as well as in “Item 1A—Risk Factors” in our most recent report on Form 10-K that is incorporated by reference in this prospectus supplement.</w:t>
      </w:r>
    </w:p>
    <w:p>
      <w:pPr>
        <w:pStyle w:val="TextBody"/>
        <w:bidi w:val="0"/>
        <w:spacing w:before="0" w:after="0"/>
        <w:ind w:left="0" w:right="0" w:firstLine="490"/>
        <w:jc w:val="left"/>
        <w:rPr>
          <w:caps w:val="false"/>
          <w:smallCaps w:val="false"/>
        </w:rPr>
      </w:pPr>
      <w:r>
        <w:rPr>
          <w:caps w:val="false"/>
          <w:smallCaps w:val="false"/>
        </w:rPr>
        <w:t> </w:t>
      </w:r>
    </w:p>
    <w:tbl>
      <w:tblPr>
        <w:tblW w:w="6719" w:type="dxa"/>
        <w:jc w:val="left"/>
        <w:tblInd w:w="0" w:type="dxa"/>
        <w:tblLayout w:type="fixed"/>
        <w:tblCellMar>
          <w:top w:w="0" w:type="dxa"/>
          <w:left w:w="0" w:type="dxa"/>
          <w:bottom w:w="0" w:type="dxa"/>
          <w:right w:w="0" w:type="dxa"/>
        </w:tblCellMar>
      </w:tblPr>
      <w:tblGrid>
        <w:gridCol w:w="5150"/>
        <w:gridCol w:w="60"/>
        <w:gridCol w:w="197"/>
        <w:gridCol w:w="423"/>
        <w:gridCol w:w="60"/>
        <w:gridCol w:w="60"/>
        <w:gridCol w:w="193"/>
        <w:gridCol w:w="501"/>
        <w:gridCol w:w="75"/>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r>
              <w:rPr>
                <w:b/>
                <w:position w:val="7"/>
                <w:sz w:val="16"/>
                <w:sz w:val="20"/>
              </w:rPr>
              <w:t>(1)</w:t>
            </w:r>
          </w:p>
        </w:tc>
        <w:tc>
          <w:tcPr>
            <w:tcW w:w="75" w:type="dxa"/>
            <w:tcBorders/>
            <w:vAlign w:val="center"/>
          </w:tcPr>
          <w:p>
            <w:pPr>
              <w:pStyle w:val="TableContents"/>
              <w:bidi w:val="0"/>
              <w:spacing w:before="0" w:after="283"/>
              <w:ind w:left="0" w:right="0" w:hanging="240"/>
              <w:jc w:val="left"/>
              <w:rPr/>
            </w:pPr>
            <w:r>
              <w:rPr/>
              <w:t> </w:t>
            </w:r>
          </w:p>
        </w:tc>
      </w:tr>
      <w:tr>
        <w:trPr/>
        <w:tc>
          <w:tcPr>
            <w:tcW w:w="5150" w:type="dxa"/>
            <w:tcBorders/>
            <w:shd w:fill="CCEEFF" w:val="clear"/>
            <w:vAlign w:val="center"/>
          </w:tcPr>
          <w:p>
            <w:pPr>
              <w:pStyle w:val="TableContents"/>
              <w:bidi w:val="0"/>
              <w:spacing w:before="0" w:after="283"/>
              <w:jc w:val="left"/>
              <w:rPr/>
            </w:pPr>
            <w:r>
              <w:rPr/>
              <w:t xml:space="preserve">Public offering price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5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Underwriting discounts and commissions</w:t>
            </w:r>
            <w:r>
              <w:rPr>
                <w:position w:val="7"/>
                <w:sz w:val="16"/>
                <w:sz w:val="20"/>
              </w:rPr>
              <w:t>(2)</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4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5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5150" w:type="dxa"/>
            <w:tcBorders/>
            <w:shd w:fill="CCEEFF" w:val="clear"/>
            <w:vAlign w:val="center"/>
          </w:tcPr>
          <w:p>
            <w:pPr>
              <w:pStyle w:val="TableContents"/>
              <w:bidi w:val="0"/>
              <w:spacing w:before="0" w:after="283"/>
              <w:jc w:val="left"/>
              <w:rPr/>
            </w:pPr>
            <w:r>
              <w:rPr/>
              <w:t xml:space="preserve">Proceeds, before expenses, to us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5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5150" w:type="dxa"/>
            <w:tcBorders/>
            <w:shd w:fill="FFFFFF" w:val="clear"/>
            <w:vAlign w:val="center"/>
          </w:tcPr>
          <w:p>
            <w:pPr>
              <w:pStyle w:val="TableContents"/>
              <w:bidi w:val="0"/>
              <w:spacing w:before="0" w:after="283"/>
              <w:jc w:val="left"/>
              <w:rPr/>
            </w:pPr>
            <w:r>
              <w:rPr/>
              <w:t xml:space="preserve">Proceeds, before expenses, to the selling stockholders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4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5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9453" w:type="dxa"/>
        <w:jc w:val="left"/>
        <w:tblInd w:w="0" w:type="dxa"/>
        <w:tblLayout w:type="fixed"/>
        <w:tblCellMar>
          <w:top w:w="0" w:type="dxa"/>
          <w:left w:w="0" w:type="dxa"/>
          <w:bottom w:w="0" w:type="dxa"/>
          <w:right w:w="0" w:type="dxa"/>
        </w:tblCellMar>
      </w:tblPr>
      <w:tblGrid>
        <w:gridCol w:w="38"/>
        <w:gridCol w:w="29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125" w:type="dxa"/>
            <w:tcBorders/>
            <w:vAlign w:val="center"/>
          </w:tcPr>
          <w:p>
            <w:pPr>
              <w:pStyle w:val="TableContents"/>
              <w:bidi w:val="0"/>
              <w:spacing w:before="0" w:after="283"/>
              <w:jc w:val="both"/>
              <w:rPr/>
            </w:pPr>
            <w:r>
              <w:rPr/>
              <w:t>Assumes no exercise of the underwriters’ option to purchase additional shares of common stock.</w:t>
            </w:r>
          </w:p>
        </w:tc>
      </w:tr>
    </w:tbl>
    <w:tbl>
      <w:tblPr>
        <w:tblW w:w="8493" w:type="dxa"/>
        <w:jc w:val="left"/>
        <w:tblInd w:w="0" w:type="dxa"/>
        <w:tblLayout w:type="fixed"/>
        <w:tblCellMar>
          <w:top w:w="0" w:type="dxa"/>
          <w:left w:w="0" w:type="dxa"/>
          <w:bottom w:w="0" w:type="dxa"/>
          <w:right w:w="0" w:type="dxa"/>
        </w:tblCellMar>
      </w:tblPr>
      <w:tblGrid>
        <w:gridCol w:w="38"/>
        <w:gridCol w:w="29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spacing w:before="0" w:after="283"/>
              <w:jc w:val="both"/>
              <w:rPr/>
            </w:pPr>
            <w:r>
              <w:rPr/>
              <w:t>See “Underwriting” for a description of the compensation payable to the underwriters.</w:t>
            </w:r>
          </w:p>
        </w:tc>
      </w:tr>
    </w:tbl>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 30-day option to purchase up to $15,000,000 of additional shares of common stock from us at the public offering price, less underwriting discounts and commissions, and on the same terms and conditions as set forth above.</w:t>
      </w:r>
    </w:p>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expected to be delivered to purchasers on or about                 , 2026.</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670"/>
        <w:gridCol w:w="1445"/>
      </w:tblGrid>
      <w:tr>
        <w:trPr/>
        <w:tc>
          <w:tcPr>
            <w:tcW w:w="1670" w:type="dxa"/>
            <w:tcBorders/>
            <w:vAlign w:val="center"/>
          </w:tcPr>
          <w:p>
            <w:pPr>
              <w:pStyle w:val="TableContents"/>
              <w:bidi w:val="0"/>
              <w:spacing w:before="0" w:after="283"/>
              <w:jc w:val="center"/>
              <w:rPr>
                <w:b/>
                <w:sz w:val="24"/>
              </w:rPr>
            </w:pPr>
            <w:r>
              <w:rPr>
                <w:b/>
                <w:sz w:val="24"/>
              </w:rPr>
              <w:t>Morgan Stanley</w:t>
            </w:r>
          </w:p>
        </w:tc>
        <w:tc>
          <w:tcPr>
            <w:tcW w:w="1445" w:type="dxa"/>
            <w:tcBorders/>
            <w:vAlign w:val="center"/>
          </w:tcPr>
          <w:p>
            <w:pPr>
              <w:pStyle w:val="TableContents"/>
              <w:bidi w:val="0"/>
              <w:spacing w:before="0" w:after="283"/>
              <w:jc w:val="center"/>
              <w:rPr>
                <w:b/>
                <w:sz w:val="24"/>
              </w:rPr>
            </w:pPr>
            <w:r>
              <w:rPr>
                <w:b/>
                <w:sz w:val="24"/>
              </w:rPr>
              <w:t>Craig-Hallum</w:t>
            </w:r>
          </w:p>
        </w:tc>
      </w:tr>
    </w:tbl>
    <w:p>
      <w:pPr>
        <w:pStyle w:val="TextBody"/>
        <w:bidi w:val="0"/>
        <w:spacing w:before="0" w:after="0"/>
        <w:ind w:left="960" w:right="96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supplement is                   ,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toc"/>
      <w:bookmarkEnd w:id="2"/>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9650"/>
        <w:gridCol w:w="60"/>
        <w:gridCol w:w="485"/>
      </w:tblGrid>
      <w:tr>
        <w:trPr/>
        <w:tc>
          <w:tcPr>
            <w:tcW w:w="9650" w:type="dxa"/>
            <w:tcBorders/>
            <w:vAlign w:val="center"/>
          </w:tcPr>
          <w:p>
            <w:pPr>
              <w:pStyle w:val="TableContents"/>
              <w:bidi w:val="0"/>
              <w:spacing w:before="0" w:after="283"/>
              <w:ind w:left="0" w:right="0" w:hanging="240"/>
              <w:jc w:val="left"/>
              <w:rPr/>
            </w:pPr>
            <w:hyperlink w:anchor="via_001">
              <w:r>
                <w:rPr>
                  <w:rStyle w:val="InternetLink"/>
                </w:rPr>
                <w:t xml:space="preserve">ABOUT THIS PROSPECTUS SUPPLEMENT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w:t>
            </w:r>
          </w:p>
        </w:tc>
      </w:tr>
      <w:tr>
        <w:trPr/>
        <w:tc>
          <w:tcPr>
            <w:tcW w:w="9650" w:type="dxa"/>
            <w:tcBorders/>
            <w:vAlign w:val="center"/>
          </w:tcPr>
          <w:p>
            <w:pPr>
              <w:pStyle w:val="TableContents"/>
              <w:bidi w:val="0"/>
              <w:spacing w:before="0" w:after="283"/>
              <w:jc w:val="left"/>
              <w:rPr/>
            </w:pPr>
            <w:hyperlink w:anchor="via_002">
              <w:r>
                <w:rPr>
                  <w:rStyle w:val="InternetLink"/>
                </w:rPr>
                <w:t xml:space="preserve">SUMMARY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w:t>
            </w:r>
          </w:p>
        </w:tc>
      </w:tr>
      <w:tr>
        <w:trPr/>
        <w:tc>
          <w:tcPr>
            <w:tcW w:w="9650" w:type="dxa"/>
            <w:tcBorders/>
            <w:vAlign w:val="center"/>
          </w:tcPr>
          <w:p>
            <w:pPr>
              <w:pStyle w:val="TableContents"/>
              <w:bidi w:val="0"/>
              <w:spacing w:before="0" w:after="283"/>
              <w:jc w:val="left"/>
              <w:rPr/>
            </w:pPr>
            <w:hyperlink w:anchor="via_003">
              <w:r>
                <w:rPr>
                  <w:rStyle w:val="InternetLink"/>
                </w:rPr>
                <w:t xml:space="preserve">THE OFFERING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S-3</w:t>
            </w:r>
          </w:p>
        </w:tc>
      </w:tr>
      <w:tr>
        <w:trPr/>
        <w:tc>
          <w:tcPr>
            <w:tcW w:w="9650" w:type="dxa"/>
            <w:tcBorders/>
            <w:vAlign w:val="center"/>
          </w:tcPr>
          <w:p>
            <w:pPr>
              <w:pStyle w:val="TableContents"/>
              <w:bidi w:val="0"/>
              <w:spacing w:before="0" w:after="283"/>
              <w:jc w:val="left"/>
              <w:rPr/>
            </w:pPr>
            <w:hyperlink w:anchor="via_004">
              <w:r>
                <w:rPr>
                  <w:rStyle w:val="InternetLink"/>
                </w:rPr>
                <w:t xml:space="preserve">FORWARD-LOOKING STATEMENTS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S-4</w:t>
            </w:r>
          </w:p>
        </w:tc>
      </w:tr>
      <w:tr>
        <w:trPr/>
        <w:tc>
          <w:tcPr>
            <w:tcW w:w="9650" w:type="dxa"/>
            <w:tcBorders/>
            <w:vAlign w:val="center"/>
          </w:tcPr>
          <w:p>
            <w:pPr>
              <w:pStyle w:val="TableContents"/>
              <w:bidi w:val="0"/>
              <w:spacing w:before="0" w:after="283"/>
              <w:jc w:val="left"/>
              <w:rPr/>
            </w:pPr>
            <w:hyperlink w:anchor="via_005">
              <w:r>
                <w:rPr>
                  <w:rStyle w:val="InternetLink"/>
                </w:rPr>
                <w:t xml:space="preserve">RISK FACTORS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S-5</w:t>
            </w:r>
          </w:p>
        </w:tc>
      </w:tr>
      <w:tr>
        <w:trPr/>
        <w:tc>
          <w:tcPr>
            <w:tcW w:w="9650" w:type="dxa"/>
            <w:tcBorders/>
            <w:vAlign w:val="center"/>
          </w:tcPr>
          <w:p>
            <w:pPr>
              <w:pStyle w:val="TableContents"/>
              <w:bidi w:val="0"/>
              <w:spacing w:before="0" w:after="283"/>
              <w:jc w:val="left"/>
              <w:rPr/>
            </w:pPr>
            <w:hyperlink w:anchor="via_006">
              <w:r>
                <w:rPr>
                  <w:rStyle w:val="InternetLink"/>
                </w:rPr>
                <w:t xml:space="preserve">USE OF PROCEEDS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S-7</w:t>
            </w:r>
          </w:p>
        </w:tc>
      </w:tr>
      <w:tr>
        <w:trPr/>
        <w:tc>
          <w:tcPr>
            <w:tcW w:w="9650" w:type="dxa"/>
            <w:tcBorders/>
            <w:vAlign w:val="center"/>
          </w:tcPr>
          <w:p>
            <w:pPr>
              <w:pStyle w:val="TableContents"/>
              <w:bidi w:val="0"/>
              <w:spacing w:before="0" w:after="283"/>
              <w:jc w:val="left"/>
              <w:rPr/>
            </w:pPr>
            <w:hyperlink w:anchor="via_007">
              <w:r>
                <w:rPr>
                  <w:rStyle w:val="InternetLink"/>
                </w:rPr>
                <w:t xml:space="preserve">CAPITALIZATION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S-8</w:t>
            </w:r>
          </w:p>
        </w:tc>
      </w:tr>
      <w:tr>
        <w:trPr/>
        <w:tc>
          <w:tcPr>
            <w:tcW w:w="9650" w:type="dxa"/>
            <w:tcBorders/>
            <w:vAlign w:val="center"/>
          </w:tcPr>
          <w:p>
            <w:pPr>
              <w:pStyle w:val="TableContents"/>
              <w:bidi w:val="0"/>
              <w:spacing w:before="0" w:after="283"/>
              <w:jc w:val="left"/>
              <w:rPr/>
            </w:pPr>
            <w:hyperlink w:anchor="via_008">
              <w:r>
                <w:rPr>
                  <w:rStyle w:val="InternetLink"/>
                </w:rPr>
                <w:t xml:space="preserve">SELLING STOCKHOLDERS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S-9</w:t>
            </w:r>
          </w:p>
        </w:tc>
      </w:tr>
      <w:tr>
        <w:trPr/>
        <w:tc>
          <w:tcPr>
            <w:tcW w:w="9650" w:type="dxa"/>
            <w:tcBorders/>
            <w:vAlign w:val="center"/>
          </w:tcPr>
          <w:p>
            <w:pPr>
              <w:pStyle w:val="TableContents"/>
              <w:bidi w:val="0"/>
              <w:spacing w:before="0" w:after="283"/>
              <w:jc w:val="left"/>
              <w:rPr/>
            </w:pPr>
            <w:hyperlink w:anchor="via_009">
              <w:r>
                <w:rPr>
                  <w:rStyle w:val="InternetLink"/>
                </w:rPr>
                <w:t xml:space="preserve">MATERIAL U.S. FEDERAL INCOME TAX CONSIDERATIONS FOR NON-U.S. HOLDERS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S-10</w:t>
            </w:r>
          </w:p>
        </w:tc>
      </w:tr>
      <w:tr>
        <w:trPr/>
        <w:tc>
          <w:tcPr>
            <w:tcW w:w="9650" w:type="dxa"/>
            <w:tcBorders/>
            <w:vAlign w:val="center"/>
          </w:tcPr>
          <w:p>
            <w:pPr>
              <w:pStyle w:val="TableContents"/>
              <w:bidi w:val="0"/>
              <w:spacing w:before="0" w:after="283"/>
              <w:jc w:val="left"/>
              <w:rPr/>
            </w:pPr>
            <w:hyperlink w:anchor="via_010">
              <w:r>
                <w:rPr>
                  <w:rStyle w:val="InternetLink"/>
                </w:rPr>
                <w:t xml:space="preserve">UNDERWRITING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S-14</w:t>
            </w:r>
          </w:p>
        </w:tc>
      </w:tr>
      <w:tr>
        <w:trPr/>
        <w:tc>
          <w:tcPr>
            <w:tcW w:w="9650" w:type="dxa"/>
            <w:tcBorders/>
            <w:vAlign w:val="center"/>
          </w:tcPr>
          <w:p>
            <w:pPr>
              <w:pStyle w:val="TableContents"/>
              <w:bidi w:val="0"/>
              <w:spacing w:before="0" w:after="283"/>
              <w:jc w:val="left"/>
              <w:rPr/>
            </w:pPr>
            <w:hyperlink w:anchor="via_011">
              <w:r>
                <w:rPr>
                  <w:rStyle w:val="InternetLink"/>
                </w:rPr>
                <w:t xml:space="preserve">LEGAL MATTERS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S-21</w:t>
            </w:r>
          </w:p>
        </w:tc>
      </w:tr>
      <w:tr>
        <w:trPr/>
        <w:tc>
          <w:tcPr>
            <w:tcW w:w="9650" w:type="dxa"/>
            <w:tcBorders/>
            <w:vAlign w:val="center"/>
          </w:tcPr>
          <w:p>
            <w:pPr>
              <w:pStyle w:val="TableContents"/>
              <w:bidi w:val="0"/>
              <w:spacing w:before="0" w:after="283"/>
              <w:jc w:val="left"/>
              <w:rPr/>
            </w:pPr>
            <w:hyperlink w:anchor="via_012">
              <w:r>
                <w:rPr>
                  <w:rStyle w:val="InternetLink"/>
                </w:rPr>
                <w:t xml:space="preserve">EXPERTS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S-21</w:t>
            </w:r>
          </w:p>
        </w:tc>
      </w:tr>
      <w:tr>
        <w:trPr/>
        <w:tc>
          <w:tcPr>
            <w:tcW w:w="9650" w:type="dxa"/>
            <w:tcBorders/>
            <w:vAlign w:val="center"/>
          </w:tcPr>
          <w:p>
            <w:pPr>
              <w:pStyle w:val="TableContents"/>
              <w:bidi w:val="0"/>
              <w:spacing w:before="0" w:after="283"/>
              <w:jc w:val="left"/>
              <w:rPr/>
            </w:pPr>
            <w:hyperlink w:anchor="via_013">
              <w:r>
                <w:rPr>
                  <w:rStyle w:val="InternetLink"/>
                </w:rPr>
                <w:t xml:space="preserve">INCORPORATION OF CERTAIN DOCUMENTS BY REFERENCE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S-22</w:t>
            </w:r>
          </w:p>
        </w:tc>
      </w:tr>
      <w:tr>
        <w:trPr/>
        <w:tc>
          <w:tcPr>
            <w:tcW w:w="9650" w:type="dxa"/>
            <w:tcBorders/>
            <w:vAlign w:val="center"/>
          </w:tcPr>
          <w:p>
            <w:pPr>
              <w:pStyle w:val="TableContents"/>
              <w:bidi w:val="0"/>
              <w:spacing w:before="0" w:after="283"/>
              <w:jc w:val="left"/>
              <w:rPr/>
            </w:pPr>
            <w:hyperlink w:anchor="via_014">
              <w:r>
                <w:rPr>
                  <w:rStyle w:val="InternetLink"/>
                </w:rPr>
                <w:t xml:space="preserve">WHERE YOU CAN FIND MORE INFORMATION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S-23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245"/>
        <w:gridCol w:w="60"/>
        <w:gridCol w:w="27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w:t>
            </w:r>
          </w:p>
        </w:tc>
      </w:tr>
      <w:tr>
        <w:trPr/>
        <w:tc>
          <w:tcPr>
            <w:tcW w:w="6245" w:type="dxa"/>
            <w:tcBorders/>
            <w:vAlign w:val="center"/>
          </w:tcPr>
          <w:p>
            <w:pPr>
              <w:pStyle w:val="TableContents"/>
              <w:bidi w:val="0"/>
              <w:spacing w:before="0" w:after="283"/>
              <w:jc w:val="left"/>
              <w:rPr/>
            </w:pPr>
            <w:hyperlink w:anchor="a_002">
              <w:r>
                <w:rPr>
                  <w:rStyle w:val="InternetLink"/>
                  <w:sz w:val="20"/>
                </w:rPr>
                <w:t>INCORPORATION OF CERTAIN DOCUMENTS BY REFERENCE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2</w:t>
            </w:r>
          </w:p>
        </w:tc>
      </w:tr>
      <w:tr>
        <w:trPr/>
        <w:tc>
          <w:tcPr>
            <w:tcW w:w="6245" w:type="dxa"/>
            <w:tcBorders/>
            <w:vAlign w:val="center"/>
          </w:tcPr>
          <w:p>
            <w:pPr>
              <w:pStyle w:val="TableContents"/>
              <w:bidi w:val="0"/>
              <w:spacing w:before="0" w:after="283"/>
              <w:jc w:val="left"/>
              <w:rPr/>
            </w:pPr>
            <w:hyperlink w:anchor="a_003">
              <w:r>
                <w:rPr>
                  <w:rStyle w:val="InternetLink"/>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4">
              <w:r>
                <w:rPr>
                  <w:rStyle w:val="InternetLink"/>
                  <w:sz w:val="20"/>
                </w:rPr>
                <w:t>CAUTIONARY NOTE REGARDING FORWARD-LOOKING STATEMENTS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5">
              <w:r>
                <w:rPr>
                  <w:rStyle w:val="InternetLink"/>
                  <w:sz w:val="20"/>
                </w:rPr>
                <w:t>OUR COMPANY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4</w:t>
            </w:r>
          </w:p>
        </w:tc>
      </w:tr>
      <w:tr>
        <w:trPr/>
        <w:tc>
          <w:tcPr>
            <w:tcW w:w="6245" w:type="dxa"/>
            <w:tcBorders/>
            <w:vAlign w:val="center"/>
          </w:tcPr>
          <w:p>
            <w:pPr>
              <w:pStyle w:val="TableContents"/>
              <w:bidi w:val="0"/>
              <w:spacing w:before="0" w:after="283"/>
              <w:jc w:val="left"/>
              <w:rPr/>
            </w:pPr>
            <w:hyperlink w:anchor="a_006">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7">
              <w:r>
                <w:rPr>
                  <w:rStyle w:val="InternetLink"/>
                  <w:sz w:val="20"/>
                </w:rPr>
                <w:t>USE OF PROCEEDS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SECURITIES</w:t>
              </w:r>
            </w:hyperlink>
            <w:r>
              <w:rPr>
                <w:sz w:val="20"/>
              </w:rPr>
              <w:t xml:space="preserve">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CAPITAL STOCK</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6</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WARRANTS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9</w:t>
            </w:r>
          </w:p>
        </w:tc>
      </w:tr>
      <w:tr>
        <w:trPr/>
        <w:tc>
          <w:tcPr>
            <w:tcW w:w="6245" w:type="dxa"/>
            <w:tcBorders/>
            <w:vAlign w:val="center"/>
          </w:tcPr>
          <w:p>
            <w:pPr>
              <w:pStyle w:val="TableContents"/>
              <w:bidi w:val="0"/>
              <w:spacing w:before="0" w:after="283"/>
              <w:jc w:val="left"/>
              <w:rPr/>
            </w:pPr>
            <w:hyperlink w:anchor="a_011">
              <w:r>
                <w:rPr>
                  <w:rStyle w:val="InternetLink"/>
                  <w:sz w:val="20"/>
                </w:rPr>
                <w:t>SELLING STOCKHOLDERS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10</w:t>
            </w:r>
          </w:p>
        </w:tc>
      </w:tr>
      <w:tr>
        <w:trPr/>
        <w:tc>
          <w:tcPr>
            <w:tcW w:w="6245" w:type="dxa"/>
            <w:tcBorders/>
            <w:vAlign w:val="center"/>
          </w:tcPr>
          <w:p>
            <w:pPr>
              <w:pStyle w:val="TableContents"/>
              <w:bidi w:val="0"/>
              <w:spacing w:before="0" w:after="283"/>
              <w:jc w:val="left"/>
              <w:rPr/>
            </w:pPr>
            <w:hyperlink w:anchor="a_012">
              <w:r>
                <w:rPr>
                  <w:rStyle w:val="InternetLink"/>
                  <w:sz w:val="20"/>
                </w:rPr>
                <w:t>PLAN OF DISTRIBUTION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11</w:t>
            </w:r>
          </w:p>
        </w:tc>
      </w:tr>
      <w:tr>
        <w:trPr/>
        <w:tc>
          <w:tcPr>
            <w:tcW w:w="6245" w:type="dxa"/>
            <w:tcBorders/>
            <w:vAlign w:val="center"/>
          </w:tcPr>
          <w:p>
            <w:pPr>
              <w:pStyle w:val="TableContents"/>
              <w:bidi w:val="0"/>
              <w:spacing w:before="0" w:after="283"/>
              <w:jc w:val="left"/>
              <w:rPr/>
            </w:pPr>
            <w:hyperlink w:anchor="a_013">
              <w:r>
                <w:rPr>
                  <w:rStyle w:val="InternetLink"/>
                  <w:sz w:val="20"/>
                </w:rPr>
                <w:t>LEGAL MATTERS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r>
        <w:trPr/>
        <w:tc>
          <w:tcPr>
            <w:tcW w:w="6245" w:type="dxa"/>
            <w:tcBorders/>
            <w:vAlign w:val="center"/>
          </w:tcPr>
          <w:p>
            <w:pPr>
              <w:pStyle w:val="TableContents"/>
              <w:bidi w:val="0"/>
              <w:spacing w:before="0" w:after="283"/>
              <w:jc w:val="left"/>
              <w:rPr/>
            </w:pPr>
            <w:hyperlink w:anchor="a_014">
              <w:r>
                <w:rPr>
                  <w:rStyle w:val="InternetLink"/>
                  <w:sz w:val="20"/>
                </w:rPr>
                <w:t>EXPERTS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ia_001"/>
      <w:bookmarkEnd w:id="3"/>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supplement, the accompanying prospectus or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the accompanying prospectus or any other subsequently filed document that is also incorporated by reference herein or therein modifies or supersedes that statement. Any statement so modified or superseded will not be deemed, except as so modified or superseded, to constitute a part of this prospectus supplement. Before buying any shares of common stock offered by us or the selling stockholders, you should read both this prospectus supplement and the accompanying prospectus together with the additional information described below under the heading “Incorporation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supplement forms a part. This prospectus supplement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we, the selling stockholders nor the underwriters have authorized anyone to provide you with additional or different information. We, the selling stockholders and the underwriters take no responsibility for, and can provide no assurance as to the reliability of, any other information that others may give you. We and the selling stockholders are offering to sell shares of our common stock, and seeking offers to buy shares of our common stock, only in jurisdictions where offers and sales are permitted. You should not assume that the information contained in this prospectus supplement, the accompanying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selling stockholders and the underwriters are not making an offer of our common stock in any jurisdiction where the offer is not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may contain trademarks, trade names and service marks of Frequency Electronics and other entities. All trademarks, service marks and trade names referred to in this prospectus supplement, the accompanying prospectus and the documents incorporated by reference herein and therein are the property of their respective owners. We do not intend our use or display of third parties’ trademarks, service marks or trade names in this prospectus supplement, the accompanying prospectus and the documents incorporated by reference herein and therein to imply, and such use or display should not be construed to imply, a relationship with, or endorsement or sponsorship by us of, these third parties. Solely for convenience, the trademarks, trade names and service marks referred to in this prospectus supplement, the accompanying prospectus and the documents incorporated by reference herein and therein may appear without the ® or TM symbols, but such references are not intended to indicate that we will not, or the applicable owner will not, assert, to the fullest extent permitted under applicable law, its rights to such trademarks, trade names and service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4" w:name="via_002"/>
      <w:bookmarkEnd w:id="4"/>
      <w:r>
        <w:rPr>
          <w:rFonts w:ascii="Times New Roman;Times;Serif" w:hAnsi="Times New Roman;Times;Serif"/>
          <w:b/>
          <w:i w:val="false"/>
          <w:caps w:val="false"/>
          <w:smallCaps w:val="false"/>
          <w:sz w:val="20"/>
          <w:bdr w:val="single" w:sz="8" w:space="5" w:color="000000"/>
        </w:rPr>
        <w:t xml:space="preserve">SUMMARY </w:t>
      </w:r>
    </w:p>
    <w:p>
      <w:pPr>
        <w:pStyle w:val="TextBody"/>
        <w:bidi w:val="0"/>
        <w:spacing w:before="0" w:after="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This summary highlights information contained elsewhere in this prospectus supplement and the accompanying prospectus and the documents incorporated by reference herein. It does not contain all of the information that you should consider before making an investment decision. You should read this entire prospectus supplement, the accompanying prospectus and the documents incorporated herein by reference, including the sections titled “Risk Factors”, “Forward-Looking Statements” and our consolidated financial statements, including the notes thereto, for a more complete understanding of our business and this offering, as well as the material tax and other considerations that may be important to you in making your investment decision. </w:t>
      </w:r>
    </w:p>
    <w:p>
      <w:pPr>
        <w:pStyle w:val="TextBody"/>
        <w:bidi w:val="0"/>
        <w:spacing w:before="0" w:after="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Unless otherwise indicated or as the context otherwise requires, as used in this prospectus supplement, the words “Frequency Electronics,” the “Company,” “we,” “us” and “our” refer to Frequency Electronics, Inc. and its subsidiaries, and all references to the “accompanying prospectus” are to the accompanying prospectus, dated July 21, 2026. Terms used in this prospectus supplement that are otherwise not defined will have the meanings given to them in the accompanying prospectus.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Our Company </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Our Corporate Information</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Frequency Electronics has its principal executive office at 55 Charles Lindbergh Blvd., Mitchel Field, New York 11553. Its telephone number is 516-794-4500, and its website is www.frequencyelectronics.com. The information contained on, or otherwise accessible through, our website is not incorporated into, and does not constitute a part of this prospectus supplement, the accompanying prospectus or any other report or document we file with or furnish to the Securities and Exchange Commission (the “Commission”).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5" w:name="via_003"/>
      <w:bookmarkEnd w:id="5"/>
      <w:r>
        <w:rPr>
          <w:rFonts w:ascii="Times New Roman;Times;Serif" w:hAnsi="Times New Roman;Times;Serif"/>
          <w:b/>
          <w:i w:val="false"/>
          <w:caps w:val="false"/>
          <w:smallCaps w:val="false"/>
          <w:sz w:val="20"/>
          <w:bdr w:val="single" w:sz="8" w:space="5" w:color="000000"/>
        </w:rPr>
        <w:t xml:space="preserve">THE OFFERING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961"/>
        <w:gridCol w:w="8244"/>
      </w:tblGrid>
      <w:tr>
        <w:trPr/>
        <w:tc>
          <w:tcPr>
            <w:tcW w:w="1961" w:type="dxa"/>
            <w:tcBorders/>
            <w:vAlign w:val="center"/>
          </w:tcPr>
          <w:p>
            <w:pPr>
              <w:pStyle w:val="TableContents"/>
              <w:bidi w:val="0"/>
              <w:spacing w:before="0" w:after="283"/>
              <w:ind w:left="0" w:right="0" w:hanging="180"/>
              <w:jc w:val="left"/>
              <w:rPr>
                <w:b/>
              </w:rPr>
            </w:pPr>
            <w:r>
              <w:rPr>
                <w:b/>
              </w:rPr>
              <w:t>Issuer:</w:t>
            </w:r>
          </w:p>
        </w:tc>
        <w:tc>
          <w:tcPr>
            <w:tcW w:w="8244" w:type="dxa"/>
            <w:tcBorders/>
            <w:vAlign w:val="center"/>
          </w:tcPr>
          <w:p>
            <w:pPr>
              <w:pStyle w:val="TableContents"/>
              <w:bidi w:val="0"/>
              <w:spacing w:before="0" w:after="283"/>
              <w:ind w:left="0" w:right="0" w:hanging="180"/>
              <w:jc w:val="left"/>
              <w:rPr/>
            </w:pPr>
            <w:r>
              <w:rPr/>
              <w:t>Frequency Electronics, Inc.</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Common stock offered by us:</w:t>
            </w:r>
          </w:p>
        </w:tc>
        <w:tc>
          <w:tcPr>
            <w:tcW w:w="8244" w:type="dxa"/>
            <w:tcBorders/>
            <w:vAlign w:val="center"/>
          </w:tcPr>
          <w:p>
            <w:pPr>
              <w:pStyle w:val="TableContents"/>
              <w:bidi w:val="0"/>
              <w:spacing w:before="0" w:after="283"/>
              <w:ind w:left="0" w:right="0" w:hanging="180"/>
              <w:jc w:val="left"/>
              <w:rPr/>
            </w:pPr>
            <w:r>
              <w:rPr/>
              <w:t xml:space="preserve">$62,500,000 of shares of our common stock (or $77,500,000 of shares of our common stock if the underwriters exercise their option to purchase additional shares of common stock in full). </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Selling Stockholders:</w:t>
            </w:r>
          </w:p>
        </w:tc>
        <w:tc>
          <w:tcPr>
            <w:tcW w:w="8244" w:type="dxa"/>
            <w:tcBorders/>
            <w:vAlign w:val="center"/>
          </w:tcPr>
          <w:p>
            <w:pPr>
              <w:pStyle w:val="TableContents"/>
              <w:bidi w:val="0"/>
              <w:spacing w:before="0" w:after="283"/>
              <w:ind w:left="0" w:right="0" w:hanging="180"/>
              <w:jc w:val="left"/>
              <w:rPr/>
            </w:pPr>
            <w:r>
              <w:rPr/>
              <w:t>Edenbrook Value Fund, LP and Edenbrook Long Only Value Fund, LP</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Common stock offered by the selling stockholders:</w:t>
            </w:r>
          </w:p>
        </w:tc>
        <w:tc>
          <w:tcPr>
            <w:tcW w:w="8244" w:type="dxa"/>
            <w:tcBorders/>
            <w:vAlign w:val="center"/>
          </w:tcPr>
          <w:p>
            <w:pPr>
              <w:pStyle w:val="TableContents"/>
              <w:bidi w:val="0"/>
              <w:spacing w:before="0" w:after="283"/>
              <w:ind w:left="0" w:right="0" w:hanging="180"/>
              <w:jc w:val="left"/>
              <w:rPr/>
            </w:pPr>
            <w:r>
              <w:rPr/>
              <w:t>$37,500,000 of shares of our common stock.</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 xml:space="preserve">Common stock to be outstanding immediately after the offering: </w:t>
            </w:r>
          </w:p>
        </w:tc>
        <w:tc>
          <w:tcPr>
            <w:tcW w:w="8244" w:type="dxa"/>
            <w:tcBorders/>
            <w:vAlign w:val="center"/>
          </w:tcPr>
          <w:p>
            <w:pPr>
              <w:pStyle w:val="TableContents"/>
              <w:bidi w:val="0"/>
              <w:spacing w:before="0" w:after="283"/>
              <w:ind w:left="0" w:right="0" w:hanging="180"/>
              <w:jc w:val="left"/>
              <w:rPr/>
            </w:pPr>
            <w:r>
              <w:rPr/>
              <w:t xml:space="preserve">10,753,634 shares (or 10,965,979 shares of our common stock if the underwriters exercise their option to purchase additional shares in full), in each case based on an assumed public offering price of $70.64 per share, which was the last reported sales price of our common stock on Nasdaq on July 27, 2026. </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Option to purchase additional shares:</w:t>
            </w:r>
          </w:p>
        </w:tc>
        <w:tc>
          <w:tcPr>
            <w:tcW w:w="8244" w:type="dxa"/>
            <w:tcBorders/>
            <w:vAlign w:val="center"/>
          </w:tcPr>
          <w:p>
            <w:pPr>
              <w:pStyle w:val="TableContents"/>
              <w:bidi w:val="0"/>
              <w:spacing w:before="0" w:after="283"/>
              <w:ind w:left="0" w:right="0" w:hanging="180"/>
              <w:jc w:val="left"/>
              <w:rPr/>
            </w:pPr>
            <w:r>
              <w:rPr/>
              <w:t xml:space="preserve">We have granted the underwriters an option for a period of 30 days after the date of this prospectus supplement to purchase up to $15,000,000 of additional shares of common stock from us at the public offering price, less underwriting discounts and commissions. </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Use of proceeds:</w:t>
            </w:r>
          </w:p>
        </w:tc>
        <w:tc>
          <w:tcPr>
            <w:tcW w:w="8244" w:type="dxa"/>
            <w:tcBorders/>
            <w:vAlign w:val="center"/>
          </w:tcPr>
          <w:p>
            <w:pPr>
              <w:pStyle w:val="TableContents"/>
              <w:bidi w:val="0"/>
              <w:spacing w:before="0" w:after="283"/>
              <w:ind w:left="0" w:right="0" w:hanging="180"/>
              <w:jc w:val="left"/>
              <w:rPr/>
            </w:pPr>
            <w:r>
              <w:rPr/>
              <w:t>We estimate that our net proceeds from this offering will be approximately $         million, or $         million if the underwriters exercise their option to purchase additional shares in full, after deducting underwriting discounts and commissions and estimated offering expenses payable by us. We intend to use the net proceeds we receive from this offering to fund additional growth opportunities, including for capital expenditures, working capital and other general corporate purposes. We will not receive any proceeds from the sale of the shares of common stock being offered by the selling stockholders. See “Use of Proceeds” for additional information.</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Risk factors:</w:t>
            </w:r>
          </w:p>
        </w:tc>
        <w:tc>
          <w:tcPr>
            <w:tcW w:w="8244" w:type="dxa"/>
            <w:tcBorders/>
            <w:vAlign w:val="center"/>
          </w:tcPr>
          <w:p>
            <w:pPr>
              <w:pStyle w:val="TableContents"/>
              <w:bidi w:val="0"/>
              <w:spacing w:before="0" w:after="283"/>
              <w:ind w:left="0" w:right="0" w:hanging="180"/>
              <w:jc w:val="left"/>
              <w:rPr/>
            </w:pPr>
            <w:r>
              <w:rPr/>
              <w:t xml:space="preserve">Investing in our common stock involves significant risk. You should read the “Risk Factors” section of this prospectus supplement, the accompanying prospectus and documents incorporated by reference herein or therein for a discussion of factors that you should carefully consider before deciding to purchase our common stock.          </w:t>
            </w:r>
          </w:p>
        </w:tc>
      </w:tr>
      <w:tr>
        <w:trPr/>
        <w:tc>
          <w:tcPr>
            <w:tcW w:w="1961" w:type="dxa"/>
            <w:tcBorders/>
            <w:vAlign w:val="center"/>
          </w:tcPr>
          <w:p>
            <w:pPr>
              <w:pStyle w:val="TableContents"/>
              <w:bidi w:val="0"/>
              <w:spacing w:before="0" w:after="283"/>
              <w:jc w:val="left"/>
              <w:rPr/>
            </w:pPr>
            <w:r>
              <w:rPr/>
              <w:t> </w:t>
            </w:r>
          </w:p>
        </w:tc>
        <w:tc>
          <w:tcPr>
            <w:tcW w:w="8244" w:type="dxa"/>
            <w:tcBorders/>
            <w:vAlign w:val="center"/>
          </w:tcPr>
          <w:p>
            <w:pPr>
              <w:pStyle w:val="TableContents"/>
              <w:bidi w:val="0"/>
              <w:spacing w:before="0" w:after="283"/>
              <w:ind w:left="0" w:right="0" w:hanging="180"/>
              <w:jc w:val="left"/>
              <w:rPr/>
            </w:pPr>
            <w:r>
              <w:rPr/>
              <w:t> </w:t>
            </w:r>
          </w:p>
        </w:tc>
      </w:tr>
      <w:tr>
        <w:trPr/>
        <w:tc>
          <w:tcPr>
            <w:tcW w:w="1961" w:type="dxa"/>
            <w:tcBorders/>
            <w:vAlign w:val="center"/>
          </w:tcPr>
          <w:p>
            <w:pPr>
              <w:pStyle w:val="TableContents"/>
              <w:bidi w:val="0"/>
              <w:spacing w:before="0" w:after="283"/>
              <w:jc w:val="left"/>
              <w:rPr>
                <w:b/>
              </w:rPr>
            </w:pPr>
            <w:r>
              <w:rPr>
                <w:b/>
              </w:rPr>
              <w:t>Nasdaq symbol:</w:t>
            </w:r>
          </w:p>
        </w:tc>
        <w:tc>
          <w:tcPr>
            <w:tcW w:w="8244" w:type="dxa"/>
            <w:tcBorders/>
            <w:vAlign w:val="center"/>
          </w:tcPr>
          <w:p>
            <w:pPr>
              <w:pStyle w:val="TableContents"/>
              <w:bidi w:val="0"/>
              <w:spacing w:before="0" w:after="283"/>
              <w:jc w:val="left"/>
              <w:rPr/>
            </w:pPr>
            <w:r>
              <w:rPr/>
              <w:t xml:space="preserve">Our common stock is traded on Nasdaq under the symbol “FEIM.” </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this prospectus supplement, unless otherwise indicated, the number of shares of common stock outstanding after this offering is based on 9,868,867 shares of common stock outstanding as of April 30, 2026, and excludes, in each case, as of such date: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436,148 shares of common stock issuable upon the vesting or settlement of outstanding restricted stock units and performance stock units under the Frequency Electronics, Inc. 2025 Stock Award Plan (the “2025 Plan”); and</w:t>
            </w:r>
          </w:p>
        </w:tc>
      </w:tr>
    </w:tbl>
    <w:p>
      <w:pPr>
        <w:pStyle w:val="TextBody"/>
        <w:bidi w:val="0"/>
        <w:jc w:val="left"/>
        <w:rPr>
          <w:bdr w:val="single" w:sz="8" w:space="5" w:color="000000"/>
        </w:rPr>
      </w:pPr>
      <w:r>
        <w:rPr>
          <w:bdr w:val="single" w:sz="8" w:space="5" w:color="000000"/>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left"/>
              <w:rPr/>
            </w:pPr>
            <w:r>
              <w:rPr/>
              <w:t>1,269,186 shares of common stock remaining available for future issuance under the 2025 Plan.</w:t>
            </w:r>
          </w:p>
        </w:tc>
      </w:tr>
    </w:tbl>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contained in this prospectus supplement assumes:</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left"/>
              <w:rPr/>
            </w:pPr>
            <w:r>
              <w:rPr/>
              <w:t>no vesting of the outstanding restricted stock units and performance stock units described above; and</w:t>
            </w:r>
          </w:p>
        </w:tc>
      </w:tr>
    </w:tbl>
    <w:p>
      <w:pPr>
        <w:pStyle w:val="TextBody"/>
        <w:bidi w:val="0"/>
        <w:jc w:val="left"/>
        <w:rPr>
          <w:bdr w:val="single" w:sz="8" w:space="5" w:color="000000"/>
        </w:rPr>
      </w:pPr>
      <w:r>
        <w:rPr>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no exercise by the underwriters of their option to purchase up to $15,000,000 of additional shares of common stock from us.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6" w:name="via_004"/>
      <w:bookmarkEnd w:id="6"/>
      <w:r>
        <w:rPr>
          <w:rFonts w:ascii="Times New Roman;Times;Serif" w:hAnsi="Times New Roman;Times;Serif"/>
          <w:b/>
          <w:i w:val="false"/>
          <w:caps w:val="false"/>
          <w:smallCaps w:val="false"/>
          <w:sz w:val="20"/>
          <w:bdr w:val="single" w:sz="8" w:space="5" w:color="000000"/>
        </w:rPr>
        <w:t xml:space="preserve">FORWARD-LOOKING STATEMENTS </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Certain statements made in this prospectus supplement, the accompanying prospectus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Securities Exchange Act of 1934, as amended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2026, incorporated herein by reference.</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Readers are cautioned not to place undue reliance on these forward-looking statements. The forward-looking statements included herein are made only as of the date of this prospectus supplement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via_005"/>
      <w:bookmarkEnd w:id="7"/>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common stock involves substantial risks. Before purchasing our common stock, you should carefully consider the risk factors discussed below, as well as the risk factors discussed in our Annual Report on Form 10-K for the fiscal year ended April 30, 2026, which are incorporated by reference into this prospectus supplement, as such may be updated and supplemented by our subsequent Commission filings, as well as the risks, uncertainties and additional information set forth in future Commission filings that are deemed incorporated by reference herein. Each of the risks described could result in a material decrease in the value of our common stock and your investment in our common stock. The risks and uncertainties we discuss below and in documents incorporated by reference are those that we currently believe may materially affect our Company. Additional risks not presently known, or currently deemed immaterial, also could materially and adversely affect our financial condition or performance.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may continue to be volatile.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has been, and may continue to be, volatile and subject to wide fluctuations in response to various factors, many of which we cannot control.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will experience immediate and substantial dilution in the net tangible book value per share of the common stock you purchase.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share of our common stock to be sold in this offering is substantially higher than the net tangible book value per share of our common stock, which on April 30, 2026, was approximately $5.69 per share. Therefore, if you purchase shares of our common stock in this offering, you will pay a price per share that substantially exceeds our net tangible book value per share after this offering and suffer immediate and substantial dilution in the net tangible book value of the common stock you purchase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ownership interests because of the future issuance of additional shares of our common stock or other securities that are convertible into or exercisable or exchangeable for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our authorized but previously unissued equity securities, resulting in the dilution of the ownership interests of our stockholders. We are authorized to issue an aggregate of 20,000,000 shares of common stock and 600,000 shares of preferred stock. We may issue additional shares of our common stock or other securities that are convertible into or exercisable or exchangeable for our common stock in connection with future acquisitions, future sales of our securities for capital raising purposes, or for general corporate purposes. We cannot predict the effect that future sales of common stock or other equity-related securities would have on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April 30, 2026, we had outstanding equity awards, consisting of restricted stock units and performance stock units, under the 2025 Plan. The issuance of shares upon the vesting or settlement of awards under the 2025 Plan will dilute the ownership interests of existing stockholders and may adversely affect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issuance of additional shares of our common stock, or the perception in the market that we may issue additional shares of our common stock or other equity-related securities, may create downward pressure on the trading price of our common stock. We may need to raise additional capital in the future to meet our working capital needs, and there can be no assurance that we will not be required to issue additional shares of our common stock or other securities that are convertible into or exercisable or exchangeable for our common stock in the future in conjunction with these capital raising efforts, including at a price below the price you paid for your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stockholders sell shares of our common stock, our common stock price could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our common stock in the public market by our existing stockholders, including the selling stockholders in this offering, or the perception that such sales could occur, could harm the prevailing market price of our common stock. These sales, or the perception that these sales could occur, also might make it more difficult for us to sell equity securities in the future at a time and at a price that we deem appropriate. As of April 30, 2026, we had a total of 9,868,867 shares of common stock outstanding, approximately 1,873,810 of which were beneficially held by the selling stockholders, who are our affiliates. We, the selling stockholders and all of our directors and executive officers have agreed that, for a period of 60 days after the date of this prospectus supplement, we and they will not, without the prior written consent of Morgan Stanley &amp; Co. LLC, dispose of any shares of our common stock or any securities convertible into or exercisable or exchangeable for our common stock, subject to certain exceptions and excluding any shares to be sold in this offering. See “Underwriting.” Following the expiration of the lock-up period, all or substantially all of our issued and outstanding shares of common stock will be eligible for sale, subject to applicable volume, manner of sale, holding period and other limitations of Rule 144 for affiliates. Morgan Stanley &amp; Co. LLC may, in its sole discretion, release all or any portion of the shares subject to lock-up agreements at any time and for any reason.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for sale of a large number of shares of our common stock in the public market upon expiration of the lock-up agreements, or the early release of any lock-up agreements, could increase the potential for stock price volatility or cause the price of our common stock to decline. Even if we put strategies in place to attempt to address potential or actual volatility, the effectiveness of such strategies is uncertain.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in the use of the net proceeds from this offering and may not use them effectively.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received by us from this offering, including for any of the purposes described in the section titled “Use of Proceeds,” and could spend the net proceeds in ways that do not necessarily improve our results of operations or enhance the value of our common stock. Our failure to apply these funds effectively could have a material adverse effect on our business, financial condition, operating results and cash flow, and could cause the price of our common stock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press or analysts cease covering our common stock, publish negative research or reports about our business, or if they change their recommendations regarding our common stock adversely, the share price and trading volume of our common stock could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shares of our common stock may be influenced by the articles, research and reports that industry or securities analysts and press publish about us or our business. If one or more of the analysts who cover us downgrade our common stock, or if industry press publishes negative articles about our Company, the share price of our common stock would likely decline. If one or more of these analysts ceased coverage of our Company or failed to regularly publish reports on us, we could lose visibility in the financial markets, which in turn could cause our share price or trading volume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via_006"/>
      <w:bookmarkEnd w:id="8"/>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the sale by us of common stock in this offering will be approximately $   million (or $   million if the underwriters’ option to purchase additional shares is exercised in full), after deducting the underwriting discounts and commissions and estimated offering expenses payable by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fund additional growth opportunities, including for capital expenditures, working capital and other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being offered by the selling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via_007"/>
      <w:bookmarkEnd w:id="9"/>
      <w:r>
        <w:rPr>
          <w:rFonts w:ascii="Times New Roman;Times;Serif" w:hAnsi="Times New Roman;Times;Serif"/>
          <w:b/>
          <w:i w:val="false"/>
          <w:caps w:val="false"/>
          <w:smallCaps w:val="false"/>
          <w:sz w:val="20"/>
        </w:rPr>
        <w:t>CAPITALIZATION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April 30, 2026:</w:t>
      </w:r>
    </w:p>
    <w:p>
      <w:pPr>
        <w:pStyle w:val="TextBody"/>
        <w:bidi w:val="0"/>
        <w:spacing w:before="0" w:after="0"/>
        <w:ind w:left="990" w:right="0" w:hanging="367"/>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on an actual basis; and</w:t>
            </w:r>
          </w:p>
        </w:tc>
      </w:tr>
    </w:tbl>
    <w:p>
      <w:pPr>
        <w:pStyle w:val="TextBody"/>
        <w:bidi w:val="0"/>
        <w:spacing w:before="0" w:after="0"/>
        <w:ind w:left="990"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an as adjusted basis to reflect the issuance and sale of         shares of our common stock by us in this offering (assuming no exercise of the underwriters’ option to purchase additional shares) at the public offering price of $         per share, after deducting the underwriting discounts and commissions and estimated offering expenses payable by us.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our consolidated financial statements, including the notes thereto, incorporated by reference in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9"/>
        <w:gridCol w:w="60"/>
        <w:gridCol w:w="177"/>
        <w:gridCol w:w="865"/>
        <w:gridCol w:w="120"/>
        <w:gridCol w:w="76"/>
        <w:gridCol w:w="149"/>
        <w:gridCol w:w="1350"/>
        <w:gridCol w:w="79"/>
      </w:tblGrid>
      <w:tr>
        <w:trPr/>
        <w:tc>
          <w:tcPr>
            <w:tcW w:w="732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April 30, 2026</w:t>
            </w:r>
          </w:p>
        </w:tc>
        <w:tc>
          <w:tcPr>
            <w:tcW w:w="79" w:type="dxa"/>
            <w:tcBorders/>
            <w:vAlign w:val="center"/>
          </w:tcPr>
          <w:p>
            <w:pPr>
              <w:pStyle w:val="TableContents"/>
              <w:bidi w:val="0"/>
              <w:spacing w:before="0" w:after="283"/>
              <w:ind w:left="0" w:right="0" w:hanging="180"/>
              <w:jc w:val="left"/>
              <w:rPr/>
            </w:pPr>
            <w:r>
              <w:rPr/>
              <w:t> </w:t>
            </w:r>
          </w:p>
        </w:tc>
      </w:tr>
      <w:tr>
        <w:trPr/>
        <w:tc>
          <w:tcPr>
            <w:tcW w:w="7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79" w:type="dxa"/>
            <w:tcBorders/>
            <w:vAlign w:val="center"/>
          </w:tcPr>
          <w:p>
            <w:pPr>
              <w:pStyle w:val="TableContents"/>
              <w:bidi w:val="0"/>
              <w:spacing w:before="0" w:after="283"/>
              <w:ind w:left="0" w:right="0" w:hanging="180"/>
              <w:jc w:val="left"/>
              <w:rPr/>
            </w:pPr>
            <w:r>
              <w:rPr/>
              <w:t> </w:t>
            </w:r>
          </w:p>
        </w:tc>
      </w:tr>
      <w:tr>
        <w:trPr/>
        <w:tc>
          <w:tcPr>
            <w:tcW w:w="7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7" w:type="dxa"/>
            <w:gridSpan w:val="6"/>
            <w:tcBorders/>
            <w:vAlign w:val="center"/>
          </w:tcPr>
          <w:p>
            <w:pPr>
              <w:pStyle w:val="TableContents"/>
              <w:bidi w:val="0"/>
              <w:spacing w:before="0" w:after="283"/>
              <w:jc w:val="center"/>
              <w:rPr>
                <w:b/>
                <w:sz w:val="16"/>
              </w:rPr>
            </w:pPr>
            <w:r>
              <w:rPr>
                <w:b/>
                <w:sz w:val="16"/>
              </w:rPr>
              <w:t>U.S. dollars in thousands (except share data)</w:t>
            </w:r>
          </w:p>
        </w:tc>
        <w:tc>
          <w:tcPr>
            <w:tcW w:w="79" w:type="dxa"/>
            <w:tcBorders/>
            <w:vAlign w:val="center"/>
          </w:tcPr>
          <w:p>
            <w:pPr>
              <w:pStyle w:val="TableContents"/>
              <w:bidi w:val="0"/>
              <w:spacing w:before="0" w:after="283"/>
              <w:ind w:left="0" w:right="0" w:hanging="180"/>
              <w:jc w:val="left"/>
              <w:rPr/>
            </w:pPr>
            <w:r>
              <w:rPr/>
              <w:t> </w:t>
            </w:r>
          </w:p>
        </w:tc>
      </w:tr>
      <w:tr>
        <w:trPr/>
        <w:tc>
          <w:tcPr>
            <w:tcW w:w="732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1,603</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7329" w:type="dxa"/>
            <w:tcBorders/>
            <w:shd w:fill="FFFFFF" w:val="clear"/>
            <w:vAlign w:val="center"/>
          </w:tcPr>
          <w:p>
            <w:pPr>
              <w:pStyle w:val="TableContents"/>
              <w:bidi w:val="0"/>
              <w:spacing w:before="0" w:after="283"/>
              <w:jc w:val="left"/>
              <w:rPr/>
            </w:pPr>
            <w:r>
              <w:rPr/>
              <w:t>Total debt</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7329" w:type="dxa"/>
            <w:tcBorders/>
            <w:shd w:fill="CCEEFF" w:val="clear"/>
            <w:vAlign w:val="center"/>
          </w:tcPr>
          <w:p>
            <w:pPr>
              <w:pStyle w:val="TableContents"/>
              <w:bidi w:val="0"/>
              <w:spacing w:before="0" w:after="283"/>
              <w:jc w:val="left"/>
              <w:rPr/>
            </w:pPr>
            <w:r>
              <w:rPr/>
              <w:t>Preferred stock: $1.00 par value; 600,000 shares authorized; no shares issued and outstanding as of April 30, 2026</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7329" w:type="dxa"/>
            <w:tcBorders/>
            <w:shd w:fill="FFFFFF" w:val="clear"/>
            <w:vAlign w:val="center"/>
          </w:tcPr>
          <w:p>
            <w:pPr>
              <w:pStyle w:val="TableContents"/>
              <w:bidi w:val="0"/>
              <w:spacing w:before="0" w:after="283"/>
              <w:jc w:val="left"/>
              <w:rPr/>
            </w:pPr>
            <w:r>
              <w:rPr/>
              <w:t>Common stock: $1.00 par value; 20,000,000 shares authorized; 9,924,695 shares issued and 9,868,867 shares outstanding as of April 30, 2026</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9,925</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7329"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45,506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7329"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2,756</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7329" w:type="dxa"/>
            <w:tcBorders/>
            <w:shd w:fill="CCEEFF" w:val="clear"/>
            <w:vAlign w:val="center"/>
          </w:tcPr>
          <w:p>
            <w:pPr>
              <w:pStyle w:val="TableContents"/>
              <w:bidi w:val="0"/>
              <w:spacing w:before="0" w:after="283"/>
              <w:jc w:val="left"/>
              <w:rPr/>
            </w:pPr>
            <w:r>
              <w:rPr/>
              <w:t>Common stock reacquired and held in treasury, at cost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pPr>
            <w:r>
              <w:rPr/>
              <w:t>(1,784</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7329"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56,403</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7329" w:type="dxa"/>
            <w:tcBorders/>
            <w:shd w:fill="CCEEFF" w:val="clear"/>
            <w:vAlign w:val="center"/>
          </w:tcPr>
          <w:p>
            <w:pPr>
              <w:pStyle w:val="TableContents"/>
              <w:bidi w:val="0"/>
              <w:spacing w:before="0" w:after="283"/>
              <w:jc w:val="left"/>
              <w:rPr/>
            </w:pPr>
            <w:r>
              <w:rPr/>
              <w:t>Total capitalization</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56,403</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01"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On June 12, 2026, we entered into a three-year senior secured revolving credit facility providing for revolving commitments of up to $10.0 million, including up to $5.0 million available for the issuance of letters of credit. As of the date of this prospectus supplement, no borrowings were outstanding under the facility.</w:t>
            </w:r>
          </w:p>
        </w:tc>
      </w:tr>
    </w:tbl>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755" w:type="dxa"/>
            <w:tcBorders/>
            <w:vAlign w:val="center"/>
          </w:tcPr>
          <w:p>
            <w:pPr>
              <w:pStyle w:val="TableContents"/>
              <w:bidi w:val="0"/>
              <w:spacing w:before="0" w:after="283"/>
              <w:jc w:val="both"/>
              <w:rPr/>
            </w:pPr>
            <w:r>
              <w:rPr/>
              <w:t>Total capitalization consists of total debt plus total stockholders’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4"/>
          <w:sz w:val="20"/>
        </w:rPr>
      </w:pPr>
      <w:bookmarkStart w:id="10" w:name="via_008"/>
      <w:bookmarkEnd w:id="10"/>
      <w:r>
        <w:rPr>
          <w:rFonts w:ascii="Times New Roman;Times;Serif" w:hAnsi="Times New Roman;Times;Serif"/>
          <w:b/>
          <w:i w:val="false"/>
          <w:caps w:val="false"/>
          <w:smallCaps w:val="false"/>
          <w:spacing w:val="-4"/>
          <w:sz w:val="20"/>
        </w:rPr>
        <w:t>SELLING STOCKHOLDERS</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In addition to the shares of common stock being sold by us in this offering to which this prospectus supplement relates, this prospectus supplement also relates to the offer and sale by the selling stockholders identified below of a total of $37,500,000 of our issued and outstanding shares of common stock. </w:t>
      </w:r>
    </w:p>
    <w:p>
      <w:pPr>
        <w:pStyle w:val="TextBody"/>
        <w:bidi w:val="0"/>
        <w:spacing w:before="0" w:after="0"/>
        <w:ind w:left="0" w:right="0" w:firstLine="45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Unless otherwise indicated below, the following table is prepared based on information provided to us by the selling stockholders as of the date of this prospectus supplement. The table sets forth the name and address of the selling stockholders, the aggregate number of shares of common stock that the selling stockholders are offering in this offering, and the beneficial ownership of the selling stockholders both before and after this offering (assuming no exercise of the underwriters’ option to purchase additional shares from us and assuming full exercise of such option). Unless otherwise indicated below, we have based percentage ownership prior to this offering on 9,868,867 shares of common stock outstanding as of April 30, 2026.</w:t>
      </w:r>
    </w:p>
    <w:p>
      <w:pPr>
        <w:pStyle w:val="TextBody"/>
        <w:bidi w:val="0"/>
        <w:spacing w:before="0" w:after="0"/>
        <w:ind w:left="0" w:right="0" w:firstLine="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5"/>
        <w:gridCol w:w="60"/>
        <w:gridCol w:w="72"/>
        <w:gridCol w:w="1194"/>
        <w:gridCol w:w="72"/>
        <w:gridCol w:w="72"/>
        <w:gridCol w:w="72"/>
        <w:gridCol w:w="536"/>
        <w:gridCol w:w="215"/>
        <w:gridCol w:w="60"/>
        <w:gridCol w:w="167"/>
        <w:gridCol w:w="1185"/>
        <w:gridCol w:w="60"/>
        <w:gridCol w:w="60"/>
        <w:gridCol w:w="138"/>
        <w:gridCol w:w="741"/>
        <w:gridCol w:w="104"/>
        <w:gridCol w:w="104"/>
        <w:gridCol w:w="104"/>
        <w:gridCol w:w="748"/>
        <w:gridCol w:w="60"/>
        <w:gridCol w:w="60"/>
        <w:gridCol w:w="138"/>
        <w:gridCol w:w="741"/>
        <w:gridCol w:w="104"/>
        <w:gridCol w:w="104"/>
        <w:gridCol w:w="104"/>
        <w:gridCol w:w="748"/>
        <w:gridCol w:w="87"/>
      </w:tblGrid>
      <w:tr>
        <w:trPr/>
        <w:tc>
          <w:tcPr>
            <w:tcW w:w="2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Prior</w:t>
              <w:br/>
              <w:t>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center"/>
              <w:rPr>
                <w:b/>
              </w:rPr>
            </w:pPr>
            <w:r>
              <w:rPr>
                <w:b/>
              </w:rPr>
              <w:t>Number of</w:t>
              <w:br/>
              <w:t>Shares of Common</w:t>
              <w:br/>
              <w:t>Stock</w:t>
              <w:br/>
              <w:t>Offered</w:t>
              <w:b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After</w:t>
              <w:br/>
              <w:t>this Offering</w:t>
              <w:br/>
              <w:t>Assuming No</w:t>
              <w:br/>
              <w:t>Exercise of the</w:t>
              <w:br/>
              <w:t>Underwriters’</w:t>
              <w:br/>
              <w:t>Option to</w:t>
              <w:br/>
              <w:t>Purchase</w:t>
              <w:br/>
              <w:t>Additional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After this</w:t>
              <w:br/>
              <w:t>Offering Assuming</w:t>
              <w:br/>
              <w:t>Underwriters’</w:t>
              <w:br/>
              <w:t>Exercise of the</w:t>
              <w:br/>
              <w:t>Option to</w:t>
              <w:br/>
              <w:t>Purchase</w:t>
              <w:br/>
              <w:t>Additional</w:t>
              <w:br/>
              <w:t>Shares in Full</w:t>
            </w:r>
          </w:p>
        </w:tc>
        <w:tc>
          <w:tcPr>
            <w:tcW w:w="87" w:type="dxa"/>
            <w:tcBorders/>
            <w:vAlign w:val="center"/>
          </w:tcPr>
          <w:p>
            <w:pPr>
              <w:pStyle w:val="TableContents"/>
              <w:bidi w:val="0"/>
              <w:spacing w:before="0" w:after="283"/>
              <w:jc w:val="left"/>
              <w:rPr/>
            </w:pPr>
            <w:r>
              <w:rPr/>
              <w:t> </w:t>
            </w:r>
          </w:p>
        </w:tc>
      </w:tr>
      <w:tr>
        <w:trPr/>
        <w:tc>
          <w:tcPr>
            <w:tcW w:w="229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87" w:type="dxa"/>
            <w:tcBorders/>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spacing w:val="4"/>
              </w:rPr>
              <w:t>Edenbrook Value Fund, LP</w:t>
            </w:r>
            <w:r>
              <w:rPr/>
              <w:t xml:space="preserve"> </w:t>
            </w:r>
            <w:r>
              <w:rPr>
                <w:spacing w:val="3"/>
                <w:sz w:val="20"/>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271,504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295" w:type="dxa"/>
            <w:tcBorders/>
            <w:shd w:fill="FFFFFF" w:val="clear"/>
            <w:vAlign w:val="center"/>
          </w:tcPr>
          <w:p>
            <w:pPr>
              <w:pStyle w:val="TableContents"/>
              <w:bidi w:val="0"/>
              <w:spacing w:before="0" w:after="283"/>
              <w:jc w:val="left"/>
              <w:rPr/>
            </w:pPr>
            <w:r>
              <w:rPr>
                <w:spacing w:val="4"/>
              </w:rPr>
              <w:t>Edenbrook Long Only Value Fund, LP</w:t>
            </w:r>
            <w:r>
              <w:rPr/>
              <w:t xml:space="preserve"> </w:t>
            </w:r>
            <w:r>
              <w:rPr>
                <w:spacing w:val="3"/>
                <w:sz w:val="20"/>
              </w:rPr>
              <w:t>(2)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1,602,306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pPr>
            <w:r>
              <w:rPr/>
              <w:t>16.2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pacing w:val="4"/>
              </w:rPr>
            </w:pPr>
            <w:r>
              <w:rPr>
                <w:spacing w:val="4"/>
              </w:rPr>
              <w:t>(1)</w:t>
            </w:r>
          </w:p>
        </w:tc>
        <w:tc>
          <w:tcPr>
            <w:tcW w:w="9937" w:type="dxa"/>
            <w:tcBorders/>
            <w:vAlign w:val="center"/>
          </w:tcPr>
          <w:p>
            <w:pPr>
              <w:pStyle w:val="TableContents"/>
              <w:bidi w:val="0"/>
              <w:spacing w:before="0" w:after="283"/>
              <w:jc w:val="left"/>
              <w:rPr>
                <w:spacing w:val="4"/>
              </w:rPr>
            </w:pPr>
            <w:r>
              <w:rPr>
                <w:spacing w:val="4"/>
              </w:rPr>
              <w:t>Consists of shares of common stock held directly by Edenbrook Value Fund, LP, a private fund managed by Edenbrook Capital, LLC, which may be deemed to beneficially own such shares by virtue of its role as the investment manager of such private fund. In addition, Jonathan Brolin may be deemed to be a beneficial owner of such shares by virtue of his role as managing member of Edenbrook Capital, LLC. Jonathan Brolin has served as a member of our board of directors since November 2017. The address of each of the foregoing is 116 Radio Circle, Suite 202, Mount Kisco, New York, 10549.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pacing w:val="4"/>
              </w:rPr>
            </w:pPr>
            <w:r>
              <w:rPr>
                <w:spacing w:val="4"/>
              </w:rPr>
              <w:t>(2)</w:t>
            </w:r>
          </w:p>
        </w:tc>
        <w:tc>
          <w:tcPr>
            <w:tcW w:w="9937" w:type="dxa"/>
            <w:tcBorders/>
            <w:vAlign w:val="center"/>
          </w:tcPr>
          <w:p>
            <w:pPr>
              <w:pStyle w:val="TableContents"/>
              <w:bidi w:val="0"/>
              <w:spacing w:before="0" w:after="283"/>
              <w:jc w:val="left"/>
              <w:rPr>
                <w:spacing w:val="4"/>
              </w:rPr>
            </w:pPr>
            <w:r>
              <w:rPr>
                <w:spacing w:val="4"/>
              </w:rPr>
              <w:t>Consists of shares of common stock held directly by Edenbrook Long Only Value Fund, LP, a private fund managed by Edenbrook Capital, LLC, which may be deemed to beneficially own such shares by virtue of its role as the investment manager of such private fund. In addition, Jonathan Brolin may be deemed to be a beneficial owner of such shares by virtue of his role as managing member of Edenbrook Capital, LLC. Jonathan Brolin has served as a member of our board of directors since November 2017. The address of each of the foregoing is 116 Radio Circle, Suite 202, Mount Kisco, New York, 10549.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via_009"/>
      <w:bookmarkEnd w:id="11"/>
      <w:r>
        <w:rPr>
          <w:rFonts w:ascii="Times New Roman;Times;Serif" w:hAnsi="Times New Roman;Times;Serif"/>
          <w:b/>
          <w:i w:val="false"/>
          <w:caps w:val="false"/>
          <w:smallCaps w:val="false"/>
          <w:sz w:val="20"/>
        </w:rPr>
        <w:t xml:space="preserve">MATERIAL U.S. FEDERAL INCOME TAX CONSIDERATIONS FOR NON-U.S. HOLDERS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considerations with respect to the acquisition, ownership and disposition of shares of our common stock applicable to non-U.S. Holders (as defined below) that acquire such shares in this offering and hold such shares as a capital asset (generally, property held for investment) within the meaning of Section 1221 of the U.S. Internal Revenue Code of 1986, as amended (the “Code”). For purposes of this discussion, a “non-U.S. Holder” generally means a beneficial owner of our common stock that is not, for U.S. federal income tax purposes, a partnership (or other entity or arrangement treated as a partnership for U.S. federal income tax purposes) or any of the following:</w:t>
      </w:r>
    </w:p>
    <w:p>
      <w:pPr>
        <w:pStyle w:val="TextBody"/>
        <w:bidi w:val="0"/>
        <w:spacing w:before="0" w:after="0"/>
        <w:ind w:left="943" w:right="0" w:hanging="367"/>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943"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or other entity taxable as a corporation for U.S. federal income tax purposes, created or organized in or under the laws of the United States, any state thereof or the District of Columbia;</w:t>
            </w:r>
          </w:p>
        </w:tc>
      </w:tr>
    </w:tbl>
    <w:p>
      <w:pPr>
        <w:pStyle w:val="TextBody"/>
        <w:bidi w:val="0"/>
        <w:spacing w:before="0" w:after="0"/>
        <w:ind w:left="943" w:right="0" w:hanging="367"/>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943"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trust if (a) a court within the United States is able to exercise primary supervision over the administration of the trust and one or more U.S. persons have the authority to control all substantial decisions of the trust or (b) such trust has a valid election in effect under applicable U.S. Treasury regulations to be treated as a U.S. person for U.S. federal income tax purposes.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current provisions of the Code, final or temporary U.S. Treasury regulations promulgated or proposed thereunder (“Treasury Regulations”), judicial opinions, published positions of the Internal Revenue Service (the “IRS”), and other applicable authorities, each as of the date hereof and all of which are subject to differing interpretations or change (possibly with retroactive effect). Any such changes could affect the continuing accuracy of this discussion. This discussion does not constitute tax advice and does not address all aspects of U.S. federal income taxation that may be important to a particular non-U.S. Holder in light of that non-U.S. Holder’s individual circumstances, including Medicare taxes imposed on net investment income and the alternative minimum tax, nor does it address any aspect of U.S. federal estate, gift, state, local, or non-U.S. taxes, the tax consequences under an applicable income tax treaty or taxes other than U.S. federal income taxes. The discussion below may not apply, in whole or in part, and may not describe certain other U.S. federal income tax considerations that may be applicable to particular non-U.S. Holders in light of their individual circumstances or to holders subject to special treatment under the U.S. federal income tax laws, such as:</w:t>
      </w:r>
    </w:p>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w:t>
            </w:r>
          </w:p>
        </w:tc>
        <w:tc>
          <w:tcPr>
            <w:tcW w:w="9270" w:type="dxa"/>
            <w:tcBorders/>
            <w:vAlign w:val="center"/>
          </w:tcPr>
          <w:p>
            <w:pPr>
              <w:pStyle w:val="TableContents"/>
              <w:bidi w:val="0"/>
              <w:spacing w:before="0" w:after="283"/>
              <w:jc w:val="left"/>
              <w:rPr/>
            </w:pPr>
            <w:r>
              <w:rPr/>
              <w:t>insurance companies;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left"/>
              <w:rPr/>
            </w:pPr>
            <w:r>
              <w:rPr/>
              <w:t>tax-exempt organizations;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w:t>
            </w:r>
          </w:p>
        </w:tc>
        <w:tc>
          <w:tcPr>
            <w:tcW w:w="9238" w:type="dxa"/>
            <w:tcBorders/>
            <w:vAlign w:val="center"/>
          </w:tcPr>
          <w:p>
            <w:pPr>
              <w:pStyle w:val="TableContents"/>
              <w:bidi w:val="0"/>
              <w:spacing w:before="0" w:after="283"/>
              <w:jc w:val="left"/>
              <w:rPr/>
            </w:pPr>
            <w:r>
              <w:rPr/>
              <w:t>financial institutions;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traders, brokers or dealers in securities, commodities or currencies, or a trader that uses a mark-to-market method of tax accounting;</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controlled foreign corporations and corporations that accumulate earnings to avoid U.S. federal income tax;</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58" w:type="dxa"/>
            <w:tcBorders/>
            <w:vAlign w:val="center"/>
          </w:tcPr>
          <w:p>
            <w:pPr>
              <w:pStyle w:val="TableContents"/>
              <w:bidi w:val="0"/>
              <w:spacing w:before="0" w:after="283"/>
              <w:jc w:val="left"/>
              <w:rPr/>
            </w:pPr>
            <w:r>
              <w:rPr/>
              <w:t>passive foreign investment companies;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persons required to accelerate the recognition of any item of gross income with respect to the shares as a result of such income being recognized on an applicable financial statement;</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non-U.S. Holders that hold our common stock as part of a straddle, hedge, conversion transaction or other integrated investment;</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persons that own or are deemed to own, actually or constructively, more than 5% of our common stock for U.S. federal income tax purposes (except to the extent specifically set forth below);</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left"/>
              <w:rPr/>
            </w:pPr>
            <w:r>
              <w:rPr/>
              <w:t>persons with a functional currency other than the U.S. dollar; and</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left"/>
              <w:rPr/>
            </w:pPr>
            <w:r>
              <w:rPr/>
              <w:t>U.S. expatriates and certain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holds our common stock, the tax treatment of a partner in such partnership will generally depend on the status of the partner, the activities of the partnership and certain determinations made at the partner level. Accordingly, a partnership, or a partner of a partnership, holding our common stock should consult their tax advisors as to the particular U.S. federal income tax consequences applicable to them.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any ruling from the IRS or any opinion of counsel with respect to the tax consequences discussed herein, and there can be no assurance that the IRS or any court will not take a position contrary to the tax consequences discussed below or that any position taken by the IRS or any court would not be sustained.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U.S. FEDERAL INCOME TAX DISCUSSION SET FORTH BELOW IS INCLUDED FOR GENERAL INFORMATION PURPOSES ONLY, IS NOT TAX ADVICE, AND MAY NOT BE APPLICABLE DEPENDING UPON A HOLDER’S PARTICULAR SITUATION. HOLDERS SHOULD CONSULT THEIR OWN TAX ADVISORS WITH RESPECT TO ALL TAX CONSEQUENCES TO THEM OF THE ACQUISITION, OWNERSHIP AND DISPOSITION OF OUR COMMON STOCK, INCLUDING THE TAX CONSEQUENCES UNDER U.S. FEDERAL, STATE, LOCAL AND FOREIGN INCOME AND OTHER TAX LAWS, AND THE POSSIBLE EFFECTS OF ANY CHANGES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in the following paragraph, any distribution we make to a non-U.S. Holder with respect to its shares of our common stock that constitutes a dividend for U.S. federal income tax purposes will generally be subject to U.S. withholding tax at a rate of 30% of the gross amount, unless the non-U.S. Holder is eligible for a reduced rate of withholding tax under an applicable income tax treaty and the non-U.S. Holder provides proper certification of its eligibility for such reduced rate (including providing a valid IRS Form W-8BEN or W-8BEN-E (or other applicable documentation)). A distribution in respect of shares of our common stock (and certain redemptions that are treated as distributions with respect to common stock) will generally constitute a dividend for U.S. federal income tax purposes to the extent it is paid out of our current or accumulated earnings and profits, as determined under U.S. federal income tax principles. Any distribution not constituting a dividend will be treated first as a return of capital allocated ratably among the shares of common stock held by a non-U.S. Holder, reducing (but not below zero) the non-U.S. Holder’s adjusted basis in each share of our common stock and, to the extent in excess of the adjusted basis, as gain from the sale or exchange of such stock, which will be treated as described under “Gain on Sale or Other Disposition of Common Stock” below. A non-U.S. Holder’s adjusted basis in a share is generally the purchase price of such share, reduced (but not below zero) by the amount of any previous non-taxable returns of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its conduct of a trade or business within the United States (and, if required by an applicable income tax treaty, are attributable to a U.S. permanent establishment of such non-U.S. Holder) generally will not be subject to U.S. withholding tax, as described above, if the non-U.S. Holder complies with applicable certification and disclosure requirements (including providing a valid IRS Form W-8ECI (or a successor form)). Instead, (unless an applicable income tax treaty provides otherwise) such dividends generally will be subject to U.S. federal income tax on a net income basis, in the same manner as if the non-U.S. Holder were a U.S. person (as defined under the Code). Dividends received by a non-U.S. Holder that is a corporation for U.S. federal income tax purposes that are effectively connected with its conduct of a trade or business within the United States may also be subject to an additional branch profits tax at a rate of 30% (or such lower rate as may be specified by an applicable income tax treaty). Non-U.S. Holders should consult their tax advisors regarding any applicable tax treaties that may provide for different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distributions we make to a non-U.S. Holder with respect to its shares of our common stock will also be subject to the rules discussed below under the headings “Backup Withholding, Information Reporting and Other Reporting Requirements” and “Foreign Account Tax Compliance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 on Sale or Other Disposition of Common Stock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subject to the discussion below under the headings “Backup Withholding, Information Reporting and Other Reporting Requirements” and “Foreign Account Tax Compliance Act,” a non-U.S. Holder will not be subject to U.S. federal income tax on any gain realized upon the sale or other taxable disposition of the non-U.S. Holder’s shares of our common stock unless:</w:t>
      </w:r>
    </w:p>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gain is effectively connected with a trade or business carried on by the non-U.S. Holder within the United States (and, if required by an applicable income tax treaty, is attributable to a U.S. permanent establishment or fixed base of such non-U.S. Holder);</w:t>
            </w:r>
          </w:p>
        </w:tc>
      </w:tr>
    </w:tbl>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non-U.S. Holder is a nonresident individual present in the United States for 183 days or more during the taxable year of the sale or other taxable disposition and certain other conditions are met; or</w:t>
            </w:r>
          </w:p>
        </w:tc>
      </w:tr>
    </w:tbl>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are or have been a U.S. real property holding corporation (a “USRPHC”) for U.S. federal income tax purposes at any time within the shorter of the five-year period preceding such sale or other taxable disposition or such non-U.S. Holder’s holding period of our common stock.</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 order for us to be a USRPHC, the fair market value of our U.S. real property interests would need to equal or exceed 50% of the sum of the fair market value of (1) our worldwide real property interests and (2) other assets used or held for use by us in a trade or business. Even if we were, during the relevant period, are or become a USRPHC at a relevant time, a non-U.S. Holder that at no time during the relevant period actually or constructively owned more than 5% of our common stock generally would not be subject to U.S. federal income tax on the disposition of our common stock, provided that the common stock was regularly traded on an established securities market within the meaning of the applicable Treasury Regulations. If we are or were to become a USRPHC and our common stock were not considered to be “regularly traded” on an established securities market during the calendar year in which the relevant sale or other taxable disposition by a non-U.S. holder occurs, such non-U.S. holder (regardless of the percentage of stock owned) would be subject to U.S. federal income tax on a sale or other taxable disposition of our common stock and a 15% withholding tax would apply to the gross proceeds from such disposition. We believe that we are not currently a USRPHC. However, since the determination of whether we are a USRPHC depends on the fair market value of our U.S. real property interests relative to the fair market value of our non-U.S. real property interests and our other business assets, there can be no assurance that we currently are not a USRPHC nor can there be any assurance we will not become one in the future. Non-U.S. Holders should consult their own tax advisors regarding the application of these rules to them, including if we are or become a USRPHC.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that is treated as effectively connected with the conduct of a trade or business in the United States will generally be subject to U.S. federal income tax, net of certain deductions, at U.S. federal income tax rates applicable to United States persons within the meaning of the Code (unless an applicable income tax treaty provides otherwise). If the non-U.S. Holder is a corporation, the branch profits tax described above also may apply to such effectively connected gain (unless an applicable income tax treaty provides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an applicable income tax treaty, an individual non-U.S. Holder who is subject to U.S. federal income tax because the non-U.S. Holder was present in the United States for 183 days or more during the year of the sale or other taxable disposition of our common stock will generally be subject to a flat 30% tax (or such lower rate as may be specified by an applicable income tax treaty) on the gain derived from such sale or other taxable disposition, which may be offset by certain U.S. source capital losses of the non-U.S. Holder, even though the individual is not considered a resident of the United States for U.S. federal income tax purposes, assuming certain requirements are met, including timely filing of U.S. federal income tax returns with respect to such losses.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own tax advisors regarding potentially applicable income tax treaties that may provide for different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Backup Withholding, Information Reporting and Other Reporting Requirements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report annually to the IRS, and to each non-U.S. Holder, the amount of dividends paid to, and the tax withheld with respect to, each such non-U.S. Holder. These reporting requirements apply regardless of whether withholding was reduced or eliminated by an applicable income tax treaty. Copies of this information reporting may also be made available under the provisions of a specific tax treaty or agreement with the tax authorities in the country in which the non-U.S. Holder resides or is established.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generally be subject to backup withholding at the applicable rate (currently 24%) for dividends on our common stock paid to such holder, unless such holder certifies under penalties of perjury that, among other things, it is a non-U.S. Holder (and the payor does not have actual knowledge or reason to know that such holder is a U.S. person), and otherwise complies with all applicable legal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its shares of our common stock within the United States or through a U.S. broker or the U.S. office of a foreign broker, the broker will generally be required to report the amount of proceeds paid to the non-U.S. Holder to the IRS and also backup withhold on that amount, unless such non-U.S. Holder provides appropriate certification to the broker of its status as a non-U.S. person (such as a valid IRS Form W-8BEN, W-8BEN-E or W-8ECI) or otherwise establishes an exemption (and the payor does not have actual knowledge or reason to know that such holder is a U.S. person). Information reporting will also apply if a non-U.S. Holder sells its shares of our common stock through a foreign broker deriving more than a specified percentage of its income from U.S. sources or having certain other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non-U.S. Holder can be credited against the non-U.S. Holder’s U.S. federal income tax liability, if any, or refunded, provided the non-U.S. Holder timely files the appropriate claim with the IRS and furnishes any required information to the IRS. Non-U.S. Holders should consult their own tax advisors regarding the application of the information reporting and backup withholding rules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Foreign Account Tax Compliance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“withholdable payments,” which include dividends on our common stock paid to a “foreign financial institution” or a “non-financial foreign entity” (each as defined in the Code) (including, in some cases, when such foreign financial institution or non-financial foreign entity is acting as an intermediary), unless those entities comply with certain requirements under the Code and applicable Treasury Regulations, which requirements may be modified by an “intergovernmental agreement” entered into between the United States and an applicable foreign country.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FATCA withholding tax will apply to all withholdable payments without regard to whether the beneficial owner of the payment would otherwise be entitled to an exemption from withholding tax pursuant to an applicable tax treaty with the United States or U.S. domestic law.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Treasury Regulations that, if finalized in their proposed form, would eliminate the obligation to withhold on gross proceeds. Although these proposed Treasury Regulations are not final, taxpayers generally may rely on them until final Treasury Regulations are issued. There can be no assurance that the proposed regulations will be finalized in their present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own tax advisors regarding the potential application of withholding under FATCA to their investment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via_010"/>
      <w:bookmarkEnd w:id="12"/>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in an underwriting agreement dated the date of this prospectus supplement, the underwriters named below, for whom Morgan Stanley &amp; Co. LLC is acting as representative, have severally agreed to purchase, and we and the selling stockholders have agreed to sell to them, severally, the number of shares indicated below:</w:t>
      </w:r>
    </w:p>
    <w:p>
      <w:pPr>
        <w:pStyle w:val="TextBody"/>
        <w:bidi w:val="0"/>
        <w:spacing w:before="0" w:after="0"/>
        <w:ind w:left="0" w:right="0" w:firstLine="720"/>
        <w:jc w:val="left"/>
        <w:rPr>
          <w:caps w:val="false"/>
          <w:smallCaps w:val="false"/>
        </w:rPr>
      </w:pPr>
      <w:r>
        <w:rPr>
          <w:caps w:val="false"/>
          <w:smallCaps w:val="false"/>
        </w:rPr>
        <w:t> </w:t>
      </w:r>
    </w:p>
    <w:tbl>
      <w:tblPr>
        <w:tblW w:w="5289" w:type="dxa"/>
        <w:jc w:val="left"/>
        <w:tblInd w:w="0" w:type="dxa"/>
        <w:tblLayout w:type="fixed"/>
        <w:tblCellMar>
          <w:top w:w="0" w:type="dxa"/>
          <w:left w:w="0" w:type="dxa"/>
          <w:bottom w:w="28" w:type="dxa"/>
          <w:right w:w="0" w:type="dxa"/>
        </w:tblCellMar>
      </w:tblPr>
      <w:tblGrid>
        <w:gridCol w:w="3275"/>
        <w:gridCol w:w="60"/>
        <w:gridCol w:w="311"/>
        <w:gridCol w:w="1568"/>
        <w:gridCol w:w="75"/>
      </w:tblGrid>
      <w:tr>
        <w:trPr/>
        <w:tc>
          <w:tcPr>
            <w:tcW w:w="327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Morgan Stanley &amp;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Craig-Hallum Capital Group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bottom w:val="single" w:sz="8" w:space="0" w:color="000000"/>
            </w:tcBorders>
            <w:shd w:fill="FFFFFF" w:val="clear"/>
            <w:vAlign w:val="center"/>
          </w:tcPr>
          <w:p>
            <w:pPr>
              <w:pStyle w:val="TableContents"/>
              <w:bidi w:val="0"/>
              <w:spacing w:before="0" w:after="283"/>
              <w:jc w:val="left"/>
              <w:rPr/>
            </w:pPr>
            <w:r>
              <w:rPr/>
              <w:t> </w:t>
            </w:r>
          </w:p>
        </w:tc>
        <w:tc>
          <w:tcPr>
            <w:tcW w:w="1568"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bottom w:val="double" w:sz="6" w:space="0" w:color="000000"/>
            </w:tcBorders>
            <w:shd w:fill="CCEEFF" w:val="clear"/>
            <w:vAlign w:val="center"/>
          </w:tcPr>
          <w:p>
            <w:pPr>
              <w:pStyle w:val="TableContents"/>
              <w:bidi w:val="0"/>
              <w:spacing w:before="0" w:after="283"/>
              <w:jc w:val="left"/>
              <w:rPr/>
            </w:pPr>
            <w:r>
              <w:rPr/>
              <w:t> </w:t>
            </w:r>
          </w:p>
        </w:tc>
        <w:tc>
          <w:tcPr>
            <w:tcW w:w="1568" w:type="dxa"/>
            <w:tcBorders>
              <w:bottom w:val="double" w:sz="6"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common stock subject to their acceptance of the shares from us and the selling stockholders.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underwriters an option, exercisable for 30 days from the date of this prospectus supplement, to purchase up to $15,000,000 of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$15,000,000 of shares of common stock.</w:t>
      </w:r>
    </w:p>
    <w:p>
      <w:pPr>
        <w:pStyle w:val="TextBody"/>
        <w:bidi w:val="0"/>
        <w:spacing w:before="0" w:after="0"/>
        <w:ind w:left="0" w:right="0" w:firstLine="720"/>
        <w:jc w:val="left"/>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5285"/>
        <w:gridCol w:w="60"/>
        <w:gridCol w:w="140"/>
        <w:gridCol w:w="540"/>
        <w:gridCol w:w="60"/>
        <w:gridCol w:w="60"/>
        <w:gridCol w:w="180"/>
        <w:gridCol w:w="695"/>
        <w:gridCol w:w="60"/>
        <w:gridCol w:w="60"/>
        <w:gridCol w:w="197"/>
        <w:gridCol w:w="678"/>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w:t>
              <w:b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Full</w:t>
              <w:br/>
              <w:t>Exercise</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Underwriting discounts and commissions to be paid by: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The selling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6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Proceeds, before expenses, to the selling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6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offering expenses payable by us, exclusive of the underwriting discounts and commissions, are approximately $         . We have agreed to reimburse the underwriters in an amount up to $10,000 for certain expenses relating to the Financial Industry Regulatory Authority (“FINRA”) with respect to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approved for quotation on the Nasdaq Global Market under the trading symbol “FEIM”.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and the selling stockholders (collectively, the “lock-up parties”) have entered into lock-up agreements with the representative prior to the commencement of this offering pursuant to which each lock-up party, without the prior written consent of the representative, will not, and will not publicly disclose an intention to, during the period commencing on the date of this prospectus supplement and ending immediately after the close of the trading day occurring on the 60th day after the date of this prospectus supplement (the “60th Day”) or, if the 60th Day is not a trading day, ending immediately after the close of the last trading day immediately preceding the 60th Day (such period of time between the date hereof and, as the case may be, the 60th Day or the last trading day immediately preceding the 60th Day, referred to herein as the “Restricted Period”), (1) offer, pledge, sell, contract to sell, sell any option or contract to purchase, purchase any option or contract to sell, grant any option, right or warrant to purchase, lend, or otherwise transfer or dispose of, directly or indirectly, any shares of our common stock owned or hereafter acquired by the lock-up party or with respect to which the lock-up party has or hereafter acquires the power of disposition, and securities which may be issued upon exercise of a stock option or warrant by the lock-up party or any other securities so owned convertible into or exercisable or exchangeable for our common stock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our common stock, whether any such transaction described in clause (1) or (2) above is to be settled by delivery of our common stock or such other securities, in cash or otherwise. The lock-up party has acknowledged and agreed in the lock-up agreement that the foregoing precludes the lock-up party from engaging in any hedging or other transactions designed or intended, or which could reasonably be expected to lead to or result in, a sale or disposition of any common stock, or securities convertible into or exercisable or exchangeable for our common stock, even if any such sale or disposition transaction or transactions would be made or executed by or on behalf of someone other than the lock-up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described in the immediately preceding paragraph do not apply to the following, provided that in the case of any transfer or distribution pursuant to clauses (b) and (c) below, (A) each donee, devisee, trustee, distributee or transferee, as the case may be, shall sign and deliver a lock-up agreement for the balance of the Restricted Period, (B) any such transfer shall not involve a disposition for value, (C) no filing under Section 16(a) of the Exchange Act on Form 4 or Form 5 shall be required (or, in the case of sub-clause (b)(i) – (iv), any filing, if required, shall indicate in the footnotes thereto that such filing relates to circumstances described in the relevant sub-clause) and (D) the lock-up party does not otherwise voluntarily effect any public filing or report regarding such transfers: (a) transactions relating to shares of our common stock or other securities acquired in open market transactions after the completion of this offering, provided that no filing under Section 16(a) of the Exchange Act shall be required or voluntarily made during the Restricted Period, (b) transfers, dispositions or distributions of shares of our common stock or any security convertible into our common stock as: (i) a bona fide gift, including, without limitation, to a charitable organization or educational institution, or for bona fide estate planning purposes, (ii) by will, testamentary document or intestacy, (iii) by operation of law, such as pursuant to a qualified domestic order, divorce settlement, divorce decree or separation agreement, (iv) pursuant to an order of a court or regulatory agency having jurisdiction over the lock-up party, (v) to any corporation, partnership, limited liability company or other entity of which the lock-up party or the immediate family of the lock-up party (as defined in FINRA Rule 5130(i)(5)) are the legal and beneficial owner of all of the outstanding equity securities or similar interests, (vi) to any nominee or custodian of a person or entity to whom a disposition or transfer would be permissible under clauses (i) through (v) above, (vii) to any member of the lock-up party’s immediate family or to any trust, partnership, limited liability company or other entity for the direct or indirect benefit of the lock-up party and/or any member of the lock-up party’s immediate family, or if the lock-up party is a trust, to a trustor or beneficiary of the trust or to the estate of the beneficiary of such trust or (viii) to us upon the lock-up party’s death, disability or termination of employment or other service relationship with us; provided that such common stock was issued to the lock-up party pursuant to an agreement or equity award granted pursuant to an employee benefit plan, option, warrant or other right disclosed in this prospectus supplement, (c) if the lock-up party is not an individual, distributions of shares of our common stock or any security convertible into our common stock to: (i) another corporation, partnership, limited liability company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or (ii) as part of a distribution to limited partners, limited liability company members or stockholders of the lock-up party or holders of similar equity interests in the lock-up party, (d) facilitating the establishment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our common stock may be made under such plan during the Restricted Period, (e) securities transferred to us (including the forfeiture of shares of our common stock to us) pursuant to the vesting, settlement or exercise of restricted stock units, restricted stock, options, warrants or other rights to purchase our common stock (including, in each case, by way of “net” or “cashless” exercise), including for the payment of exercise price and tax and remittance payments due as a result of the vesting, settlement or exercise of such restricted stock units, restricted stock, options, warrants or rights, provided that (1) any such our common stock received by the lock-up party upon such exercise, vesting or settlement shall be subject to the terms of the lock-up agreement; (2) any filing under the Exchange Act required to be made during the Restricted Period shall indicate in the footnotes thereto that the filing relates to circumstances described in this clause; (3) the lock-up party does not otherwise voluntarily effect any public filing or report regarding such transfers; and (4) any such restricted stock units, restricted stock, options, warrants or rights are held by the lock-up party pursuant to an agreement or equity award granted under a stock incentive plan or other equity award plan, each of which is disclosed in this prospectus supplement, or (f) shares of our common stock transferred pursuant to a bona fide third party tender offer, merger, consolidation or other similar transaction made to all holders of our common stock that has been approved by our board of directors, which results in any person or group of persons becoming the beneficial owners (as defined in Rules 13d-3 and 13d-5 of the Exchange Act) of 50% of our outstanding voting securities; provided that in the event that the tender offer, merger, consolidation or other such transaction is not completed, our common stock shall remain subject to the provisions of the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in the underwriting agreement that it will not, and will not publicly disclose an intention to, during the Restricted Period, without the prior written consent of the representative,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our common stock, whether any such transaction described in clause (1) or (2) above is to be settled by delivery of our common stock or such other securities, in cash or otherwise, or (3) file or confidentially submit any registration statement with the Commission relating to the offering of any shares of our common stock or any securities convertible into or exercisable or exchangeable for our common stock (notwithstanding the foregoing, confidential submissions to the Commission of any registration statements under the Securities Act may be made during the Restricted Period if and only if (x) no public announcement of such confidential submission shall be made during the Restricted Period, (y) the Company shall provide written notice at least two business days prior to such confidential submission to the representative and (z) no such confidential submission shall become a publicly filed registration statement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contained in the immediately preceding paragraph do not apply to (A) the shares of common stock to be sold hereunder, (B) our issuance of shares of common stock (x) pursuant to any of our employee benefit plans, share option plans or other employee compensation plans described in this prospectus supplement, or (y) upon the exercise of any option or warrant or the conversion of any security outstanding on the date hereof as described in this prospectus supplement, (C) facilitating the establishment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our common stock may be made under such plan during the Restricted Period, (D) any shares of our common stock issued pursuant to any non-employee director stock plan or dividend reinvestment plan referred to in this prospectus supplement or the registration statement of which this prospectus supplement forms a part, or (E) our issuance of shares of common stock or securities convertible into or exercisable or exchangeable for our common stock in connection with a transaction with an unaffiliated third party that includes a bona fide commercial relationship (including joint ventures, marketing or distribution arrangements and collaboration agreements) or any acquisition of assets or acquisition of not less than a majority or controlling portion of the equity of another entity, provided that the aggregate number of shares of our common stock issued or issuable pursuant to this clause (E) shall not exceed 5% of the total number of outstanding shares of our common stock immediately following the issuance and sale of the shares pursuant to this prospectus supplement and provided, further, that each recipient of any such shares of our common stock or securities during the Restricted Period shall enter into a lock-up agreement for the balance of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in its sole discretion, may release the common stock and other securities subject to the lock-up restrictions described above in whole or in part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selling stockholders and the underwriters have agreed to indemnify each other against certain liabilities, including liabilities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and/or the selling stockholders, for which they received or will receive customary fees and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European Economic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pStyle w:val="TextBody"/>
        <w:bidi w:val="0"/>
        <w:spacing w:before="0" w:after="0"/>
        <w:ind w:left="540" w:right="0" w:firstLine="18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7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70" w:type="dxa"/>
            <w:tcBorders/>
            <w:vAlign w:val="center"/>
          </w:tcPr>
          <w:p>
            <w:pPr>
              <w:pStyle w:val="TableContents"/>
              <w:bidi w:val="0"/>
              <w:spacing w:before="0" w:after="283"/>
              <w:jc w:val="both"/>
              <w:rPr/>
            </w:pPr>
            <w:r>
              <w:rPr/>
              <w:t>to any legal entity which is a qualified investor as defined under Article 2 of the Prospectus Regulation;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to fewer than 150 natural or legal persons (other than qualified investors as defined under Article 2 of the Prospectus Regulation), subject to obtaining the prior consent of the representatives for any such offer; or</w:t>
            </w:r>
          </w:p>
        </w:tc>
      </w:tr>
    </w:tbl>
    <w:p>
      <w:pPr>
        <w:pStyle w:val="TextBody"/>
        <w:bidi w:val="0"/>
        <w:spacing w:before="0" w:after="0"/>
        <w:ind w:left="72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7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850" w:type="dxa"/>
            <w:tcBorders/>
            <w:vAlign w:val="center"/>
          </w:tcPr>
          <w:p>
            <w:pPr>
              <w:pStyle w:val="TableContents"/>
              <w:bidi w:val="0"/>
              <w:spacing w:before="0" w:after="283"/>
              <w:jc w:val="both"/>
              <w:rPr/>
            </w:pPr>
            <w:r>
              <w:rPr/>
              <w:t>in any other circumstances falling within Article 1(4) of the Prospectus Regulation,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shares shall require us or any representative to publish a prospectus pursuant to Article 3 of the Prospectus Regulation or supplement a prospectus pursuant to Article 23 of the Prospectus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Kingdom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have been offered or will be offered pursuant to the offering to the public in the United Kingdom, except that the shares may be offered to the public in the United Kingdom at any time: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the London Stock Exchange plc’s main market (in reliance on the exception in paragraph 6(b) of Schedule 1 of the POATR);</w:t>
            </w:r>
          </w:p>
        </w:tc>
      </w:tr>
    </w:tbl>
    <w:p>
      <w:pPr>
        <w:pStyle w:val="TextBody"/>
        <w:bidi w:val="0"/>
        <w:spacing w:before="0" w:after="0"/>
        <w:ind w:left="1440" w:right="0" w:hanging="72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9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775" w:type="dxa"/>
            <w:tcBorders/>
            <w:vAlign w:val="center"/>
          </w:tcPr>
          <w:p>
            <w:pPr>
              <w:pStyle w:val="TableContents"/>
              <w:bidi w:val="0"/>
              <w:spacing w:before="0" w:after="283"/>
              <w:jc w:val="both"/>
              <w:rPr/>
            </w:pPr>
            <w:r>
              <w:rPr/>
              <w:t>to any qualified investor as defined in paragraph 15 of Schedule 1 of the POATR;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to fewer than 150 persons (other than qualified investors as defined in paragraph 15 of Schedule 1 of the POATR, subject to obtaining the prior consent of the representative for any such offer; or</w:t>
            </w:r>
          </w:p>
        </w:tc>
      </w:tr>
    </w:tbl>
    <w:p>
      <w:pPr>
        <w:pStyle w:val="TextBody"/>
        <w:bidi w:val="0"/>
        <w:spacing w:before="0" w:after="0"/>
        <w:ind w:left="1440" w:right="0" w:hanging="72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29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370" w:type="dxa"/>
            <w:tcBorders/>
            <w:vAlign w:val="center"/>
          </w:tcPr>
          <w:p>
            <w:pPr>
              <w:pStyle w:val="TableContents"/>
              <w:bidi w:val="0"/>
              <w:spacing w:before="0" w:after="283"/>
              <w:jc w:val="both"/>
              <w:rPr/>
            </w:pPr>
            <w:r>
              <w:rPr/>
              <w:t>in any other circumstances falling within Part 1 of Schedule 1 of the POATR.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initially acquires any shares or to whom any offer is made will be deemed to have represented, warranted and agreed to and with each of the underwriters and us that it is a qualified investor within the meaning of paragraph 15 of Schedule 1 of the POATR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underwriters and their affiliates will rely upon the truth and accuracy of the foregoing representation, warranty and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any shares and the expression “POATR” means the Public Offers and Admissions to Trading Regulations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left"/>
              <w:rPr/>
            </w:pPr>
            <w:r>
              <w:rPr/>
              <w:t>does not constitute a prospectus, a product disclosure statement or any other form of "disclosure document" under the Corporations Act 2001 (Cth) of the Commonwealth of Australia (the “Corporations Act”);</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t>has not been, is not required to be, nor will it be, lodged as a disclosure document with the Australian Securities and Investments Commission (“ASIC”), the Australian Securities Exchange operated by ASX Limited or any other regulatory body or agency in Australia, and is not required to nor does it purport to, and does not, include all of the information required of a disclosure document under the Corporations Act; and</w:t>
            </w:r>
          </w:p>
        </w:tc>
      </w:tr>
    </w:tbl>
    <w:p>
      <w:pPr>
        <w:pStyle w:val="TextBody"/>
        <w:bidi w:val="0"/>
        <w:spacing w:before="0" w:after="0"/>
        <w:ind w:left="1530" w:right="0" w:hanging="360"/>
        <w:jc w:val="left"/>
        <w:rPr>
          <w:caps w:val="false"/>
          <w:smallCaps w:val="false"/>
        </w:rPr>
      </w:pPr>
      <w:r>
        <w:rPr>
          <w:caps w:val="false"/>
          <w:smallCaps w:val="false"/>
        </w:rPr>
        <w:t> </w:t>
      </w:r>
    </w:p>
    <w:p>
      <w:pPr>
        <w:pStyle w:val="TextBody"/>
        <w:bidi w:val="0"/>
        <w:spacing w:before="0" w:after="0"/>
        <w:ind w:left="153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left"/>
              <w:rPr/>
            </w:pPr>
            <w:r>
              <w:rPr/>
              <w:t>may not be provided in Australia other than to select investors (“Exempt Investors”) who are able to demonstrate that they:</w:t>
            </w:r>
          </w:p>
        </w:tc>
      </w:tr>
    </w:tbl>
    <w:p>
      <w:pPr>
        <w:pStyle w:val="TextBody"/>
        <w:bidi w:val="0"/>
        <w:spacing w:before="0" w:after="0"/>
        <w:ind w:left="225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fall within one or more of the categories of investors under section 708 of the Corporations Act to whom an offer may be made without disclosure under Chapter 6D of the Corporations Act, or</w:t>
            </w:r>
          </w:p>
        </w:tc>
      </w:tr>
    </w:tbl>
    <w:p>
      <w:pPr>
        <w:pStyle w:val="TextBody"/>
        <w:bidi w:val="0"/>
        <w:spacing w:before="0" w:after="0"/>
        <w:ind w:left="2250" w:right="0" w:hanging="36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0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320" w:type="dxa"/>
            <w:tcBorders/>
            <w:vAlign w:val="center"/>
          </w:tcPr>
          <w:p>
            <w:pPr>
              <w:pStyle w:val="TableContents"/>
              <w:bidi w:val="0"/>
              <w:spacing w:before="0" w:after="283"/>
              <w:jc w:val="both"/>
              <w:rPr/>
            </w:pPr>
            <w:r>
              <w:rPr/>
              <w:t>are otherwise a person to whom a disclosure document is not required under the Corporations Act.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 may not be made available, and the shares of our common stock may not be directly or indirectly offered for subscription or purchased or sold, and no invitations to subscribe for, or buy, the shares of our common stock may be issued, and no draft or definitive offering memorandum, advertisement or other offering material relating to any shares of our common stock may be distributed, received or published in Australia, except where a disclosure document is not required to be given to investors under Chapter 6D of the Corporations Act or is otherwise in compliance with all applicable Australian laws and regulations. By submitting an application for the shares of our common stock, each purchaser or subscriber of shares of our common stock in Australia represents and warrants to us, the underwriters and their affiliates that they are an Exempt Investor.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any offer of the shares of our common stock is made without a disclosure document in Australia under Chapter 6D of the Corporations Act, the offer of those shares of common stock for resale in Australia within 12 months from their issue may require a disclosure document to be given to investors if none of the exemptions in the Corporations Act applies to that resale. By applying for the shares of our common stock each purchaser or subscriber of the shares of our common stock undertakes to us and the underwriters that the purchaser or subscriber will not, for a period of 12 months from the date of issue or purchase of the shares of our common stock, offer, transfer, assign or otherwise alienate those shares of our common stock to investors in Australia except in circumstances where a disclosure document is not required under the Corporations Act or where a compliant disclosure document is prepared and lodged with ASIC.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 contains general information only and should not be taken as financial product advice and has been prepared as general information only, without consideration for your particular investment objectives, financial circumstances or particular needs. The persons referred to in this prospectus supplement or the accompanying prospectus may not hold Australian financial services licences and may not be licensed to provide financial product advice. No “cooling off” regime will apply to an acquisition of the shares of our common stock. Before making any investment decision, prospective purchasers should assess whether the acquisition of the shares of our common stock is appropriate in light of their financial circumstances or seek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constitute an offer to the public or a solicitation to purchase or invest in any shares of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w:t>
      </w:r>
    </w:p>
    <w:p>
      <w:pPr>
        <w:pStyle w:val="TextBody"/>
        <w:bidi w:val="0"/>
        <w:spacing w:before="0" w:after="0"/>
        <w:ind w:left="0" w:right="0" w:firstLine="72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27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283"/>
              <w:jc w:val="both"/>
              <w:rPr/>
            </w:pPr>
            <w:r>
              <w:rPr/>
              <w:t>to any person which is a professional client as defined under the FinSA;</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to fewer than 500 persons (other than professional clients as defined under the FinSA), subject to obtaining the prior consent of joint book-running managers for any such offer; or</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in any other circumstances falling within Article 36 FinSA in connection with Article 44 of the Swiss Financial Services Ordinance,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shares of our common stock shall require us or any investment bank to publish a prospectus pursuant to Article 35 FinSA.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have not been and will not be listed or admitted to trading on a trading venue in 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the accompanying prospectus nor any other offering or marketing material relating to the shares of our common stock constitutes a prospectus as such term is understood pursuant to the FinSA, and neither this prospectus supplement, the accompanying prospectus nor any other offering or marketing material relating to the shares of our common stock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Dubai International Financial Centre (DIFC)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is for distribution only to persons who (a) are outside the Dubai International Financial Centre, (b) are persons who meet the Professional Client criteria set out in Rule 2.3.4 of the DFSA Conduct of Business Module or (c) are persons to whom an invitation or inducement in connection with the issue or sale of any securities may otherwise lawfully be communicated or caused to be communicated (all such persons together being referred to as “relevant persons” for the purposes of this paragraph). This prospectus supplement and the accompanying prospectus is directed only at relevant persons and must not be acted on or relied on by persons who are not relevant persons. Any investment or investment activity to which this prospectus supplement and the accompanying prospectus relates is available only to relevant persons and will be engaged in only with relevant persons.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relates to an “Exempt Offer” as prescribed under, and in accordance with, the Markets Rules of the Dubai Financial Services Authority (“DFSA”). This prospectus supplement and the accompanying prospectus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shares of common stock to which this prospectus supplement and the accompanying prospectus relate may be illiquid and/or subject to restrictions on their resale. Prospective purchasers of the common stock offered should conduct their own due diligence on the common stock. If you do not understand the contents of this prospectus supplement and the accompanying prospectus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constitute nor are they intended to be an offer or invitation to the public in Hong Kong to acquire the shares of our common stock. The shares of our common stock have not been and may not and will not be offered or sold in Hong Kong, by means of any document, other than (i) to “professional investors” as defined in the Securities and Futures Ordinance (Cap. 571, Laws of Hong Kong) and any rules made thereunder, or (ii) in other circumstances which do not result in the document being a “prospectus” as defined in the Companies (Winding Up and Miscellaneous Provisions) Ordinance (Cap. 32, Laws of Hong Kong) or which do not constitute an offer to the public within the meaning of that Ordinance. No advertisement, invitation or document relating to the shares of our common stock has been, may be or will be issued or has been, may be or will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Securities and Futures Ordinance (Cap. 571, Laws of Hong Kong) and any rules made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prospectus supplement and the accompanying prospectus have not been reviewed, endorsed or approved by any Hong Kong regulatory authorities, including the Securities and Futures Commission and the Companies Registry of Hong Kong and neither have they been nor will they be registered with the Registrar of Companies in Hong Kong. The shares of our common stock may not be offered for subscription to members of the public in Hong Kong. You are advised to exercise caution in relation to the offer. If you are in doubt about any contents of this prospectus supplement and the accompanying prospectus, you should obtain independent professional advice. Each person acquiring the shares of our common stock will be required, and is deemed by the acquisition of the shares of our common stock, to confirm that such person is aware of the restriction on offers of the shares of our common stock described in this prospectus supplement, the accompanying prospectus and the relevant offering documents and that such person is not acquiring, and has not been offered any shares of our common stock in circumstances that contravene any such restrictions and that such person has complied with all relevant laws, rules and regulations applicable to it/him/her and the jurisdiction(s) where such person or its/his/her assets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have not been registered as a prospectus with the Monetary Authority of Singapore. Accordingly, this prospectus supplement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and in accordance with the conditions specified in Section 274 of the SFA, or (ii) to an accredited investor as defined in Section 4A of the SFA pursuant to and in accordance with the conditions specified in Section 275.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of our common stock are subscribed or purchased under Section 275 of the SFA by a relevant person which is: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must not be transferred within six months after that corporation or that trust has acquired the shares of our common stock pursuant to an offer made under Section 275 of the SFA except:</w:t>
      </w:r>
    </w:p>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9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135" w:type="dxa"/>
            <w:tcBorders/>
            <w:vAlign w:val="center"/>
          </w:tcPr>
          <w:p>
            <w:pPr>
              <w:pStyle w:val="TableContents"/>
              <w:bidi w:val="0"/>
              <w:spacing w:before="0" w:after="283"/>
              <w:jc w:val="both"/>
              <w:rPr/>
            </w:pPr>
            <w:r>
              <w:rPr/>
              <w:t>to an institutional investor or to an accredited investor;</w:t>
            </w:r>
          </w:p>
        </w:tc>
      </w:tr>
    </w:tbl>
    <w:p>
      <w:pPr>
        <w:pStyle w:val="TextBody"/>
        <w:bidi w:val="0"/>
        <w:spacing w:before="0" w:after="0"/>
        <w:ind w:left="720" w:right="0" w:firstLine="9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9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495" w:type="dxa"/>
            <w:tcBorders/>
            <w:vAlign w:val="center"/>
          </w:tcPr>
          <w:p>
            <w:pPr>
              <w:pStyle w:val="TableContents"/>
              <w:bidi w:val="0"/>
              <w:spacing w:before="0" w:after="283"/>
              <w:jc w:val="both"/>
              <w:rPr/>
            </w:pPr>
            <w:r>
              <w:rPr/>
              <w:t>where no consideration is or will be given for the transfer;</w:t>
            </w:r>
          </w:p>
        </w:tc>
      </w:tr>
    </w:tbl>
    <w:p>
      <w:pPr>
        <w:pStyle w:val="TextBody"/>
        <w:bidi w:val="0"/>
        <w:spacing w:before="0" w:after="0"/>
        <w:ind w:left="720" w:right="0" w:firstLine="9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9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4160" w:type="dxa"/>
            <w:tcBorders/>
            <w:vAlign w:val="center"/>
          </w:tcPr>
          <w:p>
            <w:pPr>
              <w:pStyle w:val="TableContents"/>
              <w:bidi w:val="0"/>
              <w:spacing w:before="0" w:after="283"/>
              <w:jc w:val="both"/>
              <w:rPr/>
            </w:pPr>
            <w:r>
              <w:rPr/>
              <w:t>where the transfer is by operation of law; or</w:t>
            </w:r>
          </w:p>
        </w:tc>
      </w:tr>
    </w:tbl>
    <w:p>
      <w:pPr>
        <w:pStyle w:val="TextBody"/>
        <w:bidi w:val="0"/>
        <w:spacing w:before="0" w:after="0"/>
        <w:ind w:left="720" w:right="0" w:firstLine="9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29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3995" w:type="dxa"/>
            <w:tcBorders/>
            <w:vAlign w:val="center"/>
          </w:tcPr>
          <w:p>
            <w:pPr>
              <w:pStyle w:val="TableContents"/>
              <w:bidi w:val="0"/>
              <w:spacing w:before="0" w:after="283"/>
              <w:jc w:val="both"/>
              <w:rPr/>
            </w:pPr>
            <w:r>
              <w:rPr/>
              <w:t>as specified in Section 276(7) of the SFA.</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under Section 309B of the SFA - Solely for the purposes of our obligations pursuant to Section 309B of the SFA and the Securities and Futures (Capital Markets Products) Regulations 2018 of Singapore (the “CMP Regulations 2018”), we have determined, and hereby notify all relevant persons (as defined in Section 309A(1) of the SFA) that the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as modified or amended from time to time including by such of its subsidiary legislation as may be applicable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supplement or the accompanying prospectus or make, distribute or direct an offer to subscribe for our common stock to any person within the State of Israel, other than to Qualified Investors and up to 35 Addressed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via_011"/>
      <w:bookmarkEnd w:id="13"/>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in this prospectus supplement will be passed upon for us by McGuireWoods LLP, Richmond, Virginia. Certain legal matters will be passed upon for the underwriters by Simpson Thacher &amp; Bartlett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via_012"/>
      <w:bookmarkEnd w:id="14"/>
      <w:r>
        <w:rPr>
          <w:rFonts w:ascii="Times New Roman;Times;Serif" w:hAnsi="Times New Roman;Times;Serif"/>
          <w:b/>
          <w:i w:val="false"/>
          <w:caps w:val="false"/>
          <w:smallCaps w:val="false"/>
          <w:sz w:val="20"/>
        </w:rPr>
        <w:t xml:space="preserve">EXPERTS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via_013"/>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supplement the information we have filed with the Commission. This means that we can disclose important information by referring you to those documents. Our Commission filing number is 001-08061. All documents that we file with the Commission pursuant to Sections 13(a), 13(c), 14 or 15(d) of the Exchange Act, on or after the date of this prospectus supplement and prior to the termination of the offering under this prospectus supplement will be deemed to be incorporated by reference into this prospectus supplement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Any statement contained in a document incorporated or deemed to be incorporated by reference in this prospectus supplement shall be deemed to be modified or superseded for purposes of this prospectus supplement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under this prospectus supplement:</w:t>
      </w:r>
    </w:p>
    <w:p>
      <w:pPr>
        <w:pStyle w:val="TextBody"/>
        <w:bidi w:val="0"/>
        <w:spacing w:before="0" w:after="0"/>
        <w:ind w:left="1591" w:right="0" w:hanging="367"/>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year ended April 30, 2026;</w:t>
            </w:r>
          </w:p>
        </w:tc>
      </w:tr>
    </w:tbl>
    <w:p>
      <w:pPr>
        <w:pStyle w:val="TextBody"/>
        <w:bidi w:val="0"/>
        <w:spacing w:before="0" w:after="0"/>
        <w:ind w:left="1591" w:right="0" w:hanging="367"/>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 xml:space="preserve">our Current Report on </w:t>
            </w:r>
            <w:hyperlink r:id="rId4">
              <w:r>
                <w:rPr>
                  <w:rStyle w:val="InternetLink"/>
                </w:rPr>
                <w:t>Form 8-K</w:t>
              </w:r>
            </w:hyperlink>
            <w:r>
              <w:rPr/>
              <w:t xml:space="preserve"> filed with the Commission on June 12, 2026; and</w:t>
            </w:r>
          </w:p>
        </w:tc>
      </w:tr>
    </w:tbl>
    <w:p>
      <w:pPr>
        <w:pStyle w:val="TextBody"/>
        <w:bidi w:val="0"/>
        <w:spacing w:before="0" w:after="0"/>
        <w:ind w:left="1591"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common stock contained in </w:t>
            </w:r>
            <w:hyperlink r:id="rId5">
              <w:r>
                <w:rPr>
                  <w:rStyle w:val="InternetLink"/>
                </w:rPr>
                <w:t>Exhibit 4.2</w:t>
              </w:r>
            </w:hyperlink>
            <w:r>
              <w:rPr/>
              <w:t xml:space="preserve"> to our Annual Report on </w:t>
            </w:r>
            <w:hyperlink r:id="rId6">
              <w:r>
                <w:rPr>
                  <w:rStyle w:val="InternetLink"/>
                </w:rPr>
                <w:t>Form 10-K</w:t>
              </w:r>
            </w:hyperlink>
            <w:r>
              <w:rPr/>
              <w:t xml:space="preserve"> for the year ended April 30, 2021, including any subsequent amendment or any report subsequently filed for the purpose of updating such description.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supplement will be provided without charge to each person to whom a copy of this prospectus supplement is delivered (other than the exhibits to such documents which are not specifically incorporated by reference herein), upon written or oral request. Requests should be directed to Frequency Electronics, Inc., 55 Charles Lindbergh Boulevard,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supplement, the accompanying prospectus or any other report or document we file with or furnish to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via_014"/>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current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supplement and the accompanying prospectus, the information contained on, or otherwise accessible through, these websites is not incorporated into, and does not constitute a part of this prospectus supplement or the accompanying prospectus or any other report or document that we file with or furnish to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the registration statement on Form S-3 filed with the Commission under the Securities Act for the common stock offered by this prospectus supplement. This prospectus supplement does not contain all of the information set forth in the registration statement, certain parts of which have been omitted in accordance with the rules and regulations of the Commission. For further information, reference is made to the registration statement and its exhibits. Whenever we make references in this prospectus supplement or the accompanying prospectus to any of our contracts, agreements or other documents, the references are not necessarily complete and you should refer to the exhibits attached to the registration statement for the copies of the actual contract, agreement or other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857250" cy="866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$100,000,000 of Common Stock, Preferred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and/or Warrants Offered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 Shares of Common Stock Offered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may offer and sell, together or separately, up to $100,000,000 in aggregate offering price of our common stock, preferred stock or warrants to purchase common stock or preferred stock, or a combination thereof from time to time in one or more offerings. In addition, selling stockholders may offer and sell up to 1,000,000 shares of our common stock, in the aggregate, from time to time in one or more offerings. In this prospectus, we refer to our common stock, preferred stock and warrants that we may offer and sell, together with the shares of our common stock that the selling stockholders may offer and sell, collectively as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pursuant to this prospectus may be sold at prevailing market prices or at prices different than prevailing market prices. We or the selling stockholders may offer and sell these securities to or through one or more underwriters, dealers or agents, or directly to purchasers, on a delayed or continuous basis. This prospectus describes some of the general terms that apply to the securities. For general information about the distribution of securities offered, see “Plan of Distribution” in this prospectus. Each time our securities are offered under this prospectus, we will provide a prospectus supplement containing more specific information about the particular offering. We also may authorize one or more free writing prospectuses to be provided to you in connection with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will describe the plan of distribution for that offering. The prospectus supplement also will set forth the price to the public of the securities and the net proceeds that we expect to receive from the sale of any securities we are offering. We will not receive any proceeds from the sale of shares of our common stock by the selling stockholders. The prospectus supplement and any free writing prospectus may also add, update or change information contained or incorporated in this prospectus. You should carefully read this prospectus and any accompanying prospectus supplement, together with the documents we incorporate by reference, before you invest in our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our securities through one or more underwriters, dealers or agents that we select. If underwriters, dealers or agents are used to sell securities, we will name them and describe their compensation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ticker symbol “FEIM.” On July 16, 2026, the last reported sale price for our common stock on The Nasdaq Global Market was $56.13 per share. Each prospectus supplement will indicate whether the securities offered thereby will be listed on any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substantial risks. You should carefully read and consider “Risk Factors” on page 5 before investing in our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pPr>
      <w:hyperlink w:anchor="toc">
        <w:r>
          <w:rPr>
            <w:rStyle w:val="InternetLink"/>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TableOfContents"/>
      <w:bookmarkEnd w:id="17"/>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245"/>
        <w:gridCol w:w="60"/>
        <w:gridCol w:w="27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w:t>
            </w:r>
          </w:p>
        </w:tc>
      </w:tr>
      <w:tr>
        <w:trPr/>
        <w:tc>
          <w:tcPr>
            <w:tcW w:w="6245" w:type="dxa"/>
            <w:tcBorders/>
            <w:vAlign w:val="center"/>
          </w:tcPr>
          <w:p>
            <w:pPr>
              <w:pStyle w:val="TableContents"/>
              <w:bidi w:val="0"/>
              <w:spacing w:before="0" w:after="283"/>
              <w:jc w:val="left"/>
              <w:rPr/>
            </w:pPr>
            <w:hyperlink w:anchor="a_002">
              <w:r>
                <w:rPr>
                  <w:rStyle w:val="InternetLink"/>
                  <w:sz w:val="20"/>
                </w:rPr>
                <w:t>INCORPORATION OF CERTAIN DOCUMENTS BY REFERENCE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2</w:t>
            </w:r>
          </w:p>
        </w:tc>
      </w:tr>
      <w:tr>
        <w:trPr/>
        <w:tc>
          <w:tcPr>
            <w:tcW w:w="6245" w:type="dxa"/>
            <w:tcBorders/>
            <w:vAlign w:val="center"/>
          </w:tcPr>
          <w:p>
            <w:pPr>
              <w:pStyle w:val="TableContents"/>
              <w:bidi w:val="0"/>
              <w:spacing w:before="0" w:after="283"/>
              <w:jc w:val="left"/>
              <w:rPr/>
            </w:pPr>
            <w:hyperlink w:anchor="a_003">
              <w:r>
                <w:rPr>
                  <w:rStyle w:val="InternetLink"/>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4">
              <w:r>
                <w:rPr>
                  <w:rStyle w:val="InternetLink"/>
                  <w:sz w:val="20"/>
                </w:rPr>
                <w:t>CAUTIONARY NOTE REGARDING FORWARD-LOOKING STATEMENTS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5">
              <w:r>
                <w:rPr>
                  <w:rStyle w:val="InternetLink"/>
                  <w:sz w:val="20"/>
                </w:rPr>
                <w:t>OUR COMPANY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4</w:t>
            </w:r>
          </w:p>
        </w:tc>
      </w:tr>
      <w:tr>
        <w:trPr/>
        <w:tc>
          <w:tcPr>
            <w:tcW w:w="6245" w:type="dxa"/>
            <w:tcBorders/>
            <w:vAlign w:val="center"/>
          </w:tcPr>
          <w:p>
            <w:pPr>
              <w:pStyle w:val="TableContents"/>
              <w:bidi w:val="0"/>
              <w:spacing w:before="0" w:after="283"/>
              <w:jc w:val="left"/>
              <w:rPr/>
            </w:pPr>
            <w:hyperlink w:anchor="a_006">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7">
              <w:r>
                <w:rPr>
                  <w:rStyle w:val="InternetLink"/>
                  <w:sz w:val="20"/>
                </w:rPr>
                <w:t>USE OF PROCEEDS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SECURITIES</w:t>
              </w:r>
            </w:hyperlink>
            <w:r>
              <w:rPr>
                <w:sz w:val="20"/>
              </w:rPr>
              <w:t xml:space="preserve">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CAPITAL STOCK</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6</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WARRANTS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9</w:t>
            </w:r>
          </w:p>
        </w:tc>
      </w:tr>
      <w:tr>
        <w:trPr/>
        <w:tc>
          <w:tcPr>
            <w:tcW w:w="6245" w:type="dxa"/>
            <w:tcBorders/>
            <w:vAlign w:val="center"/>
          </w:tcPr>
          <w:p>
            <w:pPr>
              <w:pStyle w:val="TableContents"/>
              <w:bidi w:val="0"/>
              <w:spacing w:before="0" w:after="283"/>
              <w:jc w:val="left"/>
              <w:rPr/>
            </w:pPr>
            <w:hyperlink w:anchor="a_011">
              <w:r>
                <w:rPr>
                  <w:rStyle w:val="InternetLink"/>
                  <w:sz w:val="20"/>
                </w:rPr>
                <w:t>SELLING STOCKHOLDERS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10</w:t>
            </w:r>
          </w:p>
        </w:tc>
      </w:tr>
      <w:tr>
        <w:trPr/>
        <w:tc>
          <w:tcPr>
            <w:tcW w:w="6245" w:type="dxa"/>
            <w:tcBorders/>
            <w:vAlign w:val="center"/>
          </w:tcPr>
          <w:p>
            <w:pPr>
              <w:pStyle w:val="TableContents"/>
              <w:bidi w:val="0"/>
              <w:spacing w:before="0" w:after="283"/>
              <w:jc w:val="left"/>
              <w:rPr/>
            </w:pPr>
            <w:hyperlink w:anchor="a_012">
              <w:r>
                <w:rPr>
                  <w:rStyle w:val="InternetLink"/>
                  <w:sz w:val="20"/>
                </w:rPr>
                <w:t>PLAN OF DISTRIBUTION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11</w:t>
            </w:r>
          </w:p>
        </w:tc>
      </w:tr>
      <w:tr>
        <w:trPr/>
        <w:tc>
          <w:tcPr>
            <w:tcW w:w="6245" w:type="dxa"/>
            <w:tcBorders/>
            <w:vAlign w:val="center"/>
          </w:tcPr>
          <w:p>
            <w:pPr>
              <w:pStyle w:val="TableContents"/>
              <w:bidi w:val="0"/>
              <w:spacing w:before="0" w:after="283"/>
              <w:jc w:val="left"/>
              <w:rPr/>
            </w:pPr>
            <w:hyperlink w:anchor="a_013">
              <w:r>
                <w:rPr>
                  <w:rStyle w:val="InternetLink"/>
                  <w:sz w:val="20"/>
                </w:rPr>
                <w:t>LEGAL MATTERS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r>
        <w:trPr/>
        <w:tc>
          <w:tcPr>
            <w:tcW w:w="6245" w:type="dxa"/>
            <w:tcBorders/>
            <w:vAlign w:val="center"/>
          </w:tcPr>
          <w:p>
            <w:pPr>
              <w:pStyle w:val="TableContents"/>
              <w:bidi w:val="0"/>
              <w:spacing w:before="0" w:after="283"/>
              <w:jc w:val="left"/>
              <w:rPr/>
            </w:pPr>
            <w:hyperlink w:anchor="a_014">
              <w:r>
                <w:rPr>
                  <w:rStyle w:val="InternetLink"/>
                  <w:sz w:val="20"/>
                </w:rPr>
                <w:t>EXPERTS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1"/>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“Commission”) using a “shelf” registration process. Under this shelf registration process, we may offer and sell up to $100,000,000 of any combination of the securities described in this prospectus from time to time in one or more offerings, and the selling stockholders referred to in this prospectus and identified in supplements to this prospectus may also sell up to 1,000,000 shares of our common stock from time to time in one or more offerings. This prospectus only provides you with a general description of the securities we or the selling stockholders may offer. Each time securities are offered, we will provide a prospectus supplement. We may also authorize one or more free writing prospectuses to be provided to you in connection with the offering. The prospectus supplement and/or free writing prospectus will contain specific information about the terms and manner of that offering. The prospectus supplement and free writing prospectus may also add, update or change information contained in this prospectus. Any such information that is inconsistent with this prospectus will supersede the information in this prospectus. You should read both this prospectus and any accompanying prospectus supplement or free writing prospectus together with the additional information described below under the heading “Incorporation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forms a part. This prospectus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nor any underwriters, dealers or agents have authorized any other person to provide you with different or additional information other than that contained in, or incorporated by reference into, this prospectus or any applicable prospectus supplement or free writing prospectus. Neither we, nor the selling stockholders, nor any underwriters, dealers or agents take any responsibility, and can make no assurance as to the reliability of, any other information that others may give you. This prospectus may be used only where it is legal to sell these securities. This prospectus is not an offer to sell, or a solicitation of an offer to buy, in any state where the offer or sale is prohibited. The information in this prospectus, any prospectus supplement, free writing prospectus or any document incorporated herein or therein by reference is accurate as of the date contained on the cover of such documents. Neither the delivery of this prospectus or any prospectus supplement or free writing prospectus, nor any sale made under this prospectus or any prospectus supplement or free writing prospectus will, under any circumstances, imply that the information in this prospectus or any prospectus supplement or free writing prospectus is correct as of any date after the date of this prospectus or any such prospectus supplement or free writing prospectus. Our business, financial condition, results of operations and prospects may have changed since that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“Frequency Electronics,” the “Company,” “we,” “us,” and “our” refer to Frequency Electronics, Inc.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2"/>
      <w:bookmarkEnd w:id="19"/>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the information we have filed with the Commission. This means that we can disclose important information by referring you to those documents. Our Commission file number is 001-08061. All documents that we file with the Commission pursuant to Sections 13(a), 13(c), 14 or 15(d) of the Securities Exchange Act of 1934, as amended (the “Exchange Act”), on or after the date of this prospectus and prior to the termination of the offering of any securities covered by this prospectus and any accompanying prospectus supplement will be deemed to be incorporated by reference into this prospectus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unless specified otherwise. Any statement contained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of any securities covered by this prospectus and the accompanying prospectus supplement:</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sz w:val="20"/>
              </w:rPr>
              <w:t xml:space="preserve">our Annual Report on </w:t>
            </w:r>
            <w:hyperlink r:id="rId8">
              <w:r>
                <w:rPr>
                  <w:rStyle w:val="InternetLink"/>
                  <w:sz w:val="20"/>
                </w:rPr>
                <w:t>Form 10-K</w:t>
              </w:r>
            </w:hyperlink>
            <w:r>
              <w:rPr>
                <w:sz w:val="20"/>
              </w:rPr>
              <w:t xml:space="preserve"> for the year ended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pPr>
            <w:r>
              <w:rPr>
                <w:sz w:val="20"/>
              </w:rPr>
              <w:t xml:space="preserve">our Current Report on </w:t>
            </w:r>
            <w:hyperlink r:id="rId9">
              <w:r>
                <w:rPr>
                  <w:rStyle w:val="InternetLink"/>
                  <w:sz w:val="20"/>
                </w:rPr>
                <w:t>Form 8-K</w:t>
              </w:r>
            </w:hyperlink>
            <w:r>
              <w:rPr>
                <w:sz w:val="20"/>
              </w:rPr>
              <w:t xml:space="preserve"> filed with the Commission on June 12, 2026;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sz w:val="20"/>
              </w:rPr>
              <w:t xml:space="preserve">the description of our common stock contained in </w:t>
            </w:r>
            <w:hyperlink r:id="rId10">
              <w:r>
                <w:rPr>
                  <w:rStyle w:val="InternetLink"/>
                  <w:sz w:val="20"/>
                </w:rPr>
                <w:t>Exhibit 4.2</w:t>
              </w:r>
            </w:hyperlink>
            <w:r>
              <w:rPr>
                <w:sz w:val="20"/>
              </w:rPr>
              <w:t xml:space="preserve"> to our Annual Report on </w:t>
            </w:r>
            <w:hyperlink r:id="rId11">
              <w:r>
                <w:rPr>
                  <w:rStyle w:val="InternetLink"/>
                  <w:sz w:val="20"/>
                </w:rPr>
                <w:t>Form 10-K</w:t>
              </w:r>
            </w:hyperlink>
            <w:r>
              <w:rPr>
                <w:sz w:val="20"/>
              </w:rPr>
              <w:t xml:space="preserve"> for the year ended April 30, 2021, including any subsequent amendment or any report subsequently filed for the purpose of updating such description.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will be provided without charge to each person to whom a copy of this prospectus is delivered (other than the exhibits to such documents which are not specifically incorporated by reference herein), upon written or oral request. Requests should be directed to Frequency Electronics, Inc., 55 Charles Lindbergh Blvd.,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3"/>
      <w:bookmarkEnd w:id="20"/>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or any accompanying prospectus supplement, the information contained on, or otherwise accessible through, these websites is not incorporated into, and does not constitute a part of this prospectus or any accompanying prospectus supplement or any other report or document that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4"/>
      <w:bookmarkEnd w:id="21"/>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any accompanying prospectus supplement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The forward-looking statements included herein are made only as of the date of this prospectus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5"/>
      <w:bookmarkEnd w:id="22"/>
      <w:r>
        <w:rPr>
          <w:rFonts w:ascii="Times New Roman;Times;Serif" w:hAnsi="Times New Roman;Times;Serif"/>
          <w:b/>
          <w:i w:val="false"/>
          <w:caps w:val="false"/>
          <w:smallCaps w:val="false"/>
          <w:sz w:val="20"/>
        </w:rPr>
        <w:t xml:space="preserve">OUR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its principal executive office at 55 Charles Lindbergh Blvd., Mitchel Field, New York 11553. Its telephone number is 516-794-4500, and its website is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6"/>
      <w:bookmarkEnd w:id="23"/>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substantial risks. Before purchasing our securities, you should carefully consider the risk factors discussed herein and in our Annual Report on Form 10-K for the year ended April 30, 2026, which are incorporated by reference into this prospectus, as such may be updated and supplemented by our subsequent Commission filings, as well as the risks, uncertainties and additional information set forth in (i) future Commission filings that are deemed incorporated by reference herein and (ii) the applicable prospectus supplement. Each of the risks described could result in a material decrease in the value of our securities and your investment in them. Risks related to any specific securities we or the selling stockholders offer will be described in the applicable prospectus supplement relating to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7"/>
      <w:bookmarkEnd w:id="24"/>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we expect to use the net proceeds from our sale of offered securities for working capital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specific allocation of the net proceeds of an offering by us of securities will be determined at the time of such offering and will be described in the accompanying prospectus supplement. In the event that any net proceeds are not immediately applied, we may temporarily hold them as cash, deposit them in banks, or invest them in cash equivalents or securities that our investment policies permit us to invest in from time to time. We will not receive any proceeds from the sale of shares of our common stock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8"/>
      <w:bookmarkEnd w:id="25"/>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that we or the selling stockholders may offer from time to time. As further described in this prospectus, these summary descriptions are not meant to be complete descriptions of each security. The particular terms of any security will be described in the accompanying prospectus supplement. The accompanying prospectus supplement may add, update or change the terms and conditions of the securities as described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09"/>
      <w:bookmarkEnd w:id="26"/>
      <w:r>
        <w:rPr>
          <w:rFonts w:ascii="Times New Roman;Times;Serif" w:hAnsi="Times New Roman;Times;Serif"/>
          <w:b/>
          <w:i w:val="false"/>
          <w:caps w:val="false"/>
          <w:smallCaps w:val="false"/>
          <w:sz w:val="20"/>
        </w:rPr>
        <w:t xml:space="preserve">DESCRIPTION OF CAPITAL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based upon our certificate of incorporation (“Certificate of Incorporation”), our Amended and Restated By-Laws (“By-Laws”) and applicable provisions of Delaware law, in each case, as currently in effect as of the date of this prospectus. The following description is only a summary of the material provisions of our capital stock set forth in our Certificate of Incorporation and our By-Laws and does not purport to be complete, and is subject to and qualified in its entirety by reference to such documents, the information regarding our capital stock incorporated by reference herein from our Commission filings and the applicable provisions of the Delaware General Corporation Law. Copies of our Certificate of Incorporation and our By-Laws have been filed as exhibits to the registration statement of which this prospectus forms a part. See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series of preferred stock we offer will be described in the related prospectus supplement. You should read that description, together with the more detailed provisions of our Certificate of Incorporation and the certificate of designations relating to the particular series of preferred stock. The certificate of designations relating to each particular series of preferred stock will be filed as an exhibit to a document incorporated by reference into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Incorporation, our authorized capital stock consists of 20,000,000 shares of common stock, $1.00 par value per share, and 600,000 shares of preferred stock, $1.00 par value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duly authorized, validly issued, fully-paid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dividends as may be declared from time to time by our board of directors out of funds legally available therefor and in the sole discretion of our board of directors, except as otherwise provided by law or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Delaware law, in the event of the liquidation, dissolution, or winding-up of the Company, the remaining assets legally available for distribution to stockholders shall be distributed ratably among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and no right to convert their common stock into any other securities. Our common stock is not subject to any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shares of preferred stock from time to time in series or otherwise without further stockholder action. Our board of directors has the authority to make designations regarding any preferred stock it issues, including preferences, voting powers and relative, participating, optional or other special rights and qualifications, limitations or restrictions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the By-Laws contain provisions that could have the effect of delaying or preventing changes in control or changes in our management without the consent of our board of directors, including, among other things: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our board of directors to elect a director to fill a vacancy in our board of directors,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our chairperson of the board of directors, our president or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by majority vote, to amend the By-Laws, which may allow our board of directors to take additional actions to prevent a hostile acquisition and inhibit the ability of an acquirer to amend the By-Laws to facilitate a hostile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our board of directors or to propose matters to be acted upon at a stockholders’ meeting, which may preclude stockholders from bringing matters before a meeting of stockholders or from making nominations for directors at a meeting of stockholders if the proper procedures are not followed;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spacing w:before="0" w:after="0"/>
        <w:ind w:left="0" w:right="0" w:firstLine="72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“FEIM”.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0"/>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some of the general terms and provisions applicable to warrants we may issue from time to time. We will describe the specific terms of any warrants and the applicable warrant agreements in the applicable prospectus supplement. The following description and any description of the warrants in the applicable prospectus supplement may not be complete and is subject to and qualified in its entirety by reference to the terms and provisions of the applicable warrant agreements. Copies of the form of agreement for each warrant and the warrant certificate, if any, which we refer to collectively as “warrant agreements,” and reflecting the provisions to be included in such agreements that will be entered into with respect to a particular offering of each type of warrant, will be filed with the Commission and incorporated by reference as exhibits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either separately or together with other securities, warrants for the purchase of any, including any combination of, common stock or preferred stock that we may sell. Warrants may be issued independently, or together with common stock or preferred stock offered by any prospectus supplement and may be attached to or separate from any such offered securities. Any warrants will be issued under warrant agreements to be entered into between us and a bank or trust company, as warrant agent, all to be set forth in the applicable prospectus supplement relating to any or all warrants with respect to which this prospectus is being delivered.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warrants to which any prospectus supplement may relate. The particular terms of such warrants and the extent, if any, to which the general provisions may apply to the warrants so offered will be described in the applicable prospectus supplement. To the extent that any particular terms of the warrants, warrant agreements or warrant certificates described in a prospectus supplement differ from any of the terms described in this section, then the terms described in this section will be deemed to have been superseded by that prospectus supplement. We encourage you to read the applicable warrant agreement for additional information before you purchase any of our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of the warrants, as well as the related warrant agreement and warrant certificates, including the following, where applicable:</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sz w:val="20"/>
              </w:rPr>
            </w:pPr>
            <w:r>
              <w:rPr>
                <w:sz w:val="20"/>
              </w:rPr>
              <w:t xml:space="preserve">the securities that may be purchased upon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sz w:val="20"/>
              </w:rPr>
            </w:pPr>
            <w:r>
              <w:rPr>
                <w:sz w:val="20"/>
              </w:rPr>
              <w:t xml:space="preserve">the number of securities purchasable upon exercise of each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initial price at which such number of securities may be purchased upon such exercise (and if such price may be wholly or partly payable in cash or wholly or partly payable with other types of consideration);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designation and terms of the securities, if other than common stock, purchasable upon exercise of the warrants and of any securities, if other than common stock, with which the warrants are issued;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sz w:val="20"/>
              </w:rPr>
            </w:pPr>
            <w:r>
              <w:rPr>
                <w:sz w:val="20"/>
              </w:rPr>
              <w:t xml:space="preserve">the procedures and conditions relating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date, if any, on and after which the warrants, and any securities with which the warrants are issued, will be separately transferable; </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sz w:val="20"/>
              </w:rPr>
            </w:pPr>
            <w:r>
              <w:rPr>
                <w:sz w:val="20"/>
              </w:rPr>
              <w:t xml:space="preserve">the offering price,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 xml:space="preserve">the date on which the right to exercise the warrants will commence and the date on which that right will expire;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if applicable, a discussion of the material United States federal income tax considerations applicable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whether the warrants represented by the warrant certificates will be issued in registered or bearer form and, if registered, where they may be transferred and registered;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sz w:val="20"/>
              </w:rPr>
            </w:pPr>
            <w:r>
              <w:rPr>
                <w:sz w:val="20"/>
              </w:rPr>
              <w:t xml:space="preserve">whether the warrants will be listed on any securities exchange; </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sz w:val="20"/>
              </w:rPr>
            </w:pPr>
            <w:r>
              <w:rPr>
                <w:sz w:val="20"/>
              </w:rPr>
              <w:t xml:space="preserve">call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sz w:val="20"/>
              </w:rPr>
            </w:pPr>
            <w:r>
              <w:rPr>
                <w:sz w:val="20"/>
              </w:rPr>
              <w:t xml:space="preserve">anti-dilution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sz w:val="20"/>
              </w:rPr>
            </w:pPr>
            <w:r>
              <w:rPr>
                <w:sz w:val="20"/>
              </w:rPr>
              <w:t xml:space="preserve">the name of the warrant agent; and </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sz w:val="20"/>
              </w:rPr>
            </w:pPr>
            <w:r>
              <w:rPr>
                <w:sz w:val="20"/>
              </w:rPr>
              <w:t xml:space="preserve">any other material terms of the 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Rights of Security Holder Prior to Exercise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exercise of their warrants and their registration as holders of the underlying securities, holders of warrants will not have any of the rights of registered holders of the underlying securities purchasable upon the exercise of the warrants, and will not be entitled to, among other things, vote or receive dividend or interest payments or similar distributions on the securities purchasable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1"/>
      <w:bookmarkEnd w:id="2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covering offerings by our Company, this prospectus also relates to the potential sale by certain of our stockholders, who we refer to in this prospectus as the “selling stockholders,” of up to 1,000,000 shares of our common stock that were issued and outstanding prior to the original date of filing of the registration statement of which this prospectus forms a part. The selling stockholders acquired the shares included in this prospectus in open market transactions not involving the Company from 2012 to 2024. The selling stockholders may also include donees, transferees or other successors in interest to stockholders who originally acquired their shares of our common stock pursuant to those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 will be set forth in an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registration statement of which this prospectus forms a part registers the sale of their shares of our common stock, the selling stockholders may alternatively sell or transfer all or a portion of their shares pursuant to any available exemption from the registration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2"/>
      <w:bookmarkEnd w:id="29"/>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use this prospectus and any accompanying prospectus supplement to sell our securities from time to time in one or more transactions as follows:</w:t>
      </w:r>
    </w:p>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dealers, who may act as agents or principals, including a block trade (which may involve crosses) in which a broker or dealer so engaged will attempt to sell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agents;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“at-the-market” offerings within the meaning of Rule 415(a)(4) under the Securities Act, to or through a market maker or into an existing trading market, on an exchange or otherwise;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combination of these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relating to an offering of securities will set forth the specific plan of distribution and state the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distribution of the securities offered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or purchase price of the offered securities and the net proceeds that we or the selling stockholders will receive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or other items constituting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commissions, or fees allowed, re-allowed or paid to dealers or agents;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the offered securities may be listed.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commissions, fees or concessions allowed or re-allowed or paid to underwriters, dealers, or agents may be changed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Underwriters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from time to time to one or more underwriters who would purchase the securities as principal for resale to the public, either on a firm commitment or best efforts basis. If underwriters are used in the sale of our securities, we will execute an underwriting agreement with them at the time of the sale and will name them in the applicable prospectus supplement. In connection with these sales, the underwriters may be deemed to have received compensation from us or the selling stockholders in the form of underwriting discounts and commissions. The underwriters also may receive commissions from purchasers of securities for whom they may act as agent. Unless we specify otherwise in the applicable prospectus supplement, the underwriters will not be obligated to purchase the securities unless the conditions set forth in the underwriting agreement are satisfied, and if the underwriters purchase any of the securities, they generally will be required to purchase all of the offered securities. The underwriters may acquire the securities for their own account and may resell the securities from time to time in one or more transactions, including negotiated transactions, at a fixed public offering price or varying prices determined at the time of sale. The underwriters may sell the offered securities to or through dealers, and those dealers may receive discounts, concessions, or commissions from the underwriters as well as from the purchasers for whom they may act as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securities from time to time to one or more dealers who would purchase the securities as principal. The dealers then may resell the offered securities to the public at fixed or varying prices to be determined by those dealers at the time of resale. We will set forth the names of any dealers and the terms of the transaction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on a continuous basis through agents that become parties to an underwriting or distribution agreement. We will name any agent involved in the offer and sale, and describe any commissions payable by us or the selling stockholders in the applicable prospectus supplement. Unless we specify otherwise in the applicable prospectus supplement, the agent will be acting on a best efforts basis during the appointment period. The agent may make sales in privately negotiated transactions and by any other method permitted by law, including sales deemed to be an “at-the-market” offering as defined in Rule 415 promulgated under the Securities Act, including sales made directly on The Nasdaq Global Market, or sales made to or through a market maker other than on an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directly to, and solicit offers from, institutional investors or others who may be deemed to be underwriters, as defined in the Securities Act, for any resale of the securities. We will describe the terms of any sales of this kind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participating in an offering of securities may be deemed to be underwriters, and any discounts and commissions received by them and any profit realized by them on resale of the offered securities, may be deemed to be underwriting discounts and commissions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to sell securities either at a fixed price or at prices that may vary, at market prices prevailing at the time of sale, at prices related to prevailing market prices, or at negotiated prices. Securities may be sold in connection with a remarketing after their purchase by one or more firms acting as principal for their own accounts or as our agent. In addition, we may issue the securities as a dividend or distribution to our existing security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underwritten offering of the securities, the underwriters may engage in over-allotment, stabilizing transactions and syndicate covering transactions in accordance with Regulation M under the Exchange Act. Over-allotment involves sales in excess of the offering size, which creates a short position for the underwriters. The underwriters may enter bids for, and purchase, securities in the open market in order to stabilize the price of the securities. Syndicate covering transactions involve purchases of the securities in the open market after the distribution has been completed in order to cover short positions. In addition,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These activities may cause the price of the securities to be higher than it would otherwise be. Those activities, if commenced, may be discontinued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Ordinarily, each issue of securities offered by us will be a new issue, and there will be no established trading market for any security other than our common stock, which is listed on The Nasdaq Global Market under the symbol “FEIM,” prior to its original issue date. We may not list any particular series of securities on a securities exchange or quotation system. Any underwriters to whom or agents through whom the offered securities are sold for offering and sale may make a market in the offered securities. However, any underwriters or agents that make a market will not be obligated to do so and may stop doing so at any time without notice. We cannot assure you that there will be a liquid trading market for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authorize underwriters, dealers or agents to solicit offers by certain purchasers to purchase the securities from us or the selling stockholders at the public offering price set forth in the applicable prospectus supplement pursuant to delayed delivery contracts providing for payment and delivery on a specified date in the future. The contracts will be subject only to those conditions set forth in the related prospectus supplement, and the related prospectus supplement will set forth any commissions we pay for solicitation of these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may be entered into with us or the selling stockholders, underwriters, dealers and agents who participate in the distribution of the securities may be entitled to indemnification by us or the selling stockholders against certain civil liabilities, including liabilities under the Securities Act, or to contribution with respect to payments which the underwriters, dealers or agents may be required to make.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of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engage underwriters, dealers and agents in connection with the offering of any of the securities described in this prospectus, some of whom may have a “conflict of interest,” as such term is defined by the Financial Industry Regulatory Authority, Inc. In the event an underwriter, dealer or agent who is participating in the offering has a conflict of interest, we will describe the nature of the conflict in the applicable prospectus supplement, and, if applicable, the name of the underwriter, dealer or agent who is acting as the “qualified independent underwriter” and its role and responsibilities in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that we may use, as well as their affiliates, may engage in financial or other business transactions with, or perform other services for, us, our subsidiaries and the selling stockholders in the ordinary course of business and may receive a portion of the proceeds from the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13"/>
      <w:bookmarkEnd w:id="30"/>
      <w:r>
        <w:rPr>
          <w:rFonts w:ascii="Times New Roman;Times;Serif" w:hAnsi="Times New Roman;Times;Serif"/>
          <w:b/>
          <w:i w:val="false"/>
          <w:caps w:val="false"/>
          <w:smallCaps w:val="false"/>
          <w:sz w:val="20"/>
        </w:rPr>
        <w:t xml:space="preserve">LEGAL MATTERS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validity of the securities offered hereby will be passed upon for us by McGuireWoods LLP, Richmond, Virginia. Any underwriters, dealers or agents will be advised by their own legal counsel concerning issues related to the offering of securities pursuant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14"/>
      <w:bookmarkEnd w:id="31"/>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857250" cy="866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p>
      <w:pPr>
        <w:pStyle w:val="TextBody"/>
        <w:bidi w:val="0"/>
        <w:spacing w:before="0" w:after="0"/>
        <w:ind w:left="0" w:right="0" w:hanging="0"/>
        <w:jc w:val="center"/>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670"/>
        <w:gridCol w:w="1445"/>
      </w:tblGrid>
      <w:tr>
        <w:trPr/>
        <w:tc>
          <w:tcPr>
            <w:tcW w:w="1670" w:type="dxa"/>
            <w:tcBorders/>
            <w:vAlign w:val="center"/>
          </w:tcPr>
          <w:p>
            <w:pPr>
              <w:pStyle w:val="TableContents"/>
              <w:bidi w:val="0"/>
              <w:spacing w:before="0" w:after="283"/>
              <w:jc w:val="center"/>
              <w:rPr>
                <w:b/>
                <w:sz w:val="24"/>
              </w:rPr>
            </w:pPr>
            <w:r>
              <w:rPr>
                <w:b/>
                <w:sz w:val="24"/>
              </w:rPr>
              <w:t>Morgan Stanley</w:t>
            </w:r>
          </w:p>
        </w:tc>
        <w:tc>
          <w:tcPr>
            <w:tcW w:w="1445" w:type="dxa"/>
            <w:tcBorders/>
            <w:vAlign w:val="center"/>
          </w:tcPr>
          <w:p>
            <w:pPr>
              <w:pStyle w:val="TableContents"/>
              <w:bidi w:val="0"/>
              <w:spacing w:before="0" w:after="283"/>
              <w:jc w:val="center"/>
              <w:rPr>
                <w:b/>
                <w:sz w:val="24"/>
              </w:rPr>
            </w:pPr>
            <w:r>
              <w:rPr>
                <w:b/>
                <w:sz w:val="24"/>
              </w:rPr>
              <w:t>Craig-Hallum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9020/000118518526002997/feim10k043026.htm" TargetMode="External"/><Relationship Id="rId4" Type="http://schemas.openxmlformats.org/officeDocument/2006/relationships/hyperlink" Target="https://www.sec.gov/Archives/edgar/data/39020/000118518526002498/feim8k061226.htm" TargetMode="External"/><Relationship Id="rId5" Type="http://schemas.openxmlformats.org/officeDocument/2006/relationships/hyperlink" Target="https://www.sec.gov/Archives/edgar/data/39020/000118518521000886/ex_260110.htm" TargetMode="External"/><Relationship Id="rId6" Type="http://schemas.openxmlformats.org/officeDocument/2006/relationships/hyperlink" Target="https://www.sec.gov/Archives/edgar/data/39020/000118518521000886/freqelec20210430_10k.htm" TargetMode="External"/><Relationship Id="rId7" Type="http://schemas.openxmlformats.org/officeDocument/2006/relationships/image" Target="media/image1.jpeg"/><Relationship Id="rId8" Type="http://schemas.openxmlformats.org/officeDocument/2006/relationships/hyperlink" Target="http://www.sec.gov/Archives/edgar/data/39020/000118518526002997/feim10k043026.htm" TargetMode="External"/><Relationship Id="rId9" Type="http://schemas.openxmlformats.org/officeDocument/2006/relationships/hyperlink" Target="http://www.sec.gov/Archives/edgar/data/39020/000118518526002498/feim8k061226.htm" TargetMode="External"/><Relationship Id="rId10" Type="http://schemas.openxmlformats.org/officeDocument/2006/relationships/hyperlink" Target="http://www.sec.gov/Archives/edgar/data/39020/000118518521000886/ex_260110.htm" TargetMode="External"/><Relationship Id="rId11" Type="http://schemas.openxmlformats.org/officeDocument/2006/relationships/hyperlink" Target="http://www.sec.gov/Archives/edgar/data/39020/000118518521000886/freqelec20210430_10k.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23079</Words>
  <Characters>122389</Characters>
  <CharactersWithSpaces>145790</CharactersWithSpaces>
  <Paragraphs>1555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